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Zenith Vector Pattern Engine Reference</w:t>
      </w:r>
    </w:p>
    <w:p>
      <w:pPr>
        <w:jc w:val="center"/>
      </w:pPr>
      <w:r>
        <w:rPr>
          <w:i/>
        </w:rPr>
        <w:t>ChromaDB pattern memory, diagrams, and operations catalog</w:t>
      </w:r>
    </w:p>
    <w:p>
      <w:r>
        <w:t>This document describes the Vector Pattern Engine in Zenith / ChequeMate — semantic memory of how each supplier (dealer) was paid in the past. SQLite remains the source of truth; ChromaDB stores searchable pattern summaries.</w:t>
      </w:r>
    </w:p>
    <w:p>
      <w:r>
        <w:t>Diagrams are embedded below. Blue links open a picture in any web browser — no draw.io, no login, no special software.</w:t>
      </w:r>
    </w:p>
    <w:p>
      <w:pPr>
        <w:pStyle w:val="Heading1"/>
      </w:pPr>
      <w:r>
        <w:t>Shareable diagram links</w:t>
      </w:r>
    </w:p>
    <w:p>
      <w:r>
        <w:t>Share the Word file, the image files in docs/diagrams/vector/, or the browser links below.</w:t>
      </w:r>
    </w:p>
    <w:p>
      <w:pPr>
        <w:pStyle w:val="Heading2"/>
      </w:pPr>
      <w:r>
        <w:t>High-level domain map</w:t>
      </w:r>
    </w:p>
    <w:p>
      <w:r>
        <w:drawing>
          <wp:inline xmlns:a="http://schemas.openxmlformats.org/drawingml/2006/main" xmlns:pic="http://schemas.openxmlformats.org/drawingml/2006/picture">
            <wp:extent cx="5943600" cy="132162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ystem-overview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16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High-level domain map</w:t>
      </w:r>
    </w:p>
    <w:p>
      <w:r>
        <w:t xml:space="preserve">Open in any browser (image): </w:t>
      </w:r>
      <w:hyperlink r:id="rId10">
        <w:r>
          <w:rPr>
            <w:color w:val="0563C1"/>
            <w:u w:val="single"/>
          </w:rPr>
          <w:t>High-level domain map — view now</w:t>
        </w:r>
      </w:hyperlink>
    </w:p>
    <w:p>
      <w:r>
        <w:t xml:space="preserve">After git push, GitHub copy: </w:t>
      </w:r>
      <w:hyperlink r:id="rId11">
        <w:r>
          <w:rPr>
            <w:color w:val="0563C1"/>
            <w:u w:val="single"/>
          </w:rPr>
          <w:t>https://raw.githubusercontent.com/ChamodiMadurasinghe/Zenith/main/docs/diagrams/vector/01-system-overview.jpg</w:t>
        </w:r>
      </w:hyperlink>
    </w:p>
    <w:p>
      <w:r>
        <w:t>Local file: docs/diagrams/vector/01-system-overview.jpg — attach to WhatsApp, email, or Slack.</w:t>
      </w:r>
    </w:p>
    <w:p>
      <w:pPr>
        <w:pStyle w:val="Heading2"/>
      </w:pPr>
      <w:r>
        <w:t>Business lifecycle</w:t>
      </w:r>
    </w:p>
    <w:p>
      <w:r>
        <w:drawing>
          <wp:inline xmlns:a="http://schemas.openxmlformats.org/drawingml/2006/main" xmlns:pic="http://schemas.openxmlformats.org/drawingml/2006/picture">
            <wp:extent cx="5943600" cy="728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ta-lifecycl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Business lifecycle</w:t>
      </w:r>
    </w:p>
    <w:p>
      <w:r>
        <w:t xml:space="preserve">Open in any browser (image): </w:t>
      </w:r>
      <w:hyperlink r:id="rId13">
        <w:r>
          <w:rPr>
            <w:color w:val="0563C1"/>
            <w:u w:val="single"/>
          </w:rPr>
          <w:t>Business lifecycle — view now</w:t>
        </w:r>
      </w:hyperlink>
    </w:p>
    <w:p>
      <w:r>
        <w:t xml:space="preserve">After git push, GitHub copy: </w:t>
      </w:r>
      <w:hyperlink r:id="rId14">
        <w:r>
          <w:rPr>
            <w:color w:val="0563C1"/>
            <w:u w:val="single"/>
          </w:rPr>
          <w:t>https://raw.githubusercontent.com/ChamodiMadurasinghe/Zenith/main/docs/diagrams/vector/02-data-lifecycle.jpg</w:t>
        </w:r>
      </w:hyperlink>
    </w:p>
    <w:p>
      <w:r>
        <w:t>Local file: docs/diagrams/vector/02-data-lifecycle.jpg — attach to WhatsApp, email, or Slack.</w:t>
      </w:r>
    </w:p>
    <w:p>
      <w:pPr>
        <w:pStyle w:val="Heading2"/>
      </w:pPr>
      <w:r>
        <w:t>Guardrails boundary</w:t>
      </w:r>
    </w:p>
    <w:p>
      <w:r>
        <w:drawing>
          <wp:inline xmlns:a="http://schemas.openxmlformats.org/drawingml/2006/main" xmlns:pic="http://schemas.openxmlformats.org/drawingml/2006/picture">
            <wp:extent cx="5943600" cy="2293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guardrails-boundary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Guardrails boundary</w:t>
      </w:r>
    </w:p>
    <w:p>
      <w:r>
        <w:t xml:space="preserve">Open in any browser (image): </w:t>
      </w:r>
      <w:hyperlink r:id="rId16">
        <w:r>
          <w:rPr>
            <w:color w:val="0563C1"/>
            <w:u w:val="single"/>
          </w:rPr>
          <w:t>Guardrails boundary — view now</w:t>
        </w:r>
      </w:hyperlink>
    </w:p>
    <w:p>
      <w:r>
        <w:t xml:space="preserve">After git push, GitHub copy: </w:t>
      </w:r>
      <w:hyperlink r:id="rId17">
        <w:r>
          <w:rPr>
            <w:color w:val="0563C1"/>
            <w:u w:val="single"/>
          </w:rPr>
          <w:t>https://raw.githubusercontent.com/ChamodiMadurasinghe/Zenith/main/docs/diagrams/vector/03-guardrails-boundary.jpg</w:t>
        </w:r>
      </w:hyperlink>
    </w:p>
    <w:p>
      <w:r>
        <w:t>Local file: docs/diagrams/vector/03-guardrails-boundary.jpg — attach to WhatsApp, email, or Slack.</w:t>
      </w:r>
    </w:p>
    <w:p>
      <w:pPr>
        <w:pStyle w:val="Heading1"/>
      </w:pPr>
      <w:r>
        <w:t>Introduction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DF4" w:val="clear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4320"/>
            <w:shd w:fill="E8EDF4" w:val="clear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What it is</w:t>
            </w:r>
          </w:p>
        </w:tc>
        <w:tc>
          <w:tcPr>
            <w:tcW w:type="dxa" w:w="4320"/>
          </w:tcPr>
          <w:p>
            <w:r>
              <w:t>One ChromaDB text summary per dealer, refreshed on cheque commit</w:t>
            </w:r>
          </w:p>
        </w:tc>
      </w:tr>
      <w:tr>
        <w:tc>
          <w:tcPr>
            <w:tcW w:type="dxa" w:w="4320"/>
          </w:tcPr>
          <w:p>
            <w:r>
              <w:t>What it is not</w:t>
            </w:r>
          </w:p>
        </w:tc>
        <w:tc>
          <w:tcPr>
            <w:tcW w:type="dxa" w:w="4320"/>
          </w:tcPr>
          <w:p>
            <w:r>
              <w:t>Not source of truth, not auto-commit, not date/ceiling math</w:t>
            </w:r>
          </w:p>
        </w:tc>
      </w:tr>
      <w:tr>
        <w:tc>
          <w:tcPr>
            <w:tcW w:type="dxa" w:w="4320"/>
          </w:tcPr>
          <w:p>
            <w:r>
              <w:t>One-line summary</w:t>
            </w:r>
          </w:p>
        </w:tc>
        <w:tc>
          <w:tcPr>
            <w:tcW w:type="dxa" w:w="4320"/>
          </w:tcPr>
          <w:p>
            <w:r>
              <w:t>SQLite = facts; ChromaDB = searchable pattern summaries for AI</w:t>
            </w:r>
          </w:p>
        </w:tc>
      </w:tr>
    </w:tbl>
    <w:p/>
    <w:p>
      <w:pPr>
        <w:pStyle w:val="Heading1"/>
      </w:pPr>
      <w:r>
        <w:t>Why a vector database?</w:t>
      </w:r>
    </w:p>
    <w:p>
      <w:r>
        <w:t>Plain SQL lists history; the AI needs natural-language context. ChromaDB + OpenAI embeddings retrieve a pre-written pattern document. All dates and ceilings still pass through core/guardrails.py.</w:t>
      </w:r>
    </w:p>
    <w:p>
      <w:pPr>
        <w:pStyle w:val="Heading1"/>
      </w:pPr>
      <w:r>
        <w:t>Payment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DF4" w:val="clea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  <w:shd w:fill="E8EDF4" w:val="clear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880"/>
            <w:shd w:fill="E8EDF4" w:val="clear"/>
          </w:tcPr>
          <w:p>
            <w:r>
              <w:rPr>
                <w:b/>
              </w:rPr>
              <w:t>Aging in document</w:t>
            </w:r>
          </w:p>
        </w:tc>
      </w:tr>
      <w:tr>
        <w:tc>
          <w:tcPr>
            <w:tcW w:type="dxa" w:w="2880"/>
          </w:tcPr>
          <w:p>
            <w:r>
              <w:t>Bundled</w:t>
            </w:r>
          </w:p>
        </w:tc>
        <w:tc>
          <w:tcPr>
            <w:tcW w:type="dxa" w:w="2880"/>
          </w:tcPr>
          <w:p>
            <w:r>
              <w:t>Cheque has 2+ distinct invoices</w:t>
            </w:r>
          </w:p>
        </w:tc>
        <w:tc>
          <w:tcPr>
            <w:tcW w:type="dxa" w:w="2880"/>
          </w:tcPr>
          <w:p>
            <w:r>
              <w:t>Average aging across bundled rows</w:t>
            </w:r>
          </w:p>
        </w:tc>
      </w:tr>
      <w:tr>
        <w:tc>
          <w:tcPr>
            <w:tcW w:type="dxa" w:w="2880"/>
          </w:tcPr>
          <w:p>
            <w:r>
              <w:t>Unbundled</w:t>
            </w:r>
          </w:p>
        </w:tc>
        <w:tc>
          <w:tcPr>
            <w:tcW w:type="dxa" w:w="2880"/>
          </w:tcPr>
          <w:p>
            <w:r>
              <w:t>Exactly 1 invoice, single part</w:t>
            </w:r>
          </w:p>
        </w:tc>
        <w:tc>
          <w:tcPr>
            <w:tcW w:type="dxa" w:w="2880"/>
          </w:tcPr>
          <w:p>
            <w:r>
              <w:t>Exact per-invoice lines — no average</w:t>
            </w:r>
          </w:p>
        </w:tc>
      </w:tr>
      <w:tr>
        <w:tc>
          <w:tcPr>
            <w:tcW w:type="dxa" w:w="2880"/>
          </w:tcPr>
          <w:p>
            <w:r>
              <w:t>Split</w:t>
            </w:r>
          </w:p>
        </w:tc>
        <w:tc>
          <w:tcPr>
            <w:tcW w:type="dxa" w:w="2880"/>
          </w:tcPr>
          <w:p>
            <w:r>
              <w:t>Same invoice on 2+ cheques</w:t>
            </w:r>
          </w:p>
        </w:tc>
        <w:tc>
          <w:tcPr>
            <w:tcW w:type="dxa" w:w="2880"/>
          </w:tcPr>
          <w:p>
            <w:r>
              <w:t>Per-part aging + payment pattern line</w:t>
            </w:r>
          </w:p>
        </w:tc>
      </w:tr>
      <w:tr>
        <w:tc>
          <w:tcPr>
            <w:tcW w:type="dxa" w:w="2880"/>
          </w:tcPr>
          <w:p>
            <w:r>
              <w:t>Mixed</w:t>
            </w:r>
          </w:p>
        </w:tc>
        <w:tc>
          <w:tcPr>
            <w:tcW w:type="dxa" w:w="2880"/>
          </w:tcPr>
          <w:p>
            <w:r>
              <w:t>Both bundled and unbundled history</w:t>
            </w:r>
          </w:p>
        </w:tc>
        <w:tc>
          <w:tcPr>
            <w:tcW w:type="dxa" w:w="2880"/>
          </w:tcPr>
          <w:p>
            <w:r>
              <w:t>Both sections appear</w:t>
            </w:r>
          </w:p>
        </w:tc>
      </w:tr>
    </w:tbl>
    <w:p/>
    <w:p>
      <w:pPr>
        <w:pStyle w:val="Heading1"/>
      </w:pPr>
      <w:r>
        <w:t>Aging rules</w:t>
      </w:r>
    </w:p>
    <w:p>
      <w:r>
        <w:t>Formula: aging_days = clearance_date - invoiced_date</w:t>
      </w:r>
    </w:p>
    <w:p>
      <w:r>
        <w:t>Clearance: predicted_clearance_date → deposit_timetable.target_funding_date → cheque_date</w:t>
      </w:r>
    </w:p>
    <w:p>
      <w:pPr>
        <w:pStyle w:val="Heading2"/>
      </w:pPr>
      <w:r>
        <w:t>Example pattern document</w:t>
      </w:r>
    </w:p>
    <w:p>
      <w:r>
        <w:rPr>
          <w:rFonts w:ascii="Consolas" w:hAnsi="Consolas"/>
          <w:sz w:val="20"/>
        </w:rPr>
        <w:t>Dealer: ABD Traders (ID: 1)</w:t>
        <w:br/>
        <w:t>Bundling History: mixed</w:t>
        <w:br/>
        <w:br/>
        <w:t>Aging Analysis:</w:t>
        <w:br/>
        <w:t>- Bundled Invoices Average Aging: 38 days (4 multi-invoice cheques).</w:t>
        <w:br/>
        <w:t>- Unbundled Invoice Records: Inv #101 (21 days), Inv #104 (14 days).</w:t>
        <w:br/>
        <w:br/>
        <w:t>Preferred Paying Account: Commercial Bank — 12 of 15 cheques (80%).</w:t>
        <w:br/>
        <w:t>Payment Pattern: Bills over 500k LKR split into 2 parts, 7-day gap.</w:t>
      </w:r>
    </w:p>
    <w:p>
      <w:pPr>
        <w:pStyle w:val="Heading1"/>
      </w:pPr>
      <w:r>
        <w:t>ChromaDB storage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DF4" w:val="clear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4320"/>
            <w:shd w:fill="E8EDF4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database/chroma/</w:t>
            </w:r>
          </w:p>
        </w:tc>
      </w:tr>
      <w:tr>
        <w:tc>
          <w:tcPr>
            <w:tcW w:type="dxa" w:w="4320"/>
          </w:tcPr>
          <w:p>
            <w:r>
              <w:t>Collection</w:t>
            </w:r>
          </w:p>
        </w:tc>
        <w:tc>
          <w:tcPr>
            <w:tcW w:type="dxa" w:w="4320"/>
          </w:tcPr>
          <w:p>
            <w:r>
              <w:t>dealer_payment_patterns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dealer-{dealer_id}</w:t>
            </w:r>
          </w:p>
        </w:tc>
      </w:tr>
      <w:tr>
        <w:tc>
          <w:tcPr>
            <w:tcW w:type="dxa" w:w="4320"/>
          </w:tcPr>
          <w:p>
            <w:r>
              <w:t>Embeddings</w:t>
            </w:r>
          </w:p>
        </w:tc>
        <w:tc>
          <w:tcPr>
            <w:tcW w:type="dxa" w:w="4320"/>
          </w:tcPr>
          <w:p>
            <w:r>
              <w:t>OpenAI text-embedding-3-small</w:t>
            </w:r>
          </w:p>
        </w:tc>
      </w:tr>
    </w:tbl>
    <w:p/>
    <w:p>
      <w:pPr>
        <w:pStyle w:val="Heading1"/>
      </w:pPr>
      <w:r>
        <w:t>Configuration (.env)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DF4" w:val="clear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  <w:shd w:fill="E8EDF4" w:val="clear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880"/>
            <w:shd w:fill="E8EDF4" w:val="clea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ENABLE_VECTOR_PATTERNS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Master switch</w:t>
            </w:r>
          </w:p>
        </w:tc>
      </w:tr>
      <w:tr>
        <w:tc>
          <w:tcPr>
            <w:tcW w:type="dxa" w:w="2880"/>
          </w:tcPr>
          <w:p>
            <w:r>
              <w:t>CHROMA_PERSIST_DIR</w:t>
            </w:r>
          </w:p>
        </w:tc>
        <w:tc>
          <w:tcPr>
            <w:tcW w:type="dxa" w:w="2880"/>
          </w:tcPr>
          <w:p>
            <w:r>
              <w:t>database/chroma</w:t>
            </w:r>
          </w:p>
        </w:tc>
        <w:tc>
          <w:tcPr>
            <w:tcW w:type="dxa" w:w="2880"/>
          </w:tcPr>
          <w:p>
            <w:r>
              <w:t>Storage path</w:t>
            </w:r>
          </w:p>
        </w:tc>
      </w:tr>
      <w:tr>
        <w:tc>
          <w:tcPr>
            <w:tcW w:type="dxa" w:w="2880"/>
          </w:tcPr>
          <w:p>
            <w:r>
              <w:t>OPENAI_EMBEDDING_MODEL</w:t>
            </w:r>
          </w:p>
        </w:tc>
        <w:tc>
          <w:tcPr>
            <w:tcW w:type="dxa" w:w="2880"/>
          </w:tcPr>
          <w:p>
            <w:r>
              <w:t>text-embedding-3-small</w:t>
            </w:r>
          </w:p>
        </w:tc>
        <w:tc>
          <w:tcPr>
            <w:tcW w:type="dxa" w:w="2880"/>
          </w:tcPr>
          <w:p>
            <w:r>
              <w:t>Embedding model</w:t>
            </w:r>
          </w:p>
        </w:tc>
      </w:tr>
      <w:tr>
        <w:tc>
          <w:tcPr>
            <w:tcW w:type="dxa" w:w="2880"/>
          </w:tcPr>
          <w:p>
            <w:r>
              <w:t>PATTERN_LARGE_BILL_LKR</w:t>
            </w:r>
          </w:p>
        </w:tc>
        <w:tc>
          <w:tcPr>
            <w:tcW w:type="dxa" w:w="2880"/>
          </w:tcPr>
          <w:p>
            <w:r>
              <w:t>500000</w:t>
            </w:r>
          </w:p>
        </w:tc>
        <w:tc>
          <w:tcPr>
            <w:tcW w:type="dxa" w:w="2880"/>
          </w:tcPr>
          <w:p>
            <w:r>
              <w:t>Split-pattern threshold</w:t>
            </w:r>
          </w:p>
        </w:tc>
      </w:tr>
      <w:tr>
        <w:tc>
          <w:tcPr>
            <w:tcW w:type="dxa" w:w="2880"/>
          </w:tcPr>
          <w:p>
            <w:r>
              <w:t>OPENAI_API_KEY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Required for embeddings</w:t>
            </w:r>
          </w:p>
        </w:tc>
      </w:tr>
      <w:tr>
        <w:tc>
          <w:tcPr>
            <w:tcW w:type="dxa" w:w="2880"/>
          </w:tcPr>
          <w:p>
            <w:r>
              <w:t>USE_FAKE_AI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  <w:tc>
          <w:tcPr>
            <w:tcW w:type="dxa" w:w="2880"/>
          </w:tcPr>
          <w:p>
            <w:r>
              <w:t>Mock patterns; skips Chroma</w:t>
            </w:r>
          </w:p>
        </w:tc>
      </w:tr>
    </w:tbl>
    <w:p/>
    <w:p>
      <w:pPr>
        <w:pStyle w:val="Heading1"/>
      </w:pPr>
      <w:r>
        <w:t>Setup and operations</w:t>
      </w:r>
    </w:p>
    <w:p>
      <w:r>
        <w:rPr>
          <w:rFonts w:ascii="Consolas" w:hAnsi="Consolas"/>
          <w:sz w:val="20"/>
        </w:rPr>
        <w:t>pip install -r requirements.txt</w:t>
        <w:br/>
        <w:t>python scripts/backfill_dealer_patterns.py</w:t>
      </w:r>
    </w:p>
    <w:p>
      <w:r>
        <w:t>Auto-refresh on every successful cheque commit.</w:t>
      </w:r>
    </w:p>
    <w:p>
      <w:pPr>
        <w:pStyle w:val="Heading1"/>
      </w:pPr>
      <w:r>
        <w:t>Guardrails boundary</w:t>
      </w:r>
    </w:p>
    <w:p>
      <w:r>
        <w:t>Vector DB CANNOT set dates, override ceiling, skip holidays, or commit without user Save.</w:t>
      </w:r>
    </w:p>
    <w:p>
      <w:pPr>
        <w:pStyle w:val="Heading1"/>
      </w:pPr>
      <w:r>
        <w:t>File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DF4" w:val="clear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  <w:shd w:fill="E8EDF4" w:val="clea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core/dealer_patterns.py</w:t>
            </w:r>
          </w:p>
        </w:tc>
        <w:tc>
          <w:tcPr>
            <w:tcW w:type="dxa" w:w="4320"/>
          </w:tcPr>
          <w:p>
            <w:r>
              <w:t>Build pattern text</w:t>
            </w:r>
          </w:p>
        </w:tc>
      </w:tr>
      <w:tr>
        <w:tc>
          <w:tcPr>
            <w:tcW w:type="dxa" w:w="4320"/>
          </w:tcPr>
          <w:p>
            <w:r>
              <w:t>core/vector_store.py</w:t>
            </w:r>
          </w:p>
        </w:tc>
        <w:tc>
          <w:tcPr>
            <w:tcW w:type="dxa" w:w="4320"/>
          </w:tcPr>
          <w:p>
            <w:r>
              <w:t>Chroma upsert / query</w:t>
            </w:r>
          </w:p>
        </w:tc>
      </w:tr>
      <w:tr>
        <w:tc>
          <w:tcPr>
            <w:tcW w:type="dxa" w:w="4320"/>
          </w:tcPr>
          <w:p>
            <w:r>
              <w:t>agents/bundling_tools.py</w:t>
            </w:r>
          </w:p>
        </w:tc>
        <w:tc>
          <w:tcPr>
            <w:tcW w:type="dxa" w:w="4320"/>
          </w:tcPr>
          <w:p>
            <w:r>
              <w:t>Historical patterns tool</w:t>
            </w:r>
          </w:p>
        </w:tc>
      </w:tr>
      <w:tr>
        <w:tc>
          <w:tcPr>
            <w:tcW w:type="dxa" w:w="4320"/>
          </w:tcPr>
          <w:p>
            <w:r>
              <w:t>docs/diagrams/vector/*.jpg</w:t>
            </w:r>
          </w:p>
        </w:tc>
        <w:tc>
          <w:tcPr>
            <w:tcW w:type="dxa" w:w="4320"/>
          </w:tcPr>
          <w:p>
            <w:r>
              <w:t>Shareable diagram images</w:t>
            </w:r>
          </w:p>
        </w:tc>
      </w:tr>
    </w:tbl>
    <w:p/>
    <w:p>
      <w:r>
        <w:rPr>
          <w:i/>
        </w:rPr>
        <w:t>Regenerate: python scripts/generate_vector_docs_docx.py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https://mermaid.ink/img/pako:eNp1kstuwyAQRX8FsWqlpN1nUSmPRSMldVJH3tDKmuBJjITBgSFVFOXfaxurdVuVBTCHC5cZuHJpC-QTftD2Q5bgiO1mb4Y1zYf90UFdMn_SipCJdLtqR2-Dk8jsgZELVL5HdduWL5lQ5myVRD_A8-etkCWeAg7gdLVK5j3O-005aG0lkLKmV6Ipfl2mvlBpDRObONZAhM6wfVC6QDcwWGxEgaDR5b3GP9SXwXqWijNKsi73TYffi389OwETWSeP0Y_0XpP1VNzNS2crWMxYAQR78PgoO3L_77mgmJgFU2hljmzqvfIEhgZH75JkJY5IeZ9JqVpzJUE3SV0qNPSV3B-T-Gjj8VNTiYgWmy7M0hhmaRfG60cU5x1urXuYrNfLnZh3T8WkrSpF750megxVXwZ8xCt0FaiCT66cSqzaT1bgAYImfhtxCGTTi5F80vwiHPFQN2XDhYKmNFWEt09SUdg7" TargetMode="External"/><Relationship Id="rId11" Type="http://schemas.openxmlformats.org/officeDocument/2006/relationships/hyperlink" Target="https://raw.githubusercontent.com/ChamodiMadurasinghe/Zenith/main/docs/diagrams/vector/01-system-overview.jpg" TargetMode="External"/><Relationship Id="rId12" Type="http://schemas.openxmlformats.org/officeDocument/2006/relationships/image" Target="media/image2.jpg"/><Relationship Id="rId13" Type="http://schemas.openxmlformats.org/officeDocument/2006/relationships/hyperlink" Target="https://mermaid.ink/img/pako:eNpNkE1Lw0AQhv_KMOdEsF9CDoVCLwWRYNTL2sOYnZhgNlsns9bQ9r-bsg04t3keXt5hTlh6y5hh1fpjWZMoPD6_dzBOcW92ndIX7yFN11DMzBtLUw37m55FPDdboUrhI3S25UnOo1yYXPin4ePEF5EvzWvPAqV3rtF-kssoV2NRqV5AuBLu60mvon4wT_yrMB6r8B1Yhn-dd-n6vNmNQbI9HEiVpevPkG9eTB43UO_bMYEJOhZHjcXshFqzu37BckWhVbwkSEF9MXQlZiqBEwwHS8rbhj6FXISXP4oCZQ4" TargetMode="External"/><Relationship Id="rId14" Type="http://schemas.openxmlformats.org/officeDocument/2006/relationships/hyperlink" Target="https://raw.githubusercontent.com/ChamodiMadurasinghe/Zenith/main/docs/diagrams/vector/02-data-lifecycle.jpg" TargetMode="External"/><Relationship Id="rId15" Type="http://schemas.openxmlformats.org/officeDocument/2006/relationships/image" Target="media/image3.jpg"/><Relationship Id="rId16" Type="http://schemas.openxmlformats.org/officeDocument/2006/relationships/hyperlink" Target="https://mermaid.ink/img/pako:eNo1kN9rwkAMx_-VcM91e_dBcJuTgg-uRUE6Kbc21oPrXUlySrH-7ztrDQRC8sk3P26q8jWquTpZf63OmgQ22a-DaPvVZ7HHSjxBp0WQHB9hNlsMHJoGWYx3DN7ZfoBlWnwEV1vjGlgyGxbt5PiUWaZjU019ScGBeG95gO2hqDzh-9_U9tb1E789PHhYZxGwNs4vRwZLwxyQJ2qdjdQuLbaEF4PXGE6l3XNgYCTI9QUHyH82RXQjCJVvW_NaLeZGlWz1_bqU8ETI5wioRLVIrTa1mt-UnLF9vKnGkw5W1D1ROojPe1epuVDARIWu1oJfRjek22fy_g_eoXbZ" TargetMode="External"/><Relationship Id="rId17" Type="http://schemas.openxmlformats.org/officeDocument/2006/relationships/hyperlink" Target="https://raw.githubusercontent.com/ChamodiMadurasinghe/Zenith/main/docs/diagrams/vector/03-guardrails-boundary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