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BD94" w14:textId="77777777" w:rsidR="00455E87" w:rsidRDefault="00000000">
      <w:pPr>
        <w:pStyle w:val="Titre1"/>
      </w:pPr>
      <w:r w:rsidRPr="00235804">
        <w:rPr>
          <w:sz w:val="36"/>
          <w:szCs w:val="36"/>
        </w:rPr>
        <w:t>CAHIER DES CHARGES</w:t>
      </w:r>
      <w:r w:rsidRPr="00235804">
        <w:rPr>
          <w:sz w:val="36"/>
          <w:szCs w:val="36"/>
        </w:rPr>
        <w:br/>
      </w:r>
      <w:r>
        <w:t>Application Intégrée Santé – Sécurité au Travail (SST)</w:t>
      </w:r>
    </w:p>
    <w:p w14:paraId="2CA196FB" w14:textId="77777777" w:rsidR="00455E87" w:rsidRDefault="00000000">
      <w:pPr>
        <w:pStyle w:val="Titre2"/>
      </w:pPr>
      <w:r>
        <w:t>1. Contexte et justification</w:t>
      </w:r>
    </w:p>
    <w:p w14:paraId="4E29E836" w14:textId="77777777" w:rsidR="00455E87" w:rsidRDefault="00000000">
      <w:r>
        <w:t>Dans un contexte de renforcement des exigences réglementaires et de prévention des risques professionnels, les Cabinets Médical LIONEL et de Consultance LIONEL SST souhaitent disposer d’une application intégrée permettant la gestion complète, sécurisée et ergonomique de la Santé et Sécurité au Travail (SST). Cette application doit couvrir le suivi médical, la prévention, l’évaluation des risques professionnels, la gestion des accidents de travail et maladies professionnelles, ainsi que le pilotage stratégique SST.</w:t>
      </w:r>
    </w:p>
    <w:p w14:paraId="38BE2EF8" w14:textId="77777777" w:rsidR="00455E87" w:rsidRDefault="00000000">
      <w:pPr>
        <w:pStyle w:val="Titre2"/>
      </w:pPr>
      <w:r>
        <w:t>2. Objectifs généraux</w:t>
      </w:r>
    </w:p>
    <w:p w14:paraId="731CA147" w14:textId="77777777" w:rsidR="00455E87" w:rsidRDefault="00000000">
      <w:r>
        <w:t>- Digitaliser et centraliser la gestion SST</w:t>
      </w:r>
      <w:r>
        <w:br/>
        <w:t>- Améliorer le suivi médical et préventif des travailleurs</w:t>
      </w:r>
      <w:r>
        <w:br/>
        <w:t>- Faciliter la conformité réglementaire SST</w:t>
      </w:r>
      <w:r>
        <w:br/>
        <w:t>- Produire des indicateurs fiables pour la prise de décision</w:t>
      </w:r>
      <w:r>
        <w:br/>
        <w:t>- Valoriser l’offre de services des Cabinets LIONEL</w:t>
      </w:r>
    </w:p>
    <w:p w14:paraId="2C64220C" w14:textId="77777777" w:rsidR="00455E87" w:rsidRDefault="00000000">
      <w:pPr>
        <w:pStyle w:val="Titre2"/>
      </w:pPr>
      <w:r>
        <w:t>3. Périmètre fonctionnel global</w:t>
      </w:r>
    </w:p>
    <w:p w14:paraId="187AE693" w14:textId="77777777" w:rsidR="00455E87" w:rsidRDefault="00000000">
      <w:r>
        <w:t>L’application couvre :</w:t>
      </w:r>
      <w:r>
        <w:br/>
        <w:t>- Suivi médical en santé au travail</w:t>
      </w:r>
      <w:r>
        <w:br/>
        <w:t>- Prévention et évaluation des risques professionnels</w:t>
      </w:r>
      <w:r>
        <w:br/>
        <w:t>- Gestion SST en entreprise</w:t>
      </w:r>
      <w:r>
        <w:br/>
        <w:t>- Reporting, tableaux de bord et pilotage</w:t>
      </w:r>
    </w:p>
    <w:p w14:paraId="3DEC626E" w14:textId="77777777" w:rsidR="00455E87" w:rsidRDefault="00000000">
      <w:pPr>
        <w:pStyle w:val="Titre2"/>
      </w:pPr>
      <w:r>
        <w:t>4. Acteurs et profils utilisateurs</w:t>
      </w:r>
    </w:p>
    <w:p w14:paraId="3088E550" w14:textId="77777777" w:rsidR="00455E87" w:rsidRDefault="00000000">
      <w:r>
        <w:t>- Super Administrateur (installation, sécurité globale)</w:t>
      </w:r>
      <w:r>
        <w:br/>
        <w:t>- Administrateur (paramétrage, gestion des accès)</w:t>
      </w:r>
      <w:r>
        <w:br/>
        <w:t>- Médecins du travail / Personnel médical</w:t>
      </w:r>
      <w:r>
        <w:br/>
        <w:t>- Infirmiers SST</w:t>
      </w:r>
      <w:r>
        <w:br/>
        <w:t>- Consultants SST</w:t>
      </w:r>
      <w:r>
        <w:br/>
        <w:t>- Ressources Humaines</w:t>
      </w:r>
      <w:r>
        <w:br/>
        <w:t>- Direction Générale</w:t>
      </w:r>
      <w:r>
        <w:br/>
        <w:t>- Responsables HSE</w:t>
      </w:r>
    </w:p>
    <w:p w14:paraId="0ED1EF41" w14:textId="77777777" w:rsidR="00455E87" w:rsidRDefault="00000000">
      <w:pPr>
        <w:pStyle w:val="Titre2"/>
      </w:pPr>
      <w:r>
        <w:t>5. Modules fonctionnels détaillés</w:t>
      </w:r>
    </w:p>
    <w:p w14:paraId="26D44524" w14:textId="77777777" w:rsidR="00455E87" w:rsidRDefault="00000000">
      <w:r w:rsidRPr="009409BF">
        <w:rPr>
          <w:b/>
          <w:bCs/>
        </w:rPr>
        <w:t>5.1 Module Suivi Médical (Cabinet Médical LIONEL)</w:t>
      </w:r>
      <w:r w:rsidRPr="009409BF">
        <w:rPr>
          <w:b/>
          <w:bCs/>
        </w:rPr>
        <w:br/>
      </w:r>
      <w:r>
        <w:t>- Dossier Médical en Santé au Travail (DMST)</w:t>
      </w:r>
      <w:r>
        <w:br/>
        <w:t>- Gestion des visites médicales (embauche, périodique, reprise, spéciale)</w:t>
      </w:r>
      <w:r>
        <w:br/>
        <w:t>- Suivi des pathologies physiques, mentales et sociales</w:t>
      </w:r>
      <w:r>
        <w:br/>
        <w:t>- Gestion des vaccinations et calendriers vaccinaux</w:t>
      </w:r>
      <w:r>
        <w:br/>
      </w:r>
      <w:r>
        <w:lastRenderedPageBreak/>
        <w:t>- Édition de certificats médicaux et ordonnances</w:t>
      </w:r>
      <w:r>
        <w:br/>
        <w:t>- Surveillance médicale renforcée</w:t>
      </w:r>
      <w:r>
        <w:br/>
      </w:r>
      <w:r>
        <w:br/>
      </w:r>
      <w:r w:rsidRPr="009409BF">
        <w:rPr>
          <w:b/>
          <w:bCs/>
        </w:rPr>
        <w:t>5.2 Module Accidents de Travail et Maladies Professionnelles</w:t>
      </w:r>
      <w:r w:rsidRPr="009409BF">
        <w:rPr>
          <w:b/>
          <w:bCs/>
        </w:rPr>
        <w:br/>
      </w:r>
      <w:r>
        <w:t>- Déclaration et suivi des AT/MP</w:t>
      </w:r>
      <w:r>
        <w:br/>
        <w:t>- Analyse des causes</w:t>
      </w:r>
      <w:r>
        <w:br/>
        <w:t>- Statistiques et indicateurs AT/MP</w:t>
      </w:r>
      <w:r>
        <w:br/>
      </w:r>
      <w:r>
        <w:br/>
      </w:r>
      <w:r w:rsidRPr="009409BF">
        <w:rPr>
          <w:b/>
          <w:bCs/>
        </w:rPr>
        <w:t>5.3 Module Prévention et Évaluation des Risques (Cabinet LIONEL SST)</w:t>
      </w:r>
      <w:r w:rsidRPr="009409BF">
        <w:rPr>
          <w:b/>
          <w:bCs/>
        </w:rPr>
        <w:br/>
      </w:r>
      <w:r>
        <w:t>- Identification des dangers</w:t>
      </w:r>
      <w:r>
        <w:br/>
        <w:t>- Évaluation des risques professionnels (EVRP)</w:t>
      </w:r>
      <w:r>
        <w:br/>
        <w:t>- Élaboration et suivi du plan d’actions SST</w:t>
      </w:r>
      <w:r>
        <w:br/>
        <w:t>- Suivi des mesures correctives et préventives</w:t>
      </w:r>
      <w:r>
        <w:br/>
      </w:r>
      <w:r>
        <w:br/>
      </w:r>
      <w:r w:rsidRPr="009409BF">
        <w:rPr>
          <w:b/>
          <w:bCs/>
        </w:rPr>
        <w:t>5.4 Module Formation et Sensibilisation</w:t>
      </w:r>
      <w:r w:rsidRPr="009409BF">
        <w:rPr>
          <w:b/>
          <w:bCs/>
        </w:rPr>
        <w:br/>
      </w:r>
      <w:r>
        <w:t>- Gestion des formations SST (SST, incendie, EPI…)</w:t>
      </w:r>
      <w:r>
        <w:br/>
        <w:t>- Suivi des compétences et habilitations</w:t>
      </w:r>
      <w:r>
        <w:br/>
        <w:t>- Éducation sanitaire et diffusion d’articles</w:t>
      </w:r>
      <w:r>
        <w:br/>
      </w:r>
      <w:r>
        <w:br/>
      </w:r>
      <w:r w:rsidRPr="009409BF">
        <w:rPr>
          <w:b/>
          <w:bCs/>
        </w:rPr>
        <w:t>5.5 Module Reporting et Tableaux de Bord</w:t>
      </w:r>
      <w:r w:rsidRPr="009409BF">
        <w:rPr>
          <w:b/>
          <w:bCs/>
        </w:rPr>
        <w:br/>
      </w:r>
      <w:r>
        <w:t>- Indicateurs SST globaux</w:t>
      </w:r>
      <w:r>
        <w:br/>
        <w:t>- Tableaux de bord par site, service et entreprise</w:t>
      </w:r>
      <w:r>
        <w:br/>
        <w:t>- Export PDF / Excel</w:t>
      </w:r>
    </w:p>
    <w:p w14:paraId="386D3638" w14:textId="77777777" w:rsidR="00455E87" w:rsidRDefault="00000000">
      <w:pPr>
        <w:pStyle w:val="Titre2"/>
      </w:pPr>
      <w:r>
        <w:t>6. Paramétrage et administration</w:t>
      </w:r>
    </w:p>
    <w:p w14:paraId="50C5C867" w14:textId="77777777" w:rsidR="00455E87" w:rsidRDefault="00000000">
      <w:r>
        <w:t>- Gestion multi-entreprises et multi-sites</w:t>
      </w:r>
      <w:r>
        <w:br/>
        <w:t>- Référentiels (CIM-10, types de visites, risques, métiers)</w:t>
      </w:r>
      <w:r>
        <w:br/>
        <w:t>- Gestion des utilisateurs et droits d’accès</w:t>
      </w:r>
    </w:p>
    <w:p w14:paraId="4EA5EAE3" w14:textId="77777777" w:rsidR="00455E87" w:rsidRDefault="00000000">
      <w:pPr>
        <w:pStyle w:val="Titre2"/>
      </w:pPr>
      <w:r>
        <w:t>7. Exigences ergonomiques</w:t>
      </w:r>
    </w:p>
    <w:p w14:paraId="4E30EDA4" w14:textId="77777777" w:rsidR="00455E87" w:rsidRDefault="00000000">
      <w:r>
        <w:t>- Interface web responsive (PC, tablette, mobile)</w:t>
      </w:r>
      <w:r>
        <w:br/>
        <w:t>- Navigation intuitive par profils utilisateurs</w:t>
      </w:r>
      <w:r>
        <w:br/>
        <w:t>- Tableaux de bord visuels et interactifs</w:t>
      </w:r>
    </w:p>
    <w:p w14:paraId="46198AFD" w14:textId="77777777" w:rsidR="00455E87" w:rsidRDefault="00000000">
      <w:pPr>
        <w:pStyle w:val="Titre2"/>
      </w:pPr>
      <w:r>
        <w:t>8. Exigences techniques</w:t>
      </w:r>
    </w:p>
    <w:p w14:paraId="5CF5E0A7" w14:textId="77777777" w:rsidR="00455E87" w:rsidRDefault="00000000">
      <w:r>
        <w:t>- Architecture web sécurisée</w:t>
      </w:r>
      <w:r>
        <w:br/>
        <w:t>- Technologies : Spring Boot, Java J2EE, MySQL</w:t>
      </w:r>
      <w:r>
        <w:br/>
        <w:t>- Hébergement Cloud et version locale</w:t>
      </w:r>
      <w:r>
        <w:br/>
        <w:t>- Sauvegarde automatique et traçabilité</w:t>
      </w:r>
    </w:p>
    <w:p w14:paraId="5FB85137" w14:textId="77777777" w:rsidR="00455E87" w:rsidRDefault="00000000">
      <w:pPr>
        <w:pStyle w:val="Titre2"/>
      </w:pPr>
      <w:r>
        <w:t>9. Sécurité et confidentialité</w:t>
      </w:r>
    </w:p>
    <w:p w14:paraId="3D10900F" w14:textId="77777777" w:rsidR="00455E87" w:rsidRDefault="00000000">
      <w:r>
        <w:t>- Respect strict du secret médical</w:t>
      </w:r>
      <w:r>
        <w:br/>
        <w:t>- Accès aux données médicales réservé au personnel médical</w:t>
      </w:r>
      <w:r>
        <w:br/>
      </w:r>
      <w:r>
        <w:lastRenderedPageBreak/>
        <w:t>- Chiffrement des données</w:t>
      </w:r>
      <w:r>
        <w:br/>
        <w:t>- Gestion des logs et audits</w:t>
      </w:r>
    </w:p>
    <w:p w14:paraId="3F736A90" w14:textId="77777777" w:rsidR="00455E87" w:rsidRDefault="00000000">
      <w:pPr>
        <w:pStyle w:val="Titre2"/>
      </w:pPr>
      <w:r>
        <w:t>10. Planning prévisionnel</w:t>
      </w:r>
    </w:p>
    <w:p w14:paraId="49CBEB5B" w14:textId="77777777" w:rsidR="00455E87" w:rsidRDefault="00000000">
      <w:r>
        <w:t>- Analyse et conception</w:t>
      </w:r>
      <w:r>
        <w:br/>
        <w:t>- Développement et tests</w:t>
      </w:r>
      <w:r>
        <w:br/>
        <w:t>- Formation des utilisateurs</w:t>
      </w:r>
      <w:r>
        <w:br/>
        <w:t>- Mise en production et accompagnement</w:t>
      </w:r>
    </w:p>
    <w:p w14:paraId="2F10E21E" w14:textId="77777777" w:rsidR="00455E87" w:rsidRDefault="00000000">
      <w:pPr>
        <w:pStyle w:val="Titre2"/>
      </w:pPr>
      <w:r>
        <w:t>11. Livrables attendus</w:t>
      </w:r>
    </w:p>
    <w:p w14:paraId="35BF6D7E" w14:textId="77777777" w:rsidR="00455E87" w:rsidRDefault="00000000">
      <w:r>
        <w:t>- Application SST fonctionnelle</w:t>
      </w:r>
      <w:r>
        <w:br/>
        <w:t>- Manuel utilisateur</w:t>
      </w:r>
      <w:r>
        <w:br/>
        <w:t>- Documentation technique</w:t>
      </w:r>
      <w:r>
        <w:br/>
        <w:t>- Plan de maintenance</w:t>
      </w:r>
    </w:p>
    <w:p w14:paraId="0BD85763" w14:textId="77777777" w:rsidR="00455E87" w:rsidRDefault="00000000">
      <w:pPr>
        <w:pStyle w:val="Titre2"/>
      </w:pPr>
      <w:r>
        <w:t>12. Perspectives d’évolution</w:t>
      </w:r>
    </w:p>
    <w:p w14:paraId="059D37ED" w14:textId="77777777" w:rsidR="00455E87" w:rsidRDefault="00000000">
      <w:r>
        <w:t>- Application mobile</w:t>
      </w:r>
      <w:r>
        <w:br/>
        <w:t>- Téléconsultation SST</w:t>
      </w:r>
      <w:r>
        <w:br/>
        <w:t>- Interfaçage avec assurances, IPM et institutions</w:t>
      </w:r>
    </w:p>
    <w:sectPr w:rsidR="00455E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44563012">
    <w:abstractNumId w:val="8"/>
  </w:num>
  <w:num w:numId="2" w16cid:durableId="1112749216">
    <w:abstractNumId w:val="6"/>
  </w:num>
  <w:num w:numId="3" w16cid:durableId="1482962072">
    <w:abstractNumId w:val="5"/>
  </w:num>
  <w:num w:numId="4" w16cid:durableId="1658074658">
    <w:abstractNumId w:val="4"/>
  </w:num>
  <w:num w:numId="5" w16cid:durableId="1784108304">
    <w:abstractNumId w:val="7"/>
  </w:num>
  <w:num w:numId="6" w16cid:durableId="2032104558">
    <w:abstractNumId w:val="3"/>
  </w:num>
  <w:num w:numId="7" w16cid:durableId="458109349">
    <w:abstractNumId w:val="2"/>
  </w:num>
  <w:num w:numId="8" w16cid:durableId="2129080215">
    <w:abstractNumId w:val="1"/>
  </w:num>
  <w:num w:numId="9" w16cid:durableId="189604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3F"/>
    <w:rsid w:val="0015074B"/>
    <w:rsid w:val="00235804"/>
    <w:rsid w:val="0029639D"/>
    <w:rsid w:val="00326F90"/>
    <w:rsid w:val="00455E87"/>
    <w:rsid w:val="008B6731"/>
    <w:rsid w:val="009409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621C4"/>
  <w14:defaultImageDpi w14:val="300"/>
  <w15:docId w15:val="{86CD6214-CB45-4F2B-900E-41C7251B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553</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Rodrigue Julien Eymar COLY</cp:lastModifiedBy>
  <cp:revision>4</cp:revision>
  <dcterms:created xsi:type="dcterms:W3CDTF">2013-12-23T23:15:00Z</dcterms:created>
  <dcterms:modified xsi:type="dcterms:W3CDTF">2026-01-29T10:15:00Z</dcterms:modified>
  <cp:category/>
</cp:coreProperties>
</file>