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Malgun Gothic" w:eastAsia="Malgun Gothic" w:hAnsi="Malgun Gothic"/>
          <w:b/>
          <w:bCs/>
          <w:color w:val="1F3A5F"/>
          <w:sz w:val="40"/>
          <w:szCs w:val="40"/>
        </w:rPr>
        <w:t xml:space="preserve">Light of the World × B2M</w:t>
      </w:r>
    </w:p>
    <w:p>
      <w:pPr>
        <w:pBdr>
          <w:bottom w:val="single" w:color="1F3A5F" w:sz="8" w:space="4"/>
        </w:pBdr>
        <w:spacing w:after="120"/>
      </w:pPr>
      <w:r>
        <w:rPr>
          <w:rFonts w:ascii="Malgun Gothic" w:eastAsia="Malgun Gothic" w:hAnsi="Malgun Gothic"/>
          <w:color w:val="5A6472"/>
          <w:sz w:val="18"/>
          <w:szCs w:val="18"/>
        </w:rPr>
        <w:t xml:space="preserve">영화 연계 구즈(굿즈) 상품 제안서   |   초안   |   2026년 10월   |   작성: 조한</w:t>
      </w:r>
    </w:p>
    <w:p>
      <w:pPr>
        <w:pBdr>
          <w:bottom w:val="single" w:color="1F3A5F" w:sz="6" w:space="2"/>
        </w:pBdr>
        <w:spacing w:after="70" w:before="160"/>
      </w:pPr>
      <w:r>
        <w:rPr>
          <w:rFonts w:ascii="Malgun Gothic" w:eastAsia="Malgun Gothic" w:hAnsi="Malgun Gothic"/>
          <w:b/>
          <w:bCs/>
          <w:color w:val="1F3A5F"/>
          <w:sz w:val="23"/>
          <w:szCs w:val="23"/>
        </w:rPr>
        <w:t xml:space="preserve">1. 제안 배경</w:t>
      </w:r>
    </w:p>
    <w:p>
      <w:pPr>
        <w:spacing w:after="70"/>
      </w:pPr>
      <w:r>
        <w:rPr>
          <w:rFonts w:ascii="Malgun Gothic" w:eastAsia="Malgun Gothic" w:hAnsi="Malgun Gothic"/>
          <w:sz w:val="19"/>
          <w:szCs w:val="19"/>
        </w:rPr>
        <w:t xml:space="preserve">기독교 영화가 극장 밖에서도 일상 속에 머물 수 있도록, 말레이시아 사업가 네트워크의 제조·유통 경험과 영화의 이미지를 결합한 구즈 상품을 제안합니다. 구즈는 영화를 알리는 홍보 수단이면서, 영화 상영이 어려운 지역에서도 이야기가 자연스럽게 전해지는 통로가 되고, 판매 수익이 교회와 다음 세대 양육으로 이어지는 구조를 만듭니다.</w:t>
      </w:r>
    </w:p>
    <w:p>
      <w:pPr>
        <w:pBdr>
          <w:bottom w:val="single" w:color="1F3A5F" w:sz="6" w:space="2"/>
        </w:pBdr>
        <w:spacing w:after="70" w:before="160"/>
      </w:pPr>
      <w:r>
        <w:rPr>
          <w:rFonts w:ascii="Malgun Gothic" w:eastAsia="Malgun Gothic" w:hAnsi="Malgun Gothic"/>
          <w:b/>
          <w:bCs/>
          <w:color w:val="1F3A5F"/>
          <w:sz w:val="23"/>
          <w:szCs w:val="23"/>
        </w:rPr>
        <w:t xml:space="preserve">2. 시안</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00"/>
        <w:gridCol w:w="4706"/>
      </w:tblGrid>
      <w:tr>
        <w:tc>
          <w:tcPr>
            <w:tcW w:type="dxa" w:w="52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drawing>
                <wp:inline distT="0" distB="0" distL="0" distR="0">
                  <wp:extent cx="3524250" cy="2686050"/>
                  <wp:effectExtent t="0" r="0" b="0" l="0"/>
                  <wp:docPr id="1" name="mockup" descr="Headlight polisher sachet and tumbler with Light of the World art" title="goods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524250" cy="2686050"/>
                          </a:xfrm>
                          <a:prstGeom prst="rect">
                            <a:avLst/>
                          </a:prstGeom>
                        </pic:spPr>
                      </pic:pic>
                    </a:graphicData>
                  </a:graphic>
                </wp:inline>
              </w:drawing>
            </w:r>
          </w:p>
        </w:tc>
        <w:tc>
          <w:tcPr>
            <w:tcW w:type="dxa" w:w="470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60"/>
            </w:pPr>
            <w:r>
              <w:rPr>
                <w:rFonts w:ascii="Malgun Gothic" w:eastAsia="Malgun Gothic" w:hAnsi="Malgun Gothic"/>
                <w:b/>
                <w:bCs/>
                <w:color w:val="1F3A5F"/>
                <w:sz w:val="21"/>
                <w:szCs w:val="21"/>
              </w:rPr>
              <w:t xml:space="preserve">제안 구즈 2종</w:t>
            </w:r>
          </w:p>
          <w:p>
            <w:pPr>
              <w:pStyle w:val="ListParagraph"/>
              <w:numPr>
                <w:ilvl w:val="0"/>
                <w:numId w:val="2"/>
              </w:numPr>
              <w:spacing w:after="40"/>
            </w:pPr>
            <w:r>
              <w:rPr>
                <w:rFonts w:ascii="Malgun Gothic" w:eastAsia="Malgun Gothic" w:hAnsi="Malgun Gothic"/>
                <w:b/>
                <w:bCs/>
                <w:sz w:val="19"/>
                <w:szCs w:val="19"/>
              </w:rPr>
              <w:t xml:space="preserve">헤드라이트 폴리셔(30ml 파우치): </w:t>
            </w:r>
            <w:r>
              <w:rPr>
                <w:rFonts w:ascii="Malgun Gothic" w:eastAsia="Malgun Gothic" w:hAnsi="Malgun Gothic"/>
                <w:sz w:val="19"/>
                <w:szCs w:val="19"/>
              </w:rPr>
              <w:t xml:space="preserve">차량 헤드라이트를 닦아 밝게 되살리는 제품입니다. '세상의 빛'이라는 영화 메시지와 자연스럽게 연결됩니다.</w:t>
            </w:r>
          </w:p>
          <w:p>
            <w:pPr>
              <w:pStyle w:val="ListParagraph"/>
              <w:numPr>
                <w:ilvl w:val="0"/>
                <w:numId w:val="2"/>
              </w:numPr>
              <w:spacing w:after="40"/>
            </w:pPr>
            <w:r>
              <w:rPr>
                <w:rFonts w:ascii="Malgun Gothic" w:eastAsia="Malgun Gothic" w:hAnsi="Malgun Gothic"/>
                <w:b/>
                <w:bCs/>
                <w:sz w:val="19"/>
                <w:szCs w:val="19"/>
              </w:rPr>
              <w:t xml:space="preserve">진공 텀블러: </w:t>
            </w:r>
            <w:r>
              <w:rPr>
                <w:rFonts w:ascii="Malgun Gothic" w:eastAsia="Malgun Gothic" w:hAnsi="Malgun Gothic"/>
                <w:sz w:val="19"/>
                <w:szCs w:val="19"/>
              </w:rPr>
              <w:t xml:space="preserve">매일 손에 드는 생활용품으로 영화 이미지가 일상에서 계속 노출됩니다.</w:t>
            </w:r>
          </w:p>
          <w:p>
            <w:pPr>
              <w:pStyle w:val="ListParagraph"/>
              <w:numPr>
                <w:ilvl w:val="0"/>
                <w:numId w:val="2"/>
              </w:numPr>
              <w:spacing w:after="40"/>
            </w:pPr>
            <w:r>
              <w:rPr>
                <w:rFonts w:ascii="Malgun Gothic" w:eastAsia="Malgun Gothic" w:hAnsi="Malgun Gothic"/>
                <w:b/>
                <w:bCs/>
                <w:sz w:val="19"/>
                <w:szCs w:val="19"/>
              </w:rPr>
              <w:t xml:space="preserve">공통: </w:t>
            </w:r>
            <w:r>
              <w:rPr>
                <w:rFonts w:ascii="Malgun Gothic" w:eastAsia="Malgun Gothic" w:hAnsi="Malgun Gothic"/>
                <w:sz w:val="19"/>
                <w:szCs w:val="19"/>
              </w:rPr>
              <w:t xml:space="preserve">영화 포스터를 활용한 한정판 컬렉션으로, 극장 개봉이나 교회 상영회와 함께 판매할 수 있습니다.</w:t>
            </w:r>
          </w:p>
        </w:tc>
      </w:tr>
    </w:tbl>
    <w:p>
      <w:pPr>
        <w:spacing w:after="60" w:before="60"/>
      </w:pPr>
      <w:r>
        <w:rPr>
          <w:rFonts w:ascii="Malgun Gothic" w:eastAsia="Malgun Gothic" w:hAnsi="Malgun Gothic"/>
          <w:color w:val="5A6472"/>
          <w:sz w:val="16"/>
          <w:szCs w:val="16"/>
        </w:rPr>
        <w:t xml:space="preserve">※ 위 시안은 협의용 목업입니다. 영화 포스터 이미지는 임시로 사용했으며, 제품의 원 디자인과 브랜드 표기는 변경될 수 있습니다.</w:t>
      </w:r>
    </w:p>
    <w:p>
      <w:pPr>
        <w:pBdr>
          <w:bottom w:val="single" w:color="1F3A5F" w:sz="6" w:space="2"/>
        </w:pBdr>
        <w:spacing w:after="70" w:before="160"/>
      </w:pPr>
      <w:r>
        <w:rPr>
          <w:rFonts w:ascii="Malgun Gothic" w:eastAsia="Malgun Gothic" w:hAnsi="Malgun Gothic"/>
          <w:b/>
          <w:bCs/>
          <w:color w:val="1F3A5F"/>
          <w:sz w:val="23"/>
          <w:szCs w:val="23"/>
        </w:rPr>
        <w:t xml:space="preserve">3. 협력 구조(안)</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tblHeader/>
        </w:trPr>
        <w:tc>
          <w:tcPr>
            <w:tcW w:type="dxa" w:w="2200"/>
            <w:tcBorders>
              <w:top w:val="single" w:color="BFC5CE" w:sz="4"/>
              <w:left w:val="single" w:color="BFC5CE" w:sz="4"/>
              <w:bottom w:val="single" w:color="BFC5CE" w:sz="4"/>
              <w:right w:val="single" w:color="BFC5CE" w:sz="4"/>
            </w:tcBorders>
            <w:shd w:fill="1F3A5F" w:color="auto" w:val="clear"/>
            <w:tcMar>
              <w:top w:type="dxa" w:w="60"/>
              <w:left w:type="dxa" w:w="100"/>
              <w:bottom w:type="dxa" w:w="60"/>
              <w:right w:type="dxa" w:w="100"/>
            </w:tcMar>
            <w:vAlign w:val="center"/>
          </w:tcPr>
          <w:p>
            <w:r>
              <w:rPr>
                <w:rFonts w:ascii="Malgun Gothic" w:eastAsia="Malgun Gothic" w:hAnsi="Malgun Gothic"/>
                <w:b/>
                <w:bCs/>
                <w:color w:val="FFFFFF"/>
                <w:sz w:val="18"/>
                <w:szCs w:val="18"/>
              </w:rPr>
              <w:t xml:space="preserve">역할</w:t>
            </w:r>
          </w:p>
        </w:tc>
        <w:tc>
          <w:tcPr>
            <w:tcW w:type="dxa" w:w="7706"/>
            <w:tcBorders>
              <w:top w:val="single" w:color="BFC5CE" w:sz="4"/>
              <w:left w:val="single" w:color="BFC5CE" w:sz="4"/>
              <w:bottom w:val="single" w:color="BFC5CE" w:sz="4"/>
              <w:right w:val="single" w:color="BFC5CE" w:sz="4"/>
            </w:tcBorders>
            <w:shd w:fill="1F3A5F" w:color="auto" w:val="clear"/>
            <w:tcMar>
              <w:top w:type="dxa" w:w="60"/>
              <w:left w:type="dxa" w:w="100"/>
              <w:bottom w:type="dxa" w:w="60"/>
              <w:right w:type="dxa" w:w="100"/>
            </w:tcMar>
            <w:vAlign w:val="center"/>
          </w:tcPr>
          <w:p>
            <w:r>
              <w:rPr>
                <w:rFonts w:ascii="Malgun Gothic" w:eastAsia="Malgun Gothic" w:hAnsi="Malgun Gothic"/>
                <w:b/>
                <w:bCs/>
                <w:color w:val="FFFFFF"/>
                <w:sz w:val="18"/>
                <w:szCs w:val="18"/>
              </w:rPr>
              <w:t xml:space="preserve">내용</w:t>
            </w:r>
          </w:p>
        </w:tc>
      </w:tr>
      <w:tr>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vAlign w:val="center"/>
          </w:tcPr>
          <w:p>
            <w:r>
              <w:rPr>
                <w:rFonts w:ascii="Malgun Gothic" w:eastAsia="Malgun Gothic" w:hAnsi="Malgun Gothic"/>
                <w:b w:val="false"/>
                <w:bCs w:val="false"/>
                <w:sz w:val="18"/>
                <w:szCs w:val="18"/>
              </w:rPr>
              <w:t xml:space="preserve">영화 측</w:t>
            </w:r>
          </w:p>
        </w:tc>
        <w:tc>
          <w:tcPr>
            <w:tcW w:type="dxa" w:w="7706"/>
            <w:tcBorders>
              <w:top w:val="single" w:color="BFC5CE" w:sz="4"/>
              <w:left w:val="single" w:color="BFC5CE" w:sz="4"/>
              <w:bottom w:val="single" w:color="BFC5CE" w:sz="4"/>
              <w:right w:val="single" w:color="BFC5CE" w:sz="4"/>
            </w:tcBorders>
            <w:tcMar>
              <w:top w:type="dxa" w:w="60"/>
              <w:left w:type="dxa" w:w="100"/>
              <w:bottom w:type="dxa" w:w="60"/>
              <w:right w:type="dxa" w:w="100"/>
            </w:tcMar>
            <w:vAlign w:val="center"/>
          </w:tcPr>
          <w:p>
            <w:r>
              <w:rPr>
                <w:rFonts w:ascii="Malgun Gothic" w:eastAsia="Malgun Gothic" w:hAnsi="Malgun Gothic"/>
                <w:b w:val="false"/>
                <w:bCs w:val="false"/>
                <w:sz w:val="18"/>
                <w:szCs w:val="18"/>
              </w:rPr>
              <w:t xml:space="preserve">캐릭터·포스터 등 이미지 사용 허가(라이선스), 고해상도 원본 제공, 디자인 승인</w:t>
            </w:r>
          </w:p>
        </w:tc>
      </w:tr>
      <w:tr>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vAlign w:val="center"/>
          </w:tcPr>
          <w:p>
            <w:r>
              <w:rPr>
                <w:rFonts w:ascii="Malgun Gothic" w:eastAsia="Malgun Gothic" w:hAnsi="Malgun Gothic"/>
                <w:b w:val="false"/>
                <w:bCs w:val="false"/>
                <w:sz w:val="18"/>
                <w:szCs w:val="18"/>
              </w:rPr>
              <w:t xml:space="preserve">말레이시아 사업가 측</w:t>
            </w:r>
          </w:p>
        </w:tc>
        <w:tc>
          <w:tcPr>
            <w:tcW w:type="dxa" w:w="7706"/>
            <w:tcBorders>
              <w:top w:val="single" w:color="BFC5CE" w:sz="4"/>
              <w:left w:val="single" w:color="BFC5CE" w:sz="4"/>
              <w:bottom w:val="single" w:color="BFC5CE" w:sz="4"/>
              <w:right w:val="single" w:color="BFC5CE" w:sz="4"/>
            </w:tcBorders>
            <w:tcMar>
              <w:top w:type="dxa" w:w="60"/>
              <w:left w:type="dxa" w:w="100"/>
              <w:bottom w:type="dxa" w:w="60"/>
              <w:right w:type="dxa" w:w="100"/>
            </w:tcMar>
            <w:vAlign w:val="center"/>
          </w:tcPr>
          <w:p>
            <w:r>
              <w:rPr>
                <w:rFonts w:ascii="Malgun Gothic" w:eastAsia="Malgun Gothic" w:hAnsi="Malgun Gothic"/>
                <w:b w:val="false"/>
                <w:bCs w:val="false"/>
                <w:sz w:val="18"/>
                <w:szCs w:val="18"/>
              </w:rPr>
              <w:t xml:space="preserve">제조 및 유통 경로 연결, 상품 기획과 샘플 제작, 판매망 확보</w:t>
            </w:r>
          </w:p>
        </w:tc>
      </w:tr>
      <w:tr>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vAlign w:val="center"/>
          </w:tcPr>
          <w:p>
            <w:r>
              <w:rPr>
                <w:rFonts w:ascii="Malgun Gothic" w:eastAsia="Malgun Gothic" w:hAnsi="Malgun Gothic"/>
                <w:b w:val="false"/>
                <w:bCs w:val="false"/>
                <w:sz w:val="18"/>
                <w:szCs w:val="18"/>
              </w:rPr>
              <w:t xml:space="preserve">B2M</w:t>
            </w:r>
          </w:p>
        </w:tc>
        <w:tc>
          <w:tcPr>
            <w:tcW w:type="dxa" w:w="7706"/>
            <w:tcBorders>
              <w:top w:val="single" w:color="BFC5CE" w:sz="4"/>
              <w:left w:val="single" w:color="BFC5CE" w:sz="4"/>
              <w:bottom w:val="single" w:color="BFC5CE" w:sz="4"/>
              <w:right w:val="single" w:color="BFC5CE" w:sz="4"/>
            </w:tcBorders>
            <w:tcMar>
              <w:top w:type="dxa" w:w="60"/>
              <w:left w:type="dxa" w:w="100"/>
              <w:bottom w:type="dxa" w:w="60"/>
              <w:right w:type="dxa" w:w="100"/>
            </w:tcMar>
            <w:vAlign w:val="center"/>
          </w:tcPr>
          <w:p>
            <w:r>
              <w:rPr>
                <w:rFonts w:ascii="Malgun Gothic" w:eastAsia="Malgun Gothic" w:hAnsi="Malgun Gothic"/>
                <w:b w:val="false"/>
                <w:bCs w:val="false"/>
                <w:sz w:val="18"/>
                <w:szCs w:val="18"/>
              </w:rPr>
              <w:t xml:space="preserve">양측 조율, 수익 배분과 후원 구조 설계, 교회와 장학 사역 연결</w:t>
            </w:r>
          </w:p>
        </w:tc>
      </w:tr>
      <w:tr>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vAlign w:val="center"/>
          </w:tcPr>
          <w:p>
            <w:r>
              <w:rPr>
                <w:rFonts w:ascii="Malgun Gothic" w:eastAsia="Malgun Gothic" w:hAnsi="Malgun Gothic"/>
                <w:b w:val="false"/>
                <w:bCs w:val="false"/>
                <w:sz w:val="18"/>
                <w:szCs w:val="18"/>
              </w:rPr>
              <w:t xml:space="preserve">수익 활용</w:t>
            </w:r>
          </w:p>
        </w:tc>
        <w:tc>
          <w:tcPr>
            <w:tcW w:type="dxa" w:w="7706"/>
            <w:tcBorders>
              <w:top w:val="single" w:color="BFC5CE" w:sz="4"/>
              <w:left w:val="single" w:color="BFC5CE" w:sz="4"/>
              <w:bottom w:val="single" w:color="BFC5CE" w:sz="4"/>
              <w:right w:val="single" w:color="BFC5CE" w:sz="4"/>
            </w:tcBorders>
            <w:tcMar>
              <w:top w:type="dxa" w:w="60"/>
              <w:left w:type="dxa" w:w="100"/>
              <w:bottom w:type="dxa" w:w="60"/>
              <w:right w:type="dxa" w:w="100"/>
            </w:tcMar>
            <w:vAlign w:val="center"/>
          </w:tcPr>
          <w:p>
            <w:r>
              <w:rPr>
                <w:rFonts w:ascii="Malgun Gothic" w:eastAsia="Malgun Gothic" w:hAnsi="Malgun Gothic"/>
                <w:b w:val="false"/>
                <w:bCs w:val="false"/>
                <w:sz w:val="18"/>
                <w:szCs w:val="18"/>
              </w:rPr>
              <w:t xml:space="preserve">라이선스 비용과 제작·유통 비용 정산 후, 순수익의 일부를 교회 후원과 장학에 사용 (비율은 협의)</w:t>
            </w:r>
          </w:p>
        </w:tc>
      </w:tr>
    </w:tbl>
    <w:p>
      <w:pPr>
        <w:pBdr>
          <w:bottom w:val="single" w:color="1F3A5F" w:sz="6" w:space="2"/>
        </w:pBdr>
        <w:spacing w:after="70" w:before="160"/>
      </w:pPr>
      <w:r>
        <w:rPr>
          <w:rFonts w:ascii="Malgun Gothic" w:eastAsia="Malgun Gothic" w:hAnsi="Malgun Gothic"/>
          <w:b/>
          <w:bCs/>
          <w:color w:val="1F3A5F"/>
          <w:sz w:val="23"/>
          <w:szCs w:val="23"/>
        </w:rPr>
        <w:t xml:space="preserve">4. 진행 단계</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806"/>
      </w:tblGrid>
      <w:tr>
        <w:trPr>
          <w:tblHeader/>
        </w:trPr>
        <w:tc>
          <w:tcPr>
            <w:tcW w:type="dxa" w:w="1500"/>
            <w:tcBorders>
              <w:top w:val="single" w:color="BFC5CE" w:sz="4"/>
              <w:left w:val="single" w:color="BFC5CE" w:sz="4"/>
              <w:bottom w:val="single" w:color="BFC5CE" w:sz="4"/>
              <w:right w:val="single" w:color="BFC5CE" w:sz="4"/>
            </w:tcBorders>
            <w:shd w:fill="1F3A5F" w:color="auto" w:val="clear"/>
            <w:tcMar>
              <w:top w:type="dxa" w:w="60"/>
              <w:left w:type="dxa" w:w="100"/>
              <w:bottom w:type="dxa" w:w="60"/>
              <w:right w:type="dxa" w:w="100"/>
            </w:tcMar>
            <w:vAlign w:val="center"/>
          </w:tcPr>
          <w:p>
            <w:r>
              <w:rPr>
                <w:rFonts w:ascii="Malgun Gothic" w:eastAsia="Malgun Gothic" w:hAnsi="Malgun Gothic"/>
                <w:b/>
                <w:bCs/>
                <w:color w:val="FFFFFF"/>
                <w:sz w:val="18"/>
                <w:szCs w:val="18"/>
              </w:rPr>
              <w:t xml:space="preserve">단계</w:t>
            </w:r>
          </w:p>
        </w:tc>
        <w:tc>
          <w:tcPr>
            <w:tcW w:type="dxa" w:w="2600"/>
            <w:tcBorders>
              <w:top w:val="single" w:color="BFC5CE" w:sz="4"/>
              <w:left w:val="single" w:color="BFC5CE" w:sz="4"/>
              <w:bottom w:val="single" w:color="BFC5CE" w:sz="4"/>
              <w:right w:val="single" w:color="BFC5CE" w:sz="4"/>
            </w:tcBorders>
            <w:shd w:fill="1F3A5F" w:color="auto" w:val="clear"/>
            <w:tcMar>
              <w:top w:type="dxa" w:w="60"/>
              <w:left w:type="dxa" w:w="100"/>
              <w:bottom w:type="dxa" w:w="60"/>
              <w:right w:type="dxa" w:w="100"/>
            </w:tcMar>
            <w:vAlign w:val="center"/>
          </w:tcPr>
          <w:p>
            <w:r>
              <w:rPr>
                <w:rFonts w:ascii="Malgun Gothic" w:eastAsia="Malgun Gothic" w:hAnsi="Malgun Gothic"/>
                <w:b/>
                <w:bCs/>
                <w:color w:val="FFFFFF"/>
                <w:sz w:val="18"/>
                <w:szCs w:val="18"/>
              </w:rPr>
              <w:t xml:space="preserve">시기</w:t>
            </w:r>
          </w:p>
        </w:tc>
        <w:tc>
          <w:tcPr>
            <w:tcW w:type="dxa" w:w="5806"/>
            <w:tcBorders>
              <w:top w:val="single" w:color="BFC5CE" w:sz="4"/>
              <w:left w:val="single" w:color="BFC5CE" w:sz="4"/>
              <w:bottom w:val="single" w:color="BFC5CE" w:sz="4"/>
              <w:right w:val="single" w:color="BFC5CE" w:sz="4"/>
            </w:tcBorders>
            <w:shd w:fill="1F3A5F" w:color="auto" w:val="clear"/>
            <w:tcMar>
              <w:top w:type="dxa" w:w="60"/>
              <w:left w:type="dxa" w:w="100"/>
              <w:bottom w:type="dxa" w:w="60"/>
              <w:right w:type="dxa" w:w="100"/>
            </w:tcMar>
            <w:vAlign w:val="center"/>
          </w:tcPr>
          <w:p>
            <w:r>
              <w:rPr>
                <w:rFonts w:ascii="Malgun Gothic" w:eastAsia="Malgun Gothic" w:hAnsi="Malgun Gothic"/>
                <w:b/>
                <w:bCs/>
                <w:color w:val="FFFFFF"/>
                <w:sz w:val="18"/>
                <w:szCs w:val="18"/>
              </w:rPr>
              <w:t xml:space="preserve">내용</w:t>
            </w:r>
          </w:p>
        </w:tc>
      </w:tr>
      <w:tr>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vAlign w:val="center"/>
          </w:tcPr>
          <w:p>
            <w:r>
              <w:rPr>
                <w:rFonts w:ascii="Malgun Gothic" w:eastAsia="Malgun Gothic" w:hAnsi="Malgun Gothic"/>
                <w:b w:val="false"/>
                <w:bCs w:val="false"/>
                <w:sz w:val="18"/>
                <w:szCs w:val="18"/>
              </w:rPr>
              <w:t xml:space="preserve">1</w:t>
            </w:r>
          </w:p>
        </w:tc>
        <w:tc>
          <w:tcPr>
            <w:tcW w:type="dxa" w:w="2600"/>
            <w:tcBorders>
              <w:top w:val="single" w:color="BFC5CE" w:sz="4"/>
              <w:left w:val="single" w:color="BFC5CE" w:sz="4"/>
              <w:bottom w:val="single" w:color="BFC5CE" w:sz="4"/>
              <w:right w:val="single" w:color="BFC5CE" w:sz="4"/>
            </w:tcBorders>
            <w:tcMar>
              <w:top w:type="dxa" w:w="60"/>
              <w:left w:type="dxa" w:w="100"/>
              <w:bottom w:type="dxa" w:w="60"/>
              <w:right w:type="dxa" w:w="100"/>
            </w:tcMar>
            <w:vAlign w:val="center"/>
          </w:tcPr>
          <w:p>
            <w:r>
              <w:rPr>
                <w:rFonts w:ascii="Malgun Gothic" w:eastAsia="Malgun Gothic" w:hAnsi="Malgun Gothic"/>
                <w:b w:val="false"/>
                <w:bCs w:val="false"/>
                <w:sz w:val="18"/>
                <w:szCs w:val="18"/>
              </w:rPr>
              <w:t xml:space="preserve">이번 주 목요일 미팅</w:t>
            </w:r>
          </w:p>
        </w:tc>
        <w:tc>
          <w:tcPr>
            <w:tcW w:type="dxa" w:w="5806"/>
            <w:tcBorders>
              <w:top w:val="single" w:color="BFC5CE" w:sz="4"/>
              <w:left w:val="single" w:color="BFC5CE" w:sz="4"/>
              <w:bottom w:val="single" w:color="BFC5CE" w:sz="4"/>
              <w:right w:val="single" w:color="BFC5CE" w:sz="4"/>
            </w:tcBorders>
            <w:tcMar>
              <w:top w:type="dxa" w:w="60"/>
              <w:left w:type="dxa" w:w="100"/>
              <w:bottom w:type="dxa" w:w="60"/>
              <w:right w:type="dxa" w:w="100"/>
            </w:tcMar>
            <w:vAlign w:val="center"/>
          </w:tcPr>
          <w:p>
            <w:r>
              <w:rPr>
                <w:rFonts w:ascii="Malgun Gothic" w:eastAsia="Malgun Gothic" w:hAnsi="Malgun Gothic"/>
                <w:b w:val="false"/>
                <w:bCs w:val="false"/>
                <w:sz w:val="18"/>
                <w:szCs w:val="18"/>
              </w:rPr>
              <w:t xml:space="preserve">구즈 방향 공유, 영화 측 의견과 허용 범위 확인</w:t>
            </w:r>
          </w:p>
        </w:tc>
      </w:tr>
      <w:tr>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vAlign w:val="center"/>
          </w:tcPr>
          <w:p>
            <w:r>
              <w:rPr>
                <w:rFonts w:ascii="Malgun Gothic" w:eastAsia="Malgun Gothic" w:hAnsi="Malgun Gothic"/>
                <w:b w:val="false"/>
                <w:bCs w:val="false"/>
                <w:sz w:val="18"/>
                <w:szCs w:val="18"/>
              </w:rPr>
              <w:t xml:space="preserve">2</w:t>
            </w:r>
          </w:p>
        </w:tc>
        <w:tc>
          <w:tcPr>
            <w:tcW w:type="dxa" w:w="2600"/>
            <w:tcBorders>
              <w:top w:val="single" w:color="BFC5CE" w:sz="4"/>
              <w:left w:val="single" w:color="BFC5CE" w:sz="4"/>
              <w:bottom w:val="single" w:color="BFC5CE" w:sz="4"/>
              <w:right w:val="single" w:color="BFC5CE" w:sz="4"/>
            </w:tcBorders>
            <w:tcMar>
              <w:top w:type="dxa" w:w="60"/>
              <w:left w:type="dxa" w:w="100"/>
              <w:bottom w:type="dxa" w:w="60"/>
              <w:right w:type="dxa" w:w="100"/>
            </w:tcMar>
            <w:vAlign w:val="center"/>
          </w:tcPr>
          <w:p>
            <w:r>
              <w:rPr>
                <w:rFonts w:ascii="Malgun Gothic" w:eastAsia="Malgun Gothic" w:hAnsi="Malgun Gothic"/>
                <w:b w:val="false"/>
                <w:bCs w:val="false"/>
                <w:sz w:val="18"/>
                <w:szCs w:val="18"/>
              </w:rPr>
              <w:t xml:space="preserve">미팅 후 2~4주</w:t>
            </w:r>
          </w:p>
        </w:tc>
        <w:tc>
          <w:tcPr>
            <w:tcW w:type="dxa" w:w="5806"/>
            <w:tcBorders>
              <w:top w:val="single" w:color="BFC5CE" w:sz="4"/>
              <w:left w:val="single" w:color="BFC5CE" w:sz="4"/>
              <w:bottom w:val="single" w:color="BFC5CE" w:sz="4"/>
              <w:right w:val="single" w:color="BFC5CE" w:sz="4"/>
            </w:tcBorders>
            <w:tcMar>
              <w:top w:type="dxa" w:w="60"/>
              <w:left w:type="dxa" w:w="100"/>
              <w:bottom w:type="dxa" w:w="60"/>
              <w:right w:type="dxa" w:w="100"/>
            </w:tcMar>
            <w:vAlign w:val="center"/>
          </w:tcPr>
          <w:p>
            <w:r>
              <w:rPr>
                <w:rFonts w:ascii="Malgun Gothic" w:eastAsia="Malgun Gothic" w:hAnsi="Malgun Gothic"/>
                <w:b w:val="false"/>
                <w:bCs w:val="false"/>
                <w:sz w:val="18"/>
                <w:szCs w:val="18"/>
              </w:rPr>
              <w:t xml:space="preserve">라이선스 조건 협의, 고해상도 이미지 수령, 제조사 견적과 최소 주문 수량 확인</w:t>
            </w:r>
          </w:p>
        </w:tc>
      </w:tr>
      <w:tr>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vAlign w:val="center"/>
          </w:tcPr>
          <w:p>
            <w:r>
              <w:rPr>
                <w:rFonts w:ascii="Malgun Gothic" w:eastAsia="Malgun Gothic" w:hAnsi="Malgun Gothic"/>
                <w:b w:val="false"/>
                <w:bCs w:val="false"/>
                <w:sz w:val="18"/>
                <w:szCs w:val="18"/>
              </w:rPr>
              <w:t xml:space="preserve">3</w:t>
            </w:r>
          </w:p>
        </w:tc>
        <w:tc>
          <w:tcPr>
            <w:tcW w:type="dxa" w:w="2600"/>
            <w:tcBorders>
              <w:top w:val="single" w:color="BFC5CE" w:sz="4"/>
              <w:left w:val="single" w:color="BFC5CE" w:sz="4"/>
              <w:bottom w:val="single" w:color="BFC5CE" w:sz="4"/>
              <w:right w:val="single" w:color="BFC5CE" w:sz="4"/>
            </w:tcBorders>
            <w:tcMar>
              <w:top w:type="dxa" w:w="60"/>
              <w:left w:type="dxa" w:w="100"/>
              <w:bottom w:type="dxa" w:w="60"/>
              <w:right w:type="dxa" w:w="100"/>
            </w:tcMar>
            <w:vAlign w:val="center"/>
          </w:tcPr>
          <w:p>
            <w:r>
              <w:rPr>
                <w:rFonts w:ascii="Malgun Gothic" w:eastAsia="Malgun Gothic" w:hAnsi="Malgun Gothic"/>
                <w:b w:val="false"/>
                <w:bCs w:val="false"/>
                <w:sz w:val="18"/>
                <w:szCs w:val="18"/>
              </w:rPr>
              <w:t xml:space="preserve">이후 4~8주</w:t>
            </w:r>
          </w:p>
        </w:tc>
        <w:tc>
          <w:tcPr>
            <w:tcW w:type="dxa" w:w="5806"/>
            <w:tcBorders>
              <w:top w:val="single" w:color="BFC5CE" w:sz="4"/>
              <w:left w:val="single" w:color="BFC5CE" w:sz="4"/>
              <w:bottom w:val="single" w:color="BFC5CE" w:sz="4"/>
              <w:right w:val="single" w:color="BFC5CE" w:sz="4"/>
            </w:tcBorders>
            <w:tcMar>
              <w:top w:type="dxa" w:w="60"/>
              <w:left w:type="dxa" w:w="100"/>
              <w:bottom w:type="dxa" w:w="60"/>
              <w:right w:type="dxa" w:w="100"/>
            </w:tcMar>
            <w:vAlign w:val="center"/>
          </w:tcPr>
          <w:p>
            <w:r>
              <w:rPr>
                <w:rFonts w:ascii="Malgun Gothic" w:eastAsia="Malgun Gothic" w:hAnsi="Malgun Gothic"/>
                <w:b w:val="false"/>
                <w:bCs w:val="false"/>
                <w:sz w:val="18"/>
                <w:szCs w:val="18"/>
              </w:rPr>
              <w:t xml:space="preserve">샘플 제작 및 승인, 소량 시범 판매(교회·행사)</w:t>
            </w:r>
          </w:p>
        </w:tc>
      </w:tr>
      <w:tr>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vAlign w:val="center"/>
          </w:tcPr>
          <w:p>
            <w:r>
              <w:rPr>
                <w:rFonts w:ascii="Malgun Gothic" w:eastAsia="Malgun Gothic" w:hAnsi="Malgun Gothic"/>
                <w:b w:val="false"/>
                <w:bCs w:val="false"/>
                <w:sz w:val="18"/>
                <w:szCs w:val="18"/>
              </w:rPr>
              <w:t xml:space="preserve">4</w:t>
            </w:r>
          </w:p>
        </w:tc>
        <w:tc>
          <w:tcPr>
            <w:tcW w:type="dxa" w:w="2600"/>
            <w:tcBorders>
              <w:top w:val="single" w:color="BFC5CE" w:sz="4"/>
              <w:left w:val="single" w:color="BFC5CE" w:sz="4"/>
              <w:bottom w:val="single" w:color="BFC5CE" w:sz="4"/>
              <w:right w:val="single" w:color="BFC5CE" w:sz="4"/>
            </w:tcBorders>
            <w:tcMar>
              <w:top w:type="dxa" w:w="60"/>
              <w:left w:type="dxa" w:w="100"/>
              <w:bottom w:type="dxa" w:w="60"/>
              <w:right w:type="dxa" w:w="100"/>
            </w:tcMar>
            <w:vAlign w:val="center"/>
          </w:tcPr>
          <w:p>
            <w:r>
              <w:rPr>
                <w:rFonts w:ascii="Malgun Gothic" w:eastAsia="Malgun Gothic" w:hAnsi="Malgun Gothic"/>
                <w:b w:val="false"/>
                <w:bCs w:val="false"/>
                <w:sz w:val="18"/>
                <w:szCs w:val="18"/>
              </w:rPr>
              <w:t xml:space="preserve">이후</w:t>
            </w:r>
          </w:p>
        </w:tc>
        <w:tc>
          <w:tcPr>
            <w:tcW w:type="dxa" w:w="5806"/>
            <w:tcBorders>
              <w:top w:val="single" w:color="BFC5CE" w:sz="4"/>
              <w:left w:val="single" w:color="BFC5CE" w:sz="4"/>
              <w:bottom w:val="single" w:color="BFC5CE" w:sz="4"/>
              <w:right w:val="single" w:color="BFC5CE" w:sz="4"/>
            </w:tcBorders>
            <w:tcMar>
              <w:top w:type="dxa" w:w="60"/>
              <w:left w:type="dxa" w:w="100"/>
              <w:bottom w:type="dxa" w:w="60"/>
              <w:right w:type="dxa" w:w="100"/>
            </w:tcMar>
            <w:vAlign w:val="center"/>
          </w:tcPr>
          <w:p>
            <w:r>
              <w:rPr>
                <w:rFonts w:ascii="Malgun Gothic" w:eastAsia="Malgun Gothic" w:hAnsi="Malgun Gothic"/>
                <w:b w:val="false"/>
                <w:bCs w:val="false"/>
                <w:sz w:val="18"/>
                <w:szCs w:val="18"/>
              </w:rPr>
              <w:t xml:space="preserve">판매 결과를 보고 품목과 지역 확대</w:t>
            </w:r>
          </w:p>
        </w:tc>
      </w:tr>
    </w:tbl>
    <w:p>
      <w:pPr>
        <w:pBdr>
          <w:bottom w:val="single" w:color="1F3A5F" w:sz="6" w:space="2"/>
        </w:pBdr>
        <w:spacing w:after="70" w:before="160"/>
      </w:pPr>
      <w:r>
        <w:rPr>
          <w:rFonts w:ascii="Malgun Gothic" w:eastAsia="Malgun Gothic" w:hAnsi="Malgun Gothic"/>
          <w:b/>
          <w:bCs/>
          <w:color w:val="1F3A5F"/>
          <w:sz w:val="23"/>
          <w:szCs w:val="23"/>
        </w:rPr>
        <w:t xml:space="preserve">5. 확인할 사항</w:t>
      </w:r>
    </w:p>
    <w:p>
      <w:pPr>
        <w:pStyle w:val="ListParagraph"/>
        <w:numPr>
          <w:ilvl w:val="0"/>
          <w:numId w:val="2"/>
        </w:numPr>
        <w:spacing w:after="40"/>
      </w:pPr>
      <w:r>
        <w:rPr>
          <w:rFonts w:ascii="Malgun Gothic" w:eastAsia="Malgun Gothic" w:hAnsi="Malgun Gothic"/>
          <w:sz w:val="19"/>
          <w:szCs w:val="19"/>
        </w:rPr>
        <w:t xml:space="preserve">영화 이미지 사용 범위, 기간, 지역, 로열티 조건(권리자와 서면 계약 필요)</w:t>
      </w:r>
    </w:p>
    <w:p>
      <w:pPr>
        <w:pStyle w:val="ListParagraph"/>
        <w:numPr>
          <w:ilvl w:val="0"/>
          <w:numId w:val="2"/>
        </w:numPr>
        <w:spacing w:after="40"/>
      </w:pPr>
      <w:r>
        <w:rPr>
          <w:rFonts w:ascii="Malgun Gothic" w:eastAsia="Malgun Gothic" w:hAnsi="Malgun Gothic"/>
          <w:sz w:val="19"/>
          <w:szCs w:val="19"/>
        </w:rPr>
        <w:t xml:space="preserve">제품 본체의 기존 브랜드와 상표 사용 여부, 인증과 표시 사항(국가별 수입·표시 규정 포함)</w:t>
      </w:r>
    </w:p>
    <w:p>
      <w:pPr>
        <w:pStyle w:val="ListParagraph"/>
        <w:numPr>
          <w:ilvl w:val="0"/>
          <w:numId w:val="2"/>
        </w:numPr>
        <w:spacing w:after="40"/>
      </w:pPr>
      <w:r>
        <w:rPr>
          <w:rFonts w:ascii="Malgun Gothic" w:eastAsia="Malgun Gothic" w:hAnsi="Malgun Gothic"/>
          <w:sz w:val="19"/>
          <w:szCs w:val="19"/>
        </w:rPr>
        <w:t xml:space="preserve">말레이시아 판매 시 현지 규정과 영화 콘텐츠 관련 심의 요건 확인</w:t>
      </w:r>
    </w:p>
    <w:sectPr>
      <w:pgSz w:w="11906" w:h="16838" w:orient="portrait"/>
      <w:pgMar w:top="850" w:right="1000" w:bottom="7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eastAsia="Malgun Gothic" w:hAnsi="Malgun Gothi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0d1b41fe4e0962ef7d7afe68194a6e6a0daad9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Light of the World x B2M 구즈 제안서</dc:title>
  <dc:creator>Johan</dc:creator>
  <cp:lastModifiedBy>Un-named</cp:lastModifiedBy>
  <cp:revision>1</cp:revision>
  <dcterms:created xsi:type="dcterms:W3CDTF">2026-10-27T01:15:44.451Z</dcterms:created>
  <dcterms:modified xsi:type="dcterms:W3CDTF">2026-10-27T01:15:44.451Z</dcterms:modified>
</cp:coreProperties>
</file>

<file path=docProps/custom.xml><?xml version="1.0" encoding="utf-8"?>
<Properties xmlns="http://schemas.openxmlformats.org/officeDocument/2006/custom-properties" xmlns:vt="http://schemas.openxmlformats.org/officeDocument/2006/docPropsVTypes"/>
</file>