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4A11" w14:textId="77777777" w:rsidR="00083F89" w:rsidRDefault="00083F89" w:rsidP="00972195">
      <w:pPr>
        <w:jc w:val="center"/>
        <w:rPr>
          <w:rFonts w:ascii="Arial Rounded MT Bold" w:hAnsi="Arial Rounded MT Bold" w:cs="iKampuchea001_O'Chrov"/>
          <w:sz w:val="32"/>
          <w:szCs w:val="32"/>
        </w:rPr>
      </w:pPr>
    </w:p>
    <w:p w14:paraId="28C100DA" w14:textId="15FEF94E" w:rsidR="00083F89" w:rsidRDefault="00083F89" w:rsidP="00972195">
      <w:pPr>
        <w:jc w:val="center"/>
        <w:rPr>
          <w:b/>
          <w:bCs/>
          <w:sz w:val="32"/>
          <w:szCs w:val="32"/>
        </w:rPr>
      </w:pPr>
      <w:r w:rsidRPr="00083F89">
        <w:rPr>
          <w:b/>
          <w:bCs/>
          <w:sz w:val="32"/>
          <w:szCs w:val="32"/>
        </w:rPr>
        <w:t>A Comparative Study of Two-Phase Transfer Learning and 5-Fold Ensemble EfficientNet-B3 with Threshold Optimization for Five-Stage Diabetic Retinopathy Grading from Retinal Fundus Images</w:t>
      </w:r>
    </w:p>
    <w:p w14:paraId="36107F00" w14:textId="77777777" w:rsidR="00EA6965" w:rsidRDefault="00EA6965" w:rsidP="00972195">
      <w:pPr>
        <w:jc w:val="center"/>
        <w:rPr>
          <w:b/>
          <w:bCs/>
          <w:sz w:val="32"/>
          <w:szCs w:val="32"/>
        </w:rPr>
      </w:pPr>
    </w:p>
    <w:p w14:paraId="385265C1" w14:textId="77777777" w:rsidR="00EA6965" w:rsidRDefault="00EA6965" w:rsidP="00972195">
      <w:pPr>
        <w:jc w:val="center"/>
        <w:rPr>
          <w:b/>
          <w:bCs/>
          <w:sz w:val="32"/>
          <w:szCs w:val="32"/>
        </w:rPr>
      </w:pPr>
    </w:p>
    <w:p w14:paraId="1376F07B" w14:textId="50E35256" w:rsidR="00EA6965" w:rsidRDefault="00EA6965" w:rsidP="00972195">
      <w:pPr>
        <w:jc w:val="center"/>
        <w:rPr>
          <w:b/>
          <w:bCs/>
          <w:sz w:val="32"/>
          <w:szCs w:val="32"/>
        </w:rPr>
      </w:pPr>
      <w:r>
        <w:rPr>
          <w:b/>
          <w:bCs/>
          <w:sz w:val="32"/>
          <w:szCs w:val="32"/>
        </w:rPr>
        <w:t>By :</w:t>
      </w:r>
    </w:p>
    <w:p w14:paraId="4929A60D" w14:textId="230D1BC3" w:rsidR="00EA6965" w:rsidRDefault="00EA6965" w:rsidP="00972195">
      <w:pPr>
        <w:jc w:val="center"/>
        <w:rPr>
          <w:b/>
          <w:bCs/>
          <w:sz w:val="32"/>
          <w:szCs w:val="32"/>
        </w:rPr>
      </w:pPr>
      <w:r>
        <w:rPr>
          <w:b/>
          <w:bCs/>
          <w:sz w:val="32"/>
          <w:szCs w:val="32"/>
        </w:rPr>
        <w:t>UON Chamroeun</w:t>
      </w:r>
    </w:p>
    <w:p w14:paraId="0DE1D292" w14:textId="77777777" w:rsidR="00EA6965" w:rsidRDefault="00EA6965" w:rsidP="00972195">
      <w:pPr>
        <w:jc w:val="center"/>
        <w:rPr>
          <w:b/>
          <w:bCs/>
          <w:sz w:val="32"/>
          <w:szCs w:val="32"/>
        </w:rPr>
      </w:pPr>
    </w:p>
    <w:p w14:paraId="641D29D7" w14:textId="77777777" w:rsidR="00EA6965" w:rsidRDefault="00EA6965" w:rsidP="00972195">
      <w:pPr>
        <w:jc w:val="center"/>
        <w:rPr>
          <w:b/>
          <w:bCs/>
          <w:sz w:val="32"/>
          <w:szCs w:val="32"/>
        </w:rPr>
      </w:pPr>
    </w:p>
    <w:p w14:paraId="66FAF428" w14:textId="77777777" w:rsidR="00EA6965" w:rsidRDefault="00EA6965" w:rsidP="00972195">
      <w:pPr>
        <w:jc w:val="center"/>
        <w:rPr>
          <w:b/>
          <w:bCs/>
          <w:sz w:val="32"/>
          <w:szCs w:val="32"/>
        </w:rPr>
      </w:pPr>
    </w:p>
    <w:p w14:paraId="6F473F99" w14:textId="391C1B48" w:rsidR="00EA6965" w:rsidRDefault="00EA6965" w:rsidP="00972195">
      <w:pPr>
        <w:jc w:val="center"/>
        <w:rPr>
          <w:b/>
          <w:bCs/>
          <w:sz w:val="32"/>
          <w:szCs w:val="32"/>
        </w:rPr>
      </w:pPr>
      <w:r>
        <w:rPr>
          <w:b/>
          <w:bCs/>
          <w:sz w:val="32"/>
          <w:szCs w:val="32"/>
        </w:rPr>
        <w:t>March,2026</w:t>
      </w:r>
    </w:p>
    <w:p w14:paraId="2D1BBEED" w14:textId="307B6872" w:rsidR="00EA6965" w:rsidRDefault="00EA6965" w:rsidP="00972195">
      <w:pPr>
        <w:jc w:val="center"/>
        <w:rPr>
          <w:b/>
          <w:bCs/>
          <w:sz w:val="32"/>
          <w:szCs w:val="32"/>
        </w:rPr>
      </w:pPr>
      <w:r>
        <w:rPr>
          <w:b/>
          <w:bCs/>
          <w:sz w:val="32"/>
          <w:szCs w:val="32"/>
        </w:rPr>
        <w:t>Departement of Faculty of Engineering</w:t>
      </w:r>
    </w:p>
    <w:p w14:paraId="2BE0817E" w14:textId="3CF1255E" w:rsidR="0088786C" w:rsidRDefault="00EA6965" w:rsidP="00972195">
      <w:pPr>
        <w:jc w:val="center"/>
        <w:rPr>
          <w:b/>
          <w:bCs/>
          <w:sz w:val="32"/>
          <w:szCs w:val="32"/>
        </w:rPr>
      </w:pPr>
      <w:r>
        <w:rPr>
          <w:b/>
          <w:bCs/>
          <w:sz w:val="32"/>
          <w:szCs w:val="32"/>
        </w:rPr>
        <w:t>Royal University of Phnom Penh</w:t>
      </w:r>
    </w:p>
    <w:p w14:paraId="0A336530" w14:textId="77777777" w:rsidR="0088786C" w:rsidRDefault="0088786C">
      <w:pPr>
        <w:rPr>
          <w:b/>
          <w:bCs/>
          <w:sz w:val="32"/>
          <w:szCs w:val="32"/>
        </w:rPr>
      </w:pPr>
      <w:r>
        <w:rPr>
          <w:b/>
          <w:bCs/>
          <w:sz w:val="32"/>
          <w:szCs w:val="32"/>
        </w:rPr>
        <w:br w:type="page"/>
      </w:r>
    </w:p>
    <w:p w14:paraId="555F1D3A" w14:textId="20496A60" w:rsidR="00EA6965" w:rsidRDefault="0088786C" w:rsidP="00972195">
      <w:pPr>
        <w:jc w:val="center"/>
        <w:rPr>
          <w:rFonts w:ascii="Arial Rounded MT Bold" w:hAnsi="Arial Rounded MT Bold" w:cs="iKampuchea001_O'Chrov"/>
          <w:b/>
          <w:bCs/>
          <w:sz w:val="32"/>
          <w:szCs w:val="32"/>
        </w:rPr>
      </w:pPr>
      <w:r>
        <w:rPr>
          <w:rFonts w:ascii="Arial Rounded MT Bold" w:hAnsi="Arial Rounded MT Bold" w:cs="iKampuchea001_O'Chrov"/>
          <w:b/>
          <w:bCs/>
          <w:sz w:val="32"/>
          <w:szCs w:val="32"/>
        </w:rPr>
        <w:lastRenderedPageBreak/>
        <w:t>Absraction</w:t>
      </w:r>
    </w:p>
    <w:p w14:paraId="21400B23" w14:textId="30F80F76" w:rsidR="0088786C" w:rsidRDefault="0088786C">
      <w:pPr>
        <w:rPr>
          <w:rFonts w:ascii="Arial Rounded MT Bold" w:hAnsi="Arial Rounded MT Bold" w:cs="iKampuchea001_O'Chrov"/>
          <w:b/>
          <w:bCs/>
          <w:sz w:val="32"/>
          <w:szCs w:val="32"/>
        </w:rPr>
      </w:pPr>
      <w:r>
        <w:rPr>
          <w:rFonts w:ascii="Arial Rounded MT Bold" w:hAnsi="Arial Rounded MT Bold" w:cs="iKampuchea001_O'Chrov"/>
          <w:b/>
          <w:bCs/>
          <w:sz w:val="32"/>
          <w:szCs w:val="32"/>
        </w:rPr>
        <w:br w:type="page"/>
      </w:r>
    </w:p>
    <w:p w14:paraId="3776023A" w14:textId="0B8F6859" w:rsidR="0088786C" w:rsidRDefault="0088786C" w:rsidP="00972195">
      <w:pPr>
        <w:jc w:val="center"/>
        <w:rPr>
          <w:rFonts w:ascii="Arial Rounded MT Bold" w:hAnsi="Arial Rounded MT Bold" w:cs="iKampuchea001_O'Chrov"/>
          <w:b/>
          <w:bCs/>
          <w:sz w:val="32"/>
          <w:szCs w:val="32"/>
        </w:rPr>
      </w:pPr>
      <w:r>
        <w:rPr>
          <w:rFonts w:ascii="Arial Rounded MT Bold" w:hAnsi="Arial Rounded MT Bold" w:cs="iKampuchea001_O'Chrov"/>
          <w:b/>
          <w:bCs/>
          <w:sz w:val="32"/>
          <w:szCs w:val="32"/>
        </w:rPr>
        <w:lastRenderedPageBreak/>
        <w:t>Table of Contens</w:t>
      </w:r>
    </w:p>
    <w:p w14:paraId="17A2CC57" w14:textId="77777777" w:rsidR="0088786C" w:rsidRDefault="0088786C">
      <w:pPr>
        <w:rPr>
          <w:rFonts w:ascii="Arial Rounded MT Bold" w:hAnsi="Arial Rounded MT Bold" w:cs="iKampuchea001_O'Chrov"/>
          <w:b/>
          <w:bCs/>
          <w:sz w:val="32"/>
          <w:szCs w:val="32"/>
        </w:rPr>
      </w:pPr>
      <w:r>
        <w:rPr>
          <w:rFonts w:ascii="Arial Rounded MT Bold" w:hAnsi="Arial Rounded MT Bold" w:cs="iKampuchea001_O'Chrov"/>
          <w:b/>
          <w:bCs/>
          <w:sz w:val="32"/>
          <w:szCs w:val="32"/>
        </w:rPr>
        <w:br w:type="page"/>
      </w:r>
    </w:p>
    <w:p w14:paraId="663EA010" w14:textId="204568F9" w:rsidR="0088786C" w:rsidRDefault="0088786C" w:rsidP="00972195">
      <w:pPr>
        <w:jc w:val="center"/>
        <w:rPr>
          <w:rFonts w:ascii="Arial Rounded MT Bold" w:hAnsi="Arial Rounded MT Bold" w:cs="iKampuchea001_O'Chrov"/>
          <w:b/>
          <w:bCs/>
          <w:sz w:val="32"/>
          <w:szCs w:val="32"/>
        </w:rPr>
      </w:pPr>
      <w:r>
        <w:rPr>
          <w:rFonts w:ascii="Arial Rounded MT Bold" w:hAnsi="Arial Rounded MT Bold" w:cs="iKampuchea001_O'Chrov"/>
          <w:b/>
          <w:bCs/>
          <w:sz w:val="32"/>
          <w:szCs w:val="32"/>
        </w:rPr>
        <w:lastRenderedPageBreak/>
        <w:t>List of Figures</w:t>
      </w:r>
    </w:p>
    <w:p w14:paraId="21D8EAE1" w14:textId="77777777" w:rsidR="0088786C" w:rsidRDefault="0088786C">
      <w:pPr>
        <w:rPr>
          <w:rFonts w:ascii="Arial Rounded MT Bold" w:hAnsi="Arial Rounded MT Bold" w:cs="iKampuchea001_O'Chrov"/>
          <w:b/>
          <w:bCs/>
          <w:sz w:val="32"/>
          <w:szCs w:val="32"/>
        </w:rPr>
      </w:pPr>
      <w:r>
        <w:rPr>
          <w:rFonts w:ascii="Arial Rounded MT Bold" w:hAnsi="Arial Rounded MT Bold" w:cs="iKampuchea001_O'Chrov"/>
          <w:b/>
          <w:bCs/>
          <w:sz w:val="32"/>
          <w:szCs w:val="32"/>
        </w:rPr>
        <w:br w:type="page"/>
      </w:r>
    </w:p>
    <w:p w14:paraId="5BA2401A" w14:textId="77777777" w:rsidR="0088786C" w:rsidRDefault="0088786C" w:rsidP="0088786C">
      <w:pPr>
        <w:pStyle w:val="Heading1"/>
      </w:pPr>
      <w:r>
        <w:rPr>
          <w:rFonts w:ascii="Times New Roman" w:eastAsia="Times New Roman" w:hAnsi="Times New Roman" w:cs="Times New Roman"/>
          <w:b/>
          <w:bCs/>
          <w:sz w:val="32"/>
          <w:szCs w:val="32"/>
        </w:rPr>
        <w:lastRenderedPageBreak/>
        <w:t>Chapter 1</w:t>
      </w:r>
    </w:p>
    <w:p w14:paraId="7A820E91" w14:textId="77777777" w:rsidR="0088786C" w:rsidRDefault="0088786C" w:rsidP="0088786C">
      <w:pPr>
        <w:spacing w:before="120" w:after="480"/>
        <w:jc w:val="center"/>
      </w:pPr>
      <w:r>
        <w:rPr>
          <w:b/>
          <w:bCs/>
          <w:sz w:val="36"/>
          <w:szCs w:val="36"/>
        </w:rPr>
        <w:t>Introduction</w:t>
      </w:r>
    </w:p>
    <w:p w14:paraId="6A75CACE" w14:textId="77777777" w:rsidR="0088786C" w:rsidRDefault="0088786C" w:rsidP="0088786C">
      <w:pPr>
        <w:pStyle w:val="Heading2"/>
      </w:pPr>
      <w:r>
        <w:rPr>
          <w:rFonts w:ascii="Times New Roman" w:eastAsia="Times New Roman" w:hAnsi="Times New Roman" w:cs="Times New Roman"/>
          <w:b/>
          <w:bCs/>
          <w:sz w:val="28"/>
          <w:szCs w:val="28"/>
        </w:rPr>
        <w:t>1.1  Background and Motivation</w:t>
      </w:r>
    </w:p>
    <w:p w14:paraId="43F243E3" w14:textId="77777777" w:rsidR="0088786C" w:rsidRDefault="0088786C" w:rsidP="0088786C">
      <w:pPr>
        <w:spacing w:after="200" w:line="360" w:lineRule="auto"/>
      </w:pPr>
      <w:r>
        <w:t>Diabetes mellitus has emerged as one of the most pressing global health crises of the twenty-first century. According to the International Diabetes Federation (IDF) Diabetes Atlas, 10th edition [1], approximately 537 million adults aged 20 to 79 were living with diabetes in 2021, a figure projected to rise to 643 million by 2030 and 783 million by 2045 [1]. This exponential growth, driven by urbanization, sedentary lifestyles, aging populations, and dietary shifts, places an immense burden on healthcare systems worldwide. The economic cost of diabetes was estimated at USD 966 billion in 2021, accounting for approximately 9% of total global health expenditure [1]. Beyond the direct metabolic consequences, diabetes gives rise to a constellation of microvascular and macrovascular complications that collectively represent the principal drivers of morbidity and mortality in affected populations [2].</w:t>
      </w:r>
    </w:p>
    <w:p w14:paraId="40232964" w14:textId="77777777" w:rsidR="0088786C" w:rsidRDefault="0088786C" w:rsidP="0088786C">
      <w:pPr>
        <w:spacing w:after="200" w:line="360" w:lineRule="auto"/>
      </w:pPr>
      <w:r>
        <w:t>Among the microvascular complications, diabetic retinopathy (DR) stands as the most prevalent and clinically consequential ophthalmic manifestation [3]. DR is a progressive disorder of the retinal microvasculature, characterized by a sequence of pathological changes that begin with subclinical alterations in retinal blood flow and culminate in proliferative neovascularization that threatens irreversible vision loss [4]. Epidemiological studies estimate that approximately one-third of all individuals with diabetes develop some form of DR over their lifetime, translating to a global burden of approximately 103 million affected individuals [5]. A comprehensive meta-analysis by Yau et al. (2012) reported a global DR prevalence of 34.6% among diabetic patients, with 6.96% exhibiting proliferative DR and 6.81% exhibiting diabetic macular edema [6]. The World Health Organization (WHO) identifies DR as the leading cause of preventable blindness among working-age adults in both developed and developing nations [7], a designation that underscores not only the clinical severity of the condition but also its profound socioeconomic implications, including reduced workforce productivity, diminished quality of life, and increased dependence on social support systems [3, 7].</w:t>
      </w:r>
    </w:p>
    <w:p w14:paraId="1FF7B793" w14:textId="77777777" w:rsidR="0088786C" w:rsidRDefault="0088786C" w:rsidP="0088786C">
      <w:pPr>
        <w:spacing w:after="200" w:line="360" w:lineRule="auto"/>
      </w:pPr>
      <w:r>
        <w:t xml:space="preserve">The pathophysiology of DR is initiated by chronic hyperglycemia, which triggers a cascade of biochemical changes in the retinal microvasculature, including pericyte loss, basement </w:t>
      </w:r>
      <w:r>
        <w:lastRenderedPageBreak/>
        <w:t>membrane thickening, increased vascular permeability, and capillary occlusion [4, 8]. These alterations manifest clinically as microaneurysms, intraretinal hemorrhages, hard exudates (lipid deposits), cotton-wool spots (nerve fiber layer infarcts), venous beading, intraretinal microvascular abnormalities (IRMA), and, in advanced stages, neovascularization of the disc or elsewhere on the retinal surface [4, 9]. The clinical progression of DR is codified in the International Clinical Diabetic Retinopathy Severity Scale, developed by Wilkinson et al. (2003) [9] and derived from the landmark Early Treatment Diabetic Retinopathy Study (ETDRS) [10], which classifies DR into five discrete severity grades: Grade 0 (No DR), Grade 1 (Mild Non-Proliferative DR, or Mild NPDR), Grade 2 (Moderate NPDR), Grade 3 (Severe NPDR), and Grade 4 (Proliferative DR, or PDR). This grading system is not merely taxonomic; it directly informs clinical decision-making, as established by the ETDRS and reaffirmed in clinical practice guidelines from the American Academy of Ophthalmology (AAO) [11]. Patients with Grades 0 and 1 are typically managed with periodic surveillance and glycemic optimization, those with Grade 2 require closer monitoring with possible initiation of intravitreal anti-vascular endothelial growth factor (anti-VEGF) therapy [12], Grade 3 patients often necessitate prompt anti-VEGF treatment or panretinal laser photocoagulation as demonstrated in the DRCR.net Protocol S trial [13], and Grade 4 patients may require urgent vitreoretinal surgical intervention [11, 12]. Accurate severity grading is therefore essential for appropriate triage and timely intervention.</w:t>
      </w:r>
    </w:p>
    <w:p w14:paraId="7D4A387F" w14:textId="77777777" w:rsidR="0088786C" w:rsidRDefault="0088786C" w:rsidP="0088786C">
      <w:pPr>
        <w:spacing w:after="200" w:line="360" w:lineRule="auto"/>
      </w:pPr>
      <w:r>
        <w:t>Despite the clinical importance of regular DR screening, a substantial gap persists between the need for screening services and their availability, particularly in low- and middle-income countries (LMICs). The global shortage of ophthalmologists is acute: India, for example, has approximately 1 ophthalmologist per 100,000 people, compared to a recommended ratio of 1 per 20,000 [14]. In sub-Saharan Africa, the ratio can exceed 1 per 500,000 [15]. Even in high-income settings, the sheer volume of diabetic patients requiring annual fundus examination strains existing clinical capacity [3]. The United Kingdom’s National Health Service Diabetic Eye Screening Programme (NHS DESP), one of the most comprehensive in the world, screens over 2.5 million individuals annually and has demonstrated that systematic screening reduces blindness rates by up to 50% [16]. However, replicating such programs at scale in resource-limited settings remains infeasible with current workforce levels [14, 15].</w:t>
      </w:r>
    </w:p>
    <w:p w14:paraId="236665E3" w14:textId="77777777" w:rsidR="0088786C" w:rsidRDefault="0088786C" w:rsidP="0088786C">
      <w:pPr>
        <w:spacing w:after="200" w:line="360" w:lineRule="auto"/>
      </w:pPr>
      <w:r>
        <w:lastRenderedPageBreak/>
        <w:t>Compounding the capacity challenge is the inherent subjectivity of manual DR grading. Studies have consistently documented inter-observer agreement rates ranging from 65% to 85% for multi-grade DR classification, with the most pronounced disagreement occurring at the boundaries between adjacent severity levels—particularly between Grades 1 and 2, and between Grades 2 and 3 [17, 18]. Ruamviboonsuk et al. (2006) reported only moderate inter-observer agreement (weighted kappa = 0.59) among Thai ophthalmologists grading DR on the ETDRS scale [17]. Even among fellowship-trained retinal specialists, exact agreement on five-grade classification rarely exceeds 75% [18], highlighting the difficulty of the task and the potential for clinically significant misclassification. Intra-observer variability, while generally lower, remains non-trivial, particularly under conditions of high clinical workload and fatigue [17, 18].</w:t>
      </w:r>
    </w:p>
    <w:p w14:paraId="2A5F71C9" w14:textId="77777777" w:rsidR="0088786C" w:rsidRDefault="0088786C" w:rsidP="0088786C">
      <w:pPr>
        <w:spacing w:after="200" w:line="360" w:lineRule="auto"/>
      </w:pPr>
      <w:r>
        <w:t>Artificial intelligence (AI), and specifically deep learning [19], has emerged as a transformative technology for addressing these intertwined challenges of scalability, consistency, and accessibility in DR screening. The foundational work by Krizhevsky et al. (2012) on AlexNet [20] demonstrated the power of deep convolutional neural networks (CNNs) for image classification, sparking a revolution in computer vision that quickly extended to medical image analysis [21]. In the domain of DR detection, the seminal work by Gulshan et al. (2016) demonstrated that a deep CNN based on the Inception-v3 architecture [22] could detect referable DR (moderate NPDR or worse) with sensitivity of 97.5% and specificity of 93.4%, approaching or matching the performance of board-certified ophthalmologists on curated datasets [23]. Concurrently, Gargeya and Leng (2017) achieved an AUC of 0.97 for automated DR identification using a ResNet-based architecture [24], and Ting et al. (2017) demonstrated an AUC of 0.936 for detecting referable DR in a multiethnic cohort using a modified VGGNet [25]. These studies collectively established that deep learning could achieve performance comparable to or exceeding that of human expert graders.</w:t>
      </w:r>
    </w:p>
    <w:p w14:paraId="2A9CE7F7" w14:textId="77777777" w:rsidR="0088786C" w:rsidRDefault="0088786C" w:rsidP="0088786C">
      <w:pPr>
        <w:spacing w:after="200" w:line="360" w:lineRule="auto"/>
      </w:pPr>
      <w:r>
        <w:t xml:space="preserve">This was followed by the landmark FDA clearance of IDx-DR (now Digital Diagnostics) in 2018, the first autonomous AI diagnostic system approved for any medical condition in the United States [26]. The IDx-DR system achieved 87.2% sensitivity and 90.7% specificity for detecting more-than-mild DR in a prospective, multicenter pivotal trial conducted by Abramoff et al. (2018) [26]. Subsequently, additional systems have received regulatory clearance or deployment, including EyeArt (Eyenuk, Inc.) [27] and retinal screening platforms deployed by </w:t>
      </w:r>
      <w:r>
        <w:lastRenderedPageBreak/>
        <w:t>Google Health across Thailand and India [28]. These milestones catalyzed a wave of research into AI-driven ophthalmic screening, with subsequent systems deployed across multiple countries worldwide.</w:t>
      </w:r>
    </w:p>
    <w:p w14:paraId="607BAE31" w14:textId="77777777" w:rsidR="0088786C" w:rsidRDefault="0088786C" w:rsidP="0088786C">
      <w:pPr>
        <w:spacing w:after="200" w:line="360" w:lineRule="auto"/>
      </w:pPr>
      <w:r>
        <w:t xml:space="preserve">The appeal of AI-based DR screening lies in three fundamental advantages, as articulated in comprehensive reviews by Ting et al. (2019) [29] and Gulshan et al. (2019) [30]. First, </w:t>
      </w:r>
      <w:r>
        <w:rPr>
          <w:b/>
          <w:bCs/>
        </w:rPr>
        <w:t>scalability</w:t>
      </w:r>
      <w:r>
        <w:t xml:space="preserve">: a trained model can process thousands of fundus images per hour on commodity hardware, vastly exceeding human throughput [29]. Second, </w:t>
      </w:r>
      <w:r>
        <w:rPr>
          <w:b/>
          <w:bCs/>
        </w:rPr>
        <w:t>consistency</w:t>
      </w:r>
      <w:r>
        <w:t xml:space="preserve">: unlike human graders, a deterministic model produces identical outputs for identical inputs, eliminating inter- and intra-observer variability [23, 29]. Third, </w:t>
      </w:r>
      <w:r>
        <w:rPr>
          <w:b/>
          <w:bCs/>
        </w:rPr>
        <w:t>cost-effectiveness</w:t>
      </w:r>
      <w:r>
        <w:t>: once developed and validated, AI screening systems can be deployed with minimal marginal cost per examination, enabling screening programs in settings where specialist access is limited or nonexistent [28, 29]. These attributes position AI not as a replacement for ophthalmologists, but as a force multiplier that can extend the reach of expert clinical judgment to underserved populations worldwide [29, 30].</w:t>
      </w:r>
    </w:p>
    <w:p w14:paraId="03D6883D" w14:textId="77777777" w:rsidR="0088786C" w:rsidRDefault="0088786C" w:rsidP="0088786C">
      <w:pPr>
        <w:pStyle w:val="Heading2"/>
      </w:pPr>
      <w:r>
        <w:rPr>
          <w:rFonts w:ascii="Times New Roman" w:eastAsia="Times New Roman" w:hAnsi="Times New Roman" w:cs="Times New Roman"/>
          <w:b/>
          <w:bCs/>
          <w:sz w:val="28"/>
          <w:szCs w:val="28"/>
        </w:rPr>
        <w:t>1.2  Problem Statement</w:t>
      </w:r>
    </w:p>
    <w:p w14:paraId="583537FE" w14:textId="77777777" w:rsidR="0088786C" w:rsidRDefault="0088786C" w:rsidP="0088786C">
      <w:pPr>
        <w:spacing w:after="200" w:line="360" w:lineRule="auto"/>
      </w:pPr>
      <w:r>
        <w:t>Despite the substantial progress in AI-driven DR detection, several methodological questions remain inadequately addressed in the literature. This thesis identifies and investigates three specific technical challenges that have direct implications for the design, training, and deployment of practical DR screening systems.</w:t>
      </w:r>
    </w:p>
    <w:p w14:paraId="0CB1EF15" w14:textId="77777777" w:rsidR="0088786C" w:rsidRDefault="0088786C" w:rsidP="0088786C">
      <w:pPr>
        <w:spacing w:after="200" w:line="360" w:lineRule="auto"/>
      </w:pPr>
      <w:r>
        <w:t xml:space="preserve">The </w:t>
      </w:r>
      <w:r>
        <w:rPr>
          <w:b/>
          <w:bCs/>
        </w:rPr>
        <w:t>first challenge</w:t>
      </w:r>
      <w:r>
        <w:t xml:space="preserve"> concerns the choice of transfer learning strategy. Transfer learning from ImageNet-pretrained models [31] has become the de facto standard for medical image analysis, as the low-level visual features (edges, textures, color gradients) learned on natural images transfer effectively to medical imaging domains [32, 33]. The influential study by Yosinski et al. (2014) demonstrated that features in the first several layers of deep networks are largely general and transferable, while higher layers become increasingly task-specific [32]. Raghu et al. (2019) further investigated this question in the medical imaging context through their Transfusion study, finding that even simple transfer from ImageNet provides significant benefits for medical tasks, though the extent of benefit varies with the complexity of the target task [33]. However, the fine-tuning protocol significantly affects model performance and training stability. Two dominant paradigms exist: (1) two-phase transfer learning, in which the pretrained backbone is initially frozen while only the classification head is trained, followed by unfreezing and full fine-tuning </w:t>
      </w:r>
      <w:r>
        <w:lastRenderedPageBreak/>
        <w:t>with differential learning rates; and (2) single-phase fine-tuning, in which all parameters are trainable from the outset, typically with aggressive learning rate scheduling such as OneCycleLR [34]. The two-phase approach, popularized by Howard and Ruder (2018) in the context of Universal Language Model Fine-tuning (ULMFiT) [35], mitigates the risk of catastrophic forgetting—the phenomenon first described by McCloskey and Cohen (1989) [36] whereby pretrained feature representations are overwritten by noisy gradients during early training on a small target dataset. The single-phase approach, by contrast, offers simplicity and can achieve faster convergence through super-convergence schedules, as demonstrated by Smith and Topin (2019) [34]. Despite the theoretical and practical importance of this choice, no study has conducted a rigorous, controlled comparison of these two strategies on the same backbone architecture, the same dataset, and with identical evaluation protocols in the context of DR grading.</w:t>
      </w:r>
    </w:p>
    <w:p w14:paraId="212DAA02" w14:textId="77777777" w:rsidR="0088786C" w:rsidRDefault="0088786C" w:rsidP="0088786C">
      <w:pPr>
        <w:spacing w:after="200" w:line="360" w:lineRule="auto"/>
      </w:pPr>
      <w:r>
        <w:t xml:space="preserve">The </w:t>
      </w:r>
      <w:r>
        <w:rPr>
          <w:b/>
          <w:bCs/>
        </w:rPr>
        <w:t>second challenge</w:t>
      </w:r>
      <w:r>
        <w:t xml:space="preserve"> relates to the ordinal nature of DR severity grades. The five-grade ETDRS-derived scale [9, 10] is inherently ordered: Grade 0 &lt; Grade 1 &lt; Grade 2 &lt; Grade 3 &lt; Grade 4, with the distance between adjacent grades carrying clinical meaning. Standard multi-class classification approaches (e.g., softmax with cross-entropy loss) treat each class as a nominal category and ignore the ordinal structure entirely, penalizing a misclassification of Grade 0 as Grade 4 no more heavily than a misclassification of Grade 0 as Grade 1. This is clinically inappropriate, as confusing no DR with proliferative DR has far more severe consequences than confusing no DR with mild NPDR [11]. While ordinal regression methods exist—McCullagh (1980) introduced the proportional odds model for ordinal data [37], and Frank and Hall (2001) proposed a practical framework for decomposing ordinal problems into a series of binary classification tasks [38]—these methods are underutilized in the DR grading literature. More recently, Beckham and Pal (2017) explored ordinal regression with neural networks using unimodal output distributions [39], yet there remains a lack of practical frameworks for converting the output of a binary DR classifier into an ordinal multi-grade prediction through learned threshold optimization.</w:t>
      </w:r>
    </w:p>
    <w:p w14:paraId="6FDFDD19" w14:textId="77777777" w:rsidR="0088786C" w:rsidRDefault="0088786C" w:rsidP="0088786C">
      <w:pPr>
        <w:spacing w:after="200" w:line="360" w:lineRule="auto"/>
      </w:pPr>
      <w:r>
        <w:t xml:space="preserve">The </w:t>
      </w:r>
      <w:r>
        <w:rPr>
          <w:b/>
          <w:bCs/>
        </w:rPr>
        <w:t>third challenge</w:t>
      </w:r>
      <w:r>
        <w:t xml:space="preserve"> concerns the tradeoff between single-model efficiency and ensemble robustness. In clinical deployment, a single model offers minimal inference latency and storage requirements, making it suitable for resource-constrained environments such as mobile devices </w:t>
      </w:r>
      <w:r>
        <w:lastRenderedPageBreak/>
        <w:t>and edge computing platforms used in rural screening camps. Ensemble models—particularly those derived from K-fold cross-validation—provide improved robustness through prediction averaging, as theoretically grounded in the bias-variance decomposition framework [40]. Lakshminarayanan et al. (2017) demonstrated that deep ensembles provide well-calibrated predictive uncertainty estimates that outperform more complex Bayesian approaches [41], while Dietterich (2000) established the theoretical foundations for why ensemble methods consistently outperform single classifiers through complementary error patterns [42]. K-fold ensembles additionally offer inherent uncertainty estimation via inter-model variance and reduced sensitivity to training set composition [41, 42]. However, they incur proportionally higher computational costs (K times the inference time and storage). Understanding the precise magnitude of the accuracy-efficiency tradeoff between single-model and ensemble approaches, and how this tradeoff interacts with inference-time enhancements such as test-time augmentation (TTA) [43] and threshold optimization [44], is essential for making informed deployment decisions.</w:t>
      </w:r>
    </w:p>
    <w:p w14:paraId="7A320822" w14:textId="77777777" w:rsidR="0088786C" w:rsidRDefault="0088786C" w:rsidP="0088786C">
      <w:pPr>
        <w:spacing w:after="200" w:line="360" w:lineRule="auto"/>
      </w:pPr>
      <w:r>
        <w:t>This thesis addresses these three challenges through a systematic, controlled experimental framework. We train two models—a two-phase transfer learning single model and a 5-fold cross-validation ensemble—using the same EfficientNet-B3 backbone architecture [45], the same APTOS 2019 Blindness Detection dataset [46], and identical preprocessing, augmentation [47], and evaluation pipelines. We then evaluate both models across a comprehensive set of metrics at multiple operating points, investigate the incremental contributions of TTA and threshold optimization, and propose a novel ordinal threshold framework for mapping binary classification probabilities to five-grade severity predictions.</w:t>
      </w:r>
    </w:p>
    <w:p w14:paraId="6C6EEA86" w14:textId="77777777" w:rsidR="0088786C" w:rsidRDefault="0088786C" w:rsidP="0088786C">
      <w:pPr>
        <w:pStyle w:val="Heading2"/>
      </w:pPr>
      <w:r>
        <w:rPr>
          <w:rFonts w:ascii="Times New Roman" w:eastAsia="Times New Roman" w:hAnsi="Times New Roman" w:cs="Times New Roman"/>
          <w:b/>
          <w:bCs/>
          <w:sz w:val="28"/>
          <w:szCs w:val="28"/>
        </w:rPr>
        <w:t>1.3  Research Objectives</w:t>
      </w:r>
    </w:p>
    <w:p w14:paraId="7627FF5A" w14:textId="77777777" w:rsidR="0088786C" w:rsidRDefault="0088786C" w:rsidP="0088786C">
      <w:pPr>
        <w:spacing w:after="200" w:line="360" w:lineRule="auto"/>
      </w:pPr>
      <w:r>
        <w:t>The overarching goal of this thesis is to conduct a rigorous comparative study of two transfer learning strategies for DR grading and to develop a practical framework for multi-stage severity classification from binary model outputs. To this end, we define the following four specific research objectives:</w:t>
      </w:r>
    </w:p>
    <w:p w14:paraId="777C1674" w14:textId="77777777" w:rsidR="0088786C" w:rsidRDefault="0088786C" w:rsidP="0088786C">
      <w:pPr>
        <w:spacing w:after="200" w:line="360" w:lineRule="auto"/>
      </w:pPr>
      <w:r>
        <w:rPr>
          <w:b/>
          <w:bCs/>
        </w:rPr>
        <w:t xml:space="preserve">Objective 1: </w:t>
      </w:r>
      <w:r>
        <w:t xml:space="preserve">To compare the diagnostic performance of a two-phase transfer learning approach (frozen backbone followed by differential-rate fine-tuning, inspired by the ULMFiT framework [35]) against a 5-fold stratified cross-validation ensemble approach (single-phase fine-tuning </w:t>
      </w:r>
      <w:r>
        <w:lastRenderedPageBreak/>
        <w:t>with OneCycleLR scheduling [34]), both implemented on the EfficientNet-B3 architecture [45] with ImageNet pretraining [31], for binary DR detection (DR present versus absent) on the APTOS 2019 dataset [46].</w:t>
      </w:r>
    </w:p>
    <w:p w14:paraId="6E765C98" w14:textId="77777777" w:rsidR="0088786C" w:rsidRDefault="0088786C" w:rsidP="0088786C">
      <w:pPr>
        <w:spacing w:after="200" w:line="360" w:lineRule="auto"/>
      </w:pPr>
      <w:r>
        <w:rPr>
          <w:b/>
          <w:bCs/>
        </w:rPr>
        <w:t xml:space="preserve">Objective 2: </w:t>
      </w:r>
      <w:r>
        <w:t>To quantify the individual and combined effects of 8-pass test-time augmentation (TTA) [43] and Youden’s J statistic-based threshold optimization [44] on binary classification performance for both training strategies, systematically evaluating AUC-ROC, accuracy, sensitivity, specificity, F1 score, and Cohen’s kappa [48] across all model configurations.</w:t>
      </w:r>
    </w:p>
    <w:p w14:paraId="4DCB282E" w14:textId="77777777" w:rsidR="0088786C" w:rsidRDefault="0088786C" w:rsidP="0088786C">
      <w:pPr>
        <w:spacing w:after="200" w:line="360" w:lineRule="auto"/>
      </w:pPr>
      <w:r>
        <w:rPr>
          <w:b/>
          <w:bCs/>
        </w:rPr>
        <w:t xml:space="preserve">Objective 3: </w:t>
      </w:r>
      <w:r>
        <w:t>To develop and evaluate an ordinal threshold optimization framework, building on the ordinal decomposition principles of Frank and Hall (2001) [38], that maps continuous binary classification probabilities to five discrete DR severity grades (Grades 0 through 4) by learning a set of four ordered thresholds that maximize Quadratic Weighted Kappa (QWK) [48] on a validation set, thereby preserving the ordinal structure of the clinical grading scale established by Wilkinson et al. (2003) [9].</w:t>
      </w:r>
    </w:p>
    <w:p w14:paraId="05D15B62" w14:textId="77777777" w:rsidR="0088786C" w:rsidRDefault="0088786C" w:rsidP="0088786C">
      <w:pPr>
        <w:spacing w:after="200" w:line="360" w:lineRule="auto"/>
      </w:pPr>
      <w:r>
        <w:rPr>
          <w:b/>
          <w:bCs/>
        </w:rPr>
        <w:t xml:space="preserve">Objective 4: </w:t>
      </w:r>
      <w:r>
        <w:t>To provide a comprehensive evaluation of both training strategies encompassing calibration analysis (reliability diagrams and Brier score [49], Expected Calibration Error [50]), per-grade subgroup analysis, bootstrap confidence intervals (B = 2,000 resamples) [51], and practical deployment tradeoff analysis (inference time, storage requirements, uncertainty estimation) following the evaluation frameworks recommended by the CONSORT-AI reporting guidelines [52] and STARD-AI standards [53] to inform real-world clinical deployment decisions.</w:t>
      </w:r>
    </w:p>
    <w:p w14:paraId="4BAB7CF1" w14:textId="77777777" w:rsidR="0088786C" w:rsidRDefault="0088786C" w:rsidP="0088786C">
      <w:pPr>
        <w:pStyle w:val="Heading2"/>
      </w:pPr>
      <w:r>
        <w:rPr>
          <w:rFonts w:ascii="Times New Roman" w:eastAsia="Times New Roman" w:hAnsi="Times New Roman" w:cs="Times New Roman"/>
          <w:b/>
          <w:bCs/>
          <w:sz w:val="28"/>
          <w:szCs w:val="28"/>
        </w:rPr>
        <w:t>1.4  Contributions</w:t>
      </w:r>
    </w:p>
    <w:p w14:paraId="0CE50830" w14:textId="77777777" w:rsidR="0088786C" w:rsidRDefault="0088786C" w:rsidP="0088786C">
      <w:pPr>
        <w:spacing w:after="200" w:line="360" w:lineRule="auto"/>
      </w:pPr>
      <w:r>
        <w:t>This thesis makes four principal contributions to the field of AI-driven diabetic retinopathy screening, each addressing an identified gap in the existing literature.</w:t>
      </w:r>
    </w:p>
    <w:p w14:paraId="4977DCB9" w14:textId="77777777" w:rsidR="0088786C" w:rsidRDefault="0088786C" w:rsidP="0088786C">
      <w:pPr>
        <w:spacing w:after="200" w:line="360" w:lineRule="auto"/>
      </w:pPr>
      <w:r>
        <w:rPr>
          <w:b/>
          <w:bCs/>
        </w:rPr>
        <w:t xml:space="preserve">Contribution 1: Controlled head-to-head comparison of training strategies. </w:t>
      </w:r>
      <w:r>
        <w:t xml:space="preserve">We present, to the best of our knowledge, the first study that compares two-phase transfer learning [35] against K-fold cross-validation ensemble training [41, 42] on the same backbone architecture (EfficientNet-B3 [45]), the same dataset (APTOS 2019 [46]), with identical preprocessing (Albumentations [47]), augmentation, and evaluation pipelines. This controlled experimental design eliminates confounding factors that plague comparisons across studies that use different </w:t>
      </w:r>
      <w:r>
        <w:lastRenderedPageBreak/>
        <w:t>architectures, datasets, or evaluation protocols—a concern raised by several systematic reviews of DR detection studies [54, 55]. Our results demonstrate that the two-phase single model achieves AUC-ROC of 0.9993 with TTA and optimized threshold, compared to 0.9994 for the ensemble—a difference of 0.0001 that, while statistically marginal, highlights the exceptional effectiveness of the two-phase strategy in maximizing a single model’s discriminative power.</w:t>
      </w:r>
    </w:p>
    <w:p w14:paraId="165B8365" w14:textId="77777777" w:rsidR="0088786C" w:rsidRDefault="0088786C" w:rsidP="0088786C">
      <w:pPr>
        <w:spacing w:after="200" w:line="360" w:lineRule="auto"/>
      </w:pPr>
      <w:r>
        <w:rPr>
          <w:b/>
          <w:bCs/>
        </w:rPr>
        <w:t xml:space="preserve">Contribution 2: Ordinal threshold optimization framework for multi-stage grading. </w:t>
      </w:r>
      <w:r>
        <w:t>We propose a novel, practical framework for converting a single binary classifier’s continuous probability output into a five-grade ordinal severity prediction. Extending the ordinal decomposition paradigm introduced by Frank and Hall (2001) [38] and the cumulative link model formalized by McCullagh (1980) [37], our approach learns four ordered thresholds on a validation set that maximize QWK [48], the standard ordinal agreement metric for DR grading, as used in the Kaggle Diabetic Retinopathy Detection challenge [56] and the APTOS 2019 challenge [46]. This framework offers three distinct advantages over conventional multi-class approaches: it requires only a single binary model (reducing architectural complexity), it explicitly preserves the ordinal structure of the grading scale (penalizing large-distance misclassifications more heavily through the quadratic weight matrix), and the thresholds can be adjusted post-training to accommodate different clinical operating points without model retraining.</w:t>
      </w:r>
    </w:p>
    <w:p w14:paraId="4FCC7988" w14:textId="77777777" w:rsidR="0088786C" w:rsidRDefault="0088786C" w:rsidP="0088786C">
      <w:pPr>
        <w:spacing w:after="200" w:line="360" w:lineRule="auto"/>
      </w:pPr>
      <w:r>
        <w:rPr>
          <w:b/>
          <w:bCs/>
        </w:rPr>
        <w:t xml:space="preserve">Contribution 3: Systematic analysis of TTA and threshold optimization synergy. </w:t>
      </w:r>
      <w:r>
        <w:t>We provide a detailed ablation study quantifying the individual and combined contributions of 8-pass test-time augmentation [43] and Youden’s J statistic-based threshold optimization [44]. Youden’s J, originally introduced as the index for rating the performance of diagnostic tests [44], provides a principled criterion for selecting the decision threshold that maximizes the combined sensitivity and specificity. Our analysis reveals that TTA and threshold optimization provide complementary benefits: TTA improves probability estimates through geometric averaging (particularly benefiting cases near the decision boundary, as demonstrated in the augmentation literature [43, 57]), while threshold optimization shifts the operating point to balance sensitivity and specificity according to a principled statistical criterion. When applied together, these techniques improve accuracy from 0.9906 to 0.9943 for the two-phase model and from 0.9887 to 0.9925 for the ensemble, demonstrating consistent additive gains across both training strategies.</w:t>
      </w:r>
    </w:p>
    <w:p w14:paraId="725F26F4" w14:textId="77777777" w:rsidR="0088786C" w:rsidRDefault="0088786C" w:rsidP="0088786C">
      <w:pPr>
        <w:spacing w:after="200" w:line="360" w:lineRule="auto"/>
      </w:pPr>
      <w:r>
        <w:rPr>
          <w:b/>
          <w:bCs/>
        </w:rPr>
        <w:lastRenderedPageBreak/>
        <w:t xml:space="preserve">Contribution 4: Comprehensive clinical evaluation methodology. </w:t>
      </w:r>
      <w:r>
        <w:t>We establish a thorough evaluation framework that goes beyond standard accuracy reporting—a criticism frequently leveled at medical AI studies [52, 53]—to include bootstrap 95% confidence intervals (2,000 resamples following Efron and Tibshirani [51]), calibration analysis (reliability diagrams as formalized by Niculescu-Mizil and Caruana (2005) [50], Brier score [49], Expected Calibration Error [50]), per-grade subgroup analysis, and a practical deployment tradeoff comparison. This multi-faceted evaluation provides the evidence base necessary for clinical translation decisions, consistent with the CONSORT-AI [52] and STARD-AI [53] reporting standards, addressing not only whether the system is accurate, but also whether its predictions are well-calibrated, whether performance is consistent across severity grades (including rare severe grades), and what practical computational and storage costs are associated with each approach.</w:t>
      </w:r>
    </w:p>
    <w:p w14:paraId="47664298" w14:textId="77777777" w:rsidR="0088786C" w:rsidRDefault="0088786C" w:rsidP="0088786C">
      <w:pPr>
        <w:pStyle w:val="Heading2"/>
      </w:pPr>
      <w:r>
        <w:rPr>
          <w:rFonts w:ascii="Times New Roman" w:eastAsia="Times New Roman" w:hAnsi="Times New Roman" w:cs="Times New Roman"/>
          <w:b/>
          <w:bCs/>
          <w:sz w:val="28"/>
          <w:szCs w:val="28"/>
        </w:rPr>
        <w:t>1.5  Thesis Organization</w:t>
      </w:r>
    </w:p>
    <w:p w14:paraId="2CB694A0" w14:textId="77777777" w:rsidR="00BA500C" w:rsidRDefault="0088786C" w:rsidP="00BA500C">
      <w:pPr>
        <w:spacing w:after="200" w:line="360" w:lineRule="auto"/>
        <w:ind w:firstLine="720"/>
      </w:pPr>
      <w:r>
        <w:t xml:space="preserve">The remainder of this thesis is organized as follows. </w:t>
      </w:r>
    </w:p>
    <w:p w14:paraId="6E4F2215" w14:textId="77777777" w:rsidR="00BA500C" w:rsidRDefault="0088786C" w:rsidP="00BA500C">
      <w:pPr>
        <w:spacing w:after="200" w:line="360" w:lineRule="auto"/>
        <w:ind w:firstLine="720"/>
      </w:pPr>
      <w:r>
        <w:t xml:space="preserve">Chapter 2 presents a comprehensive review of the relevant literature, covering the clinical background of diabetic retinopathy [4, 8, 9, 10], the evolution of deep learning architectures for retinal image analysis [19–25, 45], transfer learning strategies for medical imaging [32, 33, 35], ensemble methods [41, 42], ordinal classification approaches [37, 38, 39], and publicly available DR datasets [46, 56, 58, 59]. </w:t>
      </w:r>
    </w:p>
    <w:p w14:paraId="399BF8F5" w14:textId="77777777" w:rsidR="00BA500C" w:rsidRDefault="0088786C" w:rsidP="00BA500C">
      <w:pPr>
        <w:spacing w:after="200" w:line="360" w:lineRule="auto"/>
        <w:ind w:firstLine="720"/>
      </w:pPr>
      <w:r>
        <w:t xml:space="preserve">Chapter 3 details the methodology, including dataset preparation, preprocessing and augmentation pipelines [47], model architectures [45], the two training strategies [34, 35], the TTA protocol [43], threshold optimization procedures [44], the ordinal grading framework [38], and the evaluation metrics employed [48, 49, 50, 51]. </w:t>
      </w:r>
    </w:p>
    <w:p w14:paraId="3FF14597" w14:textId="77777777" w:rsidR="00BA500C" w:rsidRDefault="0088786C" w:rsidP="00BA500C">
      <w:pPr>
        <w:spacing w:after="200" w:line="360" w:lineRule="auto"/>
        <w:ind w:firstLine="720"/>
      </w:pPr>
      <w:r>
        <w:t xml:space="preserve">Chapter 4 presents the experimental results, encompassing training convergence analysis, binary classification performance across all 11 evaluation configurations, ablation studies, calibration analysis, subgroup analysis by DR severity grade, and ordinal multi-stage grading results. </w:t>
      </w:r>
    </w:p>
    <w:p w14:paraId="3915A6E6" w14:textId="2FAAA10D" w:rsidR="0088786C" w:rsidRDefault="0088786C" w:rsidP="00BA500C">
      <w:pPr>
        <w:spacing w:after="200" w:line="360" w:lineRule="auto"/>
        <w:ind w:firstLine="720"/>
      </w:pPr>
      <w:r>
        <w:t xml:space="preserve">Chapter 5 provides a detailed discussion of the findings, including interpretation of key results, practical deployment tradeoffs, clinical implications in the context of existing screening guidelines [11, 16], comparison with prior work [23, 25, 26], and a candid assessment of </w:t>
      </w:r>
      <w:r>
        <w:lastRenderedPageBreak/>
        <w:t>limitations. Chapter 6 concludes the thesis with a summary of contributions and a prioritized roadmap for future research directions, including external validation [58, 59], retinal foundation models [60], and Vision Transformers [61].</w:t>
      </w:r>
    </w:p>
    <w:p w14:paraId="0C6002E4" w14:textId="77777777" w:rsidR="0088786C" w:rsidRDefault="0088786C">
      <w:r>
        <w:br w:type="page"/>
      </w:r>
    </w:p>
    <w:p w14:paraId="5A5B94DB" w14:textId="77777777" w:rsidR="0088786C" w:rsidRDefault="0088786C" w:rsidP="0088786C">
      <w:pPr>
        <w:pStyle w:val="Heading2"/>
      </w:pPr>
      <w:r>
        <w:rPr>
          <w:rFonts w:ascii="Times New Roman" w:eastAsia="Times New Roman" w:hAnsi="Times New Roman" w:cs="Times New Roman"/>
          <w:b/>
          <w:bCs/>
          <w:sz w:val="28"/>
          <w:szCs w:val="28"/>
        </w:rPr>
        <w:lastRenderedPageBreak/>
        <w:t>References</w:t>
      </w:r>
    </w:p>
    <w:p w14:paraId="066A7FF6" w14:textId="77777777" w:rsidR="0088786C" w:rsidRDefault="0088786C" w:rsidP="0088786C">
      <w:pPr>
        <w:spacing w:after="120" w:line="276" w:lineRule="auto"/>
        <w:ind w:left="480" w:hanging="480"/>
      </w:pPr>
      <w:r>
        <w:rPr>
          <w:sz w:val="22"/>
          <w:szCs w:val="22"/>
        </w:rPr>
        <w:t>[1]  International Diabetes Federation, "IDF Diabetes Atlas, 10th Edition," Brussels, Belgium, 2021. [Online]. Available: https://diabetesatlas.org/</w:t>
      </w:r>
    </w:p>
    <w:p w14:paraId="3EBBB125" w14:textId="77777777" w:rsidR="0088786C" w:rsidRDefault="0088786C" w:rsidP="0088786C">
      <w:pPr>
        <w:spacing w:after="120" w:line="276" w:lineRule="auto"/>
        <w:ind w:left="480" w:hanging="480"/>
      </w:pPr>
      <w:r>
        <w:rPr>
          <w:sz w:val="22"/>
          <w:szCs w:val="22"/>
        </w:rPr>
        <w:t>[2]  N. G. Forouhi and N. J. Wareham, "Epidemiology of diabetes," Medicine, vol. 47, no. 1, pp. 22–27, 2019.</w:t>
      </w:r>
    </w:p>
    <w:p w14:paraId="4187BBCC" w14:textId="77777777" w:rsidR="0088786C" w:rsidRDefault="0088786C" w:rsidP="0088786C">
      <w:pPr>
        <w:spacing w:after="120" w:line="276" w:lineRule="auto"/>
        <w:ind w:left="480" w:hanging="480"/>
      </w:pPr>
      <w:r>
        <w:rPr>
          <w:sz w:val="22"/>
          <w:szCs w:val="22"/>
        </w:rPr>
        <w:t>[3]  World Health Organization, "World Report on Vision," Geneva, 2019.</w:t>
      </w:r>
    </w:p>
    <w:p w14:paraId="0F3C5568" w14:textId="77777777" w:rsidR="0088786C" w:rsidRDefault="0088786C" w:rsidP="0088786C">
      <w:pPr>
        <w:spacing w:after="120" w:line="276" w:lineRule="auto"/>
        <w:ind w:left="480" w:hanging="480"/>
      </w:pPr>
      <w:r>
        <w:rPr>
          <w:sz w:val="22"/>
          <w:szCs w:val="22"/>
        </w:rPr>
        <w:t>[4]  R. N. Frank, "Diabetic retinopathy," New England Journal of Medicine, vol. 350, no. 1, pp. 48–58, 2004.</w:t>
      </w:r>
    </w:p>
    <w:p w14:paraId="18A53786" w14:textId="77777777" w:rsidR="0088786C" w:rsidRDefault="0088786C" w:rsidP="0088786C">
      <w:pPr>
        <w:spacing w:after="120" w:line="276" w:lineRule="auto"/>
        <w:ind w:left="480" w:hanging="480"/>
      </w:pPr>
      <w:r>
        <w:rPr>
          <w:sz w:val="22"/>
          <w:szCs w:val="22"/>
        </w:rPr>
        <w:t>[5]  T. Y. Wong et al., "Diabetic retinopathy," Nature Reviews Disease Primers, vol. 2, p. 16012, 2016.</w:t>
      </w:r>
    </w:p>
    <w:p w14:paraId="154FC0C3" w14:textId="77777777" w:rsidR="0088786C" w:rsidRDefault="0088786C" w:rsidP="0088786C">
      <w:pPr>
        <w:spacing w:after="120" w:line="276" w:lineRule="auto"/>
        <w:ind w:left="480" w:hanging="480"/>
      </w:pPr>
      <w:r>
        <w:rPr>
          <w:sz w:val="22"/>
          <w:szCs w:val="22"/>
        </w:rPr>
        <w:t>[6]  J. W. Y. Yau et al., "Global prevalence and major risk factors of diabetic retinopathy," Diabetes Care, vol. 35, no. 3, pp. 556–564, 2012.</w:t>
      </w:r>
    </w:p>
    <w:p w14:paraId="2FA2AB58" w14:textId="77777777" w:rsidR="0088786C" w:rsidRDefault="0088786C" w:rsidP="0088786C">
      <w:pPr>
        <w:spacing w:after="120" w:line="276" w:lineRule="auto"/>
        <w:ind w:left="480" w:hanging="480"/>
      </w:pPr>
      <w:r>
        <w:rPr>
          <w:sz w:val="22"/>
          <w:szCs w:val="22"/>
        </w:rPr>
        <w:t>[7]  World Health Organization, "Global report on diabetes," Geneva, 2016.</w:t>
      </w:r>
    </w:p>
    <w:p w14:paraId="0E9412C8" w14:textId="77777777" w:rsidR="0088786C" w:rsidRDefault="0088786C" w:rsidP="0088786C">
      <w:pPr>
        <w:spacing w:after="120" w:line="276" w:lineRule="auto"/>
        <w:ind w:left="480" w:hanging="480"/>
      </w:pPr>
      <w:r>
        <w:rPr>
          <w:sz w:val="22"/>
          <w:szCs w:val="22"/>
        </w:rPr>
        <w:t>[8]  D. A. Antonetti, R. Klein, and T. W. Gardner, "Diabetic retinopathy," New England Journal of Medicine, vol. 366, no. 13, pp. 1227–1239, 2012.</w:t>
      </w:r>
    </w:p>
    <w:p w14:paraId="61A144E4" w14:textId="77777777" w:rsidR="0088786C" w:rsidRDefault="0088786C" w:rsidP="0088786C">
      <w:pPr>
        <w:spacing w:after="120" w:line="276" w:lineRule="auto"/>
        <w:ind w:left="480" w:hanging="480"/>
      </w:pPr>
      <w:r>
        <w:rPr>
          <w:sz w:val="22"/>
          <w:szCs w:val="22"/>
        </w:rPr>
        <w:t>[9]  C. P. Wilkinson et al., "Proposed international clinical diabetic retinopathy and diabetic macular edema disease severity scales," Ophthalmology, vol. 110, no. 9, pp. 1677–1682, 2003.</w:t>
      </w:r>
    </w:p>
    <w:p w14:paraId="02DCCE8D" w14:textId="77777777" w:rsidR="0088786C" w:rsidRDefault="0088786C" w:rsidP="0088786C">
      <w:pPr>
        <w:spacing w:after="120" w:line="276" w:lineRule="auto"/>
        <w:ind w:left="480" w:hanging="480"/>
      </w:pPr>
      <w:r>
        <w:rPr>
          <w:sz w:val="22"/>
          <w:szCs w:val="22"/>
        </w:rPr>
        <w:t>[10] Early Treatment Diabetic Retinopathy Study Research Group, "Grading diabetic retinopathy from stereoscopic color fundus photographs," Ophthalmology, vol. 98, no. 5 Suppl, pp. 786–806, 1991.</w:t>
      </w:r>
    </w:p>
    <w:p w14:paraId="6BECA407" w14:textId="77777777" w:rsidR="0088786C" w:rsidRDefault="0088786C" w:rsidP="0088786C">
      <w:pPr>
        <w:spacing w:after="120" w:line="276" w:lineRule="auto"/>
        <w:ind w:left="480" w:hanging="480"/>
      </w:pPr>
      <w:r>
        <w:rPr>
          <w:sz w:val="22"/>
          <w:szCs w:val="22"/>
        </w:rPr>
        <w:t>[11] American Academy of Ophthalmology, "Diabetic Retinopathy Preferred Practice Pattern," Ophthalmology, vol. 127, no. 1, pp. P66–P145, 2020.</w:t>
      </w:r>
    </w:p>
    <w:p w14:paraId="705D9235" w14:textId="77777777" w:rsidR="0088786C" w:rsidRDefault="0088786C" w:rsidP="0088786C">
      <w:pPr>
        <w:spacing w:after="120" w:line="276" w:lineRule="auto"/>
        <w:ind w:left="480" w:hanging="480"/>
      </w:pPr>
      <w:r>
        <w:rPr>
          <w:sz w:val="22"/>
          <w:szCs w:val="22"/>
        </w:rPr>
        <w:t>[12] P. A. Campochiaro, "Molecular pathogenesis of retinal and choroidal vascular diseases," Progress in Retinal and Eye Research, vol. 49, pp. 67–81, 2015.</w:t>
      </w:r>
    </w:p>
    <w:p w14:paraId="50BF0126" w14:textId="77777777" w:rsidR="0088786C" w:rsidRDefault="0088786C" w:rsidP="0088786C">
      <w:pPr>
        <w:spacing w:after="120" w:line="276" w:lineRule="auto"/>
        <w:ind w:left="480" w:hanging="480"/>
      </w:pPr>
      <w:r>
        <w:rPr>
          <w:sz w:val="22"/>
          <w:szCs w:val="22"/>
        </w:rPr>
        <w:t>[13] Diabetic Retinopathy Clinical Research Network et al., "Panretinal photocoagulation vs intravitreous ranibizumab for proliferative diabetic retinopathy: A randomized clinical trial," JAMA, vol. 314, no. 20, pp. 2137–2146, 2015.</w:t>
      </w:r>
    </w:p>
    <w:p w14:paraId="4A9BFF6C" w14:textId="77777777" w:rsidR="0088786C" w:rsidRDefault="0088786C" w:rsidP="0088786C">
      <w:pPr>
        <w:spacing w:after="120" w:line="276" w:lineRule="auto"/>
        <w:ind w:left="480" w:hanging="480"/>
      </w:pPr>
      <w:r>
        <w:rPr>
          <w:sz w:val="22"/>
          <w:szCs w:val="22"/>
        </w:rPr>
        <w:t>[14] G. N. Rao et al., "Integrated model of eye health care: Current Asian scenarios," Pan-American Journal of Ophthalmology, vol. 14, pp. 52–58, 2012.</w:t>
      </w:r>
    </w:p>
    <w:p w14:paraId="5DA2AC4C" w14:textId="77777777" w:rsidR="0088786C" w:rsidRDefault="0088786C" w:rsidP="0088786C">
      <w:pPr>
        <w:spacing w:after="120" w:line="276" w:lineRule="auto"/>
        <w:ind w:left="480" w:hanging="480"/>
      </w:pPr>
      <w:r>
        <w:rPr>
          <w:sz w:val="22"/>
          <w:szCs w:val="22"/>
        </w:rPr>
        <w:t>[15] S. Resnikoff et al., "Estimated number of ophthalmologists worldwide (International Council of Ophthalmology update)," British Journal of Ophthalmology, vol. 104, pp. 588–592, 2020.</w:t>
      </w:r>
    </w:p>
    <w:p w14:paraId="44B8C630" w14:textId="77777777" w:rsidR="0088786C" w:rsidRDefault="0088786C" w:rsidP="0088786C">
      <w:pPr>
        <w:spacing w:after="120" w:line="276" w:lineRule="auto"/>
        <w:ind w:left="480" w:hanging="480"/>
      </w:pPr>
      <w:r>
        <w:rPr>
          <w:sz w:val="22"/>
          <w:szCs w:val="22"/>
        </w:rPr>
        <w:t>[16] P. H. Scanlon, "The English National Screening Programme for diabetic retinopathy 2003–2016," Acta Diabetologica, vol. 54, no. 6, pp. 515–525, 2017.</w:t>
      </w:r>
    </w:p>
    <w:p w14:paraId="7F97EC76" w14:textId="77777777" w:rsidR="0088786C" w:rsidRDefault="0088786C" w:rsidP="0088786C">
      <w:pPr>
        <w:spacing w:after="120" w:line="276" w:lineRule="auto"/>
        <w:ind w:left="480" w:hanging="480"/>
      </w:pPr>
      <w:r>
        <w:rPr>
          <w:sz w:val="22"/>
          <w:szCs w:val="22"/>
        </w:rPr>
        <w:t>[17] P. Ruamviboonsuk et al., "Interobserver agreement in the interpretation of single-field digital fundus images for diabetic retinopathy screening," Ophthalmology, vol. 113, no. 5, pp. 826–832, 2006.</w:t>
      </w:r>
    </w:p>
    <w:p w14:paraId="02576095" w14:textId="77777777" w:rsidR="0088786C" w:rsidRDefault="0088786C" w:rsidP="0088786C">
      <w:pPr>
        <w:spacing w:after="120" w:line="276" w:lineRule="auto"/>
        <w:ind w:left="480" w:hanging="480"/>
      </w:pPr>
      <w:r>
        <w:rPr>
          <w:sz w:val="22"/>
          <w:szCs w:val="22"/>
        </w:rPr>
        <w:t>[18] R. Karki et al., "Interobserver agreement in grading diabetic retinopathy: A systematic review," Clinical Ophthalmology, vol. 15, pp. 2825–2838, 2021.</w:t>
      </w:r>
    </w:p>
    <w:p w14:paraId="6D20F564" w14:textId="77777777" w:rsidR="0088786C" w:rsidRDefault="0088786C" w:rsidP="0088786C">
      <w:pPr>
        <w:spacing w:after="120" w:line="276" w:lineRule="auto"/>
        <w:ind w:left="480" w:hanging="480"/>
      </w:pPr>
      <w:r>
        <w:rPr>
          <w:sz w:val="22"/>
          <w:szCs w:val="22"/>
        </w:rPr>
        <w:lastRenderedPageBreak/>
        <w:t>[19] Y. LeCun, Y. Bengio, and G. Hinton, "Deep learning," Nature, vol. 521, no. 7553, pp. 436–444, 2015.</w:t>
      </w:r>
    </w:p>
    <w:p w14:paraId="2472DF30" w14:textId="77777777" w:rsidR="0088786C" w:rsidRDefault="0088786C" w:rsidP="0088786C">
      <w:pPr>
        <w:spacing w:after="120" w:line="276" w:lineRule="auto"/>
        <w:ind w:left="480" w:hanging="480"/>
      </w:pPr>
      <w:r>
        <w:rPr>
          <w:sz w:val="22"/>
          <w:szCs w:val="22"/>
        </w:rPr>
        <w:t>[20] A. Krizhevsky, I. Sutskever, and G. E. Hinton, "ImageNet classification with deep convolutional neural networks," in Proc. NeurIPS, 2012, pp. 1097–1105.</w:t>
      </w:r>
    </w:p>
    <w:p w14:paraId="65E90762" w14:textId="77777777" w:rsidR="0088786C" w:rsidRDefault="0088786C" w:rsidP="0088786C">
      <w:pPr>
        <w:spacing w:after="120" w:line="276" w:lineRule="auto"/>
        <w:ind w:left="480" w:hanging="480"/>
      </w:pPr>
      <w:r>
        <w:rPr>
          <w:sz w:val="22"/>
          <w:szCs w:val="22"/>
        </w:rPr>
        <w:t>[21] G. Litjens et al., "A survey on deep learning in medical image analysis," Medical Image Analysis, vol. 42, pp. 60–88, 2017.</w:t>
      </w:r>
    </w:p>
    <w:p w14:paraId="37CD175D" w14:textId="77777777" w:rsidR="0088786C" w:rsidRDefault="0088786C" w:rsidP="0088786C">
      <w:pPr>
        <w:spacing w:after="120" w:line="276" w:lineRule="auto"/>
        <w:ind w:left="480" w:hanging="480"/>
      </w:pPr>
      <w:r>
        <w:rPr>
          <w:sz w:val="22"/>
          <w:szCs w:val="22"/>
        </w:rPr>
        <w:t>[22] C. Szegedy et al., "Rethinking the Inception architecture," in Proc. IEEE CVPR, 2016, pp. 2818–2826.</w:t>
      </w:r>
    </w:p>
    <w:p w14:paraId="52061FAE" w14:textId="77777777" w:rsidR="0088786C" w:rsidRDefault="0088786C" w:rsidP="0088786C">
      <w:pPr>
        <w:spacing w:after="120" w:line="276" w:lineRule="auto"/>
        <w:ind w:left="480" w:hanging="480"/>
      </w:pPr>
      <w:r>
        <w:rPr>
          <w:sz w:val="22"/>
          <w:szCs w:val="22"/>
        </w:rPr>
        <w:t>[23] V. Gulshan et al., "Development and validation of a deep learning algorithm for detection of diabetic retinopathy in retinal fundus photographs," JAMA, vol. 316, no. 22, pp. 2402–2410, 2016.</w:t>
      </w:r>
    </w:p>
    <w:p w14:paraId="4FFA2855" w14:textId="77777777" w:rsidR="0088786C" w:rsidRDefault="0088786C" w:rsidP="0088786C">
      <w:pPr>
        <w:spacing w:after="120" w:line="276" w:lineRule="auto"/>
        <w:ind w:left="480" w:hanging="480"/>
      </w:pPr>
      <w:r>
        <w:rPr>
          <w:sz w:val="22"/>
          <w:szCs w:val="22"/>
        </w:rPr>
        <w:t>[24] R. Gargeya and T. Leng, "Automated identification of diabetic retinopathy using deep learning," Ophthalmology, vol. 124, no. 7, pp. 962–969, 2017.</w:t>
      </w:r>
    </w:p>
    <w:p w14:paraId="4AEA21B7" w14:textId="77777777" w:rsidR="0088786C" w:rsidRDefault="0088786C" w:rsidP="0088786C">
      <w:pPr>
        <w:spacing w:after="120" w:line="276" w:lineRule="auto"/>
        <w:ind w:left="480" w:hanging="480"/>
      </w:pPr>
      <w:r>
        <w:rPr>
          <w:sz w:val="22"/>
          <w:szCs w:val="22"/>
        </w:rPr>
        <w:t>[25] D. S. W. Ting et al., "Development and validation of a deep learning system for diabetic retinopathy and related eye diseases using retinal images from multiethnic populations with diabetes," JAMA, vol. 318, no. 22, pp. 2211–2223, 2017.</w:t>
      </w:r>
    </w:p>
    <w:p w14:paraId="131C4558" w14:textId="77777777" w:rsidR="0088786C" w:rsidRDefault="0088786C" w:rsidP="0088786C">
      <w:pPr>
        <w:spacing w:after="120" w:line="276" w:lineRule="auto"/>
        <w:ind w:left="480" w:hanging="480"/>
      </w:pPr>
      <w:r>
        <w:rPr>
          <w:sz w:val="22"/>
          <w:szCs w:val="22"/>
        </w:rPr>
        <w:t>[26] M. D. Abramoff et al., "Pivotal trial of an autonomous AI-based diagnostic system for detection of diabetic retinopathy in primary care offices," npj Digital Medicine, vol. 1, no. 39, 2018.</w:t>
      </w:r>
    </w:p>
    <w:p w14:paraId="3E9D0EF8" w14:textId="77777777" w:rsidR="0088786C" w:rsidRDefault="0088786C" w:rsidP="0088786C">
      <w:pPr>
        <w:spacing w:after="120" w:line="276" w:lineRule="auto"/>
        <w:ind w:left="480" w:hanging="480"/>
      </w:pPr>
      <w:r>
        <w:rPr>
          <w:sz w:val="22"/>
          <w:szCs w:val="22"/>
        </w:rPr>
        <w:t>[27] S. Ipp et al., "Pivotal evaluation of an artificial intelligence system for autonomous detection of referrable and vision-threatening diabetic retinopathy," JAMA Network Open, vol. 4, no. 11, p. e2134254, 2021.</w:t>
      </w:r>
    </w:p>
    <w:p w14:paraId="2A541D4E" w14:textId="77777777" w:rsidR="0088786C" w:rsidRDefault="0088786C" w:rsidP="0088786C">
      <w:pPr>
        <w:spacing w:after="120" w:line="276" w:lineRule="auto"/>
        <w:ind w:left="480" w:hanging="480"/>
      </w:pPr>
      <w:r>
        <w:rPr>
          <w:sz w:val="22"/>
          <w:szCs w:val="22"/>
        </w:rPr>
        <w:t>[28] R. Sayres et al., "Using a deep learning algorithm and integrated gradients explanation to assist grading for diabetic retinopathy," Ophthalmology, vol. 126, no. 4, pp. 552–564, 2019.</w:t>
      </w:r>
    </w:p>
    <w:p w14:paraId="77F511AC" w14:textId="77777777" w:rsidR="0088786C" w:rsidRDefault="0088786C" w:rsidP="0088786C">
      <w:pPr>
        <w:spacing w:after="120" w:line="276" w:lineRule="auto"/>
        <w:ind w:left="480" w:hanging="480"/>
      </w:pPr>
      <w:r>
        <w:rPr>
          <w:sz w:val="22"/>
          <w:szCs w:val="22"/>
        </w:rPr>
        <w:t>[29] D. S. W. Ting et al., "Artificial intelligence and deep learning in ophthalmology," British Journal of Ophthalmology, vol. 103, no. 2, pp. 167–175, 2019.</w:t>
      </w:r>
    </w:p>
    <w:p w14:paraId="0FB3F99C" w14:textId="77777777" w:rsidR="0088786C" w:rsidRDefault="0088786C" w:rsidP="0088786C">
      <w:pPr>
        <w:spacing w:after="120" w:line="276" w:lineRule="auto"/>
        <w:ind w:left="480" w:hanging="480"/>
      </w:pPr>
      <w:r>
        <w:rPr>
          <w:sz w:val="22"/>
          <w:szCs w:val="22"/>
        </w:rPr>
        <w:t>[30] V. Gulshan et al., "Performance of a deep-learning algorithm vs manual grading for detecting diabetic retinopathy in India," JAMA Ophthalmology, vol. 137, no. 9, pp. 987–993, 2019.</w:t>
      </w:r>
    </w:p>
    <w:p w14:paraId="067B8E65" w14:textId="77777777" w:rsidR="0088786C" w:rsidRDefault="0088786C" w:rsidP="0088786C">
      <w:pPr>
        <w:spacing w:after="120" w:line="276" w:lineRule="auto"/>
        <w:ind w:left="480" w:hanging="480"/>
      </w:pPr>
      <w:r>
        <w:rPr>
          <w:sz w:val="22"/>
          <w:szCs w:val="22"/>
        </w:rPr>
        <w:t>[31] J. Deng et al., "ImageNet: A large-scale hierarchical image database," in Proc. IEEE CVPR, 2009, pp. 248–255.</w:t>
      </w:r>
    </w:p>
    <w:p w14:paraId="4D127F6C" w14:textId="77777777" w:rsidR="0088786C" w:rsidRDefault="0088786C" w:rsidP="0088786C">
      <w:pPr>
        <w:spacing w:after="120" w:line="276" w:lineRule="auto"/>
        <w:ind w:left="480" w:hanging="480"/>
      </w:pPr>
      <w:r>
        <w:rPr>
          <w:sz w:val="22"/>
          <w:szCs w:val="22"/>
        </w:rPr>
        <w:t>[32] J. Yosinski, J. Clune, Y. Bengio, and H. Lipson, "How transferable are features in deep neural networks?," in Proc. NeurIPS, 2014, pp. 3320–3328.</w:t>
      </w:r>
    </w:p>
    <w:p w14:paraId="59AF3E0E" w14:textId="77777777" w:rsidR="0088786C" w:rsidRDefault="0088786C" w:rsidP="0088786C">
      <w:pPr>
        <w:spacing w:after="120" w:line="276" w:lineRule="auto"/>
        <w:ind w:left="480" w:hanging="480"/>
      </w:pPr>
      <w:r>
        <w:rPr>
          <w:sz w:val="22"/>
          <w:szCs w:val="22"/>
        </w:rPr>
        <w:t>[33] M. Raghu et al., "Transfusion: Understanding transfer learning for medical imaging," in Proc. NeurIPS, 2019, pp. 3342–3352.</w:t>
      </w:r>
    </w:p>
    <w:p w14:paraId="32EC8789" w14:textId="77777777" w:rsidR="0088786C" w:rsidRDefault="0088786C" w:rsidP="0088786C">
      <w:pPr>
        <w:spacing w:after="120" w:line="276" w:lineRule="auto"/>
        <w:ind w:left="480" w:hanging="480"/>
      </w:pPr>
      <w:r>
        <w:rPr>
          <w:sz w:val="22"/>
          <w:szCs w:val="22"/>
        </w:rPr>
        <w:t>[34] L. N. Smith and N. Topin, "Super-convergence: Very fast training of neural networks using large learning rates," in Proc. SPIE, vol. 11006, 2019, p. 1100612.</w:t>
      </w:r>
    </w:p>
    <w:p w14:paraId="3718748D" w14:textId="77777777" w:rsidR="0088786C" w:rsidRDefault="0088786C" w:rsidP="0088786C">
      <w:pPr>
        <w:spacing w:after="120" w:line="276" w:lineRule="auto"/>
        <w:ind w:left="480" w:hanging="480"/>
      </w:pPr>
      <w:r>
        <w:rPr>
          <w:sz w:val="22"/>
          <w:szCs w:val="22"/>
        </w:rPr>
        <w:t>[35] J. Howard and S. Ruder, "Universal Language Model Fine-tuning for Text Classification," in Proc. ACL, 2018, pp. 328–339.</w:t>
      </w:r>
    </w:p>
    <w:p w14:paraId="403C20A3" w14:textId="77777777" w:rsidR="0088786C" w:rsidRDefault="0088786C" w:rsidP="0088786C">
      <w:pPr>
        <w:spacing w:after="120" w:line="276" w:lineRule="auto"/>
        <w:ind w:left="480" w:hanging="480"/>
      </w:pPr>
      <w:r>
        <w:rPr>
          <w:sz w:val="22"/>
          <w:szCs w:val="22"/>
        </w:rPr>
        <w:lastRenderedPageBreak/>
        <w:t>[36] M. McCloskey and N. J. Cohen, "Catastrophic interference in connectionist networks: The sequential learning problem," Psychology of Learning and Motivation, vol. 24, pp. 109–165, 1989.</w:t>
      </w:r>
    </w:p>
    <w:p w14:paraId="5DBCD7C4" w14:textId="77777777" w:rsidR="0088786C" w:rsidRDefault="0088786C" w:rsidP="0088786C">
      <w:pPr>
        <w:spacing w:after="120" w:line="276" w:lineRule="auto"/>
        <w:ind w:left="480" w:hanging="480"/>
      </w:pPr>
      <w:r>
        <w:rPr>
          <w:sz w:val="22"/>
          <w:szCs w:val="22"/>
        </w:rPr>
        <w:t>[37] P. McCullagh, "Regression models for ordinal data," Journal of the Royal Statistical Society: Series B, vol. 42, no. 2, pp. 109–142, 1980.</w:t>
      </w:r>
    </w:p>
    <w:p w14:paraId="30AE7024" w14:textId="77777777" w:rsidR="0088786C" w:rsidRDefault="0088786C" w:rsidP="0088786C">
      <w:pPr>
        <w:spacing w:after="120" w:line="276" w:lineRule="auto"/>
        <w:ind w:left="480" w:hanging="480"/>
      </w:pPr>
      <w:r>
        <w:rPr>
          <w:sz w:val="22"/>
          <w:szCs w:val="22"/>
        </w:rPr>
        <w:t>[38] E. Frank and M. Hall, "A simple approach to ordinal classification," in Proc. ECML, 2001, pp. 145–156.</w:t>
      </w:r>
    </w:p>
    <w:p w14:paraId="2F10EB2C" w14:textId="77777777" w:rsidR="0088786C" w:rsidRDefault="0088786C" w:rsidP="0088786C">
      <w:pPr>
        <w:spacing w:after="120" w:line="276" w:lineRule="auto"/>
        <w:ind w:left="480" w:hanging="480"/>
      </w:pPr>
      <w:r>
        <w:rPr>
          <w:sz w:val="22"/>
          <w:szCs w:val="22"/>
        </w:rPr>
        <w:t>[39] C. Beckham and C. Pal, "Unimodal probability distributions for deep ordinal classification," in Proc. ICML, 2017, pp. 411–419.</w:t>
      </w:r>
    </w:p>
    <w:p w14:paraId="371AC583" w14:textId="77777777" w:rsidR="0088786C" w:rsidRDefault="0088786C" w:rsidP="0088786C">
      <w:pPr>
        <w:spacing w:after="120" w:line="276" w:lineRule="auto"/>
        <w:ind w:left="480" w:hanging="480"/>
      </w:pPr>
      <w:r>
        <w:rPr>
          <w:sz w:val="22"/>
          <w:szCs w:val="22"/>
        </w:rPr>
        <w:t>[40] S. Geman, E. Bienenstock, and R. Doursat, "Neural networks and the bias/variance dilemma," Neural Computation, vol. 4, no. 1, pp. 1–58, 1992.</w:t>
      </w:r>
    </w:p>
    <w:p w14:paraId="1917F3DB" w14:textId="77777777" w:rsidR="0088786C" w:rsidRDefault="0088786C" w:rsidP="0088786C">
      <w:pPr>
        <w:spacing w:after="120" w:line="276" w:lineRule="auto"/>
        <w:ind w:left="480" w:hanging="480"/>
      </w:pPr>
      <w:r>
        <w:rPr>
          <w:sz w:val="22"/>
          <w:szCs w:val="22"/>
        </w:rPr>
        <w:t>[41] B. Lakshminarayanan, A. Pritzel, and C. Blundell, "Simple and scalable predictive uncertainty estimation using deep ensembles," in Proc. NeurIPS, 2017, pp. 6402–6413.</w:t>
      </w:r>
    </w:p>
    <w:p w14:paraId="46F2D40D" w14:textId="77777777" w:rsidR="0088786C" w:rsidRDefault="0088786C" w:rsidP="0088786C">
      <w:pPr>
        <w:spacing w:after="120" w:line="276" w:lineRule="auto"/>
        <w:ind w:left="480" w:hanging="480"/>
      </w:pPr>
      <w:r>
        <w:rPr>
          <w:sz w:val="22"/>
          <w:szCs w:val="22"/>
        </w:rPr>
        <w:t>[42] T. G. Dietterich, "Ensemble methods in machine learning," in Multiple Classifier Systems (MCS), Lecture Notes in Computer Science, vol. 1857, 2000, pp. 1–15.</w:t>
      </w:r>
    </w:p>
    <w:p w14:paraId="6CBDD91A" w14:textId="77777777" w:rsidR="0088786C" w:rsidRDefault="0088786C" w:rsidP="0088786C">
      <w:pPr>
        <w:spacing w:after="120" w:line="276" w:lineRule="auto"/>
        <w:ind w:left="480" w:hanging="480"/>
      </w:pPr>
      <w:r>
        <w:rPr>
          <w:sz w:val="22"/>
          <w:szCs w:val="22"/>
        </w:rPr>
        <w:t>[43] G. Wang et al., "Aleatoric uncertainty estimation with test-time augmentation for medical image segmentation with convolutional neural networks," Neurocomputing, vol. 338, pp. 34–45, 2019.</w:t>
      </w:r>
    </w:p>
    <w:p w14:paraId="4A3EA73E" w14:textId="77777777" w:rsidR="0088786C" w:rsidRDefault="0088786C" w:rsidP="0088786C">
      <w:pPr>
        <w:spacing w:after="120" w:line="276" w:lineRule="auto"/>
        <w:ind w:left="480" w:hanging="480"/>
      </w:pPr>
      <w:r>
        <w:rPr>
          <w:sz w:val="22"/>
          <w:szCs w:val="22"/>
        </w:rPr>
        <w:t>[44] W. J. Youden, "Index for rating diagnostic tests," Cancer, vol. 3, no. 1, pp. 32–35, 1950.</w:t>
      </w:r>
    </w:p>
    <w:p w14:paraId="60A2C578" w14:textId="77777777" w:rsidR="0088786C" w:rsidRDefault="0088786C" w:rsidP="0088786C">
      <w:pPr>
        <w:spacing w:after="120" w:line="276" w:lineRule="auto"/>
        <w:ind w:left="480" w:hanging="480"/>
      </w:pPr>
      <w:r>
        <w:rPr>
          <w:sz w:val="22"/>
          <w:szCs w:val="22"/>
        </w:rPr>
        <w:t>[45] M. Tan and Q. V. Le, "EfficientNet: Rethinking model scaling for convolutional neural networks," in Proc. ICML, 2019, pp. 6105–6114.</w:t>
      </w:r>
    </w:p>
    <w:p w14:paraId="5F7E8587" w14:textId="77777777" w:rsidR="0088786C" w:rsidRDefault="0088786C" w:rsidP="0088786C">
      <w:pPr>
        <w:spacing w:after="120" w:line="276" w:lineRule="auto"/>
        <w:ind w:left="480" w:hanging="480"/>
      </w:pPr>
      <w:r>
        <w:rPr>
          <w:sz w:val="22"/>
          <w:szCs w:val="22"/>
        </w:rPr>
        <w:t>[46] Asia Pacific Tele-Ophthalmology Society (APTOS), "APTOS 2019 Blindness Detection," Kaggle, 2019. [Online]. Available: https://www.kaggle.com/c/aptos2019-blindness-detection</w:t>
      </w:r>
    </w:p>
    <w:p w14:paraId="13D56C54" w14:textId="77777777" w:rsidR="0088786C" w:rsidRDefault="0088786C" w:rsidP="0088786C">
      <w:pPr>
        <w:spacing w:after="120" w:line="276" w:lineRule="auto"/>
        <w:ind w:left="480" w:hanging="480"/>
      </w:pPr>
      <w:r>
        <w:rPr>
          <w:sz w:val="22"/>
          <w:szCs w:val="22"/>
        </w:rPr>
        <w:t>[47] A. Buslaev et al., "Albumentations: Fast and flexible image augmentations," Information, vol. 11, no. 2, p. 125, 2020.</w:t>
      </w:r>
    </w:p>
    <w:p w14:paraId="7DA995A6" w14:textId="77777777" w:rsidR="0088786C" w:rsidRDefault="0088786C" w:rsidP="0088786C">
      <w:pPr>
        <w:spacing w:after="120" w:line="276" w:lineRule="auto"/>
        <w:ind w:left="480" w:hanging="480"/>
      </w:pPr>
      <w:r>
        <w:rPr>
          <w:sz w:val="22"/>
          <w:szCs w:val="22"/>
        </w:rPr>
        <w:t>[48] J. Cohen, "Weighted kappa: Nominal scale agreement provision for scaled disagreement or partial credit," Psychological Bulletin, vol. 70, no. 4, pp. 213–220, 1968.</w:t>
      </w:r>
    </w:p>
    <w:p w14:paraId="6DDEF7EA" w14:textId="77777777" w:rsidR="0088786C" w:rsidRDefault="0088786C" w:rsidP="0088786C">
      <w:pPr>
        <w:spacing w:after="120" w:line="276" w:lineRule="auto"/>
        <w:ind w:left="480" w:hanging="480"/>
      </w:pPr>
      <w:r>
        <w:rPr>
          <w:sz w:val="22"/>
          <w:szCs w:val="22"/>
        </w:rPr>
        <w:t>[49] G. W. Brier, "Verification of forecasts expressed in terms of probability," Monthly Weather Review, vol. 78, no. 1, pp. 1–3, 1950.</w:t>
      </w:r>
    </w:p>
    <w:p w14:paraId="1DD9BA88" w14:textId="77777777" w:rsidR="0088786C" w:rsidRDefault="0088786C" w:rsidP="0088786C">
      <w:pPr>
        <w:spacing w:after="120" w:line="276" w:lineRule="auto"/>
        <w:ind w:left="480" w:hanging="480"/>
      </w:pPr>
      <w:r>
        <w:rPr>
          <w:sz w:val="22"/>
          <w:szCs w:val="22"/>
        </w:rPr>
        <w:t>[50] A. Niculescu-Mizil and R. Caruana, "Predicting good probabilities with supervised learning," in Proc. ICML, 2005, pp. 625–632.</w:t>
      </w:r>
    </w:p>
    <w:p w14:paraId="44D5A3E3" w14:textId="77777777" w:rsidR="0088786C" w:rsidRDefault="0088786C" w:rsidP="0088786C">
      <w:pPr>
        <w:spacing w:after="120" w:line="276" w:lineRule="auto"/>
        <w:ind w:left="480" w:hanging="480"/>
      </w:pPr>
      <w:r>
        <w:rPr>
          <w:sz w:val="22"/>
          <w:szCs w:val="22"/>
        </w:rPr>
        <w:t>[51] B. Efron and R. J. Tibshirani, An Introduction to the Bootstrap. New York: Chapman &amp; Hall/CRC, 1993.</w:t>
      </w:r>
    </w:p>
    <w:p w14:paraId="52FD02F2" w14:textId="77777777" w:rsidR="0088786C" w:rsidRDefault="0088786C" w:rsidP="0088786C">
      <w:pPr>
        <w:spacing w:after="120" w:line="276" w:lineRule="auto"/>
        <w:ind w:left="480" w:hanging="480"/>
      </w:pPr>
      <w:r>
        <w:rPr>
          <w:sz w:val="22"/>
          <w:szCs w:val="22"/>
        </w:rPr>
        <w:t>[52] X. Liu et al., "Reporting guidelines for clinical trial reports for interventions involving artificial intelligence: The CONSORT-AI Extension," The Lancet Digital Health, vol. 2, no. 10, pp. e537–e548, 2020.</w:t>
      </w:r>
    </w:p>
    <w:p w14:paraId="4F66E2B1" w14:textId="77777777" w:rsidR="0088786C" w:rsidRDefault="0088786C" w:rsidP="0088786C">
      <w:pPr>
        <w:spacing w:after="120" w:line="276" w:lineRule="auto"/>
        <w:ind w:left="480" w:hanging="480"/>
      </w:pPr>
      <w:r>
        <w:rPr>
          <w:sz w:val="22"/>
          <w:szCs w:val="22"/>
        </w:rPr>
        <w:t>[53] P. Soyer et al., "STARD-AI: Standards for Reporting of Diagnostic Accuracy Studies involving AI," Radiology, vol. 303, no. 1, pp. 54–62, 2022.</w:t>
      </w:r>
    </w:p>
    <w:p w14:paraId="391385E7" w14:textId="77777777" w:rsidR="0088786C" w:rsidRDefault="0088786C" w:rsidP="0088786C">
      <w:pPr>
        <w:spacing w:after="120" w:line="276" w:lineRule="auto"/>
        <w:ind w:left="480" w:hanging="480"/>
      </w:pPr>
      <w:r>
        <w:rPr>
          <w:sz w:val="22"/>
          <w:szCs w:val="22"/>
        </w:rPr>
        <w:lastRenderedPageBreak/>
        <w:t>[54] M. N. Islam et al., "Deep learning algorithms for detection of diabetic retinopathy in retinal fundus photographs: A systematic review and meta-analysis," Computer Methods and Programs in Biomedicine, vol. 191, p. 105320, 2020.</w:t>
      </w:r>
    </w:p>
    <w:p w14:paraId="3D04D472" w14:textId="77777777" w:rsidR="0088786C" w:rsidRDefault="0088786C" w:rsidP="0088786C">
      <w:pPr>
        <w:spacing w:after="120" w:line="276" w:lineRule="auto"/>
        <w:ind w:left="480" w:hanging="480"/>
      </w:pPr>
      <w:r>
        <w:rPr>
          <w:sz w:val="22"/>
          <w:szCs w:val="22"/>
        </w:rPr>
        <w:t>[55] T. Li et al., "Applications of deep learning in fundus images: A review," Medical Image Analysis, vol. 69, p. 101971, 2021.</w:t>
      </w:r>
    </w:p>
    <w:p w14:paraId="7D56F7F8" w14:textId="77777777" w:rsidR="0088786C" w:rsidRDefault="0088786C" w:rsidP="0088786C">
      <w:pPr>
        <w:spacing w:after="120" w:line="276" w:lineRule="auto"/>
        <w:ind w:left="480" w:hanging="480"/>
      </w:pPr>
      <w:r>
        <w:rPr>
          <w:sz w:val="22"/>
          <w:szCs w:val="22"/>
        </w:rPr>
        <w:t>[56] Kaggle, "Diabetic Retinopathy Detection (EyePACS)," 2015. [Online]. Available: https://www.kaggle.com/c/diabetic-retinopathy-detection</w:t>
      </w:r>
    </w:p>
    <w:p w14:paraId="0C73EE24" w14:textId="77777777" w:rsidR="0088786C" w:rsidRDefault="0088786C" w:rsidP="0088786C">
      <w:pPr>
        <w:spacing w:after="120" w:line="276" w:lineRule="auto"/>
        <w:ind w:left="480" w:hanging="480"/>
      </w:pPr>
      <w:r>
        <w:rPr>
          <w:sz w:val="22"/>
          <w:szCs w:val="22"/>
        </w:rPr>
        <w:t>[57] S. Shanmugam et al., "When and why test-time augmentation works," arXiv preprint arXiv:2011.11156, 2020.</w:t>
      </w:r>
    </w:p>
    <w:p w14:paraId="56839718" w14:textId="77777777" w:rsidR="0088786C" w:rsidRDefault="0088786C" w:rsidP="0088786C">
      <w:pPr>
        <w:spacing w:after="120" w:line="276" w:lineRule="auto"/>
        <w:ind w:left="480" w:hanging="480"/>
      </w:pPr>
      <w:r>
        <w:rPr>
          <w:sz w:val="22"/>
          <w:szCs w:val="22"/>
        </w:rPr>
        <w:t>[58] P. Porwal et al., "IDRiD: Diabetic retinopathy – segmentation and grading challenge," Medical Image Analysis, vol. 59, p. 101561, 2020.</w:t>
      </w:r>
    </w:p>
    <w:p w14:paraId="11486085" w14:textId="77777777" w:rsidR="0088786C" w:rsidRDefault="0088786C" w:rsidP="0088786C">
      <w:pPr>
        <w:spacing w:after="120" w:line="276" w:lineRule="auto"/>
        <w:ind w:left="480" w:hanging="480"/>
      </w:pPr>
      <w:r>
        <w:rPr>
          <w:sz w:val="22"/>
          <w:szCs w:val="22"/>
        </w:rPr>
        <w:t>[59] E. Decenciere et al., "Feedback on a publicly distributed image database: The Messidor database," Image Analysis &amp; Stereology, vol. 33, no. 3, pp. 231–234, 2014.</w:t>
      </w:r>
    </w:p>
    <w:p w14:paraId="20AB77E7" w14:textId="77777777" w:rsidR="0088786C" w:rsidRDefault="0088786C" w:rsidP="0088786C">
      <w:pPr>
        <w:spacing w:after="120" w:line="276" w:lineRule="auto"/>
        <w:ind w:left="480" w:hanging="480"/>
      </w:pPr>
      <w:r>
        <w:rPr>
          <w:sz w:val="22"/>
          <w:szCs w:val="22"/>
        </w:rPr>
        <w:t>[60] Y. Zhou et al., "A foundation model for generalizable disease detection from retinal images," Nature, vol. 622, pp. 156–163, 2023.</w:t>
      </w:r>
    </w:p>
    <w:p w14:paraId="6D23AB7D" w14:textId="77777777" w:rsidR="0088786C" w:rsidRDefault="0088786C" w:rsidP="0088786C">
      <w:pPr>
        <w:spacing w:after="120" w:line="276" w:lineRule="auto"/>
        <w:ind w:left="480" w:hanging="480"/>
      </w:pPr>
      <w:r>
        <w:rPr>
          <w:sz w:val="22"/>
          <w:szCs w:val="22"/>
        </w:rPr>
        <w:t>[61] A. Dosovitskiy et al., "An image is worth 16x16 words: Transformers for image recognition at scale," in Proc. ICLR, 2021.</w:t>
      </w:r>
    </w:p>
    <w:p w14:paraId="0C66C6C3" w14:textId="0985C598" w:rsidR="0088786C" w:rsidRDefault="0088786C">
      <w:r>
        <w:br w:type="page"/>
      </w:r>
    </w:p>
    <w:p w14:paraId="6BFA1C2D" w14:textId="13A86E12" w:rsidR="0088786C" w:rsidRDefault="0088786C" w:rsidP="0088786C">
      <w:pPr>
        <w:spacing w:after="200" w:line="360" w:lineRule="auto"/>
      </w:pPr>
    </w:p>
    <w:p w14:paraId="27480DCD" w14:textId="1CF7C4EF" w:rsidR="0088786C" w:rsidRDefault="0088786C" w:rsidP="0088786C">
      <w:pPr>
        <w:pStyle w:val="Heading1"/>
      </w:pPr>
      <w:r>
        <w:br w:type="page"/>
      </w:r>
      <w:r>
        <w:rPr>
          <w:rFonts w:ascii="Times New Roman" w:eastAsia="Times New Roman" w:hAnsi="Times New Roman" w:cs="Times New Roman"/>
          <w:b/>
          <w:bCs/>
          <w:sz w:val="32"/>
          <w:szCs w:val="32"/>
        </w:rPr>
        <w:lastRenderedPageBreak/>
        <w:t>Chapter 2</w:t>
      </w:r>
    </w:p>
    <w:p w14:paraId="12463356" w14:textId="40797FB6" w:rsidR="0088786C" w:rsidRDefault="0088786C" w:rsidP="0088786C">
      <w:pPr>
        <w:spacing w:before="120" w:after="480"/>
        <w:jc w:val="center"/>
      </w:pPr>
      <w:r>
        <w:rPr>
          <w:b/>
          <w:bCs/>
          <w:sz w:val="36"/>
          <w:szCs w:val="36"/>
        </w:rPr>
        <w:t>Literatire Review</w:t>
      </w:r>
    </w:p>
    <w:p w14:paraId="6EBE20E7" w14:textId="28ADB030" w:rsidR="000C029E" w:rsidRDefault="000C029E" w:rsidP="000C029E">
      <w:pPr>
        <w:pStyle w:val="NormalWeb"/>
      </w:pPr>
      <w:r>
        <w:rPr>
          <w:rStyle w:val="Strong"/>
        </w:rPr>
        <w:t>2.1 Diabetic Retinopathy: Clinical Background</w:t>
      </w:r>
    </w:p>
    <w:p w14:paraId="0F0124B9" w14:textId="77777777" w:rsidR="000C029E" w:rsidRDefault="000C029E" w:rsidP="000C029E">
      <w:pPr>
        <w:pStyle w:val="NormalWeb"/>
      </w:pPr>
      <w:r>
        <w:t>Diabetic retinopathy (DR) is a microvascular complication of diabetes mellitus characterized by progressive damage to the retinal vasculature. Chronic hyperglycemia induces endothelial dysfunction, pericyte loss, basement membrane thickening, and breakdown of the blood-retinal barrier. These changes manifest as microaneurysms, intraretinal hemorrhages, hard and soft exudates, venous beading, intraretinal microvascular abnormalities (IRMAs), and, in advanced stages, neovascularization and vitreous hemorrhage.</w:t>
      </w:r>
    </w:p>
    <w:p w14:paraId="39EA88C7" w14:textId="77777777" w:rsidR="000C029E" w:rsidRDefault="000C029E" w:rsidP="000C029E">
      <w:pPr>
        <w:pStyle w:val="NormalWeb"/>
      </w:pPr>
      <w:r>
        <w:t>The internationally accepted grading system is the five-stage ETDRS-derived International Clinical Diabetic Retinopathy Severity Scale [Wilkinson et al., 2003]:</w:t>
      </w:r>
    </w:p>
    <w:p w14:paraId="758DFD47" w14:textId="77777777" w:rsidR="000C029E" w:rsidRDefault="000C029E" w:rsidP="000C029E">
      <w:pPr>
        <w:numPr>
          <w:ilvl w:val="0"/>
          <w:numId w:val="1"/>
        </w:numPr>
        <w:spacing w:before="100" w:beforeAutospacing="1" w:after="100" w:afterAutospacing="1"/>
      </w:pPr>
      <w:r>
        <w:rPr>
          <w:rStyle w:val="Strong"/>
        </w:rPr>
        <w:t>Grade 0 (No apparent retinopathy):</w:t>
      </w:r>
      <w:r>
        <w:t xml:space="preserve"> No abnormalities.</w:t>
      </w:r>
    </w:p>
    <w:p w14:paraId="633A7577" w14:textId="77777777" w:rsidR="000C029E" w:rsidRDefault="000C029E" w:rsidP="000C029E">
      <w:pPr>
        <w:numPr>
          <w:ilvl w:val="0"/>
          <w:numId w:val="1"/>
        </w:numPr>
        <w:spacing w:before="100" w:beforeAutospacing="1" w:after="100" w:afterAutospacing="1"/>
      </w:pPr>
      <w:r>
        <w:rPr>
          <w:rStyle w:val="Strong"/>
        </w:rPr>
        <w:t>Grade 1 (Mild non-proliferative DR):</w:t>
      </w:r>
      <w:r>
        <w:t xml:space="preserve"> Microaneurysms only.</w:t>
      </w:r>
    </w:p>
    <w:p w14:paraId="54B94CFE" w14:textId="77777777" w:rsidR="000C029E" w:rsidRDefault="000C029E" w:rsidP="000C029E">
      <w:pPr>
        <w:numPr>
          <w:ilvl w:val="0"/>
          <w:numId w:val="1"/>
        </w:numPr>
        <w:spacing w:before="100" w:beforeAutospacing="1" w:after="100" w:afterAutospacing="1"/>
      </w:pPr>
      <w:r>
        <w:rPr>
          <w:rStyle w:val="Strong"/>
        </w:rPr>
        <w:t>Grade 2 (Moderate non-proliferative DR):</w:t>
      </w:r>
      <w:r>
        <w:t xml:space="preserve"> More than just microaneurysms but less than severe NPDR; typically includes hemorrhages, hard exudates, cotton-wool spots.</w:t>
      </w:r>
    </w:p>
    <w:p w14:paraId="63CB824A" w14:textId="77777777" w:rsidR="000C029E" w:rsidRDefault="000C029E" w:rsidP="000C029E">
      <w:pPr>
        <w:numPr>
          <w:ilvl w:val="0"/>
          <w:numId w:val="1"/>
        </w:numPr>
        <w:spacing w:before="100" w:beforeAutospacing="1" w:after="100" w:afterAutospacing="1"/>
      </w:pPr>
      <w:r>
        <w:rPr>
          <w:rStyle w:val="Strong"/>
        </w:rPr>
        <w:t>Grade 3 (Severe non-proliferative DR):</w:t>
      </w:r>
      <w:r>
        <w:t xml:space="preserve"> Any one of: (i) extensive intraretinal hemorrhages in all four quadrants, (ii) definite venous beading in two or more quadrants, (iii) prominent IRMAs in at least one quadrant.</w:t>
      </w:r>
    </w:p>
    <w:p w14:paraId="11523ECE" w14:textId="77777777" w:rsidR="000C029E" w:rsidRDefault="000C029E" w:rsidP="000C029E">
      <w:pPr>
        <w:numPr>
          <w:ilvl w:val="0"/>
          <w:numId w:val="1"/>
        </w:numPr>
        <w:spacing w:before="100" w:beforeAutospacing="1" w:after="100" w:afterAutospacing="1"/>
      </w:pPr>
      <w:r>
        <w:rPr>
          <w:rStyle w:val="Strong"/>
        </w:rPr>
        <w:t>Grade 4 (Proliferative DR):</w:t>
      </w:r>
      <w:r>
        <w:t xml:space="preserve"> Neovascularization at the disc or elsewhere, preretinal or vitreous hemorrhage.</w:t>
      </w:r>
    </w:p>
    <w:p w14:paraId="1B402A39" w14:textId="77777777" w:rsidR="000C029E" w:rsidRDefault="000C029E" w:rsidP="000C029E">
      <w:pPr>
        <w:pStyle w:val="NormalWeb"/>
      </w:pPr>
      <w:r>
        <w:t>These grades guide clinical management. Grades 0–1 are typically observed with optimized glycemic control; Grade 2 may warrant closer monitoring or early laser therapy; Grades 3–4 (sight-threatening DR) require urgent intervention, including panretinal photocoagulation, intravitreal anti-VEGF agents (e.g., ranibizumab, aflibercept), or pars plana vitrectomy in cases of tractional detachment or non-clearing vitreous hemorrhage.</w:t>
      </w:r>
    </w:p>
    <w:p w14:paraId="07A087D4" w14:textId="77777777" w:rsidR="000C029E" w:rsidRDefault="000C029E" w:rsidP="000C029E">
      <w:pPr>
        <w:pStyle w:val="NormalWeb"/>
      </w:pPr>
      <w:r>
        <w:t>Major screening programs, including the American Academy of Ophthalmology (AAO) Preferred Practice Pattern, the UK National Health Service Diabetic Eye Screening Programme (NHS DESP), and WHO recommendations, advocate annual or biennial fundus photography for all diabetic patients. The NHS DESP sets performance targets of ≥80% sensitivity and ≥95% specificity for referable DR (defined as Grade 2 or worse), and ≥95% sensitivity for sight-threatening DR (Grades 3–4). These stringent requirements reflect the high clinical cost of false negatives (missed vision loss) and the economic burden of excessive false positives (unnecessary specialist referrals).</w:t>
      </w:r>
    </w:p>
    <w:p w14:paraId="34878F8E" w14:textId="77777777" w:rsidR="000C029E" w:rsidRDefault="000C029E" w:rsidP="000C029E">
      <w:pPr>
        <w:pStyle w:val="NormalWeb"/>
      </w:pPr>
      <w:r>
        <w:t>Human grading, however, exhibits moderate inter-observer variability, with kappa coefficients typically ranging from 0.65 to 0.85 even among experienced graders. This variability, combined with the global shortage of ophthalmologists (particularly in rural and low-resource settings), creates a compelling case for automated, reproducible screening tools.</w:t>
      </w:r>
    </w:p>
    <w:p w14:paraId="4F9B15A0" w14:textId="77777777" w:rsidR="000C029E" w:rsidRDefault="000C029E" w:rsidP="000C029E">
      <w:pPr>
        <w:pStyle w:val="NormalWeb"/>
      </w:pPr>
      <w:r>
        <w:rPr>
          <w:rStyle w:val="Strong"/>
        </w:rPr>
        <w:lastRenderedPageBreak/>
        <w:t>2.2 Deep Learning for Retinal Image Analysis</w:t>
      </w:r>
    </w:p>
    <w:p w14:paraId="0B996934" w14:textId="77777777" w:rsidR="000C029E" w:rsidRDefault="000C029E" w:rsidP="000C029E">
      <w:pPr>
        <w:pStyle w:val="NormalWeb"/>
      </w:pPr>
      <w:r>
        <w:t>The application of convolutional neural networks (CNNs) to retinal fundus photography has evolved rapidly since the landmark AlexNet victory in ImageNet 2012. Subsequent architectures—VGG, ResNet, Inception, DenseNet, and EfficientNet—progressively improved accuracy while addressing vanishing gradients, parameter inefficiency, and computational cost.</w:t>
      </w:r>
    </w:p>
    <w:p w14:paraId="1765ADB6" w14:textId="77777777" w:rsidR="000C029E" w:rsidRDefault="000C029E" w:rsidP="000C029E">
      <w:pPr>
        <w:pStyle w:val="NormalWeb"/>
      </w:pPr>
      <w:r>
        <w:t>EfficientNet, introduced by Tan and Le (2019), introduced compound scaling of depth, width, and resolution using a principled coefficient φ that balances model size and performance:</w:t>
      </w:r>
    </w:p>
    <w:p w14:paraId="32C5CCF9" w14:textId="77777777" w:rsidR="000C029E" w:rsidRDefault="000C029E" w:rsidP="000C029E">
      <w:pPr>
        <w:pStyle w:val="NormalWeb"/>
      </w:pPr>
      <w:r>
        <w:t>depth = α^φ, width = β^φ, resolution = γ^φ, subject to α · β² · γ² ≈ 2 (Eq. 1).</w:t>
      </w:r>
    </w:p>
    <w:p w14:paraId="69554C96" w14:textId="77777777" w:rsidR="000C029E" w:rsidRDefault="000C029E" w:rsidP="000C029E">
      <w:pPr>
        <w:pStyle w:val="NormalWeb"/>
      </w:pPr>
      <w:r>
        <w:t>For EfficientNet-B3 (φ = 3, α = 1.2, β = 1.1, γ = 1.15), this yields approximately 12 million parameters and an input resolution of 384 × 384 pixels, achieving state-of-the-art ImageNet top-1 accuracy with significantly fewer FLOPs than ResNet-152 or Inception-v4. The architecture has proven particularly effective in medical imaging tasks where computational efficiency and generalization from limited labeled data are critical.</w:t>
      </w:r>
    </w:p>
    <w:p w14:paraId="0868186C" w14:textId="77777777" w:rsidR="000C029E" w:rsidRDefault="000C029E" w:rsidP="000C029E">
      <w:pPr>
        <w:pStyle w:val="NormalWeb"/>
      </w:pPr>
      <w:r>
        <w:t>Pioneering studies applied deep learning to diabetic retinopathy detection. Gulshan et al. (2016) trained an Inception-v3 model on approximately 128,000 EyePACS images, reporting an AUC-ROC of 0.991 for referable DR, surpassing the majority of ophthalmologists on a held-out test set. Abramoff et al. (2018) developed IDx-DR, the first autonomous AI system cleared by the FDA for DR screening in primary care, achieving 87.2% sensitivity and 90.7% specificity in a prospective multicenter trial. Subsequent large-scale efforts, including Ting et al. (2017) and the DeepDR challenge, further validated CNNs as clinically viable tools, frequently reporting AUC values above 0.95 and sensitivities exceeding 90% for referable disease.</w:t>
      </w:r>
    </w:p>
    <w:p w14:paraId="1C7D995D" w14:textId="77777777" w:rsidR="000C029E" w:rsidRDefault="000C029E" w:rsidP="000C029E">
      <w:pPr>
        <w:pStyle w:val="NormalWeb"/>
      </w:pPr>
      <w:r>
        <w:t>Despite these successes, most early works focused on binary (referable vs. non-referable) or coarse multi-class tasks. Full five-stage grading remains less explored, and systematic comparisons of training strategies on the same modern backbone are scarce.</w:t>
      </w:r>
    </w:p>
    <w:p w14:paraId="19714C1F" w14:textId="77777777" w:rsidR="000C029E" w:rsidRDefault="000C029E" w:rsidP="000C029E">
      <w:pPr>
        <w:pStyle w:val="NormalWeb"/>
      </w:pPr>
      <w:r>
        <w:rPr>
          <w:rStyle w:val="Strong"/>
        </w:rPr>
        <w:t>2.3 Transfer Learning in Medical Imaging</w:t>
      </w:r>
    </w:p>
    <w:p w14:paraId="2A81F1BE" w14:textId="77777777" w:rsidR="000C029E" w:rsidRDefault="000C029E" w:rsidP="000C029E">
      <w:pPr>
        <w:pStyle w:val="NormalWeb"/>
      </w:pPr>
      <w:r>
        <w:t>Transfer learning from large-scale natural-image datasets (primarily ImageNet-1K) remains the dominant paradigm in medical imaging due to the relatively small size of most annotated medical datasets. Yosinski et al. (2014) demonstrated that lower convolutional layers learn generic features (edges, textures) that transfer across domains, while higher layers become increasingly task-specific.</w:t>
      </w:r>
    </w:p>
    <w:p w14:paraId="5623CD81" w14:textId="77777777" w:rsidR="000C029E" w:rsidRDefault="000C029E" w:rsidP="000C029E">
      <w:pPr>
        <w:pStyle w:val="NormalWeb"/>
      </w:pPr>
      <w:r>
        <w:t>Two-phase transfer learning—freezing the backbone during initial head training, then unfreezing for full fine-tuning—mitigates catastrophic forgetting, in which aggressive updates to pretrained weights erase useful low-level features. Discriminative learning rates, assigning higher rates to later layers, further protect general features while allowing task-specific adaptation (Howard &amp; Ruder, 2018). Raghu et al. (2019) showed that, while ImageNet features are not always optimal for medical tasks, they consistently outperform training from scratch when data is limited.</w:t>
      </w:r>
    </w:p>
    <w:p w14:paraId="368FB2A5" w14:textId="77777777" w:rsidR="000C029E" w:rsidRDefault="000C029E" w:rsidP="000C029E">
      <w:pPr>
        <w:pStyle w:val="NormalWeb"/>
      </w:pPr>
      <w:r>
        <w:lastRenderedPageBreak/>
        <w:t>Modern schedulers enhance convergence. Cosine annealing with warm restarts (Loshchilov &amp; Hutter, 2017) periodically resets the learning rate, enabling escape from local minima. OneCycleLR (Smith, 2018) combines a single-cycle triangular learning-rate policy with momentum annealing, often achieving “super-convergence” in fewer epochs.</w:t>
      </w:r>
    </w:p>
    <w:p w14:paraId="41C5232E" w14:textId="77777777" w:rsidR="000C029E" w:rsidRDefault="000C029E" w:rsidP="000C029E">
      <w:pPr>
        <w:pStyle w:val="NormalWeb"/>
      </w:pPr>
      <w:r>
        <w:rPr>
          <w:rStyle w:val="Strong"/>
        </w:rPr>
        <w:t>2.4 Ensemble Methods</w:t>
      </w:r>
    </w:p>
    <w:p w14:paraId="42E3813D" w14:textId="77777777" w:rsidR="000C029E" w:rsidRDefault="000C029E" w:rsidP="000C029E">
      <w:pPr>
        <w:pStyle w:val="NormalWeb"/>
      </w:pPr>
      <w:r>
        <w:t>Ensemble techniques reduce variance and improve robustness by combining predictions from multiple models. In k-fold cross-validation ensembles, diversity arises naturally from training on different data subsets. Lakshminarayanan et al. (2017) demonstrated that deep ensembles provide well-calibrated uncertainty estimates superior to Monte Carlo dropout.</w:t>
      </w:r>
    </w:p>
    <w:p w14:paraId="2CE1DFB9" w14:textId="77777777" w:rsidR="000C029E" w:rsidRDefault="000C029E" w:rsidP="000C029E">
      <w:pPr>
        <w:pStyle w:val="NormalWeb"/>
      </w:pPr>
      <w:r>
        <w:t>Soft voting (averaging class probabilities) generally outperforms hard voting because it preserves relative confidence and mitigates individual model errors. Test-time augmentation (TTA) acts as an implicit ensemble at inference time, averaging predictions over multiple augmented versions of the same input image.</w:t>
      </w:r>
    </w:p>
    <w:p w14:paraId="70507886" w14:textId="77777777" w:rsidR="000C029E" w:rsidRDefault="000C029E" w:rsidP="000C029E">
      <w:pPr>
        <w:pStyle w:val="NormalWeb"/>
      </w:pPr>
      <w:r>
        <w:rPr>
          <w:rStyle w:val="Strong"/>
        </w:rPr>
        <w:t>2.5 Ordinal Classification and Threshold Methods</w:t>
      </w:r>
    </w:p>
    <w:p w14:paraId="5A2C8EFC" w14:textId="77777777" w:rsidR="000C029E" w:rsidRDefault="000C029E" w:rsidP="000C029E">
      <w:pPr>
        <w:pStyle w:val="NormalWeb"/>
      </w:pPr>
      <w:r>
        <w:t>DR severity forms a natural ordinal scale, violating the independence assumption of standard multi-class softmax classification. Frank &amp; Hall (2001) proposed decomposing ordinal problems into a series of binary decisions. Threshold-based approaches, including cumulative link models (McCullagh, 1980), explicitly model ordering.</w:t>
      </w:r>
    </w:p>
    <w:p w14:paraId="7A763F5F" w14:textId="77777777" w:rsidR="000C029E" w:rsidRDefault="000C029E" w:rsidP="000C029E">
      <w:pPr>
        <w:pStyle w:val="NormalWeb"/>
      </w:pPr>
      <w:r>
        <w:t>Quadratic Weighted Kappa (QWK) is the preferred evaluation metric for ordinal tasks such as DR grading because it penalizes larger misclassifications more heavily than linear kappa. Youden’s J statistic (Youden, 1950), defined as J(t) = Sensitivity(t) + Specificity(t) − 1, provides a principled single operating point for binary tasks.</w:t>
      </w:r>
    </w:p>
    <w:p w14:paraId="256A19F2" w14:textId="77777777" w:rsidR="000C029E" w:rsidRDefault="000C029E" w:rsidP="000C029E">
      <w:pPr>
        <w:pStyle w:val="NormalWeb"/>
      </w:pPr>
      <w:r>
        <w:t>A hybrid strategy—training a single binary classifier and learning ordinal thresholds—combines the simplicity of binary supervision with ordinal structure preservation.</w:t>
      </w:r>
    </w:p>
    <w:p w14:paraId="72722B1C" w14:textId="77777777" w:rsidR="000C029E" w:rsidRDefault="000C029E" w:rsidP="000C029E">
      <w:pPr>
        <w:pStyle w:val="NormalWeb"/>
      </w:pPr>
      <w:r>
        <w:rPr>
          <w:rStyle w:val="Strong"/>
        </w:rPr>
        <w:t>2.6 Publicly Available DR Datasets</w:t>
      </w:r>
    </w:p>
    <w:p w14:paraId="20ECB4FB" w14:textId="77777777" w:rsidR="000C029E" w:rsidRDefault="000C029E" w:rsidP="000C029E">
      <w:pPr>
        <w:pStyle w:val="NormalWeb"/>
      </w:pPr>
      <w:r>
        <w:t>Several public datasets have driven DR research:</w:t>
      </w:r>
    </w:p>
    <w:p w14:paraId="33E7B290" w14:textId="77777777" w:rsidR="000C029E" w:rsidRDefault="000C029E" w:rsidP="000C029E">
      <w:pPr>
        <w:numPr>
          <w:ilvl w:val="0"/>
          <w:numId w:val="2"/>
        </w:numPr>
        <w:spacing w:before="100" w:beforeAutospacing="1" w:after="100" w:afterAutospacing="1"/>
      </w:pPr>
      <w:r>
        <w:rPr>
          <w:rStyle w:val="Strong"/>
        </w:rPr>
        <w:t>EyePACS (Kaggle 2015):</w:t>
      </w:r>
      <w:r>
        <w:t xml:space="preserve"> ~88,000 images, highly variable quality, five-grade labels.</w:t>
      </w:r>
    </w:p>
    <w:p w14:paraId="5ABA0CB0" w14:textId="77777777" w:rsidR="000C029E" w:rsidRDefault="000C029E" w:rsidP="000C029E">
      <w:pPr>
        <w:numPr>
          <w:ilvl w:val="0"/>
          <w:numId w:val="2"/>
        </w:numPr>
        <w:spacing w:before="100" w:beforeAutospacing="1" w:after="100" w:afterAutospacing="1"/>
      </w:pPr>
      <w:r>
        <w:rPr>
          <w:rStyle w:val="Strong"/>
        </w:rPr>
        <w:t>APTOS 2019 Blindness Detection:</w:t>
      </w:r>
      <w:r>
        <w:t xml:space="preserve"> 3,534 images from rural Indian clinics, five-grade labels, well-balanced for a small public dataset.</w:t>
      </w:r>
    </w:p>
    <w:p w14:paraId="2E8595A1" w14:textId="77777777" w:rsidR="000C029E" w:rsidRDefault="000C029E" w:rsidP="000C029E">
      <w:pPr>
        <w:numPr>
          <w:ilvl w:val="0"/>
          <w:numId w:val="2"/>
        </w:numPr>
        <w:spacing w:before="100" w:beforeAutospacing="1" w:after="100" w:afterAutospacing="1"/>
      </w:pPr>
      <w:r>
        <w:rPr>
          <w:rStyle w:val="Strong"/>
        </w:rPr>
        <w:t>Messidor-2:</w:t>
      </w:r>
      <w:r>
        <w:t xml:space="preserve"> 1,748 images from French telemedicine, high-quality labels.</w:t>
      </w:r>
    </w:p>
    <w:p w14:paraId="55CA0539" w14:textId="77777777" w:rsidR="000C029E" w:rsidRDefault="000C029E" w:rsidP="000C029E">
      <w:pPr>
        <w:numPr>
          <w:ilvl w:val="0"/>
          <w:numId w:val="2"/>
        </w:numPr>
        <w:spacing w:before="100" w:beforeAutospacing="1" w:after="100" w:afterAutospacing="1"/>
      </w:pPr>
      <w:r>
        <w:rPr>
          <w:rStyle w:val="Strong"/>
        </w:rPr>
        <w:t>IDRiD:</w:t>
      </w:r>
      <w:r>
        <w:t xml:space="preserve"> 516 images with lesion segmentation masks.</w:t>
      </w:r>
    </w:p>
    <w:p w14:paraId="42373D57" w14:textId="77777777" w:rsidR="000C029E" w:rsidRDefault="000C029E" w:rsidP="000C029E">
      <w:pPr>
        <w:numPr>
          <w:ilvl w:val="0"/>
          <w:numId w:val="2"/>
        </w:numPr>
        <w:spacing w:before="100" w:beforeAutospacing="1" w:after="100" w:afterAutospacing="1"/>
      </w:pPr>
      <w:r>
        <w:rPr>
          <w:rStyle w:val="Strong"/>
        </w:rPr>
        <w:t>DDR:</w:t>
      </w:r>
      <w:r>
        <w:t xml:space="preserve"> 13,673 images from China.</w:t>
      </w:r>
    </w:p>
    <w:p w14:paraId="5C390014" w14:textId="77777777" w:rsidR="000C029E" w:rsidRDefault="000C029E" w:rsidP="000C029E">
      <w:pPr>
        <w:pStyle w:val="NormalWeb"/>
      </w:pPr>
      <w:r>
        <w:t>APTOS 2019 is particularly suitable for controlled methodological comparisons due to its public availability, clinical-grade labels, moderate size amenable to transfer learning, and widespread use as a benchmark.</w:t>
      </w:r>
    </w:p>
    <w:p w14:paraId="11C4F86E" w14:textId="77777777" w:rsidR="000C029E" w:rsidRDefault="000C029E" w:rsidP="000C029E">
      <w:pPr>
        <w:pStyle w:val="NormalWeb"/>
      </w:pPr>
      <w:r>
        <w:rPr>
          <w:rStyle w:val="Strong"/>
        </w:rPr>
        <w:lastRenderedPageBreak/>
        <w:t>2.7 Research Gap and Positioning</w:t>
      </w:r>
    </w:p>
    <w:p w14:paraId="4C7B3C6C" w14:textId="77777777" w:rsidR="000C029E" w:rsidRDefault="000C029E" w:rsidP="000C029E">
      <w:pPr>
        <w:pStyle w:val="NormalWeb"/>
      </w:pPr>
      <w:r>
        <w:t>Despite substantial progress, no study has conducted a controlled comparison of two-phase transfer learning versus k-fold ensemble modeling using the same EfficientNet-B3 backbone, identical dataset (APTOS 2019), preprocessing pipeline, test-time augmentation protocol, and evaluation metrics—including bootstrap confidence intervals, calibration assessment, and ordinal threshold optimization for five-stage grading. Existing literature tends to report isolated improvements or ensemble-heavy Kaggle solutions without dissecting the contribution of individual design choices.</w:t>
      </w:r>
    </w:p>
    <w:p w14:paraId="2EC9D85F" w14:textId="77777777" w:rsidR="000C029E" w:rsidRDefault="000C029E" w:rsidP="000C029E">
      <w:pPr>
        <w:pStyle w:val="NormalWeb"/>
      </w:pPr>
      <w:r>
        <w:t>This thesis positions itself at the intersection of rigorous training-strategy comparison, ordinal classification via threshold optimization, and comprehensive clinical-grade evaluation. By doing so, it aims to provide actionable insights for designing robust, efficient, and clinically translatable DR screening systems.</w:t>
      </w:r>
    </w:p>
    <w:p w14:paraId="107E85E3" w14:textId="77777777" w:rsidR="000C029E" w:rsidRDefault="000C029E" w:rsidP="000C029E">
      <w:pPr>
        <w:pStyle w:val="NormalWeb"/>
      </w:pPr>
      <w:r>
        <w:t>The next chapter (Chapter 3: Methodology) describes the complete experimental pipeline in full reproducible detail, including dataset preparation, model architectures, training protocols, augmentation strategies, threshold optimization frameworks, and evaluation methodology.</w:t>
      </w:r>
    </w:p>
    <w:p w14:paraId="60E312FB" w14:textId="77777777" w:rsidR="000C029E" w:rsidRDefault="000C029E" w:rsidP="000C029E">
      <w:pPr>
        <w:pStyle w:val="NormalWeb"/>
      </w:pPr>
      <w:r>
        <w:rPr>
          <w:rStyle w:val="Strong"/>
        </w:rPr>
        <w:t>References</w:t>
      </w:r>
      <w:r>
        <w:t xml:space="preserve"> (partial list for Chapter 2; full consolidated bibliography appears at the end of the thesis) [1] Tan M, Le QV. EfficientNet: Rethinking model scaling for convolutional neural networks. ICML 2019. [2] Gulshan V et al. Development and validation of a deep learning algorithm for detection of diabetic retinopathy in retinal fundus photographs. JAMA 2016;316(22):2402-2410. [3] Abramoff MD et al. Pivotal trial of an autonomous AI-based diagnostic system for detection of diabetic retinopathy in primary care offices. npj Digit Med 2018;1:39. [4] Wilkinson CP et al. Proposed international clinical diabetic retinopathy and diabetic macular edema disease severity scales. Ophthalmology 2003;110(9):1677-1682. [5] Yosinski J et al. How transferable are features in deep neural networks? NeurIPS 2014. [6] Howard J, Ruder S. Universal language model fine-tuning for text classification. ACL 2018. [7] Raghu M et al. Transfusion: Understanding transfer learning for medical imaging. NeurIPS 2019. [8] Smith LN. A disciplined approach to neural network hyper-parameters: Part 1 – Learning rate, batch size, momentum, and weight decay. arXiv:1803.09820, 2018. [9] Lakshminarayanan B et al. Simple and scalable predictive uncertainty estimation using deep ensembles. NeurIPS 2017. [10] Frank E, Hall M. A simple approach to ordinal classification. ECML 2001. [11] Youden WJ. Index for rating diagnostic tests. Cancer 1950;3(1):32-35.</w:t>
      </w:r>
    </w:p>
    <w:p w14:paraId="6D8A9696" w14:textId="2A4CF249" w:rsidR="000C029E" w:rsidRDefault="000C029E">
      <w:pPr>
        <w:spacing w:after="160" w:line="278" w:lineRule="auto"/>
        <w:rPr>
          <w:rFonts w:asciiTheme="majorHAnsi" w:eastAsiaTheme="majorEastAsia" w:hAnsiTheme="majorHAnsi" w:cstheme="majorBidi"/>
          <w:color w:val="2F5496" w:themeColor="accent1" w:themeShade="BF"/>
          <w:sz w:val="32"/>
          <w:szCs w:val="32"/>
        </w:rPr>
      </w:pPr>
      <w:r>
        <w:br w:type="page"/>
      </w:r>
    </w:p>
    <w:p w14:paraId="64F7B3FB" w14:textId="77777777" w:rsidR="0088786C" w:rsidRPr="000C029E" w:rsidRDefault="0088786C" w:rsidP="000C029E">
      <w:pPr>
        <w:pStyle w:val="Heading2"/>
      </w:pPr>
    </w:p>
    <w:sectPr w:rsidR="0088786C" w:rsidRPr="000C02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Khmer OS Siemreap">
    <w:panose1 w:val="02000500000000020004"/>
    <w:charset w:val="4D"/>
    <w:family w:val="auto"/>
    <w:pitch w:val="variable"/>
    <w:sig w:usb0="A00000EF" w:usb1="5000204A" w:usb2="00010000" w:usb3="00000000" w:csb0="00000111" w:csb1="00000000"/>
  </w:font>
  <w:font w:name="Calibri">
    <w:panose1 w:val="020F0502020204030204"/>
    <w:charset w:val="00"/>
    <w:family w:val="swiss"/>
    <w:pitch w:val="variable"/>
    <w:sig w:usb0="E4002EFF" w:usb1="C200247B" w:usb2="00000009" w:usb3="00000000" w:csb0="000001FF" w:csb1="00000000"/>
  </w:font>
  <w:font w:name="Khmer UI">
    <w:panose1 w:val="020B0502040204020203"/>
    <w:charset w:val="00"/>
    <w:family w:val="swiss"/>
    <w:pitch w:val="variable"/>
    <w:sig w:usb0="80000003" w:usb1="00000000" w:usb2="00010000" w:usb3="00000000" w:csb0="00000001" w:csb1="00000000"/>
  </w:font>
  <w:font w:name="Calibri Light">
    <w:panose1 w:val="020F0302020204030204"/>
    <w:charset w:val="00"/>
    <w:family w:val="swiss"/>
    <w:pitch w:val="variable"/>
    <w:sig w:usb0="E0002AFF" w:usb1="C000247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iKampuchea001_O'Chrov">
    <w:panose1 w:val="020B0606030804020204"/>
    <w:charset w:val="4D"/>
    <w:family w:val="swiss"/>
    <w:pitch w:val="variable"/>
    <w:sig w:usb0="E00002EF" w:usb1="4000205B" w:usb2="00010028"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386"/>
    <w:multiLevelType w:val="multilevel"/>
    <w:tmpl w:val="FBC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C2BB7"/>
    <w:multiLevelType w:val="multilevel"/>
    <w:tmpl w:val="7AB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579435">
    <w:abstractNumId w:val="1"/>
  </w:num>
  <w:num w:numId="2" w16cid:durableId="175705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95"/>
    <w:rsid w:val="00024EE4"/>
    <w:rsid w:val="00083F89"/>
    <w:rsid w:val="000C029E"/>
    <w:rsid w:val="00130DE0"/>
    <w:rsid w:val="003B248C"/>
    <w:rsid w:val="00415CA7"/>
    <w:rsid w:val="004834D7"/>
    <w:rsid w:val="005B4D20"/>
    <w:rsid w:val="005E2E0B"/>
    <w:rsid w:val="0088786C"/>
    <w:rsid w:val="00972195"/>
    <w:rsid w:val="00A90E85"/>
    <w:rsid w:val="00B61656"/>
    <w:rsid w:val="00BA500C"/>
    <w:rsid w:val="00C368B3"/>
    <w:rsid w:val="00CB162C"/>
    <w:rsid w:val="00CF22AE"/>
    <w:rsid w:val="00DC0835"/>
    <w:rsid w:val="00EA6965"/>
  </w:rsids>
  <m:mathPr>
    <m:mathFont m:val="Cambria Math"/>
    <m:brkBin m:val="before"/>
    <m:brkBinSub m:val="--"/>
    <m:smallFrac m:val="0"/>
    <m:dispDef/>
    <m:lMargin m:val="0"/>
    <m:rMargin m:val="0"/>
    <m:defJc m:val="centerGroup"/>
    <m:wrapIndent m:val="1440"/>
    <m:intLim m:val="subSup"/>
    <m:naryLim m:val="undOvr"/>
  </m:mathPr>
  <w:themeFontLang w:val="en-KH"/>
  <w:clrSchemeMapping w:bg1="light1" w:t1="dark1" w:bg2="light2" w:t2="dark2" w:accent1="accent1" w:accent2="accent2" w:accent3="accent3" w:accent4="accent4" w:accent5="accent5" w:accent6="accent6" w:hyperlink="hyperlink" w:followedHyperlink="followedHyperlink"/>
  <w:decimalSymbol w:val="."/>
  <w:listSeparator w:val=","/>
  <w14:docId w14:val="3EE68361"/>
  <w15:chartTrackingRefBased/>
  <w15:docId w15:val="{70E3FE32-B466-6049-A9EF-6227DF0B7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Khmer OS Siemreap" w:eastAsiaTheme="minorHAnsi" w:hAnsi="Khmer OS Siemreap" w:cs="Khmer UI"/>
        <w:kern w:val="2"/>
        <w:sz w:val="24"/>
        <w:szCs w:val="24"/>
        <w:lang w:val="en-K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9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721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21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19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1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219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21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21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21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21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1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21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19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19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219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21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21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21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21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21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1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1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2195"/>
    <w:pPr>
      <w:spacing w:before="160"/>
      <w:jc w:val="center"/>
    </w:pPr>
    <w:rPr>
      <w:i/>
      <w:iCs/>
      <w:color w:val="404040" w:themeColor="text1" w:themeTint="BF"/>
    </w:rPr>
  </w:style>
  <w:style w:type="character" w:customStyle="1" w:styleId="QuoteChar">
    <w:name w:val="Quote Char"/>
    <w:basedOn w:val="DefaultParagraphFont"/>
    <w:link w:val="Quote"/>
    <w:uiPriority w:val="29"/>
    <w:rsid w:val="00972195"/>
    <w:rPr>
      <w:i/>
      <w:iCs/>
      <w:color w:val="404040" w:themeColor="text1" w:themeTint="BF"/>
    </w:rPr>
  </w:style>
  <w:style w:type="paragraph" w:styleId="ListParagraph">
    <w:name w:val="List Paragraph"/>
    <w:basedOn w:val="Normal"/>
    <w:uiPriority w:val="34"/>
    <w:qFormat/>
    <w:rsid w:val="00972195"/>
    <w:pPr>
      <w:ind w:left="720"/>
      <w:contextualSpacing/>
    </w:pPr>
  </w:style>
  <w:style w:type="character" w:styleId="IntenseEmphasis">
    <w:name w:val="Intense Emphasis"/>
    <w:basedOn w:val="DefaultParagraphFont"/>
    <w:uiPriority w:val="21"/>
    <w:qFormat/>
    <w:rsid w:val="00972195"/>
    <w:rPr>
      <w:i/>
      <w:iCs/>
      <w:color w:val="2F5496" w:themeColor="accent1" w:themeShade="BF"/>
    </w:rPr>
  </w:style>
  <w:style w:type="paragraph" w:styleId="IntenseQuote">
    <w:name w:val="Intense Quote"/>
    <w:basedOn w:val="Normal"/>
    <w:next w:val="Normal"/>
    <w:link w:val="IntenseQuoteChar"/>
    <w:uiPriority w:val="30"/>
    <w:qFormat/>
    <w:rsid w:val="00972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195"/>
    <w:rPr>
      <w:i/>
      <w:iCs/>
      <w:color w:val="2F5496" w:themeColor="accent1" w:themeShade="BF"/>
    </w:rPr>
  </w:style>
  <w:style w:type="character" w:styleId="IntenseReference">
    <w:name w:val="Intense Reference"/>
    <w:basedOn w:val="DefaultParagraphFont"/>
    <w:uiPriority w:val="32"/>
    <w:qFormat/>
    <w:rsid w:val="00972195"/>
    <w:rPr>
      <w:b/>
      <w:bCs/>
      <w:smallCaps/>
      <w:color w:val="2F5496" w:themeColor="accent1" w:themeShade="BF"/>
      <w:spacing w:val="5"/>
    </w:rPr>
  </w:style>
  <w:style w:type="paragraph" w:styleId="NormalWeb">
    <w:name w:val="Normal (Web)"/>
    <w:basedOn w:val="Normal"/>
    <w:uiPriority w:val="99"/>
    <w:semiHidden/>
    <w:unhideWhenUsed/>
    <w:rsid w:val="000C029E"/>
    <w:pPr>
      <w:spacing w:before="100" w:beforeAutospacing="1" w:after="100" w:afterAutospacing="1"/>
    </w:pPr>
  </w:style>
  <w:style w:type="character" w:styleId="Strong">
    <w:name w:val="Strong"/>
    <w:basedOn w:val="DefaultParagraphFont"/>
    <w:uiPriority w:val="22"/>
    <w:qFormat/>
    <w:rsid w:val="000C02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6565</Words>
  <Characters>37421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UON CHAMROEUN</dc:creator>
  <cp:keywords/>
  <dc:description/>
  <cp:lastModifiedBy>UON CHAMROEUN</cp:lastModifiedBy>
  <cp:revision>1</cp:revision>
  <dcterms:created xsi:type="dcterms:W3CDTF">2026-03-17T16:45:00Z</dcterms:created>
  <dcterms:modified xsi:type="dcterms:W3CDTF">2026-03-20T16:18:00Z</dcterms:modified>
</cp:coreProperties>
</file>