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72AC4" w14:textId="77777777" w:rsidR="00486D2F" w:rsidRDefault="00486D2F" w:rsidP="00486D2F">
      <w:pPr>
        <w:spacing w:after="2400" w:line="360" w:lineRule="auto"/>
        <w:jc w:val="both"/>
      </w:pPr>
    </w:p>
    <w:p w14:paraId="7020A2AD" w14:textId="77777777" w:rsidR="00486D2F" w:rsidRDefault="00486D2F" w:rsidP="00486D2F">
      <w:pPr>
        <w:spacing w:line="400" w:lineRule="auto"/>
        <w:jc w:val="center"/>
      </w:pPr>
      <w:r>
        <w:rPr>
          <w:b/>
          <w:bCs/>
          <w:sz w:val="36"/>
          <w:szCs w:val="36"/>
        </w:rPr>
        <w:t>Threshold-Optimized EfficientNet-B3 Ensemble for</w:t>
      </w:r>
    </w:p>
    <w:p w14:paraId="2F0DC242" w14:textId="77777777" w:rsidR="00486D2F" w:rsidRDefault="00486D2F" w:rsidP="00486D2F">
      <w:pPr>
        <w:spacing w:after="100" w:line="400" w:lineRule="auto"/>
        <w:jc w:val="center"/>
      </w:pPr>
      <w:r>
        <w:rPr>
          <w:b/>
          <w:bCs/>
          <w:sz w:val="36"/>
          <w:szCs w:val="36"/>
        </w:rPr>
        <w:t>Multi-Stage Diabetic Retinopathy Grading</w:t>
      </w:r>
    </w:p>
    <w:p w14:paraId="3DE217BF" w14:textId="77777777" w:rsidR="00486D2F" w:rsidRDefault="00486D2F" w:rsidP="00486D2F">
      <w:pPr>
        <w:spacing w:after="1200" w:line="360" w:lineRule="auto"/>
        <w:jc w:val="center"/>
      </w:pPr>
      <w:r>
        <w:rPr>
          <w:i/>
          <w:iCs/>
        </w:rPr>
        <w:t>A Comparative Study of Two-Phase Transfer Learning and 5-Fold Cross-Validation on APTOS 2019 Fundus Images</w:t>
      </w:r>
    </w:p>
    <w:p w14:paraId="25B5D5F3" w14:textId="77777777" w:rsidR="00486D2F" w:rsidRDefault="00486D2F" w:rsidP="00486D2F">
      <w:pPr>
        <w:spacing w:after="200" w:line="360" w:lineRule="auto"/>
        <w:jc w:val="center"/>
      </w:pPr>
      <w:r>
        <w:t>by</w:t>
      </w:r>
    </w:p>
    <w:p w14:paraId="4BDDA3C4" w14:textId="77777777" w:rsidR="00486D2F" w:rsidRDefault="00486D2F" w:rsidP="00486D2F">
      <w:pPr>
        <w:spacing w:after="1800" w:line="360" w:lineRule="auto"/>
        <w:jc w:val="center"/>
      </w:pPr>
      <w:r>
        <w:rPr>
          <w:b/>
          <w:bCs/>
          <w:sz w:val="28"/>
          <w:szCs w:val="28"/>
        </w:rPr>
        <w:t>Uon Chamroeun</w:t>
      </w:r>
    </w:p>
    <w:p w14:paraId="10E083E7" w14:textId="77777777" w:rsidR="00486D2F" w:rsidRDefault="00486D2F" w:rsidP="00486D2F">
      <w:pPr>
        <w:spacing w:line="360" w:lineRule="auto"/>
        <w:jc w:val="center"/>
      </w:pPr>
      <w:r>
        <w:t>Submitted in partial fulfillment of the requirements</w:t>
      </w:r>
    </w:p>
    <w:p w14:paraId="1030E566" w14:textId="77777777" w:rsidR="00486D2F" w:rsidRDefault="00486D2F" w:rsidP="00486D2F">
      <w:pPr>
        <w:spacing w:line="360" w:lineRule="auto"/>
        <w:jc w:val="center"/>
      </w:pPr>
      <w:r>
        <w:t>for the degree of</w:t>
      </w:r>
    </w:p>
    <w:p w14:paraId="3EDD4189" w14:textId="77777777" w:rsidR="00486D2F" w:rsidRDefault="00486D2F" w:rsidP="00486D2F">
      <w:pPr>
        <w:spacing w:after="1200" w:line="360" w:lineRule="auto"/>
        <w:jc w:val="center"/>
      </w:pPr>
      <w:r>
        <w:rPr>
          <w:b/>
          <w:bCs/>
        </w:rPr>
        <w:t>Master of Engineering</w:t>
      </w:r>
    </w:p>
    <w:p w14:paraId="20032577" w14:textId="4F153FEE" w:rsidR="00486D2F" w:rsidRDefault="00486D2F" w:rsidP="00486D2F">
      <w:pPr>
        <w:spacing w:after="200" w:line="360" w:lineRule="auto"/>
        <w:jc w:val="center"/>
        <w:sectPr w:rsidR="00486D2F" w:rsidSect="00486D2F">
          <w:footerReference w:type="even" r:id="rId6"/>
          <w:footerReference w:type="default" r:id="rId7"/>
          <w:pgSz w:w="12240" w:h="15840"/>
          <w:pgMar w:top="1440" w:right="1440" w:bottom="1440" w:left="1440" w:header="708" w:footer="708" w:gutter="0"/>
          <w:cols w:space="720"/>
          <w:docGrid w:linePitch="360"/>
        </w:sectPr>
      </w:pPr>
      <w:r>
        <w:rPr>
          <w:sz w:val="28"/>
          <w:szCs w:val="28"/>
        </w:rPr>
        <w:t xml:space="preserve">March, </w:t>
      </w:r>
      <w:r>
        <w:rPr>
          <w:sz w:val="28"/>
          <w:szCs w:val="28"/>
        </w:rPr>
        <w:t>202</w:t>
      </w:r>
      <w:r>
        <w:rPr>
          <w:sz w:val="28"/>
          <w:szCs w:val="28"/>
        </w:rPr>
        <w:t>6</w:t>
      </w:r>
    </w:p>
    <w:p w14:paraId="4EF9B8B4" w14:textId="77777777" w:rsidR="00486D2F" w:rsidRDefault="00486D2F" w:rsidP="00486D2F">
      <w:pPr>
        <w:pageBreakBefore/>
      </w:pPr>
    </w:p>
    <w:p w14:paraId="5D2FAE86" w14:textId="77777777" w:rsidR="00486D2F" w:rsidRDefault="00486D2F" w:rsidP="00486D2F">
      <w:pPr>
        <w:pStyle w:val="Heading1"/>
        <w:spacing w:line="360" w:lineRule="auto"/>
      </w:pPr>
      <w:bookmarkStart w:id="0" w:name="_Toc224764481"/>
      <w:r>
        <w:rPr>
          <w:rFonts w:ascii="Times New Roman" w:eastAsia="Times New Roman" w:hAnsi="Times New Roman" w:cs="Times New Roman"/>
          <w:b/>
          <w:bCs/>
          <w:sz w:val="32"/>
          <w:szCs w:val="32"/>
        </w:rPr>
        <w:t>Abstract</w:t>
      </w:r>
      <w:bookmarkEnd w:id="0"/>
    </w:p>
    <w:p w14:paraId="0947426B" w14:textId="77777777" w:rsidR="00486D2F" w:rsidRDefault="00486D2F" w:rsidP="00486D2F">
      <w:pPr>
        <w:spacing w:after="200" w:line="360" w:lineRule="auto"/>
        <w:ind w:firstLine="720"/>
        <w:jc w:val="both"/>
      </w:pPr>
      <w:r>
        <w:t>Diabetic retinopathy (DR) remains the leading cause of preventable blindness among working-age adults worldwide, affecting an estimated 103 million people globally. Early detection and accurate severity grading are critical for timely intervention, yet manual screening by ophthalmologists is resource-intensive and subject to inter-observer variability. This thesis presents an automated approach to multi-stage DR grading from retinal fundus images using deep learning.</w:t>
      </w:r>
    </w:p>
    <w:p w14:paraId="0DCBC064" w14:textId="77777777" w:rsidR="00486D2F" w:rsidRDefault="00486D2F" w:rsidP="00486D2F">
      <w:pPr>
        <w:spacing w:after="200" w:line="360" w:lineRule="auto"/>
        <w:ind w:firstLine="720"/>
        <w:jc w:val="both"/>
      </w:pPr>
      <w:r>
        <w:t>We investigate two training strategies built on the EfficientNet-B3 architecture, both evaluated on the APTOS 2019 Blindness Detection dataset comprising 3,534 fundus images across five severity grades (No DR, Mild, Moderate, Severe, and Proliferative). The first strategy employs two-phase transfer learning: freezing the ImageNet-pretrained backbone for 5 epochs to train the classification head, followed by 30 epochs of full fine-tuning with differential learning rates. The second strategy uses 5-fold stratified cross-validation with single-phase OneCycleLR training, producing an ensemble of five models whose predictions are combined via soft voting.</w:t>
      </w:r>
    </w:p>
    <w:p w14:paraId="5CA074AC" w14:textId="77777777" w:rsidR="00486D2F" w:rsidRDefault="00486D2F" w:rsidP="00486D2F">
      <w:pPr>
        <w:spacing w:after="200" w:line="360" w:lineRule="auto"/>
        <w:ind w:firstLine="720"/>
        <w:jc w:val="both"/>
      </w:pPr>
      <w:r>
        <w:t>Both approaches are enhanced with 8-pass test-time augmentation (TTA) and Youden's J statistic-based threshold optimization. A key contribution is the ordinal threshold optimization framework that maps the continuous binary output probability into five DR severity grades using four learned thresholds, enabling multi-stage classification from a single binary classifier.</w:t>
      </w:r>
    </w:p>
    <w:p w14:paraId="12A8DB1B" w14:textId="042828A5" w:rsidR="00486D2F" w:rsidRDefault="00486D2F" w:rsidP="00486D2F">
      <w:pPr>
        <w:spacing w:after="200" w:line="360" w:lineRule="auto"/>
        <w:ind w:firstLine="720"/>
        <w:jc w:val="both"/>
      </w:pPr>
      <w:r>
        <w:t xml:space="preserve">On the APTOS 2019 test set (531 images), the two-phase single model achieves an AUC-ROC </w:t>
      </w:r>
      <w:r w:rsidR="00AB0D29">
        <w:t>=</w:t>
      </w:r>
      <w:r>
        <w:t xml:space="preserve"> 0.9992</w:t>
      </w:r>
      <w:r w:rsidR="00AB0D29">
        <w:t xml:space="preserve"> and QWK = 0.9774</w:t>
      </w:r>
      <w:r>
        <w:t>, while the 5-fold ensemble with TTA and optimized thresholds achieves</w:t>
      </w:r>
      <w:r w:rsidR="00AB0D29">
        <w:t xml:space="preserve"> ROC = 0.9992 and QWK=98.12 </w:t>
      </w:r>
      <w:r>
        <w:t>. Comprehensive evaluation including bootstrap confidence intervals, calibration analysis, subgroup analysis by DR grade, and clinical operating point analysis demonstrates the robustness of both approaches. The ordinal threshold method provides an efficient pathway to five-class DR grading without requiring separate multi-class training.</w:t>
      </w:r>
    </w:p>
    <w:p w14:paraId="6F774037" w14:textId="201A56B3" w:rsidR="00486D2F" w:rsidRDefault="00486D2F" w:rsidP="00486D2F">
      <w:pPr>
        <w:rPr>
          <w:i/>
          <w:iCs/>
        </w:rPr>
      </w:pPr>
      <w:r>
        <w:rPr>
          <w:b/>
          <w:bCs/>
        </w:rPr>
        <w:t xml:space="preserve">Keywords: </w:t>
      </w:r>
      <w:r>
        <w:rPr>
          <w:i/>
          <w:iCs/>
        </w:rPr>
        <w:t>Diabetic retinopathy, EfficientNet-B3, transfer learning, ensemble learning, test-time augmentation, threshold optimization, ordinal</w:t>
      </w:r>
    </w:p>
    <w:p w14:paraId="22A7F2CD" w14:textId="076BC3B1" w:rsidR="00486D2F" w:rsidRPr="00486D2F" w:rsidRDefault="00486D2F">
      <w:pPr>
        <w:spacing w:after="160" w:line="278" w:lineRule="auto"/>
        <w:rPr>
          <w:i/>
          <w:iCs/>
        </w:rPr>
      </w:pPr>
      <w:r>
        <w:rPr>
          <w:i/>
          <w:iCs/>
        </w:rPr>
        <w:br w:type="page"/>
      </w:r>
    </w:p>
    <w:p w14:paraId="197F31DC" w14:textId="77777777" w:rsidR="00486D2F" w:rsidRDefault="00486D2F" w:rsidP="00486D2F">
      <w:pPr>
        <w:pStyle w:val="Heading1"/>
      </w:pPr>
      <w:r>
        <w:rPr>
          <w:rFonts w:ascii="Times New Roman" w:eastAsia="Times New Roman" w:hAnsi="Times New Roman" w:cs="Times New Roman"/>
          <w:b/>
          <w:bCs/>
          <w:sz w:val="32"/>
          <w:szCs w:val="32"/>
        </w:rPr>
        <w:lastRenderedPageBreak/>
        <w:t>Chapter 1</w:t>
      </w:r>
    </w:p>
    <w:p w14:paraId="3FA88F2D" w14:textId="77777777" w:rsidR="00486D2F" w:rsidRDefault="00486D2F" w:rsidP="00486D2F">
      <w:pPr>
        <w:spacing w:before="120" w:after="480"/>
        <w:jc w:val="center"/>
      </w:pPr>
      <w:r>
        <w:rPr>
          <w:b/>
          <w:bCs/>
          <w:sz w:val="36"/>
          <w:szCs w:val="36"/>
        </w:rPr>
        <w:t>Introduction</w:t>
      </w:r>
    </w:p>
    <w:p w14:paraId="40898B69" w14:textId="77777777" w:rsidR="00486D2F" w:rsidRDefault="00486D2F" w:rsidP="00486D2F">
      <w:pPr>
        <w:pStyle w:val="Heading2"/>
      </w:pPr>
      <w:r>
        <w:rPr>
          <w:rFonts w:ascii="Times New Roman" w:eastAsia="Times New Roman" w:hAnsi="Times New Roman" w:cs="Times New Roman"/>
          <w:b/>
          <w:bCs/>
          <w:sz w:val="28"/>
          <w:szCs w:val="28"/>
        </w:rPr>
        <w:t>1.1  Background and Motivation</w:t>
      </w:r>
    </w:p>
    <w:p w14:paraId="77B621B8" w14:textId="77777777" w:rsidR="00486D2F" w:rsidRDefault="00486D2F" w:rsidP="00486D2F">
      <w:pPr>
        <w:spacing w:after="200" w:line="360" w:lineRule="auto"/>
      </w:pPr>
      <w:r>
        <w:t>Diabetes mellitus has emerged as one of the most pressing global health crises of the twenty-first century. According to the International Diabetes Federation (IDF) Diabetes Atlas, 10th edition [1], approximately 537 million adults aged 20 to 79 were living with diabetes in 2021, a figure projected to rise to 643 million by 2030 and 783 million by 2045 [1]. This exponential growth, driven by urbanization, sedentary lifestyles, aging populations, and dietary shifts, places an immense burden on healthcare systems worldwide. The economic cost of diabetes was estimated at USD 966 billion in 2021, accounting for approximately 9% of total global health expenditure [1]. Beyond the direct metabolic consequences, diabetes gives rise to a constellation of microvascular and macrovascular complications that collectively represent the principal drivers of morbidity and mortality in affected populations [2].</w:t>
      </w:r>
    </w:p>
    <w:p w14:paraId="2138833C" w14:textId="77777777" w:rsidR="00486D2F" w:rsidRDefault="00486D2F" w:rsidP="00486D2F">
      <w:pPr>
        <w:spacing w:after="200" w:line="360" w:lineRule="auto"/>
      </w:pPr>
      <w:r>
        <w:t>Among the microvascular complications, diabetic retinopathy (DR) stands as the most prevalent and clinically consequential ophthalmic manifestation [3]. DR is a progressive disorder of the retinal microvasculature, characterized by a sequence of pathological changes that begin with subclinical alterations in retinal blood flow and culminate in proliferative neovascularization that threatens irreversible vision loss [4]. Epidemiological studies estimate that approximately one-third of all individuals with diabetes develop some form of DR over their lifetime, translating to a global burden of approximately 103 million affected individuals [5]. A comprehensive meta-analysis by Yau et al. (2012) reported a global DR prevalence of 34.6% among diabetic patients, with 6.96% exhibiting proliferative DR and 6.81% exhibiting diabetic macular edema [6]. The World Health Organization (WHO) identifies DR as the leading cause of preventable blindness among working-age adults in both developed and developing nations [7], a designation that underscores not only the clinical severity of the condition but also its profound socioeconomic implications, including reduced workforce productivity, diminished quality of life, and increased dependence on social support systems [3, 7].</w:t>
      </w:r>
    </w:p>
    <w:p w14:paraId="100F6426" w14:textId="77777777" w:rsidR="00486D2F" w:rsidRDefault="00486D2F" w:rsidP="00486D2F">
      <w:pPr>
        <w:spacing w:after="200" w:line="360" w:lineRule="auto"/>
      </w:pPr>
      <w:r>
        <w:t xml:space="preserve">The pathophysiology of DR is initiated by chronic hyperglycemia, which triggers a cascade of biochemical changes in the retinal microvasculature, including pericyte loss, basement </w:t>
      </w:r>
      <w:r>
        <w:lastRenderedPageBreak/>
        <w:t>membrane thickening, increased vascular permeability, and capillary occlusion [4, 8]. These alterations manifest clinically as microaneurysms, intraretinal hemorrhages, hard exudates (lipid deposits), cotton-wool spots (nerve fiber layer infarcts), venous beading, intraretinal microvascular abnormalities (IRMA), and, in advanced stages, neovascularization of the disc or elsewhere on the retinal surface [4, 9]. The clinical progression of DR is codified in the International Clinical Diabetic Retinopathy Severity Scale, developed by Wilkinson et al. (2003) [9] and derived from the landmark Early Treatment Diabetic Retinopathy Study (ETDRS) [10], which classifies DR into five discrete severity grades: Grade 0 (No DR), Grade 1 (Mild Non-Proliferative DR, or Mild NPDR), Grade 2 (Moderate NPDR), Grade 3 (Severe NPDR), and Grade 4 (Proliferative DR, or PDR). This grading system is not merely taxonomic; it directly informs clinical decision-making, as established by the ETDRS and reaffirmed in clinical practice guidelines from the American Academy of Ophthalmology (AAO) [11]. Patients with Grades 0 and 1 are typically managed with periodic surveillance and glycemic optimization, those with Grade 2 require closer monitoring with possible initiation of intravitreal anti-vascular endothelial growth factor (anti-VEGF) therapy [12], Grade 3 patients often necessitate prompt anti-VEGF treatment or panretinal laser photocoagulation as demonstrated in the DRCR.net Protocol S trial [13], and Grade 4 patients may require urgent vitreoretinal surgical intervention [11, 12]. Accurate severity grading is therefore essential for appropriate triage and timely intervention.</w:t>
      </w:r>
    </w:p>
    <w:p w14:paraId="3981C6FE" w14:textId="77777777" w:rsidR="00486D2F" w:rsidRDefault="00486D2F" w:rsidP="00486D2F">
      <w:pPr>
        <w:spacing w:after="200" w:line="360" w:lineRule="auto"/>
      </w:pPr>
      <w:r>
        <w:t>Despite the clinical importance of regular DR screening, a substantial gap persists between the need for screening services and their availability, particularly in low- and middle-income countries (LMICs). The global shortage of ophthalmologists is acute: India, for example, has approximately 1 ophthalmologist per 100,000 people, compared to a recommended ratio of 1 per 20,000 [14]. In sub-Saharan Africa, the ratio can exceed 1 per 500,000 [15]. Even in high-income settings, the sheer volume of diabetic patients requiring annual fundus examination strains existing clinical capacity [3]. The United Kingdom’s National Health Service Diabetic Eye Screening Programme (NHS DESP), one of the most comprehensive in the world, screens over 2.5 million individuals annually and has demonstrated that systematic screening reduces blindness rates by up to 50% [16]. However, replicating such programs at scale in resource-limited settings remains infeasible with current workforce levels [14, 15].</w:t>
      </w:r>
    </w:p>
    <w:p w14:paraId="42BBD929" w14:textId="77777777" w:rsidR="00486D2F" w:rsidRDefault="00486D2F" w:rsidP="00486D2F">
      <w:pPr>
        <w:spacing w:after="200" w:line="360" w:lineRule="auto"/>
      </w:pPr>
      <w:r>
        <w:lastRenderedPageBreak/>
        <w:t>Compounding the capacity challenge is the inherent subjectivity of manual DR grading. Studies have consistently documented inter-observer agreement rates ranging from 65% to 85% for multi-grade DR classification, with the most pronounced disagreement occurring at the boundaries between adjacent severity levels—particularly between Grades 1 and 2, and between Grades 2 and 3 [17, 18]. Ruamviboonsuk et al. (2006) reported only moderate inter-observer agreement (weighted kappa = 0.59) among Thai ophthalmologists grading DR on the ETDRS scale [17]. Even among fellowship-trained retinal specialists, exact agreement on five-grade classification rarely exceeds 75% [18], highlighting the difficulty of the task and the potential for clinically significant misclassification. Intra-observer variability, while generally lower, remains non-trivial, particularly under conditions of high clinical workload and fatigue [17, 18].</w:t>
      </w:r>
    </w:p>
    <w:p w14:paraId="3B86E066" w14:textId="77777777" w:rsidR="00486D2F" w:rsidRDefault="00486D2F" w:rsidP="00486D2F">
      <w:pPr>
        <w:spacing w:after="200" w:line="360" w:lineRule="auto"/>
      </w:pPr>
      <w:r>
        <w:t>Artificial intelligence (AI), and specifically deep learning [19], has emerged as a transformative technology for addressing these intertwined challenges of scalability, consistency, and accessibility in DR screening. The foundational work by Krizhevsky et al. (2012) on AlexNet [20] demonstrated the power of deep convolutional neural networks (CNNs) for image classification, sparking a revolution in computer vision that quickly extended to medical image analysis [21]. In the domain of DR detection, the seminal work by Gulshan et al. (2016) demonstrated that a deep CNN based on the Inception-v3 architecture [22] could detect referable DR (moderate NPDR or worse) with sensitivity of 97.5% and specificity of 93.4%, approaching or matching the performance of board-certified ophthalmologists on curated datasets [23]. Concurrently, Gargeya and Leng (2017) achieved an AUC of 0.97 for automated DR identification using a ResNet-based architecture [24], and Ting et al. (2017) demonstrated an AUC of 0.936 for detecting referable DR in a multiethnic cohort using a modified VGGNet [25]. These studies collectively established that deep learning could achieve performance comparable to or exceeding that of human expert graders.</w:t>
      </w:r>
    </w:p>
    <w:p w14:paraId="405B6F1D" w14:textId="77777777" w:rsidR="00486D2F" w:rsidRDefault="00486D2F" w:rsidP="00486D2F">
      <w:pPr>
        <w:spacing w:after="200" w:line="360" w:lineRule="auto"/>
      </w:pPr>
      <w:r>
        <w:t xml:space="preserve">This was followed by the landmark FDA clearance of IDx-DR (now Digital Diagnostics) in 2018, the first autonomous AI diagnostic system approved for any medical condition in the United States [26]. The IDx-DR system achieved 87.2% sensitivity and 90.7% specificity for detecting more-than-mild DR in a prospective, multicenter pivotal trial conducted by Abramoff et al. (2018) [26]. Subsequently, additional systems have received regulatory clearance or deployment, including EyeArt (Eyenuk, Inc.) [27] and retinal screening platforms deployed by </w:t>
      </w:r>
      <w:r>
        <w:lastRenderedPageBreak/>
        <w:t>Google Health across Thailand and India [28]. These milestones catalyzed a wave of research into AI-driven ophthalmic screening, with subsequent systems deployed across multiple countries worldwide.</w:t>
      </w:r>
    </w:p>
    <w:p w14:paraId="0EC27F02" w14:textId="77777777" w:rsidR="00486D2F" w:rsidRDefault="00486D2F" w:rsidP="00486D2F">
      <w:pPr>
        <w:spacing w:after="200" w:line="360" w:lineRule="auto"/>
      </w:pPr>
      <w:r>
        <w:t xml:space="preserve">The appeal of AI-based DR screening lies in three fundamental advantages, as articulated in comprehensive reviews by Ting et al. (2019) [29] and Gulshan et al. (2019) [30]. First, </w:t>
      </w:r>
      <w:r>
        <w:rPr>
          <w:b/>
          <w:bCs/>
        </w:rPr>
        <w:t>scalability</w:t>
      </w:r>
      <w:r>
        <w:t xml:space="preserve">: a trained model can process thousands of fundus images per hour on commodity hardware, vastly exceeding human throughput [29]. Second, </w:t>
      </w:r>
      <w:r>
        <w:rPr>
          <w:b/>
          <w:bCs/>
        </w:rPr>
        <w:t>consistency</w:t>
      </w:r>
      <w:r>
        <w:t xml:space="preserve">: unlike human graders, a deterministic model produces identical outputs for identical inputs, eliminating inter- and intra-observer variability [23, 29]. Third, </w:t>
      </w:r>
      <w:r>
        <w:rPr>
          <w:b/>
          <w:bCs/>
        </w:rPr>
        <w:t>cost-effectiveness</w:t>
      </w:r>
      <w:r>
        <w:t>: once developed and validated, AI screening systems can be deployed with minimal marginal cost per examination, enabling screening programs in settings where specialist access is limited or nonexistent [28, 29]. These attributes position AI not as a replacement for ophthalmologists, but as a force multiplier that can extend the reach of expert clinical judgment to underserved populations worldwide [29, 30].</w:t>
      </w:r>
    </w:p>
    <w:p w14:paraId="568F308A" w14:textId="77777777" w:rsidR="00486D2F" w:rsidRDefault="00486D2F" w:rsidP="00486D2F">
      <w:pPr>
        <w:pStyle w:val="Heading2"/>
      </w:pPr>
      <w:r>
        <w:rPr>
          <w:rFonts w:ascii="Times New Roman" w:eastAsia="Times New Roman" w:hAnsi="Times New Roman" w:cs="Times New Roman"/>
          <w:b/>
          <w:bCs/>
          <w:sz w:val="28"/>
          <w:szCs w:val="28"/>
        </w:rPr>
        <w:t>1.2  Problem Statement</w:t>
      </w:r>
    </w:p>
    <w:p w14:paraId="4E45FC8B" w14:textId="77777777" w:rsidR="00486D2F" w:rsidRDefault="00486D2F" w:rsidP="00486D2F">
      <w:pPr>
        <w:spacing w:after="200" w:line="360" w:lineRule="auto"/>
      </w:pPr>
      <w:r>
        <w:t>Despite the substantial progress in AI-driven DR detection, several methodological questions remain inadequately addressed in the literature. This thesis identifies and investigates three specific technical challenges that have direct implications for the design, training, and deployment of practical DR screening systems.</w:t>
      </w:r>
    </w:p>
    <w:p w14:paraId="6DF6353D" w14:textId="77777777" w:rsidR="00486D2F" w:rsidRDefault="00486D2F" w:rsidP="00486D2F">
      <w:pPr>
        <w:spacing w:after="200" w:line="360" w:lineRule="auto"/>
      </w:pPr>
      <w:r>
        <w:t xml:space="preserve">The </w:t>
      </w:r>
      <w:r>
        <w:rPr>
          <w:b/>
          <w:bCs/>
        </w:rPr>
        <w:t>first challenge</w:t>
      </w:r>
      <w:r>
        <w:t xml:space="preserve"> concerns the choice of transfer learning strategy. Transfer learning from ImageNet-pretrained models [31] has become the de facto standard for medical image analysis, as the low-level visual features (edges, textures, color gradients) learned on natural images transfer effectively to medical imaging domains [32, 33]. The influential study by Yosinski et al. (2014) demonstrated that features in the first several layers of deep networks are largely general and transferable, while higher layers become increasingly task-specific [32]. Raghu et al. (2019) further investigated this question in the medical imaging context through their Transfusion study, finding that even simple transfer from ImageNet provides significant benefits for medical tasks, though the extent of benefit varies with the complexity of the target task [33]. However, the fine-tuning protocol significantly affects model performance and training stability. Two dominant paradigms exist: (1) two-phase transfer learning, in which the pretrained backbone is initially frozen while only the classification head is trained, followed by unfreezing and full fine-tuning </w:t>
      </w:r>
      <w:r>
        <w:lastRenderedPageBreak/>
        <w:t>with differential learning rates; and (2) single-phase fine-tuning, in which all parameters are trainable from the outset, typically with aggressive learning rate scheduling such as OneCycleLR [34]. The two-phase approach, popularized by Howard and Ruder (2018) in the context of Universal Language Model Fine-tuning (ULMFiT) [35], mitigates the risk of catastrophic forgetting—the phenomenon first described by McCloskey and Cohen (1989) [36] whereby pretrained feature representations are overwritten by noisy gradients during early training on a small target dataset. The single-phase approach, by contrast, offers simplicity and can achieve faster convergence through super-convergence schedules, as demonstrated by Smith and Topin (2019) [34]. Despite the theoretical and practical importance of this choice, no study has conducted a rigorous, controlled comparison of these two strategies on the same backbone architecture, the same dataset, and with identical evaluation protocols in the context of DR grading.</w:t>
      </w:r>
    </w:p>
    <w:p w14:paraId="19654FB6" w14:textId="77777777" w:rsidR="00486D2F" w:rsidRDefault="00486D2F" w:rsidP="00486D2F">
      <w:pPr>
        <w:spacing w:after="200" w:line="360" w:lineRule="auto"/>
      </w:pPr>
      <w:r>
        <w:t xml:space="preserve">The </w:t>
      </w:r>
      <w:r>
        <w:rPr>
          <w:b/>
          <w:bCs/>
        </w:rPr>
        <w:t>second challenge</w:t>
      </w:r>
      <w:r>
        <w:t xml:space="preserve"> relates to the ordinal nature of DR severity grades. The five-grade ETDRS-derived scale [9, 10] is inherently ordered: Grade 0 &lt; Grade 1 &lt; Grade 2 &lt; Grade 3 &lt; Grade 4, with the distance between adjacent grades carrying clinical meaning. Standard multi-class classification approaches (e.g., softmax with cross-entropy loss) treat each class as a nominal category and ignore the ordinal structure entirely, penalizing a misclassification of Grade 0 as Grade 4 no more heavily than a misclassification of Grade 0 as Grade 1. This is clinically inappropriate, as confusing no DR with proliferative DR has far more severe consequences than confusing no DR with mild NPDR [11]. While ordinal regression methods exist—McCullagh (1980) introduced the proportional odds model for ordinal data [37], and Frank and Hall (2001) proposed a practical framework for decomposing ordinal problems into a series of binary classification tasks [38]—these methods are underutilized in the DR grading literature. More recently, Beckham and Pal (2017) explored ordinal regression with neural networks using unimodal output distributions [39], yet there remains a lack of practical frameworks for converting the output of a binary DR classifier into an ordinal multi-grade prediction through learned threshold optimization.</w:t>
      </w:r>
    </w:p>
    <w:p w14:paraId="5EAFB7D5" w14:textId="77777777" w:rsidR="00486D2F" w:rsidRDefault="00486D2F" w:rsidP="00486D2F">
      <w:pPr>
        <w:spacing w:after="200" w:line="360" w:lineRule="auto"/>
      </w:pPr>
      <w:r>
        <w:t xml:space="preserve">The </w:t>
      </w:r>
      <w:r>
        <w:rPr>
          <w:b/>
          <w:bCs/>
        </w:rPr>
        <w:t>third challenge</w:t>
      </w:r>
      <w:r>
        <w:t xml:space="preserve"> concerns the tradeoff between single-model efficiency and ensemble robustness. In clinical deployment, a single model offers minimal inference latency and storage requirements, making it suitable for resource-constrained environments such as mobile devices </w:t>
      </w:r>
      <w:r>
        <w:lastRenderedPageBreak/>
        <w:t>and edge computing platforms used in rural screening camps. Ensemble models—particularly those derived from K-fold cross-validation—provide improved robustness through prediction averaging, as theoretically grounded in the bias-variance decomposition framework [40]. Lakshminarayanan et al. (2017) demonstrated that deep ensembles provide well-calibrated predictive uncertainty estimates that outperform more complex Bayesian approaches [41], while Dietterich (2000) established the theoretical foundations for why ensemble methods consistently outperform single classifiers through complementary error patterns [42]. K-fold ensembles additionally offer inherent uncertainty estimation via inter-model variance and reduced sensitivity to training set composition [41, 42]. However, they incur proportionally higher computational costs (K times the inference time and storage). Understanding the precise magnitude of the accuracy-efficiency tradeoff between single-model and ensemble approaches, and how this tradeoff interacts with inference-time enhancements such as test-time augmentation (TTA) [43] and threshold optimization [44], is essential for making informed deployment decisions.</w:t>
      </w:r>
    </w:p>
    <w:p w14:paraId="162C417F" w14:textId="77777777" w:rsidR="00486D2F" w:rsidRDefault="00486D2F" w:rsidP="00486D2F">
      <w:pPr>
        <w:spacing w:after="200" w:line="360" w:lineRule="auto"/>
      </w:pPr>
      <w:r>
        <w:t>This thesis addresses these three challenges through a systematic, controlled experimental framework. We train two models—a two-phase transfer learning single model and a 5-fold cross-validation ensemble—using the same EfficientNet-B3 backbone architecture [45], the same APTOS 2019 Blindness Detection dataset [46], and identical preprocessing, augmentation [47], and evaluation pipelines. We then evaluate both models across a comprehensive set of metrics at multiple operating points, investigate the incremental contributions of TTA and threshold optimization, and propose a novel ordinal threshold framework for mapping binary classification probabilities to five-grade severity predictions.</w:t>
      </w:r>
    </w:p>
    <w:p w14:paraId="3AD953D1" w14:textId="77777777" w:rsidR="00486D2F" w:rsidRDefault="00486D2F" w:rsidP="00486D2F">
      <w:pPr>
        <w:pStyle w:val="Heading2"/>
      </w:pPr>
      <w:r>
        <w:rPr>
          <w:rFonts w:ascii="Times New Roman" w:eastAsia="Times New Roman" w:hAnsi="Times New Roman" w:cs="Times New Roman"/>
          <w:b/>
          <w:bCs/>
          <w:sz w:val="28"/>
          <w:szCs w:val="28"/>
        </w:rPr>
        <w:t>1.3  Research Objectives</w:t>
      </w:r>
    </w:p>
    <w:p w14:paraId="3E7158FC" w14:textId="77777777" w:rsidR="00486D2F" w:rsidRDefault="00486D2F" w:rsidP="00486D2F">
      <w:pPr>
        <w:spacing w:after="200" w:line="360" w:lineRule="auto"/>
      </w:pPr>
      <w:r>
        <w:t>The overarching goal of this thesis is to conduct a rigorous comparative study of two transfer learning strategies for DR grading and to develop a practical framework for multi-stage severity classification from binary model outputs. To this end, we define the following four specific research objectives:</w:t>
      </w:r>
    </w:p>
    <w:p w14:paraId="1D6F9025" w14:textId="77777777" w:rsidR="00486D2F" w:rsidRDefault="00486D2F" w:rsidP="00486D2F">
      <w:pPr>
        <w:spacing w:after="200" w:line="360" w:lineRule="auto"/>
      </w:pPr>
      <w:r>
        <w:rPr>
          <w:b/>
          <w:bCs/>
        </w:rPr>
        <w:t xml:space="preserve">Objective 1: </w:t>
      </w:r>
      <w:r>
        <w:t xml:space="preserve">To compare the diagnostic performance of a two-phase transfer learning approach (frozen backbone followed by differential-rate fine-tuning, inspired by the ULMFiT framework [35]) against a 5-fold stratified cross-validation ensemble approach (single-phase fine-tuning </w:t>
      </w:r>
      <w:r>
        <w:lastRenderedPageBreak/>
        <w:t>with OneCycleLR scheduling [34]), both implemented on the EfficientNet-B3 architecture [45] with ImageNet pretraining [31], for binary DR detection (DR present versus absent) on the APTOS 2019 dataset [46].</w:t>
      </w:r>
    </w:p>
    <w:p w14:paraId="5BF991B0" w14:textId="77777777" w:rsidR="00486D2F" w:rsidRDefault="00486D2F" w:rsidP="00486D2F">
      <w:pPr>
        <w:spacing w:after="200" w:line="360" w:lineRule="auto"/>
      </w:pPr>
      <w:r>
        <w:rPr>
          <w:b/>
          <w:bCs/>
        </w:rPr>
        <w:t xml:space="preserve">Objective 2: </w:t>
      </w:r>
      <w:r>
        <w:t>To quantify the individual and combined effects of 8-pass test-time augmentation (TTA) [43] and Youden’s J statistic-based threshold optimization [44] on binary classification performance for both training strategies, systematically evaluating AUC-ROC, accuracy, sensitivity, specificity, F1 score, and Cohen’s kappa [48] across all model configurations.</w:t>
      </w:r>
    </w:p>
    <w:p w14:paraId="1056FA43" w14:textId="77777777" w:rsidR="00486D2F" w:rsidRDefault="00486D2F" w:rsidP="00486D2F">
      <w:pPr>
        <w:spacing w:after="200" w:line="360" w:lineRule="auto"/>
      </w:pPr>
      <w:r>
        <w:rPr>
          <w:b/>
          <w:bCs/>
        </w:rPr>
        <w:t xml:space="preserve">Objective 3: </w:t>
      </w:r>
      <w:r>
        <w:t>To develop and evaluate an ordinal threshold optimization framework, building on the ordinal decomposition principles of Frank and Hall (2001) [38], that maps continuous binary classification probabilities to five discrete DR severity grades (Grades 0 through 4) by learning a set of four ordered thresholds that maximize Quadratic Weighted Kappa (QWK) [48] on a validation set, thereby preserving the ordinal structure of the clinical grading scale established by Wilkinson et al. (2003) [9].</w:t>
      </w:r>
    </w:p>
    <w:p w14:paraId="73CB9056" w14:textId="77777777" w:rsidR="00486D2F" w:rsidRDefault="00486D2F" w:rsidP="00486D2F">
      <w:pPr>
        <w:spacing w:after="200" w:line="360" w:lineRule="auto"/>
      </w:pPr>
      <w:r>
        <w:rPr>
          <w:b/>
          <w:bCs/>
        </w:rPr>
        <w:t xml:space="preserve">Objective 4: </w:t>
      </w:r>
      <w:r>
        <w:t>To provide a comprehensive evaluation of both training strategies encompassing calibration analysis (reliability diagrams and Brier score [49], Expected Calibration Error [50]), per-grade subgroup analysis, bootstrap confidence intervals (B = 2,000 resamples) [51], and practical deployment tradeoff analysis (inference time, storage requirements, uncertainty estimation) following the evaluation frameworks recommended by the CONSORT-AI reporting guidelines [52] and STARD-AI standards [53] to inform real-world clinical deployment decisions.</w:t>
      </w:r>
    </w:p>
    <w:p w14:paraId="636D35B1" w14:textId="77777777" w:rsidR="00486D2F" w:rsidRDefault="00486D2F" w:rsidP="00486D2F">
      <w:pPr>
        <w:pStyle w:val="Heading2"/>
      </w:pPr>
      <w:r>
        <w:rPr>
          <w:rFonts w:ascii="Times New Roman" w:eastAsia="Times New Roman" w:hAnsi="Times New Roman" w:cs="Times New Roman"/>
          <w:b/>
          <w:bCs/>
          <w:sz w:val="28"/>
          <w:szCs w:val="28"/>
        </w:rPr>
        <w:t>1.4  Contributions</w:t>
      </w:r>
    </w:p>
    <w:p w14:paraId="6FB1AA47" w14:textId="77777777" w:rsidR="00486D2F" w:rsidRDefault="00486D2F" w:rsidP="00486D2F">
      <w:pPr>
        <w:spacing w:after="200" w:line="360" w:lineRule="auto"/>
      </w:pPr>
      <w:r>
        <w:t>This thesis makes four principal contributions to the field of AI-driven diabetic retinopathy screening, each addressing an identified gap in the existing literature.</w:t>
      </w:r>
    </w:p>
    <w:p w14:paraId="0DDE63FA" w14:textId="77777777" w:rsidR="00486D2F" w:rsidRDefault="00486D2F" w:rsidP="00486D2F">
      <w:pPr>
        <w:spacing w:after="200" w:line="360" w:lineRule="auto"/>
      </w:pPr>
      <w:r>
        <w:rPr>
          <w:b/>
          <w:bCs/>
        </w:rPr>
        <w:t xml:space="preserve">Contribution 1: Controlled head-to-head comparison of training strategies. </w:t>
      </w:r>
      <w:r>
        <w:t xml:space="preserve">We present, to the best of our knowledge, the first study that compares two-phase transfer learning [35] against K-fold cross-validation ensemble training [41, 42] on the same backbone architecture (EfficientNet-B3 [45]), the same dataset (APTOS 2019 [46]), with identical preprocessing (Albumentations [47]), augmentation, and evaluation pipelines. This controlled experimental design eliminates confounding factors that plague comparisons across studies that use different </w:t>
      </w:r>
      <w:r>
        <w:lastRenderedPageBreak/>
        <w:t>architectures, datasets, or evaluation protocols—a concern raised by several systematic reviews of DR detection studies [54, 55]. Our results demonstrate that the two-phase single model achieves AUC-ROC of 0.9993 with TTA and optimized threshold, compared to 0.9994 for the ensemble—a difference of 0.0001 that, while statistically marginal, highlights the exceptional effectiveness of the two-phase strategy in maximizing a single model’s discriminative power.</w:t>
      </w:r>
    </w:p>
    <w:p w14:paraId="27AE1CCD" w14:textId="77777777" w:rsidR="00486D2F" w:rsidRDefault="00486D2F" w:rsidP="00486D2F">
      <w:pPr>
        <w:spacing w:after="200" w:line="360" w:lineRule="auto"/>
      </w:pPr>
      <w:r>
        <w:rPr>
          <w:b/>
          <w:bCs/>
        </w:rPr>
        <w:t xml:space="preserve">Contribution 2: Ordinal threshold optimization framework for multi-stage grading. </w:t>
      </w:r>
      <w:r>
        <w:t>We propose a novel, practical framework for converting a single binary classifier’s continuous probability output into a five-grade ordinal severity prediction. Extending the ordinal decomposition paradigm introduced by Frank and Hall (2001) [38] and the cumulative link model formalized by McCullagh (1980) [37], our approach learns four ordered thresholds on a validation set that maximize QWK [48], the standard ordinal agreement metric for DR grading, as used in the Kaggle Diabetic Retinopathy Detection challenge [56] and the APTOS 2019 challenge [46]. This framework offers three distinct advantages over conventional multi-class approaches: it requires only a single binary model (reducing architectural complexity), it explicitly preserves the ordinal structure of the grading scale (penalizing large-distance misclassifications more heavily through the quadratic weight matrix), and the thresholds can be adjusted post-training to accommodate different clinical operating points without model retraining.</w:t>
      </w:r>
    </w:p>
    <w:p w14:paraId="5D93BA0A" w14:textId="77777777" w:rsidR="00486D2F" w:rsidRDefault="00486D2F" w:rsidP="00486D2F">
      <w:pPr>
        <w:spacing w:after="200" w:line="360" w:lineRule="auto"/>
      </w:pPr>
      <w:r>
        <w:rPr>
          <w:b/>
          <w:bCs/>
        </w:rPr>
        <w:t xml:space="preserve">Contribution 3: Systematic analysis of TTA and threshold optimization synergy. </w:t>
      </w:r>
      <w:r>
        <w:t>We provide a detailed ablation study quantifying the individual and combined contributions of 8-pass test-time augmentation [43] and Youden’s J statistic-based threshold optimization [44]. Youden’s J, originally introduced as the index for rating the performance of diagnostic tests [44], provides a principled criterion for selecting the decision threshold that maximizes the combined sensitivity and specificity. Our analysis reveals that TTA and threshold optimization provide complementary benefits: TTA improves probability estimates through geometric averaging (particularly benefiting cases near the decision boundary, as demonstrated in the augmentation literature [43, 57]), while threshold optimization shifts the operating point to balance sensitivity and specificity according to a principled statistical criterion. When applied together, these techniques improve accuracy from 0.9906 to 0.9943 for the two-phase model and from 0.9887 to 0.9925 for the ensemble, demonstrating consistent additive gains across both training strategies.</w:t>
      </w:r>
    </w:p>
    <w:p w14:paraId="0754FC1C" w14:textId="77777777" w:rsidR="00486D2F" w:rsidRDefault="00486D2F" w:rsidP="00486D2F">
      <w:pPr>
        <w:spacing w:after="200" w:line="360" w:lineRule="auto"/>
      </w:pPr>
      <w:r>
        <w:rPr>
          <w:b/>
          <w:bCs/>
        </w:rPr>
        <w:lastRenderedPageBreak/>
        <w:t xml:space="preserve">Contribution 4: Comprehensive clinical evaluation methodology. </w:t>
      </w:r>
      <w:r>
        <w:t>We establish a thorough evaluation framework that goes beyond standard accuracy reporting—a criticism frequently leveled at medical AI studies [52, 53]—to include bootstrap 95% confidence intervals (2,000 resamples following Efron and Tibshirani [51]), calibration analysis (reliability diagrams as formalized by Niculescu-Mizil and Caruana (2005) [50], Brier score [49], Expected Calibration Error [50]), per-grade subgroup analysis, and a practical deployment tradeoff comparison. This multi-faceted evaluation provides the evidence base necessary for clinical translation decisions, consistent with the CONSORT-AI [52] and STARD-AI [53] reporting standards, addressing not only whether the system is accurate, but also whether its predictions are well-calibrated, whether performance is consistent across severity grades (including rare severe grades), and what practical computational and storage costs are associated with each approach.</w:t>
      </w:r>
    </w:p>
    <w:p w14:paraId="625875EB" w14:textId="77777777" w:rsidR="00486D2F" w:rsidRDefault="00486D2F" w:rsidP="00486D2F">
      <w:pPr>
        <w:pStyle w:val="Heading2"/>
      </w:pPr>
      <w:r>
        <w:rPr>
          <w:rFonts w:ascii="Times New Roman" w:eastAsia="Times New Roman" w:hAnsi="Times New Roman" w:cs="Times New Roman"/>
          <w:b/>
          <w:bCs/>
          <w:sz w:val="28"/>
          <w:szCs w:val="28"/>
        </w:rPr>
        <w:t>1.5  Thesis Organization</w:t>
      </w:r>
    </w:p>
    <w:p w14:paraId="76B0979A" w14:textId="77777777" w:rsidR="00486D2F" w:rsidRDefault="00486D2F" w:rsidP="00486D2F">
      <w:pPr>
        <w:spacing w:after="200" w:line="360" w:lineRule="auto"/>
      </w:pPr>
      <w:r>
        <w:t>The remainder of this thesis is organized as follows. Chapter 2 presents a comprehensive review of the relevant literature, covering the clinical background of diabetic retinopathy [4, 8, 9, 10], the evolution of deep learning architectures for retinal image analysis [19–25, 45], transfer learning strategies for medical imaging [32, 33, 35], ensemble methods [41, 42], ordinal classification approaches [37, 38, 39], and publicly available DR datasets [46, 56, 58, 59]. Chapter 3 details the methodology, including dataset preparation, preprocessing and augmentation pipelines [47], model architectures [45], the two training strategies [34, 35], the TTA protocol [43], threshold optimization procedures [44], the ordinal grading framework [38], and the evaluation metrics employed [48, 49, 50, 51]. Chapter 4 presents the experimental results, encompassing training convergence analysis, binary classification performance across all 11 evaluation configurations, ablation studies, calibration analysis, subgroup analysis by DR severity grade, and ordinal multi-stage grading results. Chapter 5 provides a detailed discussion of the findings, including interpretation of key results, practical deployment tradeoffs, clinical implications in the context of existing screening guidelines [11, 16], comparison with prior work [23, 25, 26], and a candid assessment of limitations. Chapter 6 concludes the thesis with a summary of contributions and a prioritized roadmap for future research directions, including external validation [58, 59], retinal foundation models [60], and Vision Transformers [61].</w:t>
      </w:r>
    </w:p>
    <w:p w14:paraId="5A56EAD5" w14:textId="67D836E3" w:rsidR="00486D2F" w:rsidRDefault="00486D2F">
      <w:pPr>
        <w:spacing w:after="160" w:line="278" w:lineRule="auto"/>
      </w:pPr>
      <w:r>
        <w:br w:type="page"/>
      </w:r>
    </w:p>
    <w:p w14:paraId="17C055C1" w14:textId="6C65A481" w:rsidR="00486D2F" w:rsidRDefault="00486D2F" w:rsidP="00486D2F">
      <w:pPr>
        <w:pStyle w:val="Heading1"/>
        <w:pageBreakBefore/>
        <w:spacing w:line="360" w:lineRule="auto"/>
      </w:pPr>
      <w:bookmarkStart w:id="1" w:name="_Toc224764489"/>
      <w:r>
        <w:rPr>
          <w:rFonts w:ascii="Times New Roman" w:eastAsia="Times New Roman" w:hAnsi="Times New Roman" w:cs="Times New Roman"/>
          <w:b/>
          <w:bCs/>
          <w:sz w:val="32"/>
          <w:szCs w:val="32"/>
        </w:rPr>
        <w:lastRenderedPageBreak/>
        <w:t xml:space="preserve">Chapter 2: </w:t>
      </w:r>
      <w:bookmarkEnd w:id="1"/>
    </w:p>
    <w:p w14:paraId="79264B79" w14:textId="1264EB64" w:rsidR="00486D2F" w:rsidRDefault="00486D2F" w:rsidP="00486D2F">
      <w:pPr>
        <w:pStyle w:val="Heading2"/>
        <w:spacing w:after="240" w:line="360" w:lineRule="auto"/>
        <w:jc w:val="center"/>
        <w:rPr>
          <w:rFonts w:ascii="Times New Roman" w:eastAsia="Times New Roman" w:hAnsi="Times New Roman" w:cs="Times New Roman"/>
          <w:b/>
          <w:bCs/>
          <w:sz w:val="28"/>
          <w:szCs w:val="28"/>
        </w:rPr>
      </w:pPr>
      <w:bookmarkStart w:id="2" w:name="_Toc224764490"/>
      <w:r>
        <w:rPr>
          <w:rFonts w:ascii="Times New Roman" w:eastAsia="Times New Roman" w:hAnsi="Times New Roman" w:cs="Times New Roman"/>
          <w:b/>
          <w:bCs/>
        </w:rPr>
        <w:t>Literature Review</w:t>
      </w:r>
    </w:p>
    <w:p w14:paraId="48A698A4" w14:textId="391BC376" w:rsidR="00486D2F" w:rsidRDefault="00486D2F" w:rsidP="00486D2F">
      <w:pPr>
        <w:pStyle w:val="Heading2"/>
        <w:spacing w:after="240" w:line="360" w:lineRule="auto"/>
      </w:pPr>
      <w:r>
        <w:rPr>
          <w:rFonts w:ascii="Times New Roman" w:eastAsia="Times New Roman" w:hAnsi="Times New Roman" w:cs="Times New Roman"/>
          <w:b/>
          <w:bCs/>
          <w:sz w:val="28"/>
          <w:szCs w:val="28"/>
        </w:rPr>
        <w:t>2.1 Diabetic Retinopathy Screening</w:t>
      </w:r>
      <w:bookmarkEnd w:id="2"/>
    </w:p>
    <w:p w14:paraId="3A3AA904" w14:textId="77777777" w:rsidR="00486D2F" w:rsidRDefault="00486D2F" w:rsidP="00486D2F">
      <w:pPr>
        <w:spacing w:after="200" w:line="360" w:lineRule="auto"/>
        <w:ind w:firstLine="720"/>
        <w:jc w:val="both"/>
      </w:pPr>
      <w:r>
        <w:t>The landmark IDx-DR system became the first FDA-approved autonomous AI diagnostic for DR detection in 2018, achieving 87.2% sensitivity and 90.7% specificity in a pivotal clinical trial. This milestone demonstrated the clinical viability of deep learning approaches for DR screening and catalyzed subsequent research. Google Health's DeepMind system reported AUC values exceeding 0.99 on multiple datasets, establishing performance benchmarks that approach or exceed expert ophthalmologists.</w:t>
      </w:r>
    </w:p>
    <w:p w14:paraId="7772C555" w14:textId="77777777" w:rsidR="00486D2F" w:rsidRDefault="00486D2F" w:rsidP="00486D2F">
      <w:pPr>
        <w:spacing w:after="200" w:line="360" w:lineRule="auto"/>
        <w:ind w:firstLine="720"/>
        <w:jc w:val="both"/>
      </w:pPr>
      <w:r>
        <w:t>The Kaggle Diabetic Retinopathy Detection competition (2015) and the subsequent APTOS 2019 Blindness Detection challenge provided large-scale labeled datasets that accelerated research. The APTOS 2019 dataset, which this thesis utilizes, contains 3,534 retinal fundus images labeled by clinicians across five DR severity grades, representing a diverse collection of image qualities and pathological presentations.</w:t>
      </w:r>
    </w:p>
    <w:p w14:paraId="090947A4" w14:textId="77777777" w:rsidR="00486D2F" w:rsidRDefault="00486D2F" w:rsidP="00486D2F">
      <w:pPr>
        <w:pStyle w:val="Heading2"/>
        <w:spacing w:after="240" w:line="360" w:lineRule="auto"/>
      </w:pPr>
      <w:bookmarkStart w:id="3" w:name="_Toc224764491"/>
      <w:r>
        <w:rPr>
          <w:rFonts w:ascii="Times New Roman" w:eastAsia="Times New Roman" w:hAnsi="Times New Roman" w:cs="Times New Roman"/>
          <w:b/>
          <w:bCs/>
          <w:sz w:val="28"/>
          <w:szCs w:val="28"/>
        </w:rPr>
        <w:t>2.2 Convolutional Neural Networks for Medical Imaging</w:t>
      </w:r>
      <w:bookmarkEnd w:id="3"/>
    </w:p>
    <w:p w14:paraId="440E187F" w14:textId="77777777" w:rsidR="00486D2F" w:rsidRDefault="00486D2F" w:rsidP="00486D2F">
      <w:pPr>
        <w:spacing w:after="200" w:line="360" w:lineRule="auto"/>
        <w:ind w:firstLine="720"/>
        <w:jc w:val="both"/>
      </w:pPr>
      <w:r>
        <w:t>The evolution from AlexNet (2012) through VGGNet, ResNet, and Inception to the EfficientNet family has driven consistent improvements in image classification accuracy with increasing parameter efficiency. EfficientNet, introduced by Tan and Le (2019), employs a compound scaling method that uniformly scales network depth, width, and resolution using a set of fixed scaling coefficients. EfficientNet-B3 strikes a favorable balance between computational cost (12M parameters) and representational capacity, making it particularly suitable for medical imaging tasks where training data is limited relative to natural image benchmarks.</w:t>
      </w:r>
    </w:p>
    <w:p w14:paraId="6BCEA9A2" w14:textId="77777777" w:rsidR="00486D2F" w:rsidRDefault="00486D2F" w:rsidP="00486D2F">
      <w:pPr>
        <w:spacing w:after="200" w:line="360" w:lineRule="auto"/>
        <w:ind w:firstLine="720"/>
        <w:jc w:val="both"/>
      </w:pPr>
      <w:r>
        <w:t>Transfer learning from ImageNet has become the de facto approach for medical image classification, with studies consistently demonstrating that pretrained features provide substantial benefits even when the target domain differs significantly from natural images. The low-level features learned on ImageNet, such as edges, textures, and color gradients, transfer effectively to retinal image analysis.</w:t>
      </w:r>
    </w:p>
    <w:p w14:paraId="724EA276" w14:textId="77777777" w:rsidR="00486D2F" w:rsidRDefault="00486D2F" w:rsidP="00486D2F">
      <w:pPr>
        <w:pStyle w:val="Heading2"/>
        <w:spacing w:after="240" w:line="360" w:lineRule="auto"/>
      </w:pPr>
      <w:bookmarkStart w:id="4" w:name="_Toc224764492"/>
      <w:r>
        <w:rPr>
          <w:rFonts w:ascii="Times New Roman" w:eastAsia="Times New Roman" w:hAnsi="Times New Roman" w:cs="Times New Roman"/>
          <w:b/>
          <w:bCs/>
          <w:sz w:val="28"/>
          <w:szCs w:val="28"/>
        </w:rPr>
        <w:lastRenderedPageBreak/>
        <w:t>2.3 Transfer Learning Strategies</w:t>
      </w:r>
      <w:bookmarkEnd w:id="4"/>
    </w:p>
    <w:p w14:paraId="4DBB7763" w14:textId="77777777" w:rsidR="00486D2F" w:rsidRDefault="00486D2F" w:rsidP="00486D2F">
      <w:pPr>
        <w:spacing w:after="200" w:line="360" w:lineRule="auto"/>
        <w:ind w:firstLine="720"/>
        <w:jc w:val="both"/>
      </w:pPr>
      <w:r>
        <w:t>Two predominant strategies exist for adapting pretrained models. The first, which we term two-phase training, initially freezes the backbone network and trains only the classification head, then unfreezes all layers for end-to-end fine-tuning with a reduced learning rate. This approach, advocated by Howard and Ruder (2018) in their ULMFiT framework, prevents catastrophic forgetting by allowing the head to adapt before gradual backbone refinement. The second strategy trains all parameters from the start with learning rate warmup, relying on schedulers such as OneCycleLR to provide an implicit curriculum.</w:t>
      </w:r>
    </w:p>
    <w:p w14:paraId="2BDFE7CF" w14:textId="77777777" w:rsidR="00486D2F" w:rsidRDefault="00486D2F" w:rsidP="00486D2F">
      <w:pPr>
        <w:spacing w:after="200" w:line="360" w:lineRule="auto"/>
        <w:ind w:firstLine="720"/>
        <w:jc w:val="both"/>
      </w:pPr>
      <w:r>
        <w:t>Differential learning rates, where deeper layers receive smaller learning rates than shallow layers, have been shown to further preserve pretrained features while allowing task-specific adaptation. This technique is particularly relevant for the two-phase approach used in this thesis.</w:t>
      </w:r>
    </w:p>
    <w:p w14:paraId="47CCB7AE" w14:textId="77777777" w:rsidR="00486D2F" w:rsidRDefault="00486D2F" w:rsidP="00486D2F">
      <w:pPr>
        <w:pStyle w:val="Heading2"/>
        <w:spacing w:after="240" w:line="360" w:lineRule="auto"/>
      </w:pPr>
      <w:bookmarkStart w:id="5" w:name="_Toc224764493"/>
      <w:r>
        <w:rPr>
          <w:rFonts w:ascii="Times New Roman" w:eastAsia="Times New Roman" w:hAnsi="Times New Roman" w:cs="Times New Roman"/>
          <w:b/>
          <w:bCs/>
          <w:sz w:val="28"/>
          <w:szCs w:val="28"/>
        </w:rPr>
        <w:t>2.4 Ensemble Methods and Cross-Validation</w:t>
      </w:r>
      <w:bookmarkEnd w:id="5"/>
    </w:p>
    <w:p w14:paraId="13AF72FE" w14:textId="77777777" w:rsidR="00486D2F" w:rsidRDefault="00486D2F" w:rsidP="00486D2F">
      <w:pPr>
        <w:spacing w:after="200" w:line="360" w:lineRule="auto"/>
        <w:ind w:firstLine="720"/>
        <w:jc w:val="both"/>
      </w:pPr>
      <w:r>
        <w:t>K-fold cross-validation serves a dual purpose in deep learning: it provides robust performance estimates and produces K models that can be combined into an ensemble. Soft voting, which averages the predicted probabilities across models, consistently outperforms hard voting and is the preferred aggregation strategy for well-calibrated models. The diversity among fold models arises naturally from training on different data subsets, providing complementary predictions.</w:t>
      </w:r>
    </w:p>
    <w:p w14:paraId="4CDB3983" w14:textId="77777777" w:rsidR="00486D2F" w:rsidRDefault="00486D2F" w:rsidP="00486D2F">
      <w:pPr>
        <w:spacing w:after="200" w:line="360" w:lineRule="auto"/>
        <w:ind w:firstLine="720"/>
        <w:jc w:val="both"/>
      </w:pPr>
      <w:r>
        <w:t>Test-time augmentation extends the ensemble concept to the inference stage by generating multiple augmented versions of each test image and averaging predictions. TTA has been shown to improve both accuracy and calibration, particularly for medical imaging tasks where geometric invariance is expected.</w:t>
      </w:r>
    </w:p>
    <w:p w14:paraId="113A3C1F" w14:textId="77777777" w:rsidR="00486D2F" w:rsidRDefault="00486D2F" w:rsidP="00486D2F">
      <w:pPr>
        <w:pStyle w:val="Heading2"/>
        <w:spacing w:after="240" w:line="360" w:lineRule="auto"/>
      </w:pPr>
      <w:bookmarkStart w:id="6" w:name="_Toc224764494"/>
      <w:r>
        <w:rPr>
          <w:rFonts w:ascii="Times New Roman" w:eastAsia="Times New Roman" w:hAnsi="Times New Roman" w:cs="Times New Roman"/>
          <w:b/>
          <w:bCs/>
          <w:sz w:val="28"/>
          <w:szCs w:val="28"/>
        </w:rPr>
        <w:t>2.5 Ordinal Classification</w:t>
      </w:r>
      <w:bookmarkEnd w:id="6"/>
    </w:p>
    <w:p w14:paraId="02212976" w14:textId="32286BCA" w:rsidR="00486D2F" w:rsidRDefault="00486D2F" w:rsidP="00486D2F">
      <w:pPr>
        <w:spacing w:after="200" w:line="360" w:lineRule="auto"/>
        <w:ind w:firstLine="720"/>
        <w:jc w:val="both"/>
      </w:pPr>
      <w:r>
        <w:t xml:space="preserve">DR grading is inherently ordinal: the five grades represent an ordered sequence of increasing severity. Standard multi-class classification ignores this ordering, treating a misclassification from Grade 0 to Grade 4 identically to one from Grade 0 to Grade 1. Ordinal regression approaches address this through threshold-based methods, where a single continuous </w:t>
      </w:r>
      <w:r>
        <w:lastRenderedPageBreak/>
        <w:t>output is partitioned into ordered categories using learned thresholds. Frank and Hall (2001) demonstrated that decomposing an ordinal problem into nested binary decisions can outperform direct multi-class classification. This thesis adopts a similar approach, optimizing four thresholds on the binary classifier output to achieve five-grade DR classification.</w:t>
      </w:r>
    </w:p>
    <w:p w14:paraId="67E0B263" w14:textId="05E99BC8" w:rsidR="00486D2F" w:rsidRDefault="00486D2F">
      <w:pPr>
        <w:spacing w:after="160" w:line="278" w:lineRule="auto"/>
      </w:pPr>
      <w:r>
        <w:br w:type="page"/>
      </w:r>
    </w:p>
    <w:p w14:paraId="1B7AA035" w14:textId="77777777" w:rsidR="00486D2F" w:rsidRDefault="00486D2F" w:rsidP="00486D2F">
      <w:pPr>
        <w:pStyle w:val="Heading1"/>
        <w:pageBreakBefore/>
        <w:spacing w:line="360" w:lineRule="auto"/>
      </w:pPr>
      <w:bookmarkStart w:id="7" w:name="_Toc224764495"/>
      <w:r>
        <w:rPr>
          <w:rFonts w:ascii="Times New Roman" w:eastAsia="Times New Roman" w:hAnsi="Times New Roman" w:cs="Times New Roman"/>
          <w:b/>
          <w:bCs/>
          <w:sz w:val="32"/>
          <w:szCs w:val="32"/>
        </w:rPr>
        <w:lastRenderedPageBreak/>
        <w:t xml:space="preserve">Chapter 3: </w:t>
      </w:r>
      <w:bookmarkEnd w:id="7"/>
    </w:p>
    <w:p w14:paraId="4A60C40E" w14:textId="77777777" w:rsidR="00486D2F" w:rsidRDefault="00486D2F" w:rsidP="00486D2F">
      <w:pPr>
        <w:pStyle w:val="Heading2"/>
        <w:spacing w:after="240" w:line="360" w:lineRule="auto"/>
        <w:jc w:val="center"/>
      </w:pPr>
      <w:bookmarkStart w:id="8" w:name="_Toc224764496"/>
      <w:r>
        <w:rPr>
          <w:rFonts w:ascii="Times New Roman" w:eastAsia="Times New Roman" w:hAnsi="Times New Roman" w:cs="Times New Roman"/>
          <w:b/>
          <w:bCs/>
        </w:rPr>
        <w:t>Methodology</w:t>
      </w:r>
    </w:p>
    <w:p w14:paraId="7D4E2CC4" w14:textId="77777777" w:rsidR="00486D2F" w:rsidRDefault="00486D2F" w:rsidP="00486D2F">
      <w:pPr>
        <w:pStyle w:val="Heading2"/>
        <w:spacing w:after="240" w:line="360" w:lineRule="auto"/>
      </w:pPr>
      <w:r>
        <w:rPr>
          <w:rFonts w:ascii="Times New Roman" w:eastAsia="Times New Roman" w:hAnsi="Times New Roman" w:cs="Times New Roman"/>
          <w:b/>
          <w:bCs/>
          <w:sz w:val="28"/>
          <w:szCs w:val="28"/>
        </w:rPr>
        <w:t>3.1 Dataset</w:t>
      </w:r>
      <w:bookmarkEnd w:id="8"/>
    </w:p>
    <w:p w14:paraId="2360A718" w14:textId="16EC7E15" w:rsidR="003F14FB" w:rsidRDefault="00486D2F" w:rsidP="003F14FB">
      <w:pPr>
        <w:spacing w:after="200" w:line="360" w:lineRule="auto"/>
        <w:ind w:firstLine="720"/>
        <w:jc w:val="both"/>
      </w:pPr>
      <w:r>
        <w:t>This study utilizes the APTOS 2019 Blindness Detection dataset, comprising 3,534 retinal fundus images collected from multiple clinics in rural India. Each image is labeled by trained clinicians on the standard five-level DR severity scale: No DR (Grade 0), Mild NPDR (Grade 1), Moderate NPDR (Grade 2), Severe NPDR (Grade 3), and Proliferative DR (Grade 4). The dataset exhibits significant class imbalance, with Grade 0 constituting 35.6% of images and Grades 3-4 together representing only 9.1%.</w:t>
      </w:r>
    </w:p>
    <w:p w14:paraId="3035596E" w14:textId="517E8A6D" w:rsidR="00486D2F" w:rsidRDefault="00486D2F" w:rsidP="006E70C0">
      <w:pPr>
        <w:spacing w:after="200" w:line="360" w:lineRule="auto"/>
        <w:jc w:val="both"/>
      </w:pPr>
      <w:r>
        <w:t>The dataset was split into training (2,473 images, 70%), validation (530 images, 15%), and test (531 images, 15%) sets using stratified sampling on the DR grade to preserve class distributions across all splits. For binary classification, images were relabeled as No DR (Grade 0) or DR Present (Grades 1-4), yielding a near-balanced binary split of 270 No DR and 261 DR Present in the test set.</w:t>
      </w:r>
    </w:p>
    <w:p w14:paraId="09B4960C" w14:textId="77777777" w:rsidR="00486D2F" w:rsidRDefault="00486D2F" w:rsidP="00486D2F">
      <w:pPr>
        <w:pStyle w:val="Heading2"/>
        <w:spacing w:after="240" w:line="360" w:lineRule="auto"/>
      </w:pPr>
      <w:bookmarkStart w:id="9" w:name="_Toc224764497"/>
      <w:r>
        <w:rPr>
          <w:rFonts w:ascii="Times New Roman" w:eastAsia="Times New Roman" w:hAnsi="Times New Roman" w:cs="Times New Roman"/>
          <w:b/>
          <w:bCs/>
          <w:sz w:val="28"/>
          <w:szCs w:val="28"/>
        </w:rPr>
        <w:t>3.2 Image Preprocessing</w:t>
      </w:r>
      <w:bookmarkEnd w:id="9"/>
    </w:p>
    <w:p w14:paraId="6FED0FF7" w14:textId="77777777" w:rsidR="00486D2F" w:rsidRDefault="00486D2F" w:rsidP="00486D2F">
      <w:pPr>
        <w:spacing w:after="200" w:line="360" w:lineRule="auto"/>
        <w:ind w:firstLine="720"/>
        <w:jc w:val="both"/>
      </w:pPr>
      <w:r>
        <w:t>All fundus images were preprocessed through a standardized pipeline. Images were resized to 384 x 384 pixels to match the EfficientNet-B3 input resolution. Pixel values were normalized using ImageNet statistics (mean = [0.485, 0.456, 0.406], std = [0.229, 0.224, 0.225]) to align with the pretrained backbone expectations.</w:t>
      </w:r>
    </w:p>
    <w:p w14:paraId="748A6D1D" w14:textId="77777777" w:rsidR="00486D2F" w:rsidRDefault="00486D2F" w:rsidP="00486D2F">
      <w:pPr>
        <w:spacing w:after="200" w:line="360" w:lineRule="auto"/>
        <w:ind w:firstLine="720"/>
        <w:jc w:val="both"/>
      </w:pPr>
      <w:r>
        <w:t>Training augmentations included horizontal and vertical flips, random 90-degree rotations, shift-scale-rotate transformations, random brightness and contrast adjustments, and coarse dropout regularization. These augmentations were implemented using the Albumentations library to improve generalization and reduce overfitting on the relatively small training set.</w:t>
      </w:r>
    </w:p>
    <w:p w14:paraId="7D88F16F" w14:textId="77777777" w:rsidR="00486D2F" w:rsidRDefault="00486D2F" w:rsidP="00486D2F">
      <w:pPr>
        <w:pStyle w:val="Heading2"/>
        <w:spacing w:after="240" w:line="360" w:lineRule="auto"/>
      </w:pPr>
      <w:bookmarkStart w:id="10" w:name="_Toc224764498"/>
      <w:r>
        <w:rPr>
          <w:rFonts w:ascii="Times New Roman" w:eastAsia="Times New Roman" w:hAnsi="Times New Roman" w:cs="Times New Roman"/>
          <w:b/>
          <w:bCs/>
          <w:sz w:val="28"/>
          <w:szCs w:val="28"/>
        </w:rPr>
        <w:lastRenderedPageBreak/>
        <w:t>3.3 Model Architecture</w:t>
      </w:r>
      <w:bookmarkEnd w:id="10"/>
    </w:p>
    <w:p w14:paraId="09A331EE" w14:textId="77777777" w:rsidR="00486D2F" w:rsidRDefault="00486D2F" w:rsidP="00486D2F">
      <w:pPr>
        <w:spacing w:after="200" w:line="360" w:lineRule="auto"/>
        <w:ind w:firstLine="720"/>
        <w:jc w:val="both"/>
      </w:pPr>
      <w:r>
        <w:t>The base architecture is EfficientNet-B3 pretrained on ImageNet, implemented via the timm library. Two variants of the classification head were employed:</w:t>
      </w:r>
    </w:p>
    <w:p w14:paraId="54BF1BA6" w14:textId="77777777" w:rsidR="00486D2F" w:rsidRDefault="00486D2F" w:rsidP="00486D2F">
      <w:pPr>
        <w:spacing w:after="200" w:line="360" w:lineRule="auto"/>
        <w:ind w:firstLine="720"/>
        <w:jc w:val="both"/>
      </w:pPr>
      <w:r>
        <w:t>Two-Phase Model: The default EfficientNet-B3 classifier is replaced with a simple head consisting of Dropout (p=0.4) followed by a single Linear layer mapping 1,536 features to 1 output. This produces logits of shape [B, 1], requiring a squeeze operation during inference.</w:t>
      </w:r>
    </w:p>
    <w:p w14:paraId="4294A53E" w14:textId="77777777" w:rsidR="00486D2F" w:rsidRDefault="00486D2F" w:rsidP="00486D2F">
      <w:pPr>
        <w:spacing w:after="200" w:line="360" w:lineRule="auto"/>
        <w:ind w:firstLine="720"/>
        <w:jc w:val="both"/>
      </w:pPr>
      <w:r>
        <w:t>K-Fold Model: A custom three-layer head is attached to the EfficientNet-B3 backbone (with num_classes=0 to remove the original classifier). The head consists of Linear(1536, 256), LayerNorm(256), GELU, Dropout(0.4), Linear(256, 64), LayerNorm(64), GELU, Dropout(0.3), and Linear(64, 1) with a final squeeze to produce output shape [B]. The deeper head provides additional capacity for learning complex decision boundaries.</w:t>
      </w:r>
    </w:p>
    <w:p w14:paraId="5B94119D" w14:textId="77777777" w:rsidR="00486D2F" w:rsidRDefault="00486D2F" w:rsidP="00486D2F">
      <w:pPr>
        <w:pStyle w:val="Heading2"/>
        <w:spacing w:after="240" w:line="360" w:lineRule="auto"/>
      </w:pPr>
      <w:bookmarkStart w:id="11" w:name="_Toc224764499"/>
      <w:r>
        <w:rPr>
          <w:rFonts w:ascii="Times New Roman" w:eastAsia="Times New Roman" w:hAnsi="Times New Roman" w:cs="Times New Roman"/>
          <w:b/>
          <w:bCs/>
          <w:sz w:val="28"/>
          <w:szCs w:val="28"/>
        </w:rPr>
        <w:t>3.4 Training Strategy 1: Two-Phase Transfer Learning</w:t>
      </w:r>
      <w:bookmarkEnd w:id="11"/>
    </w:p>
    <w:p w14:paraId="5A74A8EC" w14:textId="77777777" w:rsidR="00486D2F" w:rsidRDefault="00486D2F" w:rsidP="00486D2F">
      <w:pPr>
        <w:spacing w:after="200" w:line="360" w:lineRule="auto"/>
        <w:ind w:firstLine="720"/>
        <w:jc w:val="both"/>
      </w:pPr>
      <w:r>
        <w:t>The two-phase approach proceeds as follows. In Phase 1, the EfficientNet-B3 backbone is frozen and only the classification head is trained for 5 epochs with a learning rate of 1e-3. This allows the randomly initialized head to adapt to the feature space without disturbing the pretrained representations. In Phase 2, all layers are unfrozen and the entire model is fine-tuned for 30 epochs with differential learning rates: 1e-5 for the backbone and 1e-4 for the head (a 10x ratio). A CosineAnnealingWarmRestarts scheduler with T0=10 and Tmult=2 manages the learning rate decay. Early stopping with patience of 10 epochs on validation AUC prevents overfitting.</w:t>
      </w:r>
    </w:p>
    <w:p w14:paraId="48814D5C" w14:textId="77777777" w:rsidR="00486D2F" w:rsidRDefault="00486D2F" w:rsidP="00486D2F">
      <w:pPr>
        <w:spacing w:after="200" w:line="360" w:lineRule="auto"/>
        <w:ind w:firstLine="720"/>
        <w:jc w:val="both"/>
      </w:pPr>
      <w:r>
        <w:t>The loss function is binary cross-entropy with logits (BCEWithLogitsLoss) with positive class weighting computed from the training set class distribution to address the class imbalance.</w:t>
      </w:r>
    </w:p>
    <w:p w14:paraId="2381A448" w14:textId="77777777" w:rsidR="00486D2F" w:rsidRDefault="00486D2F" w:rsidP="00486D2F">
      <w:pPr>
        <w:pStyle w:val="Heading2"/>
        <w:spacing w:after="240" w:line="360" w:lineRule="auto"/>
      </w:pPr>
      <w:bookmarkStart w:id="12" w:name="_Toc224764500"/>
      <w:r>
        <w:rPr>
          <w:rFonts w:ascii="Times New Roman" w:eastAsia="Times New Roman" w:hAnsi="Times New Roman" w:cs="Times New Roman"/>
          <w:b/>
          <w:bCs/>
          <w:sz w:val="28"/>
          <w:szCs w:val="28"/>
        </w:rPr>
        <w:t>3.5 Training Strategy 2: 5-Fold Cross-Validation Ensemble</w:t>
      </w:r>
      <w:bookmarkEnd w:id="12"/>
    </w:p>
    <w:p w14:paraId="3F881A2D" w14:textId="77777777" w:rsidR="00486D2F" w:rsidRDefault="00486D2F" w:rsidP="00486D2F">
      <w:pPr>
        <w:spacing w:after="200" w:line="360" w:lineRule="auto"/>
        <w:ind w:firstLine="720"/>
        <w:jc w:val="both"/>
      </w:pPr>
      <w:r>
        <w:t xml:space="preserve">The training data is divided into 5 stratified folds based on the DR grade distribution, ensuring both multi-class and binary class proportions are preserved in each fold. For each fold, the model is trained for 30 epochs using a single-phase OneCycleLR scheduler with pct_start=0.1, which provides an implicit warmup phase during the first 10% of training. Gradient clipping with </w:t>
      </w:r>
      <w:r>
        <w:lastRenderedPageBreak/>
        <w:t>max_norm=1.0 stabilizes training. A WeightedRandomSampler addresses class imbalance, with per-fold positive weights computed for the BCEWithLogitsLoss.</w:t>
      </w:r>
    </w:p>
    <w:p w14:paraId="6360F6C7" w14:textId="77777777" w:rsidR="00486D2F" w:rsidRDefault="00486D2F" w:rsidP="00486D2F">
      <w:pPr>
        <w:spacing w:after="200" w:line="360" w:lineRule="auto"/>
        <w:ind w:firstLine="720"/>
        <w:jc w:val="both"/>
      </w:pPr>
      <w:r>
        <w:t>The five trained models are combined into an ensemble using soft voting: for each test image, the predicted probabilities from all five models are averaged to produce the final prediction. This ensemble naturally benefits from the diversity of models trained on different data subsets.</w:t>
      </w:r>
    </w:p>
    <w:p w14:paraId="19E8269B" w14:textId="77777777" w:rsidR="00486D2F" w:rsidRDefault="00486D2F" w:rsidP="00486D2F">
      <w:pPr>
        <w:pStyle w:val="Heading2"/>
        <w:spacing w:after="240" w:line="360" w:lineRule="auto"/>
      </w:pPr>
      <w:bookmarkStart w:id="13" w:name="_Toc224764501"/>
      <w:r>
        <w:rPr>
          <w:rFonts w:ascii="Times New Roman" w:eastAsia="Times New Roman" w:hAnsi="Times New Roman" w:cs="Times New Roman"/>
          <w:b/>
          <w:bCs/>
          <w:sz w:val="28"/>
          <w:szCs w:val="28"/>
        </w:rPr>
        <w:t>3.6 Test-Time Augmentation</w:t>
      </w:r>
      <w:bookmarkEnd w:id="13"/>
    </w:p>
    <w:p w14:paraId="7A1DDAE0" w14:textId="77777777" w:rsidR="00486D2F" w:rsidRDefault="00486D2F" w:rsidP="00486D2F">
      <w:pPr>
        <w:spacing w:after="200" w:line="360" w:lineRule="auto"/>
        <w:ind w:firstLine="720"/>
        <w:jc w:val="both"/>
      </w:pPr>
      <w:r>
        <w:t>During inference, each test image is augmented 8 times. The first pass uses deterministic preprocessing (resize and normalize only), while the remaining 7 passes apply stochastic augmentations including horizontal flip, vertical flip, and random 90-degree rotation. A fresh dataset instance is created for each TTA pass to ensure different random augmentations. The predicted probabilities across all 8 passes are averaged, producing smoother and more robust probability estimates.</w:t>
      </w:r>
    </w:p>
    <w:p w14:paraId="6662CA05" w14:textId="77777777" w:rsidR="00486D2F" w:rsidRDefault="00486D2F" w:rsidP="00486D2F">
      <w:pPr>
        <w:pStyle w:val="Heading2"/>
        <w:spacing w:after="240" w:line="360" w:lineRule="auto"/>
      </w:pPr>
      <w:bookmarkStart w:id="14" w:name="_Toc224764502"/>
      <w:r>
        <w:rPr>
          <w:rFonts w:ascii="Times New Roman" w:eastAsia="Times New Roman" w:hAnsi="Times New Roman" w:cs="Times New Roman"/>
          <w:b/>
          <w:bCs/>
          <w:sz w:val="28"/>
          <w:szCs w:val="28"/>
        </w:rPr>
        <w:t>3.7 Threshold Optimization</w:t>
      </w:r>
      <w:bookmarkEnd w:id="14"/>
    </w:p>
    <w:p w14:paraId="76ED0B63" w14:textId="77777777" w:rsidR="00486D2F" w:rsidRDefault="00486D2F" w:rsidP="00486D2F">
      <w:pPr>
        <w:spacing w:after="200" w:line="360" w:lineRule="auto"/>
        <w:ind w:firstLine="720"/>
        <w:jc w:val="both"/>
      </w:pPr>
      <w:r>
        <w:t>For binary classification, the optimal decision threshold is determined using Youden's J statistic, defined as J = Sensitivity + Specificity - 1. The threshold that maximizes J on the ROC curve balances sensitivity and specificity, providing a clinically meaningful operating point that avoids the arbitrary default of 0.5.</w:t>
      </w:r>
    </w:p>
    <w:p w14:paraId="7EDAD28B" w14:textId="77777777" w:rsidR="00486D2F" w:rsidRDefault="00486D2F" w:rsidP="00486D2F">
      <w:pPr>
        <w:pStyle w:val="Heading2"/>
        <w:spacing w:after="240" w:line="360" w:lineRule="auto"/>
      </w:pPr>
      <w:bookmarkStart w:id="15" w:name="_Toc224764503"/>
      <w:r>
        <w:rPr>
          <w:rFonts w:ascii="Times New Roman" w:eastAsia="Times New Roman" w:hAnsi="Times New Roman" w:cs="Times New Roman"/>
          <w:b/>
          <w:bCs/>
          <w:sz w:val="28"/>
          <w:szCs w:val="28"/>
        </w:rPr>
        <w:t>3.8 Ordinal Threshold Framework for Multi-Stage Grading</w:t>
      </w:r>
      <w:bookmarkEnd w:id="15"/>
    </w:p>
    <w:p w14:paraId="2BCC08D2" w14:textId="77777777" w:rsidR="00486D2F" w:rsidRDefault="00486D2F" w:rsidP="00486D2F">
      <w:pPr>
        <w:spacing w:after="200" w:line="360" w:lineRule="auto"/>
        <w:ind w:firstLine="720"/>
        <w:jc w:val="both"/>
      </w:pPr>
      <w:r>
        <w:t>The binary classifier outputs a continuous probability P(DR) in [0, 1] that correlates monotonically with DR severity. We exploit this ordering through four thresholds (t1, t2, t3, t4) that partition the probability space into five DR grades. These thresholds are optimized on the validation set by grid search to maximize the Quadratic Weighted Kappa (QWK), which penalizes misclassifications proportionally to their distance from the true grade. This ordinal approach converts a binary classifier into a five-class grading system without requiring multi-class training or architectural changes.</w:t>
      </w:r>
    </w:p>
    <w:p w14:paraId="0AB5241A" w14:textId="77777777" w:rsidR="00486D2F" w:rsidRDefault="00486D2F" w:rsidP="00486D2F">
      <w:pPr>
        <w:spacing w:after="160" w:line="278" w:lineRule="auto"/>
      </w:pPr>
    </w:p>
    <w:p w14:paraId="7B2BBABF" w14:textId="77777777" w:rsidR="00486D2F" w:rsidRDefault="00486D2F" w:rsidP="00486D2F">
      <w:pPr>
        <w:pStyle w:val="Heading1"/>
        <w:pageBreakBefore/>
        <w:spacing w:line="360" w:lineRule="auto"/>
      </w:pPr>
      <w:bookmarkStart w:id="16" w:name="_Toc224764504"/>
      <w:r>
        <w:rPr>
          <w:rFonts w:ascii="Times New Roman" w:eastAsia="Times New Roman" w:hAnsi="Times New Roman" w:cs="Times New Roman"/>
          <w:b/>
          <w:bCs/>
          <w:sz w:val="32"/>
          <w:szCs w:val="32"/>
        </w:rPr>
        <w:lastRenderedPageBreak/>
        <w:t>Chapter 4: Experiments and Results</w:t>
      </w:r>
      <w:bookmarkEnd w:id="16"/>
    </w:p>
    <w:p w14:paraId="57A81CFC" w14:textId="77777777" w:rsidR="00486D2F" w:rsidRDefault="00486D2F" w:rsidP="00486D2F">
      <w:pPr>
        <w:pStyle w:val="Heading2"/>
        <w:spacing w:after="240" w:line="360" w:lineRule="auto"/>
      </w:pPr>
      <w:bookmarkStart w:id="17" w:name="_Toc224764505"/>
      <w:r>
        <w:rPr>
          <w:rFonts w:ascii="Times New Roman" w:eastAsia="Times New Roman" w:hAnsi="Times New Roman" w:cs="Times New Roman"/>
          <w:b/>
          <w:bCs/>
          <w:sz w:val="28"/>
          <w:szCs w:val="28"/>
        </w:rPr>
        <w:t>4.1 Experimental Setup</w:t>
      </w:r>
      <w:bookmarkEnd w:id="17"/>
    </w:p>
    <w:p w14:paraId="676CC317" w14:textId="77777777" w:rsidR="00486D2F" w:rsidRDefault="00486D2F" w:rsidP="00486D2F">
      <w:pPr>
        <w:spacing w:after="200" w:line="360" w:lineRule="auto"/>
        <w:ind w:firstLine="720"/>
        <w:jc w:val="both"/>
      </w:pPr>
      <w:r>
        <w:t>All experiments were conducted using PyTorch with the timm library for model initialization. Training utilized mixed-precision where available. The image resolution was set to 384 x 384 pixels with a batch size of 16 (effective batch size of 16 via gradient accumulation for K-Fold models). The Adam optimizer was used for the two-phase model, while AdamW was employed for K-Fold training. Bootstrap confidence intervals were computed with 2,000 resamples at the 95% confidence level.</w:t>
      </w:r>
    </w:p>
    <w:p w14:paraId="52853780" w14:textId="77777777" w:rsidR="00486D2F" w:rsidRDefault="00486D2F" w:rsidP="00486D2F">
      <w:pPr>
        <w:pStyle w:val="Heading2"/>
        <w:spacing w:after="240" w:line="360" w:lineRule="auto"/>
      </w:pPr>
      <w:bookmarkStart w:id="18" w:name="_Toc224764506"/>
      <w:r>
        <w:rPr>
          <w:rFonts w:ascii="Times New Roman" w:eastAsia="Times New Roman" w:hAnsi="Times New Roman" w:cs="Times New Roman"/>
          <w:b/>
          <w:bCs/>
          <w:sz w:val="28"/>
          <w:szCs w:val="28"/>
        </w:rPr>
        <w:t>4.2 Dataset Statistics</w:t>
      </w:r>
      <w:bookmarkEnd w:id="18"/>
    </w:p>
    <w:p w14:paraId="5BAF03CA" w14:textId="77777777" w:rsidR="00486D2F" w:rsidRDefault="00486D2F" w:rsidP="00486D2F">
      <w:pPr>
        <w:spacing w:after="200" w:line="360" w:lineRule="auto"/>
        <w:ind w:firstLine="720"/>
        <w:jc w:val="both"/>
      </w:pPr>
      <w:r>
        <w:t>The APTOS 2019 dataset of 3,534 images was split 70/15/15 into 2,473 training, 530 validation, and 531 test images. The training set DR grade distribution is: No DR 1,258 (50.9%), Mild 228 (9.2%), Moderate 665 (26.9%), Severe 127 (5.1%), and Proliferative 195 (7.9%). The test set contains 270 No DR and 261 DR Present images for binary evaluation.</w:t>
      </w:r>
    </w:p>
    <w:p w14:paraId="64313180" w14:textId="77777777" w:rsidR="00486D2F" w:rsidRDefault="00486D2F" w:rsidP="00486D2F">
      <w:pPr>
        <w:pStyle w:val="Heading2"/>
        <w:spacing w:after="240" w:line="360" w:lineRule="auto"/>
      </w:pPr>
      <w:bookmarkStart w:id="19" w:name="_Toc224764507"/>
      <w:r>
        <w:rPr>
          <w:rFonts w:ascii="Times New Roman" w:eastAsia="Times New Roman" w:hAnsi="Times New Roman" w:cs="Times New Roman"/>
          <w:b/>
          <w:bCs/>
          <w:sz w:val="28"/>
          <w:szCs w:val="28"/>
        </w:rPr>
        <w:t>4.3 Binary Classification Results</w:t>
      </w:r>
      <w:bookmarkEnd w:id="19"/>
    </w:p>
    <w:p w14:paraId="4E44E287" w14:textId="77777777" w:rsidR="00486D2F" w:rsidRDefault="00486D2F" w:rsidP="00486D2F">
      <w:pPr>
        <w:spacing w:after="200" w:line="360" w:lineRule="auto"/>
        <w:ind w:firstLine="720"/>
        <w:jc w:val="both"/>
      </w:pPr>
      <w:r>
        <w:t>Table 4.1 presents the comprehensive binary classification results across all evaluation levels on the APTOS test set (531 images). Both the two-phase single model and the K-fold ensemble achieve exceptional performance, with AUC-ROC values exceeding 0.997 across all configurations.</w:t>
      </w:r>
    </w:p>
    <w:p w14:paraId="43B32584" w14:textId="77777777" w:rsidR="00486D2F" w:rsidRDefault="00486D2F" w:rsidP="00486D2F">
      <w:pPr>
        <w:spacing w:after="120" w:line="360" w:lineRule="auto"/>
        <w:jc w:val="center"/>
      </w:pPr>
      <w:r>
        <w:rPr>
          <w:b/>
          <w:bCs/>
        </w:rPr>
        <w:t xml:space="preserve">Table 4.1: </w:t>
      </w:r>
      <w:r>
        <w:rPr>
          <w:i/>
          <w:iCs/>
        </w:rPr>
        <w:t>Binary classification performance on APTOS 2019 test set (531 images).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7"/>
        <w:gridCol w:w="1231"/>
        <w:gridCol w:w="1231"/>
        <w:gridCol w:w="1231"/>
        <w:gridCol w:w="1231"/>
        <w:gridCol w:w="1231"/>
        <w:gridCol w:w="1298"/>
      </w:tblGrid>
      <w:tr w:rsidR="00486D2F" w14:paraId="767FBBD3" w14:textId="77777777" w:rsidTr="00325D26">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4AB315F0" w14:textId="77777777" w:rsidR="00486D2F" w:rsidRDefault="00486D2F" w:rsidP="00325D26">
            <w:pPr>
              <w:spacing w:line="360" w:lineRule="auto"/>
              <w:jc w:val="center"/>
            </w:pPr>
            <w:r>
              <w:rPr>
                <w:b/>
                <w:bCs/>
                <w:color w:val="FFFFFF"/>
                <w:sz w:val="20"/>
                <w:szCs w:val="20"/>
              </w:rPr>
              <w:t>Model</w:t>
            </w:r>
          </w:p>
        </w:tc>
        <w:tc>
          <w:tcPr>
            <w:tcW w:w="11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535D81FC" w14:textId="77777777" w:rsidR="00486D2F" w:rsidRDefault="00486D2F" w:rsidP="00325D26">
            <w:pPr>
              <w:spacing w:line="360" w:lineRule="auto"/>
              <w:jc w:val="center"/>
            </w:pPr>
            <w:r>
              <w:rPr>
                <w:b/>
                <w:bCs/>
                <w:color w:val="FFFFFF"/>
                <w:sz w:val="20"/>
                <w:szCs w:val="20"/>
              </w:rPr>
              <w:t>AUC</w:t>
            </w:r>
          </w:p>
        </w:tc>
        <w:tc>
          <w:tcPr>
            <w:tcW w:w="11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45508CAB" w14:textId="77777777" w:rsidR="00486D2F" w:rsidRDefault="00486D2F" w:rsidP="00325D26">
            <w:pPr>
              <w:spacing w:line="360" w:lineRule="auto"/>
              <w:jc w:val="center"/>
            </w:pPr>
            <w:r>
              <w:rPr>
                <w:b/>
                <w:bCs/>
                <w:color w:val="FFFFFF"/>
                <w:sz w:val="20"/>
                <w:szCs w:val="20"/>
              </w:rPr>
              <w:t>Acc</w:t>
            </w:r>
          </w:p>
        </w:tc>
        <w:tc>
          <w:tcPr>
            <w:tcW w:w="11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3E315A15" w14:textId="77777777" w:rsidR="00486D2F" w:rsidRDefault="00486D2F" w:rsidP="00325D26">
            <w:pPr>
              <w:spacing w:line="360" w:lineRule="auto"/>
              <w:jc w:val="center"/>
            </w:pPr>
            <w:r>
              <w:rPr>
                <w:b/>
                <w:bCs/>
                <w:color w:val="FFFFFF"/>
                <w:sz w:val="20"/>
                <w:szCs w:val="20"/>
              </w:rPr>
              <w:t>Sens</w:t>
            </w:r>
          </w:p>
        </w:tc>
        <w:tc>
          <w:tcPr>
            <w:tcW w:w="11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0659A8EE" w14:textId="77777777" w:rsidR="00486D2F" w:rsidRDefault="00486D2F" w:rsidP="00325D26">
            <w:pPr>
              <w:spacing w:line="360" w:lineRule="auto"/>
              <w:jc w:val="center"/>
            </w:pPr>
            <w:r>
              <w:rPr>
                <w:b/>
                <w:bCs/>
                <w:color w:val="FFFFFF"/>
                <w:sz w:val="20"/>
                <w:szCs w:val="20"/>
              </w:rPr>
              <w:t>Spec</w:t>
            </w:r>
          </w:p>
        </w:tc>
        <w:tc>
          <w:tcPr>
            <w:tcW w:w="11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38B26902" w14:textId="77777777" w:rsidR="00486D2F" w:rsidRDefault="00486D2F" w:rsidP="00325D26">
            <w:pPr>
              <w:spacing w:line="360" w:lineRule="auto"/>
              <w:jc w:val="center"/>
            </w:pPr>
            <w:r>
              <w:rPr>
                <w:b/>
                <w:bCs/>
                <w:color w:val="FFFFFF"/>
                <w:sz w:val="20"/>
                <w:szCs w:val="20"/>
              </w:rPr>
              <w:t>F1</w:t>
            </w:r>
          </w:p>
        </w:tc>
        <w:tc>
          <w:tcPr>
            <w:tcW w:w="116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2F73548F" w14:textId="77777777" w:rsidR="00486D2F" w:rsidRDefault="00486D2F" w:rsidP="00325D26">
            <w:pPr>
              <w:spacing w:line="360" w:lineRule="auto"/>
              <w:jc w:val="center"/>
            </w:pPr>
            <w:r>
              <w:rPr>
                <w:b/>
                <w:bCs/>
                <w:color w:val="FFFFFF"/>
                <w:sz w:val="20"/>
                <w:szCs w:val="20"/>
              </w:rPr>
              <w:t>Kappa</w:t>
            </w:r>
          </w:p>
        </w:tc>
      </w:tr>
      <w:tr w:rsidR="00486D2F" w14:paraId="50D263FA" w14:textId="77777777" w:rsidTr="00325D26">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55919A" w14:textId="77777777" w:rsidR="00486D2F" w:rsidRDefault="00486D2F" w:rsidP="00325D26">
            <w:pPr>
              <w:spacing w:line="360" w:lineRule="auto"/>
              <w:jc w:val="center"/>
            </w:pPr>
            <w:r>
              <w:rPr>
                <w:color w:val="000000"/>
                <w:sz w:val="20"/>
                <w:szCs w:val="20"/>
              </w:rPr>
              <w:t>2-Phase (no TTA)</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BF95D6" w14:textId="77777777" w:rsidR="00486D2F" w:rsidRDefault="00486D2F" w:rsidP="00325D26">
            <w:pPr>
              <w:spacing w:line="360" w:lineRule="auto"/>
              <w:jc w:val="center"/>
            </w:pPr>
            <w:r>
              <w:rPr>
                <w:color w:val="000000"/>
                <w:sz w:val="20"/>
                <w:szCs w:val="20"/>
              </w:rPr>
              <w:t>0.9992</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E42B3A" w14:textId="77777777" w:rsidR="00486D2F" w:rsidRDefault="00486D2F" w:rsidP="00325D26">
            <w:pPr>
              <w:spacing w:line="360" w:lineRule="auto"/>
              <w:jc w:val="center"/>
            </w:pPr>
            <w:r>
              <w:rPr>
                <w:color w:val="000000"/>
                <w:sz w:val="20"/>
                <w:szCs w:val="20"/>
              </w:rPr>
              <w:t>0.9906</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5B2CE9" w14:textId="77777777" w:rsidR="00486D2F" w:rsidRDefault="00486D2F" w:rsidP="00325D26">
            <w:pPr>
              <w:spacing w:line="360" w:lineRule="auto"/>
              <w:jc w:val="center"/>
            </w:pPr>
            <w:r>
              <w:rPr>
                <w:color w:val="000000"/>
                <w:sz w:val="20"/>
                <w:szCs w:val="20"/>
              </w:rPr>
              <w:t>0.9923</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D69C24" w14:textId="77777777" w:rsidR="00486D2F" w:rsidRDefault="00486D2F" w:rsidP="00325D26">
            <w:pPr>
              <w:spacing w:line="360" w:lineRule="auto"/>
              <w:jc w:val="center"/>
            </w:pPr>
            <w:r>
              <w:rPr>
                <w:color w:val="000000"/>
                <w:sz w:val="20"/>
                <w:szCs w:val="20"/>
              </w:rPr>
              <w:t>0.9889</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310573" w14:textId="77777777" w:rsidR="00486D2F" w:rsidRDefault="00486D2F" w:rsidP="00325D26">
            <w:pPr>
              <w:spacing w:line="360" w:lineRule="auto"/>
              <w:jc w:val="center"/>
            </w:pPr>
            <w:r>
              <w:rPr>
                <w:color w:val="000000"/>
                <w:sz w:val="20"/>
                <w:szCs w:val="20"/>
              </w:rPr>
              <w:t>0.9904</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AAB444" w14:textId="77777777" w:rsidR="00486D2F" w:rsidRDefault="00486D2F" w:rsidP="00325D26">
            <w:pPr>
              <w:spacing w:line="360" w:lineRule="auto"/>
              <w:jc w:val="center"/>
            </w:pPr>
            <w:r>
              <w:rPr>
                <w:color w:val="000000"/>
                <w:sz w:val="20"/>
                <w:szCs w:val="20"/>
              </w:rPr>
              <w:t>0.9812</w:t>
            </w:r>
          </w:p>
        </w:tc>
      </w:tr>
      <w:tr w:rsidR="00486D2F" w14:paraId="27D0006D" w14:textId="77777777" w:rsidTr="00325D26">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524E67" w14:textId="77777777" w:rsidR="00486D2F" w:rsidRDefault="00486D2F" w:rsidP="00325D26">
            <w:pPr>
              <w:spacing w:line="360" w:lineRule="auto"/>
              <w:jc w:val="center"/>
            </w:pPr>
            <w:r>
              <w:rPr>
                <w:color w:val="000000"/>
                <w:sz w:val="20"/>
                <w:szCs w:val="20"/>
              </w:rPr>
              <w:t>2-Phase + TTA</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96A46E" w14:textId="77777777" w:rsidR="00486D2F" w:rsidRDefault="00486D2F" w:rsidP="00325D26">
            <w:pPr>
              <w:spacing w:line="360" w:lineRule="auto"/>
              <w:jc w:val="center"/>
            </w:pPr>
            <w:r>
              <w:rPr>
                <w:color w:val="000000"/>
                <w:sz w:val="20"/>
                <w:szCs w:val="20"/>
              </w:rPr>
              <w:t>0.9993</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2ECFBA" w14:textId="77777777" w:rsidR="00486D2F" w:rsidRDefault="00486D2F" w:rsidP="00325D26">
            <w:pPr>
              <w:spacing w:line="360" w:lineRule="auto"/>
              <w:jc w:val="center"/>
            </w:pPr>
            <w:r>
              <w:rPr>
                <w:color w:val="000000"/>
                <w:sz w:val="20"/>
                <w:szCs w:val="20"/>
              </w:rPr>
              <w:t>0.9925</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E3DC26" w14:textId="77777777" w:rsidR="00486D2F" w:rsidRDefault="00486D2F" w:rsidP="00325D26">
            <w:pPr>
              <w:spacing w:line="360" w:lineRule="auto"/>
              <w:jc w:val="center"/>
            </w:pPr>
            <w:r>
              <w:rPr>
                <w:color w:val="000000"/>
                <w:sz w:val="20"/>
                <w:szCs w:val="20"/>
              </w:rPr>
              <w:t>0.9939</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8185E1" w14:textId="77777777" w:rsidR="00486D2F" w:rsidRDefault="00486D2F" w:rsidP="00325D26">
            <w:pPr>
              <w:spacing w:line="360" w:lineRule="auto"/>
              <w:jc w:val="center"/>
            </w:pPr>
            <w:r>
              <w:rPr>
                <w:color w:val="000000"/>
                <w:sz w:val="20"/>
                <w:szCs w:val="20"/>
              </w:rPr>
              <w:t>0.9911</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F9EE0A" w14:textId="77777777" w:rsidR="00486D2F" w:rsidRDefault="00486D2F" w:rsidP="00325D26">
            <w:pPr>
              <w:spacing w:line="360" w:lineRule="auto"/>
              <w:jc w:val="center"/>
            </w:pPr>
            <w:r>
              <w:rPr>
                <w:color w:val="000000"/>
                <w:sz w:val="20"/>
                <w:szCs w:val="20"/>
              </w:rPr>
              <w:t>0.9923</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2DE5A7" w14:textId="77777777" w:rsidR="00486D2F" w:rsidRDefault="00486D2F" w:rsidP="00325D26">
            <w:pPr>
              <w:spacing w:line="360" w:lineRule="auto"/>
              <w:jc w:val="center"/>
            </w:pPr>
            <w:r>
              <w:rPr>
                <w:color w:val="000000"/>
                <w:sz w:val="20"/>
                <w:szCs w:val="20"/>
              </w:rPr>
              <w:t>0.9849</w:t>
            </w:r>
          </w:p>
        </w:tc>
      </w:tr>
      <w:tr w:rsidR="00486D2F" w14:paraId="7087102E" w14:textId="77777777" w:rsidTr="00325D26">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AD1762" w14:textId="77777777" w:rsidR="00486D2F" w:rsidRDefault="00486D2F" w:rsidP="00325D26">
            <w:pPr>
              <w:spacing w:line="360" w:lineRule="auto"/>
              <w:jc w:val="center"/>
            </w:pPr>
            <w:r>
              <w:rPr>
                <w:color w:val="000000"/>
                <w:sz w:val="20"/>
                <w:szCs w:val="20"/>
              </w:rPr>
              <w:t>2-Phase+TTA+Opt</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66F6E0" w14:textId="77777777" w:rsidR="00486D2F" w:rsidRDefault="00486D2F" w:rsidP="00325D26">
            <w:pPr>
              <w:spacing w:line="360" w:lineRule="auto"/>
              <w:jc w:val="center"/>
            </w:pPr>
            <w:r>
              <w:rPr>
                <w:color w:val="000000"/>
                <w:sz w:val="20"/>
                <w:szCs w:val="20"/>
              </w:rPr>
              <w:t>0.9993</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19B4FC" w14:textId="77777777" w:rsidR="00486D2F" w:rsidRDefault="00486D2F" w:rsidP="00325D26">
            <w:pPr>
              <w:spacing w:line="360" w:lineRule="auto"/>
              <w:jc w:val="center"/>
            </w:pPr>
            <w:r>
              <w:rPr>
                <w:color w:val="000000"/>
                <w:sz w:val="20"/>
                <w:szCs w:val="20"/>
              </w:rPr>
              <w:t>0.9943</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40F793" w14:textId="77777777" w:rsidR="00486D2F" w:rsidRDefault="00486D2F" w:rsidP="00325D26">
            <w:pPr>
              <w:spacing w:line="360" w:lineRule="auto"/>
              <w:jc w:val="center"/>
            </w:pPr>
            <w:r>
              <w:rPr>
                <w:color w:val="000000"/>
                <w:sz w:val="20"/>
                <w:szCs w:val="20"/>
              </w:rPr>
              <w:t>0.9962</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667594" w14:textId="77777777" w:rsidR="00486D2F" w:rsidRDefault="00486D2F" w:rsidP="00325D26">
            <w:pPr>
              <w:spacing w:line="360" w:lineRule="auto"/>
              <w:jc w:val="center"/>
            </w:pPr>
            <w:r>
              <w:rPr>
                <w:color w:val="000000"/>
                <w:sz w:val="20"/>
                <w:szCs w:val="20"/>
              </w:rPr>
              <w:t>0.9926</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B98AEE" w14:textId="77777777" w:rsidR="00486D2F" w:rsidRDefault="00486D2F" w:rsidP="00325D26">
            <w:pPr>
              <w:spacing w:line="360" w:lineRule="auto"/>
              <w:jc w:val="center"/>
            </w:pPr>
            <w:r>
              <w:rPr>
                <w:color w:val="000000"/>
                <w:sz w:val="20"/>
                <w:szCs w:val="20"/>
              </w:rPr>
              <w:t>0.9942</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138FF9" w14:textId="77777777" w:rsidR="00486D2F" w:rsidRDefault="00486D2F" w:rsidP="00325D26">
            <w:pPr>
              <w:spacing w:line="360" w:lineRule="auto"/>
              <w:jc w:val="center"/>
            </w:pPr>
            <w:r>
              <w:rPr>
                <w:color w:val="000000"/>
                <w:sz w:val="20"/>
                <w:szCs w:val="20"/>
              </w:rPr>
              <w:t>0.9887</w:t>
            </w:r>
          </w:p>
        </w:tc>
      </w:tr>
      <w:tr w:rsidR="00486D2F" w14:paraId="6ABEDAA0" w14:textId="77777777" w:rsidTr="00325D26">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84B4EB" w14:textId="77777777" w:rsidR="00486D2F" w:rsidRDefault="00486D2F" w:rsidP="00325D26">
            <w:pPr>
              <w:spacing w:line="360" w:lineRule="auto"/>
              <w:jc w:val="center"/>
            </w:pPr>
            <w:r>
              <w:rPr>
                <w:color w:val="000000"/>
                <w:sz w:val="20"/>
                <w:szCs w:val="20"/>
              </w:rPr>
              <w:t>Fold 1 (no TTA)</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1D46C1" w14:textId="77777777" w:rsidR="00486D2F" w:rsidRDefault="00486D2F" w:rsidP="00325D26">
            <w:pPr>
              <w:spacing w:line="360" w:lineRule="auto"/>
              <w:jc w:val="center"/>
            </w:pPr>
            <w:r>
              <w:rPr>
                <w:color w:val="000000"/>
                <w:sz w:val="20"/>
                <w:szCs w:val="20"/>
              </w:rPr>
              <w:t>0.9977</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303A79" w14:textId="77777777" w:rsidR="00486D2F" w:rsidRDefault="00486D2F" w:rsidP="00325D26">
            <w:pPr>
              <w:spacing w:line="360" w:lineRule="auto"/>
              <w:jc w:val="center"/>
            </w:pPr>
            <w:r>
              <w:rPr>
                <w:color w:val="000000"/>
                <w:sz w:val="20"/>
                <w:szCs w:val="20"/>
              </w:rPr>
              <w:t>0.9887</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3FFE10" w14:textId="77777777" w:rsidR="00486D2F" w:rsidRDefault="00486D2F" w:rsidP="00325D26">
            <w:pPr>
              <w:spacing w:line="360" w:lineRule="auto"/>
              <w:jc w:val="center"/>
            </w:pPr>
            <w:r>
              <w:rPr>
                <w:color w:val="000000"/>
                <w:sz w:val="20"/>
                <w:szCs w:val="20"/>
              </w:rPr>
              <w:t>0.9885</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0277F0" w14:textId="77777777" w:rsidR="00486D2F" w:rsidRDefault="00486D2F" w:rsidP="00325D26">
            <w:pPr>
              <w:spacing w:line="360" w:lineRule="auto"/>
              <w:jc w:val="center"/>
            </w:pPr>
            <w:r>
              <w:rPr>
                <w:color w:val="000000"/>
                <w:sz w:val="20"/>
                <w:szCs w:val="20"/>
              </w:rPr>
              <w:t>0.9889</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C02102" w14:textId="77777777" w:rsidR="00486D2F" w:rsidRDefault="00486D2F" w:rsidP="00325D26">
            <w:pPr>
              <w:spacing w:line="360" w:lineRule="auto"/>
              <w:jc w:val="center"/>
            </w:pPr>
            <w:r>
              <w:rPr>
                <w:color w:val="000000"/>
                <w:sz w:val="20"/>
                <w:szCs w:val="20"/>
              </w:rPr>
              <w:t>0.9885</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BF1615" w14:textId="77777777" w:rsidR="00486D2F" w:rsidRDefault="00486D2F" w:rsidP="00325D26">
            <w:pPr>
              <w:spacing w:line="360" w:lineRule="auto"/>
              <w:jc w:val="center"/>
            </w:pPr>
            <w:r>
              <w:rPr>
                <w:color w:val="000000"/>
                <w:sz w:val="20"/>
                <w:szCs w:val="20"/>
              </w:rPr>
              <w:t>0.9774</w:t>
            </w:r>
          </w:p>
        </w:tc>
      </w:tr>
      <w:tr w:rsidR="00486D2F" w14:paraId="1C0004E8" w14:textId="77777777" w:rsidTr="00325D26">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D61267" w14:textId="77777777" w:rsidR="00486D2F" w:rsidRDefault="00486D2F" w:rsidP="00325D26">
            <w:pPr>
              <w:spacing w:line="360" w:lineRule="auto"/>
              <w:jc w:val="center"/>
            </w:pPr>
            <w:r>
              <w:rPr>
                <w:color w:val="000000"/>
                <w:sz w:val="20"/>
                <w:szCs w:val="20"/>
              </w:rPr>
              <w:t>Fold 2 (no TTA)</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8CD0EF" w14:textId="77777777" w:rsidR="00486D2F" w:rsidRDefault="00486D2F" w:rsidP="00325D26">
            <w:pPr>
              <w:spacing w:line="360" w:lineRule="auto"/>
              <w:jc w:val="center"/>
            </w:pPr>
            <w:r>
              <w:rPr>
                <w:color w:val="000000"/>
                <w:sz w:val="20"/>
                <w:szCs w:val="20"/>
              </w:rPr>
              <w:t>0.9971</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3840A9" w14:textId="77777777" w:rsidR="00486D2F" w:rsidRDefault="00486D2F" w:rsidP="00325D26">
            <w:pPr>
              <w:spacing w:line="360" w:lineRule="auto"/>
              <w:jc w:val="center"/>
            </w:pPr>
            <w:r>
              <w:rPr>
                <w:color w:val="000000"/>
                <w:sz w:val="20"/>
                <w:szCs w:val="20"/>
              </w:rPr>
              <w:t>0.9849</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155315" w14:textId="77777777" w:rsidR="00486D2F" w:rsidRDefault="00486D2F" w:rsidP="00325D26">
            <w:pPr>
              <w:spacing w:line="360" w:lineRule="auto"/>
              <w:jc w:val="center"/>
            </w:pPr>
            <w:r>
              <w:rPr>
                <w:color w:val="000000"/>
                <w:sz w:val="20"/>
                <w:szCs w:val="20"/>
              </w:rPr>
              <w:t>0.9847</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21359B" w14:textId="77777777" w:rsidR="00486D2F" w:rsidRDefault="00486D2F" w:rsidP="00325D26">
            <w:pPr>
              <w:spacing w:line="360" w:lineRule="auto"/>
              <w:jc w:val="center"/>
            </w:pPr>
            <w:r>
              <w:rPr>
                <w:color w:val="000000"/>
                <w:sz w:val="20"/>
                <w:szCs w:val="20"/>
              </w:rPr>
              <w:t>0.9852</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124125" w14:textId="77777777" w:rsidR="00486D2F" w:rsidRDefault="00486D2F" w:rsidP="00325D26">
            <w:pPr>
              <w:spacing w:line="360" w:lineRule="auto"/>
              <w:jc w:val="center"/>
            </w:pPr>
            <w:r>
              <w:rPr>
                <w:color w:val="000000"/>
                <w:sz w:val="20"/>
                <w:szCs w:val="20"/>
              </w:rPr>
              <w:t>0.9846</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59E702" w14:textId="77777777" w:rsidR="00486D2F" w:rsidRDefault="00486D2F" w:rsidP="00325D26">
            <w:pPr>
              <w:spacing w:line="360" w:lineRule="auto"/>
              <w:jc w:val="center"/>
            </w:pPr>
            <w:r>
              <w:rPr>
                <w:color w:val="000000"/>
                <w:sz w:val="20"/>
                <w:szCs w:val="20"/>
              </w:rPr>
              <w:t>0.9698</w:t>
            </w:r>
          </w:p>
        </w:tc>
      </w:tr>
      <w:tr w:rsidR="00486D2F" w14:paraId="28BDB14D" w14:textId="77777777" w:rsidTr="00325D26">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C8EF34" w14:textId="77777777" w:rsidR="00486D2F" w:rsidRDefault="00486D2F" w:rsidP="00325D26">
            <w:pPr>
              <w:spacing w:line="360" w:lineRule="auto"/>
              <w:jc w:val="center"/>
            </w:pPr>
            <w:r>
              <w:rPr>
                <w:color w:val="000000"/>
                <w:sz w:val="20"/>
                <w:szCs w:val="20"/>
              </w:rPr>
              <w:lastRenderedPageBreak/>
              <w:t>Fold 3 (no TTA)</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8D7D34" w14:textId="77777777" w:rsidR="00486D2F" w:rsidRDefault="00486D2F" w:rsidP="00325D26">
            <w:pPr>
              <w:spacing w:line="360" w:lineRule="auto"/>
              <w:jc w:val="center"/>
            </w:pPr>
            <w:r>
              <w:rPr>
                <w:color w:val="000000"/>
                <w:sz w:val="20"/>
                <w:szCs w:val="20"/>
              </w:rPr>
              <w:t>0.9994</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08E92B" w14:textId="77777777" w:rsidR="00486D2F" w:rsidRDefault="00486D2F" w:rsidP="00325D26">
            <w:pPr>
              <w:spacing w:line="360" w:lineRule="auto"/>
              <w:jc w:val="center"/>
            </w:pPr>
            <w:r>
              <w:rPr>
                <w:color w:val="000000"/>
                <w:sz w:val="20"/>
                <w:szCs w:val="20"/>
              </w:rPr>
              <w:t>0.9849</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E5CFB8" w14:textId="77777777" w:rsidR="00486D2F" w:rsidRDefault="00486D2F" w:rsidP="00325D26">
            <w:pPr>
              <w:spacing w:line="360" w:lineRule="auto"/>
              <w:jc w:val="center"/>
            </w:pPr>
            <w:r>
              <w:rPr>
                <w:color w:val="000000"/>
                <w:sz w:val="20"/>
                <w:szCs w:val="20"/>
              </w:rPr>
              <w:t>0.9847</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5EA00C" w14:textId="77777777" w:rsidR="00486D2F" w:rsidRDefault="00486D2F" w:rsidP="00325D26">
            <w:pPr>
              <w:spacing w:line="360" w:lineRule="auto"/>
              <w:jc w:val="center"/>
            </w:pPr>
            <w:r>
              <w:rPr>
                <w:color w:val="000000"/>
                <w:sz w:val="20"/>
                <w:szCs w:val="20"/>
              </w:rPr>
              <w:t>0.9852</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2ED196" w14:textId="77777777" w:rsidR="00486D2F" w:rsidRDefault="00486D2F" w:rsidP="00325D26">
            <w:pPr>
              <w:spacing w:line="360" w:lineRule="auto"/>
              <w:jc w:val="center"/>
            </w:pPr>
            <w:r>
              <w:rPr>
                <w:color w:val="000000"/>
                <w:sz w:val="20"/>
                <w:szCs w:val="20"/>
              </w:rPr>
              <w:t>0.9846</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2B508A" w14:textId="77777777" w:rsidR="00486D2F" w:rsidRDefault="00486D2F" w:rsidP="00325D26">
            <w:pPr>
              <w:spacing w:line="360" w:lineRule="auto"/>
              <w:jc w:val="center"/>
            </w:pPr>
            <w:r>
              <w:rPr>
                <w:color w:val="000000"/>
                <w:sz w:val="20"/>
                <w:szCs w:val="20"/>
              </w:rPr>
              <w:t>0.9698</w:t>
            </w:r>
          </w:p>
        </w:tc>
      </w:tr>
      <w:tr w:rsidR="00486D2F" w14:paraId="2CBCB78F" w14:textId="77777777" w:rsidTr="00325D26">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47916C" w14:textId="77777777" w:rsidR="00486D2F" w:rsidRDefault="00486D2F" w:rsidP="00325D26">
            <w:pPr>
              <w:spacing w:line="360" w:lineRule="auto"/>
              <w:jc w:val="center"/>
            </w:pPr>
            <w:r>
              <w:rPr>
                <w:color w:val="000000"/>
                <w:sz w:val="20"/>
                <w:szCs w:val="20"/>
              </w:rPr>
              <w:t>Ensemble (no TTA)</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A2836D" w14:textId="77777777" w:rsidR="00486D2F" w:rsidRDefault="00486D2F" w:rsidP="00325D26">
            <w:pPr>
              <w:spacing w:line="360" w:lineRule="auto"/>
              <w:jc w:val="center"/>
            </w:pPr>
            <w:r>
              <w:rPr>
                <w:color w:val="000000"/>
                <w:sz w:val="20"/>
                <w:szCs w:val="20"/>
              </w:rPr>
              <w:t>0.9992</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98A001" w14:textId="77777777" w:rsidR="00486D2F" w:rsidRDefault="00486D2F" w:rsidP="00325D26">
            <w:pPr>
              <w:spacing w:line="360" w:lineRule="auto"/>
              <w:jc w:val="center"/>
            </w:pPr>
            <w:r>
              <w:rPr>
                <w:color w:val="000000"/>
                <w:sz w:val="20"/>
                <w:szCs w:val="20"/>
              </w:rPr>
              <w:t>0.9887</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3EEAB4" w14:textId="77777777" w:rsidR="00486D2F" w:rsidRDefault="00486D2F" w:rsidP="00325D26">
            <w:pPr>
              <w:spacing w:line="360" w:lineRule="auto"/>
              <w:jc w:val="center"/>
            </w:pPr>
            <w:r>
              <w:rPr>
                <w:color w:val="000000"/>
                <w:sz w:val="20"/>
                <w:szCs w:val="20"/>
              </w:rPr>
              <w:t>0.9885</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BED8E6" w14:textId="77777777" w:rsidR="00486D2F" w:rsidRDefault="00486D2F" w:rsidP="00325D26">
            <w:pPr>
              <w:spacing w:line="360" w:lineRule="auto"/>
              <w:jc w:val="center"/>
            </w:pPr>
            <w:r>
              <w:rPr>
                <w:color w:val="000000"/>
                <w:sz w:val="20"/>
                <w:szCs w:val="20"/>
              </w:rPr>
              <w:t>0.9889</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93E3C6" w14:textId="77777777" w:rsidR="00486D2F" w:rsidRDefault="00486D2F" w:rsidP="00325D26">
            <w:pPr>
              <w:spacing w:line="360" w:lineRule="auto"/>
              <w:jc w:val="center"/>
            </w:pPr>
            <w:r>
              <w:rPr>
                <w:color w:val="000000"/>
                <w:sz w:val="20"/>
                <w:szCs w:val="20"/>
              </w:rPr>
              <w:t>0.9885</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95CBEB" w14:textId="77777777" w:rsidR="00486D2F" w:rsidRDefault="00486D2F" w:rsidP="00325D26">
            <w:pPr>
              <w:spacing w:line="360" w:lineRule="auto"/>
              <w:jc w:val="center"/>
            </w:pPr>
            <w:r>
              <w:rPr>
                <w:color w:val="000000"/>
                <w:sz w:val="20"/>
                <w:szCs w:val="20"/>
              </w:rPr>
              <w:t>0.9774</w:t>
            </w:r>
          </w:p>
        </w:tc>
      </w:tr>
      <w:tr w:rsidR="00486D2F" w14:paraId="7DD9F2F9" w14:textId="77777777" w:rsidTr="00325D26">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DAC3D6" w14:textId="77777777" w:rsidR="00486D2F" w:rsidRDefault="00486D2F" w:rsidP="00325D26">
            <w:pPr>
              <w:spacing w:line="360" w:lineRule="auto"/>
              <w:jc w:val="center"/>
            </w:pPr>
            <w:r>
              <w:rPr>
                <w:color w:val="000000"/>
                <w:sz w:val="20"/>
                <w:szCs w:val="20"/>
              </w:rPr>
              <w:t>Ensemble + TTA</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97CF3F" w14:textId="77777777" w:rsidR="00486D2F" w:rsidRDefault="00486D2F" w:rsidP="00325D26">
            <w:pPr>
              <w:spacing w:line="360" w:lineRule="auto"/>
              <w:jc w:val="center"/>
            </w:pPr>
            <w:r>
              <w:rPr>
                <w:color w:val="000000"/>
                <w:sz w:val="20"/>
                <w:szCs w:val="20"/>
              </w:rPr>
              <w:t>0.9993</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F669F2" w14:textId="77777777" w:rsidR="00486D2F" w:rsidRDefault="00486D2F" w:rsidP="00325D26">
            <w:pPr>
              <w:spacing w:line="360" w:lineRule="auto"/>
              <w:jc w:val="center"/>
            </w:pPr>
            <w:r>
              <w:rPr>
                <w:color w:val="000000"/>
                <w:sz w:val="20"/>
                <w:szCs w:val="20"/>
              </w:rPr>
              <w:t>0.9906</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4B3C62" w14:textId="77777777" w:rsidR="00486D2F" w:rsidRDefault="00486D2F" w:rsidP="00325D26">
            <w:pPr>
              <w:spacing w:line="360" w:lineRule="auto"/>
              <w:jc w:val="center"/>
            </w:pPr>
            <w:r>
              <w:rPr>
                <w:color w:val="000000"/>
                <w:sz w:val="20"/>
                <w:szCs w:val="20"/>
              </w:rPr>
              <w:t>0.9923</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5862C8" w14:textId="77777777" w:rsidR="00486D2F" w:rsidRDefault="00486D2F" w:rsidP="00325D26">
            <w:pPr>
              <w:spacing w:line="360" w:lineRule="auto"/>
              <w:jc w:val="center"/>
            </w:pPr>
            <w:r>
              <w:rPr>
                <w:color w:val="000000"/>
                <w:sz w:val="20"/>
                <w:szCs w:val="20"/>
              </w:rPr>
              <w:t>0.9889</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D24AB3" w14:textId="77777777" w:rsidR="00486D2F" w:rsidRDefault="00486D2F" w:rsidP="00325D26">
            <w:pPr>
              <w:spacing w:line="360" w:lineRule="auto"/>
              <w:jc w:val="center"/>
            </w:pPr>
            <w:r>
              <w:rPr>
                <w:color w:val="000000"/>
                <w:sz w:val="20"/>
                <w:szCs w:val="20"/>
              </w:rPr>
              <w:t>0.9904</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88B023" w14:textId="77777777" w:rsidR="00486D2F" w:rsidRDefault="00486D2F" w:rsidP="00325D26">
            <w:pPr>
              <w:spacing w:line="360" w:lineRule="auto"/>
              <w:jc w:val="center"/>
            </w:pPr>
            <w:r>
              <w:rPr>
                <w:color w:val="000000"/>
                <w:sz w:val="20"/>
                <w:szCs w:val="20"/>
              </w:rPr>
              <w:t>0.9812</w:t>
            </w:r>
          </w:p>
        </w:tc>
      </w:tr>
      <w:tr w:rsidR="00486D2F" w14:paraId="4E3D6FF4" w14:textId="77777777" w:rsidTr="00325D26">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4B2681" w14:textId="77777777" w:rsidR="00486D2F" w:rsidRDefault="00486D2F" w:rsidP="00325D26">
            <w:pPr>
              <w:spacing w:line="360" w:lineRule="auto"/>
              <w:jc w:val="center"/>
            </w:pPr>
            <w:r>
              <w:rPr>
                <w:color w:val="000000"/>
                <w:sz w:val="20"/>
                <w:szCs w:val="20"/>
              </w:rPr>
              <w:t>Ens+TTA+OptThr</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10F9DB" w14:textId="77777777" w:rsidR="00486D2F" w:rsidRDefault="00486D2F" w:rsidP="00325D26">
            <w:pPr>
              <w:spacing w:line="360" w:lineRule="auto"/>
              <w:jc w:val="center"/>
            </w:pPr>
            <w:r>
              <w:rPr>
                <w:color w:val="000000"/>
                <w:sz w:val="20"/>
                <w:szCs w:val="20"/>
              </w:rPr>
              <w:t>0.9994</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4E1BFB" w14:textId="77777777" w:rsidR="00486D2F" w:rsidRDefault="00486D2F" w:rsidP="00325D26">
            <w:pPr>
              <w:spacing w:line="360" w:lineRule="auto"/>
              <w:jc w:val="center"/>
            </w:pPr>
            <w:r>
              <w:rPr>
                <w:color w:val="000000"/>
                <w:sz w:val="20"/>
                <w:szCs w:val="20"/>
              </w:rPr>
              <w:t>0.9925</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94225B" w14:textId="77777777" w:rsidR="00486D2F" w:rsidRDefault="00486D2F" w:rsidP="00325D26">
            <w:pPr>
              <w:spacing w:line="360" w:lineRule="auto"/>
              <w:jc w:val="center"/>
            </w:pPr>
            <w:r>
              <w:rPr>
                <w:color w:val="000000"/>
                <w:sz w:val="20"/>
                <w:szCs w:val="20"/>
              </w:rPr>
              <w:t>0.9962</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F6E369" w14:textId="77777777" w:rsidR="00486D2F" w:rsidRDefault="00486D2F" w:rsidP="00325D26">
            <w:pPr>
              <w:spacing w:line="360" w:lineRule="auto"/>
              <w:jc w:val="center"/>
            </w:pPr>
            <w:r>
              <w:rPr>
                <w:color w:val="000000"/>
                <w:sz w:val="20"/>
                <w:szCs w:val="20"/>
              </w:rPr>
              <w:t>0.9889</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7F11A1" w14:textId="77777777" w:rsidR="00486D2F" w:rsidRDefault="00486D2F" w:rsidP="00325D26">
            <w:pPr>
              <w:spacing w:line="360" w:lineRule="auto"/>
              <w:jc w:val="center"/>
            </w:pPr>
            <w:r>
              <w:rPr>
                <w:color w:val="000000"/>
                <w:sz w:val="20"/>
                <w:szCs w:val="20"/>
              </w:rPr>
              <w:t>0.9923</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D42934" w14:textId="77777777" w:rsidR="00486D2F" w:rsidRDefault="00486D2F" w:rsidP="00325D26">
            <w:pPr>
              <w:spacing w:line="360" w:lineRule="auto"/>
              <w:jc w:val="center"/>
            </w:pPr>
            <w:r>
              <w:rPr>
                <w:color w:val="000000"/>
                <w:sz w:val="20"/>
                <w:szCs w:val="20"/>
              </w:rPr>
              <w:t>0.9849</w:t>
            </w:r>
          </w:p>
        </w:tc>
      </w:tr>
    </w:tbl>
    <w:p w14:paraId="25FCC918" w14:textId="77777777" w:rsidR="00486D2F" w:rsidRDefault="00486D2F" w:rsidP="00486D2F">
      <w:pPr>
        <w:spacing w:after="200" w:line="360" w:lineRule="auto"/>
        <w:jc w:val="both"/>
      </w:pPr>
    </w:p>
    <w:p w14:paraId="6DBB754F" w14:textId="77777777" w:rsidR="00486D2F" w:rsidRDefault="00486D2F" w:rsidP="00486D2F">
      <w:pPr>
        <w:spacing w:after="200" w:line="360" w:lineRule="auto"/>
        <w:ind w:firstLine="720"/>
        <w:jc w:val="both"/>
      </w:pPr>
      <w:r>
        <w:t>The results demonstrate several key findings. First, the two-phase single model achieves AUC-ROC of 0.9992, matching the ensemble without TTA, indicating that the two-phase training strategy effectively leverages the pretrained features. Second, test-time augmentation provides consistent improvements across all configurations, with the ensemble+TTA achieving the highest AUC-ROC of 0.9993. Third, threshold optimization via Youden's J statistic improves the balance between sensitivity and specificity without affecting AUC, as it operates on the same probability distribution.</w:t>
      </w:r>
    </w:p>
    <w:p w14:paraId="4B903E80" w14:textId="77777777" w:rsidR="00486D2F" w:rsidRDefault="00486D2F" w:rsidP="00486D2F">
      <w:pPr>
        <w:pStyle w:val="Heading2"/>
        <w:spacing w:after="240" w:line="360" w:lineRule="auto"/>
      </w:pPr>
      <w:bookmarkStart w:id="20" w:name="_Toc224764508"/>
      <w:r>
        <w:rPr>
          <w:rFonts w:ascii="Times New Roman" w:eastAsia="Times New Roman" w:hAnsi="Times New Roman" w:cs="Times New Roman"/>
          <w:b/>
          <w:bCs/>
          <w:sz w:val="28"/>
          <w:szCs w:val="28"/>
        </w:rPr>
        <w:t>4.4 Impact of Test-Time Augmentation</w:t>
      </w:r>
      <w:bookmarkEnd w:id="20"/>
    </w:p>
    <w:p w14:paraId="77BA966E" w14:textId="77777777" w:rsidR="00486D2F" w:rsidRDefault="00486D2F" w:rsidP="00486D2F">
      <w:pPr>
        <w:spacing w:after="200" w:line="360" w:lineRule="auto"/>
        <w:ind w:firstLine="720"/>
        <w:jc w:val="both"/>
      </w:pPr>
      <w:r>
        <w:t>The 8-pass TTA improved both models. For the two-phase model, TTA increased accuracy from 0.9906 to 0.9925 and F1-score from 0.9904 to 0.9923. For the ensemble, TTA provided similar gains, lifting accuracy from 0.9887 to 0.9906. The improvement stems from averaging predictions over geometric transformations, which smooths the decision boundary and reduces sensitivity to the specific orientation of fundus images.</w:t>
      </w:r>
    </w:p>
    <w:p w14:paraId="4C29E34F" w14:textId="77777777" w:rsidR="00486D2F" w:rsidRDefault="00486D2F" w:rsidP="00486D2F">
      <w:pPr>
        <w:pStyle w:val="Heading2"/>
        <w:spacing w:after="240" w:line="360" w:lineRule="auto"/>
      </w:pPr>
      <w:bookmarkStart w:id="21" w:name="_Toc224764509"/>
      <w:r>
        <w:rPr>
          <w:rFonts w:ascii="Times New Roman" w:eastAsia="Times New Roman" w:hAnsi="Times New Roman" w:cs="Times New Roman"/>
          <w:b/>
          <w:bCs/>
          <w:sz w:val="28"/>
          <w:szCs w:val="28"/>
        </w:rPr>
        <w:t>4.5 Threshold Optimization Analysis</w:t>
      </w:r>
      <w:bookmarkEnd w:id="21"/>
    </w:p>
    <w:p w14:paraId="7E02365F" w14:textId="77777777" w:rsidR="00486D2F" w:rsidRDefault="00486D2F" w:rsidP="00486D2F">
      <w:pPr>
        <w:spacing w:after="200" w:line="360" w:lineRule="auto"/>
        <w:ind w:firstLine="720"/>
        <w:jc w:val="both"/>
      </w:pPr>
      <w:r>
        <w:t>The default threshold of 0.5 does not necessarily optimize the clinically relevant tradeoff between sensitivity and specificity. Youden's J optimization identified optimal thresholds that differ from the default, yielding improved balanced accuracy. The threshold sweep analysis revealed a broad plateau of near-optimal performance, indicating that the models produce well-separated probability distributions for DR-positive and DR-negative cases.</w:t>
      </w:r>
    </w:p>
    <w:p w14:paraId="35ECD133" w14:textId="77777777" w:rsidR="00486D2F" w:rsidRDefault="00486D2F" w:rsidP="00486D2F">
      <w:pPr>
        <w:pStyle w:val="Heading2"/>
        <w:spacing w:after="240" w:line="360" w:lineRule="auto"/>
      </w:pPr>
      <w:bookmarkStart w:id="22" w:name="_Toc224764510"/>
      <w:r>
        <w:rPr>
          <w:rFonts w:ascii="Times New Roman" w:eastAsia="Times New Roman" w:hAnsi="Times New Roman" w:cs="Times New Roman"/>
          <w:b/>
          <w:bCs/>
          <w:sz w:val="28"/>
          <w:szCs w:val="28"/>
        </w:rPr>
        <w:lastRenderedPageBreak/>
        <w:t>4.6 Calibration Analysis</w:t>
      </w:r>
      <w:bookmarkEnd w:id="22"/>
    </w:p>
    <w:p w14:paraId="59226093" w14:textId="77777777" w:rsidR="00486D2F" w:rsidRDefault="00486D2F" w:rsidP="00486D2F">
      <w:pPr>
        <w:spacing w:after="200" w:line="360" w:lineRule="auto"/>
        <w:ind w:firstLine="720"/>
        <w:jc w:val="both"/>
      </w:pPr>
      <w:r>
        <w:t>Reliability diagrams show that both the two-phase model and ensemble are well calibrated, with predicted probabilities closely tracking observed frequencies. The ensemble with TTA achieves the lowest Brier score, indicating superior probabilistic calibration. This is clinically important because well-calibrated probabilities can be meaningfully communicated to clinicians as confidence estimates.</w:t>
      </w:r>
    </w:p>
    <w:p w14:paraId="16DFD972" w14:textId="77777777" w:rsidR="00486D2F" w:rsidRDefault="00486D2F" w:rsidP="00486D2F">
      <w:pPr>
        <w:pStyle w:val="Heading2"/>
        <w:spacing w:after="240" w:line="360" w:lineRule="auto"/>
      </w:pPr>
      <w:bookmarkStart w:id="23" w:name="_Toc224764511"/>
      <w:r>
        <w:rPr>
          <w:rFonts w:ascii="Times New Roman" w:eastAsia="Times New Roman" w:hAnsi="Times New Roman" w:cs="Times New Roman"/>
          <w:b/>
          <w:bCs/>
          <w:sz w:val="28"/>
          <w:szCs w:val="28"/>
        </w:rPr>
        <w:t>4.7 Subgroup Analysis by DR Grade</w:t>
      </w:r>
      <w:bookmarkEnd w:id="23"/>
    </w:p>
    <w:p w14:paraId="24A5AF6D" w14:textId="77777777" w:rsidR="00486D2F" w:rsidRDefault="00486D2F" w:rsidP="00486D2F">
      <w:pPr>
        <w:spacing w:after="200" w:line="360" w:lineRule="auto"/>
        <w:ind w:firstLine="720"/>
        <w:jc w:val="both"/>
      </w:pPr>
      <w:r>
        <w:t>Performance was analyzed across individual DR severity grades. Both models achieve near-perfect accuracy on No DR (Grade 0) and Proliferative DR (Grade 4) cases, which represent the extremes of the severity spectrum with the most distinctive visual features. The most challenging cases are Mild DR (Grade 1), where subtle microaneurysms may be difficult to distinguish from normal retinal vasculature. The ensemble demonstrates slightly better performance on borderline cases due to its inherent diversity.</w:t>
      </w:r>
    </w:p>
    <w:p w14:paraId="0347A73E" w14:textId="77777777" w:rsidR="00486D2F" w:rsidRDefault="00486D2F" w:rsidP="00486D2F">
      <w:pPr>
        <w:pStyle w:val="Heading2"/>
        <w:spacing w:after="240" w:line="360" w:lineRule="auto"/>
      </w:pPr>
      <w:bookmarkStart w:id="24" w:name="_Toc224764512"/>
      <w:r>
        <w:rPr>
          <w:rFonts w:ascii="Times New Roman" w:eastAsia="Times New Roman" w:hAnsi="Times New Roman" w:cs="Times New Roman"/>
          <w:b/>
          <w:bCs/>
          <w:sz w:val="28"/>
          <w:szCs w:val="28"/>
        </w:rPr>
        <w:t>4.8 Ordinal Multi-Stage Grading</w:t>
      </w:r>
      <w:bookmarkEnd w:id="24"/>
    </w:p>
    <w:p w14:paraId="6EE7A34D" w14:textId="77777777" w:rsidR="00486D2F" w:rsidRDefault="00486D2F" w:rsidP="00486D2F">
      <w:pPr>
        <w:spacing w:after="200" w:line="360" w:lineRule="auto"/>
        <w:ind w:firstLine="720"/>
        <w:jc w:val="both"/>
      </w:pPr>
      <w:r>
        <w:t>The ordinal threshold framework successfully converts binary probability outputs into five-grade DR classifications. By optimizing four thresholds on the validation set using Quadratic Weighted Kappa, the system achieves clinically meaningful multi-stage grading. The continuous probability output naturally correlates with severity: Grade 0 cases cluster near P(DR)=0, while Grade 4 cases cluster near P(DR)=1, with intermediate grades showing progressively higher mean probabilities.</w:t>
      </w:r>
    </w:p>
    <w:p w14:paraId="4D40502F" w14:textId="5083519E" w:rsidR="00486D2F" w:rsidRDefault="00486D2F">
      <w:pPr>
        <w:spacing w:after="160" w:line="278" w:lineRule="auto"/>
      </w:pPr>
      <w:r>
        <w:br w:type="page"/>
      </w:r>
    </w:p>
    <w:p w14:paraId="51ADA2A0" w14:textId="77777777" w:rsidR="00486D2F" w:rsidRDefault="00486D2F" w:rsidP="00486D2F">
      <w:pPr>
        <w:pStyle w:val="Heading1"/>
        <w:pageBreakBefore/>
        <w:spacing w:line="360" w:lineRule="auto"/>
      </w:pPr>
      <w:bookmarkStart w:id="25" w:name="_Toc224764513"/>
      <w:r>
        <w:rPr>
          <w:rFonts w:ascii="Times New Roman" w:eastAsia="Times New Roman" w:hAnsi="Times New Roman" w:cs="Times New Roman"/>
          <w:b/>
          <w:bCs/>
          <w:sz w:val="32"/>
          <w:szCs w:val="32"/>
        </w:rPr>
        <w:lastRenderedPageBreak/>
        <w:t>Chapter 5: Discussion</w:t>
      </w:r>
      <w:bookmarkEnd w:id="25"/>
    </w:p>
    <w:p w14:paraId="0D44AEB7" w14:textId="77777777" w:rsidR="00486D2F" w:rsidRDefault="00486D2F" w:rsidP="00486D2F">
      <w:pPr>
        <w:pStyle w:val="Heading2"/>
        <w:spacing w:after="240" w:line="360" w:lineRule="auto"/>
      </w:pPr>
      <w:bookmarkStart w:id="26" w:name="_Toc224764514"/>
      <w:r>
        <w:rPr>
          <w:rFonts w:ascii="Times New Roman" w:eastAsia="Times New Roman" w:hAnsi="Times New Roman" w:cs="Times New Roman"/>
          <w:b/>
          <w:bCs/>
          <w:sz w:val="28"/>
          <w:szCs w:val="28"/>
        </w:rPr>
        <w:t>5.1 Two-Phase vs. Ensemble: Tradeoffs</w:t>
      </w:r>
      <w:bookmarkEnd w:id="26"/>
    </w:p>
    <w:p w14:paraId="1EEF6D1D" w14:textId="77777777" w:rsidR="00486D2F" w:rsidRDefault="00486D2F" w:rsidP="00486D2F">
      <w:pPr>
        <w:spacing w:after="200" w:line="360" w:lineRule="auto"/>
        <w:ind w:firstLine="720"/>
        <w:jc w:val="both"/>
      </w:pPr>
      <w:r>
        <w:t>The near-equivalent performance of the two-phase single model and the 5-fold ensemble presents an interesting practical tradeoff. The single model requires approximately one-fifth the inference time and storage, making it more suitable for resource-constrained deployment scenarios such as mobile screening devices. The ensemble, however, provides inherent uncertainty quantification through prediction variance across folds and demonstrates slightly better calibration. For clinical deployment where reliability is paramount, the ensemble approach is preferred; for high-throughput screening, the single model offers a compelling efficiency advantage.</w:t>
      </w:r>
    </w:p>
    <w:p w14:paraId="6239A1B6" w14:textId="77777777" w:rsidR="00486D2F" w:rsidRDefault="00486D2F" w:rsidP="00486D2F">
      <w:pPr>
        <w:pStyle w:val="Heading2"/>
        <w:spacing w:after="240" w:line="360" w:lineRule="auto"/>
      </w:pPr>
      <w:bookmarkStart w:id="27" w:name="_Toc224764515"/>
      <w:r>
        <w:rPr>
          <w:rFonts w:ascii="Times New Roman" w:eastAsia="Times New Roman" w:hAnsi="Times New Roman" w:cs="Times New Roman"/>
          <w:b/>
          <w:bCs/>
          <w:sz w:val="28"/>
          <w:szCs w:val="28"/>
        </w:rPr>
        <w:t>5.2 Clinical Implications</w:t>
      </w:r>
      <w:bookmarkEnd w:id="27"/>
    </w:p>
    <w:p w14:paraId="57FDBB73" w14:textId="77777777" w:rsidR="00486D2F" w:rsidRDefault="00486D2F" w:rsidP="00486D2F">
      <w:pPr>
        <w:spacing w:after="200" w:line="360" w:lineRule="auto"/>
        <w:ind w:firstLine="720"/>
        <w:jc w:val="both"/>
      </w:pPr>
      <w:r>
        <w:t>The achieved sensitivity exceeding 0.99 meets the clinical threshold recommended by the British Diabetic Association for DR screening programs, which requires at least 80% sensitivity for sight-threatening DR. The high specificity above 0.98 ensures minimal false referrals, reducing unnecessary burden on specialist services. The ordinal threshold framework enables deployment as a triage tool: the system can prioritize patients by predicted severity grade, directing urgent cases for immediate specialist review while scheduling milder cases for routine follow-up.</w:t>
      </w:r>
    </w:p>
    <w:p w14:paraId="3C0D200A" w14:textId="77777777" w:rsidR="00486D2F" w:rsidRDefault="00486D2F" w:rsidP="00486D2F">
      <w:pPr>
        <w:pStyle w:val="Heading2"/>
        <w:spacing w:after="240" w:line="360" w:lineRule="auto"/>
      </w:pPr>
      <w:bookmarkStart w:id="28" w:name="_Toc224764516"/>
      <w:r>
        <w:rPr>
          <w:rFonts w:ascii="Times New Roman" w:eastAsia="Times New Roman" w:hAnsi="Times New Roman" w:cs="Times New Roman"/>
          <w:b/>
          <w:bCs/>
          <w:sz w:val="28"/>
          <w:szCs w:val="28"/>
        </w:rPr>
        <w:t>5.3 Model Agreement Analysis</w:t>
      </w:r>
      <w:bookmarkEnd w:id="28"/>
    </w:p>
    <w:p w14:paraId="5E9303BC" w14:textId="77777777" w:rsidR="00486D2F" w:rsidRDefault="00486D2F" w:rsidP="00486D2F">
      <w:pPr>
        <w:spacing w:after="200" w:line="360" w:lineRule="auto"/>
        <w:ind w:firstLine="720"/>
        <w:jc w:val="both"/>
      </w:pPr>
      <w:r>
        <w:t>Analysis of prediction agreement between the two-phase model and ensemble reveals that the vast majority of test images are correctly classified by both approaches. The small set of disagreement cases typically involves borderline Grade 0/1 cases where subtle pathological features are present. This complementarity suggests that a hierarchical system combining both models could potentially improve performance on the most challenging cases.</w:t>
      </w:r>
    </w:p>
    <w:p w14:paraId="490336E9" w14:textId="77777777" w:rsidR="00486D2F" w:rsidRDefault="00486D2F" w:rsidP="00486D2F">
      <w:pPr>
        <w:pStyle w:val="Heading2"/>
        <w:spacing w:after="240" w:line="360" w:lineRule="auto"/>
      </w:pPr>
      <w:bookmarkStart w:id="29" w:name="_Toc224764517"/>
      <w:r>
        <w:rPr>
          <w:rFonts w:ascii="Times New Roman" w:eastAsia="Times New Roman" w:hAnsi="Times New Roman" w:cs="Times New Roman"/>
          <w:b/>
          <w:bCs/>
          <w:sz w:val="28"/>
          <w:szCs w:val="28"/>
        </w:rPr>
        <w:t>5.4 Limitations</w:t>
      </w:r>
      <w:bookmarkEnd w:id="29"/>
    </w:p>
    <w:p w14:paraId="1B5E6CE7" w14:textId="77777777" w:rsidR="00486D2F" w:rsidRDefault="00486D2F" w:rsidP="00486D2F">
      <w:pPr>
        <w:spacing w:after="200" w:line="360" w:lineRule="auto"/>
        <w:ind w:firstLine="720"/>
        <w:jc w:val="both"/>
      </w:pPr>
      <w:r>
        <w:t xml:space="preserve">Several limitations should be noted. First, the APTOS 2019 dataset, while diverse, originates primarily from rural Indian clinics and may not fully represent the global diversity of </w:t>
      </w:r>
      <w:r>
        <w:lastRenderedPageBreak/>
        <w:t>fundus imaging conditions. Second, the ordinal threshold approach, while effective, assumes a monotonic relationship between binary probability and severity grade, which may not hold for all edge cases. Third, the study evaluates performance on a single dataset split; although K-fold cross-validation provides internal validation, external validation on independent datasets such as IDRiD, Messidor-2, or EyePACS would strengthen generalizability claims. Fourth, the current approach does not explicitly model the grading uncertainty or provide per-case confidence intervals for the predicted grade.</w:t>
      </w:r>
    </w:p>
    <w:p w14:paraId="10848EBF" w14:textId="77777777" w:rsidR="00486D2F" w:rsidRDefault="00486D2F" w:rsidP="00486D2F">
      <w:pPr>
        <w:pStyle w:val="Heading2"/>
        <w:spacing w:after="240" w:line="360" w:lineRule="auto"/>
      </w:pPr>
      <w:bookmarkStart w:id="30" w:name="_Toc224764518"/>
      <w:r>
        <w:rPr>
          <w:rFonts w:ascii="Times New Roman" w:eastAsia="Times New Roman" w:hAnsi="Times New Roman" w:cs="Times New Roman"/>
          <w:b/>
          <w:bCs/>
          <w:sz w:val="28"/>
          <w:szCs w:val="28"/>
        </w:rPr>
        <w:t>5.5 Comparison with Prior Work</w:t>
      </w:r>
      <w:bookmarkEnd w:id="30"/>
    </w:p>
    <w:p w14:paraId="4864EB09" w14:textId="77777777" w:rsidR="00486D2F" w:rsidRDefault="00486D2F" w:rsidP="00486D2F">
      <w:pPr>
        <w:spacing w:after="200" w:line="360" w:lineRule="auto"/>
        <w:ind w:firstLine="720"/>
        <w:jc w:val="both"/>
      </w:pPr>
      <w:r>
        <w:t>Our results are competitive with state-of-the-art methods on the APTOS 2019 dataset. The achieved AUC-ROC exceeding 0.999 is comparable to the top-performing solutions in the original Kaggle competition, which employed larger model ensembles and external training data. Our approach achieves this with a single architecture (EfficientNet-B3) and without external data augmentation, demonstrating the effectiveness of the combined TTA and threshold optimization strategy.</w:t>
      </w:r>
    </w:p>
    <w:p w14:paraId="69F2486C" w14:textId="496B6E0A" w:rsidR="006E70C0" w:rsidRDefault="006E70C0" w:rsidP="00486D2F">
      <w:pPr>
        <w:spacing w:after="200" w:line="360" w:lineRule="auto"/>
        <w:ind w:firstLine="720"/>
        <w:jc w:val="both"/>
      </w:pPr>
    </w:p>
    <w:p w14:paraId="0619A9AA" w14:textId="77777777" w:rsidR="00486D2F" w:rsidRDefault="00486D2F" w:rsidP="00486D2F">
      <w:pPr>
        <w:pStyle w:val="Heading1"/>
        <w:pageBreakBefore/>
        <w:spacing w:line="360" w:lineRule="auto"/>
      </w:pPr>
      <w:bookmarkStart w:id="31" w:name="_Toc224764519"/>
      <w:r>
        <w:rPr>
          <w:rFonts w:ascii="Times New Roman" w:eastAsia="Times New Roman" w:hAnsi="Times New Roman" w:cs="Times New Roman"/>
          <w:b/>
          <w:bCs/>
          <w:sz w:val="32"/>
          <w:szCs w:val="32"/>
        </w:rPr>
        <w:lastRenderedPageBreak/>
        <w:t>Chapter 6: Conclusion and Future Work</w:t>
      </w:r>
      <w:bookmarkEnd w:id="31"/>
    </w:p>
    <w:p w14:paraId="218E887F" w14:textId="77777777" w:rsidR="00486D2F" w:rsidRDefault="00486D2F" w:rsidP="00486D2F">
      <w:pPr>
        <w:pStyle w:val="Heading2"/>
        <w:spacing w:after="240" w:line="360" w:lineRule="auto"/>
      </w:pPr>
      <w:bookmarkStart w:id="32" w:name="_Toc224764520"/>
      <w:r>
        <w:rPr>
          <w:rFonts w:ascii="Times New Roman" w:eastAsia="Times New Roman" w:hAnsi="Times New Roman" w:cs="Times New Roman"/>
          <w:b/>
          <w:bCs/>
          <w:sz w:val="28"/>
          <w:szCs w:val="28"/>
        </w:rPr>
        <w:t>6.1 Summary</w:t>
      </w:r>
      <w:bookmarkEnd w:id="32"/>
    </w:p>
    <w:p w14:paraId="74172A47" w14:textId="77777777" w:rsidR="00486D2F" w:rsidRDefault="00486D2F" w:rsidP="00486D2F">
      <w:pPr>
        <w:spacing w:after="200" w:line="360" w:lineRule="auto"/>
        <w:ind w:firstLine="720"/>
        <w:jc w:val="both"/>
      </w:pPr>
      <w:r>
        <w:t>This thesis presented a comprehensive investigation of automated diabetic retinopathy grading using EfficientNet-B3 on the APTOS 2019 dataset. Two training strategies were compared: two-phase transfer learning and 5-fold cross-validation ensemble, both enhanced with test-time augmentation and threshold optimization. Key findings include: (1) both approaches achieve AUC-ROC exceeding 0.999 on binary DR detection; (2) test-time augmentation consistently improves accuracy and calibration; (3) Youden's J-based threshold optimization provides clinically meaningful operating points; and (4) the ordinal threshold framework enables effective five-stage DR grading from a binary classifier.</w:t>
      </w:r>
    </w:p>
    <w:p w14:paraId="37BDE433" w14:textId="77777777" w:rsidR="00486D2F" w:rsidRDefault="00486D2F" w:rsidP="00486D2F">
      <w:pPr>
        <w:pStyle w:val="Heading2"/>
        <w:spacing w:after="240" w:line="360" w:lineRule="auto"/>
      </w:pPr>
      <w:bookmarkStart w:id="33" w:name="_Toc224764521"/>
      <w:r>
        <w:rPr>
          <w:rFonts w:ascii="Times New Roman" w:eastAsia="Times New Roman" w:hAnsi="Times New Roman" w:cs="Times New Roman"/>
          <w:b/>
          <w:bCs/>
          <w:sz w:val="28"/>
          <w:szCs w:val="28"/>
        </w:rPr>
        <w:t>6.2 Future Work</w:t>
      </w:r>
      <w:bookmarkEnd w:id="33"/>
    </w:p>
    <w:p w14:paraId="5DCC6A5F" w14:textId="582CED59" w:rsidR="00486D2F" w:rsidRDefault="00486D2F" w:rsidP="00486D2F">
      <w:pPr>
        <w:spacing w:after="200" w:line="360" w:lineRule="auto"/>
        <w:ind w:firstLine="720"/>
        <w:jc w:val="both"/>
      </w:pPr>
      <w:r>
        <w:t>Several directions for future research are identified. First, external validation on independent datasets including IDRiD, Messidor-2, and EyePACS would establish generalizability. Second, exploring foundation models such as RETFound, specifically pretrained on retinal images, may improve feature representations beyond ImageNet transfer. Third, progressive resizing strategies that train at increasing resolutions could capture both global context and fine-grained pathological details. Fourth, multi-task learning that jointly predicts DR grade and specific lesion types (microaneurysms, hemorrhages, exudates) could improve interpretability. Fifth, developing uncertainty-aware ordinal regression methods that provide per-case confidence intervals would enhance clinical utility. Finally, prospective clinical validation studies are necessary to evaluate real-world screening performan</w:t>
      </w:r>
    </w:p>
    <w:p w14:paraId="4E9A4653" w14:textId="77777777" w:rsidR="00486D2F" w:rsidRDefault="00486D2F">
      <w:pPr>
        <w:spacing w:after="160" w:line="278" w:lineRule="auto"/>
      </w:pPr>
      <w:r>
        <w:br w:type="page"/>
      </w:r>
    </w:p>
    <w:p w14:paraId="7681D9EE" w14:textId="77777777" w:rsidR="00486D2F" w:rsidRDefault="00486D2F" w:rsidP="00486D2F">
      <w:pPr>
        <w:pStyle w:val="Heading1"/>
        <w:pageBreakBefore/>
        <w:spacing w:line="360" w:lineRule="auto"/>
      </w:pPr>
      <w:bookmarkStart w:id="34" w:name="_Toc224764522"/>
      <w:r>
        <w:rPr>
          <w:rFonts w:ascii="Times New Roman" w:eastAsia="Times New Roman" w:hAnsi="Times New Roman" w:cs="Times New Roman"/>
          <w:b/>
          <w:bCs/>
          <w:sz w:val="32"/>
          <w:szCs w:val="32"/>
        </w:rPr>
        <w:lastRenderedPageBreak/>
        <w:t>References</w:t>
      </w:r>
      <w:bookmarkEnd w:id="34"/>
    </w:p>
    <w:p w14:paraId="6E9275EC" w14:textId="77777777" w:rsidR="00486D2F" w:rsidRDefault="00486D2F" w:rsidP="00486D2F">
      <w:pPr>
        <w:spacing w:after="120" w:line="360" w:lineRule="auto"/>
        <w:jc w:val="both"/>
      </w:pPr>
      <w:r>
        <w:t>[1] M. Tan and Q. V. Le, "EfficientNet: Rethinking Model Scaling for Convolutional Neural Networks," in Proc. ICML, 2019, pp. 6105-6114.</w:t>
      </w:r>
    </w:p>
    <w:p w14:paraId="03C2D640" w14:textId="77777777" w:rsidR="00486D2F" w:rsidRDefault="00486D2F" w:rsidP="00486D2F">
      <w:pPr>
        <w:spacing w:after="120" w:line="360" w:lineRule="auto"/>
        <w:jc w:val="both"/>
      </w:pPr>
      <w:r>
        <w:t>[2] V. Gulshan et al., "Development and validation of a deep learning algorithm for detection of diabetic retinopathy in retinal fundus photographs," JAMA, vol. 316, no. 22, pp. 2402-2410, 2016.</w:t>
      </w:r>
    </w:p>
    <w:p w14:paraId="64A1FDEF" w14:textId="77777777" w:rsidR="00486D2F" w:rsidRDefault="00486D2F" w:rsidP="00486D2F">
      <w:pPr>
        <w:spacing w:after="120" w:line="360" w:lineRule="auto"/>
        <w:jc w:val="both"/>
      </w:pPr>
      <w:r>
        <w:t>[3] J. Howard and S. Ruder, "Universal Language Model Fine-tuning for Text Classification," in Proc. ACL, 2018, pp. 328-339.</w:t>
      </w:r>
    </w:p>
    <w:p w14:paraId="3597ABDE" w14:textId="77777777" w:rsidR="00486D2F" w:rsidRDefault="00486D2F" w:rsidP="00486D2F">
      <w:pPr>
        <w:spacing w:after="120" w:line="360" w:lineRule="auto"/>
        <w:jc w:val="both"/>
      </w:pPr>
      <w:r>
        <w:t>[4] APTOS 2019 Blindness Detection, Kaggle Competition. Available: https://www.kaggle.com/c/aptos2019-blindness-detection</w:t>
      </w:r>
    </w:p>
    <w:p w14:paraId="16A928A9" w14:textId="77777777" w:rsidR="00486D2F" w:rsidRDefault="00486D2F" w:rsidP="00486D2F">
      <w:pPr>
        <w:spacing w:after="120" w:line="360" w:lineRule="auto"/>
        <w:jc w:val="both"/>
      </w:pPr>
      <w:r>
        <w:t>[5] E. Frank and M. Hall, "A Simple Approach to Ordinal Classification," in Proc. ECML, 2001, pp. 145-156.</w:t>
      </w:r>
    </w:p>
    <w:p w14:paraId="72899A08" w14:textId="77777777" w:rsidR="00486D2F" w:rsidRDefault="00486D2F" w:rsidP="00486D2F">
      <w:pPr>
        <w:spacing w:after="120" w:line="360" w:lineRule="auto"/>
        <w:jc w:val="both"/>
      </w:pPr>
      <w:r>
        <w:t>[6] L. N. Smith, "A disciplined approach to neural network hyper-parameters," arXiv:1803.09820, 2018.</w:t>
      </w:r>
    </w:p>
    <w:p w14:paraId="23E71F6B" w14:textId="77777777" w:rsidR="00486D2F" w:rsidRDefault="00486D2F" w:rsidP="00486D2F">
      <w:pPr>
        <w:spacing w:after="120" w:line="360" w:lineRule="auto"/>
        <w:jc w:val="both"/>
      </w:pPr>
      <w:r>
        <w:t>[7] R. Wightman, "PyTorch Image Models (timm)," GitHub. Available: https://github.com/rwightman/pytorch-image-models</w:t>
      </w:r>
    </w:p>
    <w:p w14:paraId="74ACFEBF" w14:textId="77777777" w:rsidR="00486D2F" w:rsidRDefault="00486D2F" w:rsidP="00486D2F">
      <w:pPr>
        <w:spacing w:after="120" w:line="360" w:lineRule="auto"/>
        <w:jc w:val="both"/>
      </w:pPr>
      <w:r>
        <w:t>[8] A. Buslaev et al., "Albumentations: Fast and Flexible Image Augmentations," Information, vol. 11, no. 2, p. 125, 2020.</w:t>
      </w:r>
    </w:p>
    <w:p w14:paraId="2BB5CC0A" w14:textId="77777777" w:rsidR="00486D2F" w:rsidRDefault="00486D2F" w:rsidP="00486D2F">
      <w:pPr>
        <w:spacing w:after="120" w:line="360" w:lineRule="auto"/>
        <w:jc w:val="both"/>
      </w:pPr>
      <w:r>
        <w:t>[9] P. Porwal et al., "IDRiD: Diabetic Retinopathy - Segmentation and Grading Challenge," Medical Image Analysis, vol. 59, 2020.</w:t>
      </w:r>
    </w:p>
    <w:p w14:paraId="78616FA0" w14:textId="77777777" w:rsidR="00486D2F" w:rsidRDefault="00486D2F" w:rsidP="00486D2F">
      <w:pPr>
        <w:spacing w:after="120" w:line="360" w:lineRule="auto"/>
        <w:jc w:val="both"/>
      </w:pPr>
      <w:r>
        <w:t>[10] E. Decenciere et al., "Feedback on a publicly distributed image database: the Messidor database," Image Analysis &amp; Stereology, vol. 33, no. 3, pp. 231-234, 2014.</w:t>
      </w:r>
    </w:p>
    <w:p w14:paraId="4D043EB7" w14:textId="77777777" w:rsidR="00486D2F" w:rsidRDefault="00486D2F" w:rsidP="00486D2F">
      <w:pPr>
        <w:spacing w:after="120" w:line="360" w:lineRule="auto"/>
        <w:jc w:val="both"/>
      </w:pPr>
      <w:r>
        <w:t>[11] International Diabetes Federation, IDF Diabetes Atlas, 10th ed., 2021.</w:t>
      </w:r>
    </w:p>
    <w:p w14:paraId="36E6DA68" w14:textId="77777777" w:rsidR="00486D2F" w:rsidRDefault="00486D2F" w:rsidP="00486D2F">
      <w:pPr>
        <w:spacing w:after="120" w:line="360" w:lineRule="auto"/>
        <w:jc w:val="both"/>
      </w:pPr>
      <w:r>
        <w:t>[12] M. D. Abramoff et al., "Pivotal trial of an autonomous AI-based diagnostic system for detection of diabetic retinopathy in primary care offices," NPJ Digital Medicine, vol. 1, no. 39, 2018.</w:t>
      </w:r>
    </w:p>
    <w:p w14:paraId="3C6DB7B2" w14:textId="77777777" w:rsidR="00486D2F" w:rsidRDefault="00486D2F" w:rsidP="00486D2F">
      <w:pPr>
        <w:spacing w:after="200" w:line="360" w:lineRule="auto"/>
        <w:ind w:firstLine="720"/>
        <w:jc w:val="both"/>
      </w:pPr>
    </w:p>
    <w:p w14:paraId="4CF96C66" w14:textId="77777777" w:rsidR="005E2E0B" w:rsidRDefault="005E2E0B" w:rsidP="00486D2F"/>
    <w:sectPr w:rsidR="005E2E0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A9892" w14:textId="77777777" w:rsidR="00581CC7" w:rsidRDefault="00581CC7" w:rsidP="00486D2F">
      <w:r>
        <w:separator/>
      </w:r>
    </w:p>
  </w:endnote>
  <w:endnote w:type="continuationSeparator" w:id="0">
    <w:p w14:paraId="39A45EAC" w14:textId="77777777" w:rsidR="00581CC7" w:rsidRDefault="00581CC7" w:rsidP="00486D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hmer OS Siemreap">
    <w:panose1 w:val="02000500000000020004"/>
    <w:charset w:val="4D"/>
    <w:family w:val="auto"/>
    <w:pitch w:val="variable"/>
    <w:sig w:usb0="A00000EF" w:usb1="5000204A" w:usb2="00010000" w:usb3="00000000" w:csb0="00000111" w:csb1="00000000"/>
  </w:font>
  <w:font w:name="Calibri">
    <w:panose1 w:val="020F0502020204030204"/>
    <w:charset w:val="00"/>
    <w:family w:val="swiss"/>
    <w:pitch w:val="variable"/>
    <w:sig w:usb0="E4002EFF" w:usb1="C200247B" w:usb2="00000009" w:usb3="00000000" w:csb0="000001FF" w:csb1="00000000"/>
  </w:font>
  <w:font w:name="Khmer UI">
    <w:panose1 w:val="020B0502040204020203"/>
    <w:charset w:val="00"/>
    <w:family w:val="swiss"/>
    <w:pitch w:val="variable"/>
    <w:sig w:usb0="80000003" w:usb1="00000000" w:usb2="0001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0364729"/>
      <w:docPartObj>
        <w:docPartGallery w:val="Page Numbers (Bottom of Page)"/>
        <w:docPartUnique/>
      </w:docPartObj>
    </w:sdtPr>
    <w:sdtContent>
      <w:p w14:paraId="4D35DA4C" w14:textId="1442944C" w:rsidR="00486D2F" w:rsidRDefault="00486D2F" w:rsidP="00971D6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B8F8D8A" w14:textId="77777777" w:rsidR="00486D2F" w:rsidRDefault="00486D2F" w:rsidP="00486D2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4747132"/>
      <w:docPartObj>
        <w:docPartGallery w:val="Page Numbers (Bottom of Page)"/>
        <w:docPartUnique/>
      </w:docPartObj>
    </w:sdtPr>
    <w:sdtContent>
      <w:p w14:paraId="392CF476" w14:textId="39DCA07B" w:rsidR="00486D2F" w:rsidRDefault="00486D2F" w:rsidP="00971D6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noProof/>
          </w:rPr>
          <w:t>4</w:t>
        </w:r>
        <w:r>
          <w:rPr>
            <w:rStyle w:val="PageNumber"/>
          </w:rPr>
          <w:fldChar w:fldCharType="end"/>
        </w:r>
      </w:p>
    </w:sdtContent>
  </w:sdt>
  <w:p w14:paraId="5A0627AD" w14:textId="77777777" w:rsidR="00486D2F" w:rsidRDefault="00486D2F" w:rsidP="00486D2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B10A3" w14:textId="77777777" w:rsidR="00581CC7" w:rsidRDefault="00581CC7" w:rsidP="00486D2F">
      <w:r>
        <w:separator/>
      </w:r>
    </w:p>
  </w:footnote>
  <w:footnote w:type="continuationSeparator" w:id="0">
    <w:p w14:paraId="333C7CB5" w14:textId="77777777" w:rsidR="00581CC7" w:rsidRDefault="00581CC7" w:rsidP="00486D2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D2F"/>
    <w:rsid w:val="003B248C"/>
    <w:rsid w:val="003F14FB"/>
    <w:rsid w:val="00486D2F"/>
    <w:rsid w:val="00581CC7"/>
    <w:rsid w:val="005E2E0B"/>
    <w:rsid w:val="006E70C0"/>
    <w:rsid w:val="008371A6"/>
    <w:rsid w:val="00AB0D29"/>
    <w:rsid w:val="00CF001C"/>
    <w:rsid w:val="00CF22AE"/>
    <w:rsid w:val="00DC0835"/>
  </w:rsids>
  <m:mathPr>
    <m:mathFont m:val="Cambria Math"/>
    <m:brkBin m:val="before"/>
    <m:brkBinSub m:val="--"/>
    <m:smallFrac m:val="0"/>
    <m:dispDef/>
    <m:lMargin m:val="0"/>
    <m:rMargin m:val="0"/>
    <m:defJc m:val="centerGroup"/>
    <m:wrapIndent m:val="1440"/>
    <m:intLim m:val="subSup"/>
    <m:naryLim m:val="undOvr"/>
  </m:mathPr>
  <w:themeFontLang w:val="en-KH"/>
  <w:clrSchemeMapping w:bg1="light1" w:t1="dark1" w:bg2="light2" w:t2="dark2" w:accent1="accent1" w:accent2="accent2" w:accent3="accent3" w:accent4="accent4" w:accent5="accent5" w:accent6="accent6" w:hyperlink="hyperlink" w:followedHyperlink="followedHyperlink"/>
  <w:decimalSymbol w:val="."/>
  <w:listSeparator w:val=","/>
  <w14:docId w14:val="0BE7289D"/>
  <w15:chartTrackingRefBased/>
  <w15:docId w15:val="{F3B6CC9E-93A4-AF4C-9557-655F55DA4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Khmer OS Siemreap" w:eastAsiaTheme="minorHAnsi" w:hAnsi="Khmer OS Siemreap" w:cs="Khmer UI"/>
        <w:kern w:val="2"/>
        <w:sz w:val="24"/>
        <w:szCs w:val="24"/>
        <w:lang w:val="en-K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D2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86D2F"/>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86D2F"/>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86D2F"/>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86D2F"/>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486D2F"/>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486D2F"/>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486D2F"/>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486D2F"/>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486D2F"/>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D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6D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6D2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6D2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86D2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86D2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86D2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86D2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86D2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86D2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86D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D2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86D2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86D2F"/>
    <w:pPr>
      <w:spacing w:before="160" w:after="160" w:line="278" w:lineRule="auto"/>
      <w:jc w:val="center"/>
    </w:pPr>
    <w:rPr>
      <w:rFonts w:ascii="Khmer OS Siemreap" w:eastAsiaTheme="minorHAnsi" w:hAnsi="Khmer OS Siemreap" w:cs="Khmer UI"/>
      <w:i/>
      <w:iCs/>
      <w:color w:val="404040" w:themeColor="text1" w:themeTint="BF"/>
      <w:kern w:val="2"/>
      <w14:ligatures w14:val="standardContextual"/>
    </w:rPr>
  </w:style>
  <w:style w:type="character" w:customStyle="1" w:styleId="QuoteChar">
    <w:name w:val="Quote Char"/>
    <w:basedOn w:val="DefaultParagraphFont"/>
    <w:link w:val="Quote"/>
    <w:uiPriority w:val="29"/>
    <w:rsid w:val="00486D2F"/>
    <w:rPr>
      <w:i/>
      <w:iCs/>
      <w:color w:val="404040" w:themeColor="text1" w:themeTint="BF"/>
    </w:rPr>
  </w:style>
  <w:style w:type="paragraph" w:styleId="ListParagraph">
    <w:name w:val="List Paragraph"/>
    <w:basedOn w:val="Normal"/>
    <w:uiPriority w:val="34"/>
    <w:qFormat/>
    <w:rsid w:val="00486D2F"/>
    <w:pPr>
      <w:spacing w:after="160" w:line="278" w:lineRule="auto"/>
      <w:ind w:left="720"/>
      <w:contextualSpacing/>
    </w:pPr>
    <w:rPr>
      <w:rFonts w:ascii="Khmer OS Siemreap" w:eastAsiaTheme="minorHAnsi" w:hAnsi="Khmer OS Siemreap" w:cs="Khmer UI"/>
      <w:kern w:val="2"/>
      <w14:ligatures w14:val="standardContextual"/>
    </w:rPr>
  </w:style>
  <w:style w:type="character" w:styleId="IntenseEmphasis">
    <w:name w:val="Intense Emphasis"/>
    <w:basedOn w:val="DefaultParagraphFont"/>
    <w:uiPriority w:val="21"/>
    <w:qFormat/>
    <w:rsid w:val="00486D2F"/>
    <w:rPr>
      <w:i/>
      <w:iCs/>
      <w:color w:val="2F5496" w:themeColor="accent1" w:themeShade="BF"/>
    </w:rPr>
  </w:style>
  <w:style w:type="paragraph" w:styleId="IntenseQuote">
    <w:name w:val="Intense Quote"/>
    <w:basedOn w:val="Normal"/>
    <w:next w:val="Normal"/>
    <w:link w:val="IntenseQuoteChar"/>
    <w:uiPriority w:val="30"/>
    <w:qFormat/>
    <w:rsid w:val="00486D2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Khmer OS Siemreap" w:eastAsiaTheme="minorHAnsi" w:hAnsi="Khmer OS Siemreap" w:cs="Khmer U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486D2F"/>
    <w:rPr>
      <w:i/>
      <w:iCs/>
      <w:color w:val="2F5496" w:themeColor="accent1" w:themeShade="BF"/>
    </w:rPr>
  </w:style>
  <w:style w:type="character" w:styleId="IntenseReference">
    <w:name w:val="Intense Reference"/>
    <w:basedOn w:val="DefaultParagraphFont"/>
    <w:uiPriority w:val="32"/>
    <w:qFormat/>
    <w:rsid w:val="00486D2F"/>
    <w:rPr>
      <w:b/>
      <w:bCs/>
      <w:smallCaps/>
      <w:color w:val="2F5496" w:themeColor="accent1" w:themeShade="BF"/>
      <w:spacing w:val="5"/>
    </w:rPr>
  </w:style>
  <w:style w:type="paragraph" w:styleId="Footer">
    <w:name w:val="footer"/>
    <w:basedOn w:val="Normal"/>
    <w:link w:val="FooterChar"/>
    <w:uiPriority w:val="99"/>
    <w:unhideWhenUsed/>
    <w:rsid w:val="00486D2F"/>
    <w:pPr>
      <w:tabs>
        <w:tab w:val="center" w:pos="4680"/>
        <w:tab w:val="right" w:pos="9360"/>
      </w:tabs>
    </w:pPr>
  </w:style>
  <w:style w:type="character" w:customStyle="1" w:styleId="FooterChar">
    <w:name w:val="Footer Char"/>
    <w:basedOn w:val="DefaultParagraphFont"/>
    <w:link w:val="Footer"/>
    <w:uiPriority w:val="99"/>
    <w:rsid w:val="00486D2F"/>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486D2F"/>
  </w:style>
  <w:style w:type="character" w:styleId="PlaceholderText">
    <w:name w:val="Placeholder Text"/>
    <w:basedOn w:val="DefaultParagraphFont"/>
    <w:uiPriority w:val="99"/>
    <w:semiHidden/>
    <w:rsid w:val="003F14FB"/>
    <w:rPr>
      <w:color w:val="666666"/>
    </w:rPr>
  </w:style>
  <w:style w:type="paragraph" w:styleId="NormalWeb">
    <w:name w:val="Normal (Web)"/>
    <w:basedOn w:val="Normal"/>
    <w:uiPriority w:val="99"/>
    <w:semiHidden/>
    <w:unhideWhenUsed/>
    <w:rsid w:val="006E70C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24</Pages>
  <Words>7068</Words>
  <Characters>40292</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UON CHAMROEUN</dc:creator>
  <cp:keywords/>
  <dc:description/>
  <cp:lastModifiedBy>UON CHAMROEUN</cp:lastModifiedBy>
  <cp:revision>1</cp:revision>
  <dcterms:created xsi:type="dcterms:W3CDTF">2026-03-18T15:18:00Z</dcterms:created>
  <dcterms:modified xsi:type="dcterms:W3CDTF">2026-03-20T04:29:00Z</dcterms:modified>
</cp:coreProperties>
</file>