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Разработка  и исследование простейшего </w:t>
      </w:r>
      <w:r>
        <w:rPr>
          <w:rFonts w:ascii="Courier New" w:hAnsi="Courier New" w:cs="Courier New"/>
          <w:b/>
          <w:sz w:val="28"/>
          <w:szCs w:val="28"/>
          <w:lang w:val="en-US"/>
        </w:rPr>
        <w:t>SOAP-</w:t>
      </w:r>
      <w:r>
        <w:rPr>
          <w:rFonts w:ascii="Courier New" w:hAnsi="Courier New" w:cs="Courier New"/>
          <w:b/>
          <w:sz w:val="28"/>
          <w:szCs w:val="28"/>
        </w:rPr>
        <w:t>сервиса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 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ASP.NET.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 стандарта </w:t>
      </w:r>
      <w:r>
        <w:rPr>
          <w:rFonts w:ascii="Courier New" w:hAnsi="Courier New" w:cs="Courier New"/>
          <w:sz w:val="28"/>
          <w:szCs w:val="28"/>
          <w:lang w:val="en-US"/>
        </w:rPr>
        <w:t>WSDL.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W3C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 1.1, SOAP 1.2.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http://XYZ/,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XYZ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 включает в себя следующие три метода.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2016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4633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d, </w:t>
            </w:r>
          </w:p>
        </w:tc>
        <w:tc>
          <w:tcPr>
            <w:tcW w:w="2233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3" w:type="dxa"/>
          </w:tcPr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A: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a1.s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a2.s;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a1.k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a2.k;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>
            <w:pPr>
              <w:pStyle w:val="7"/>
              <w:spacing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eastAsia="ru-RU"/>
              </w:rPr>
              <w:drawing>
                <wp:inline distT="0" distB="0" distL="0" distR="0">
                  <wp:extent cx="1133475" cy="904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>
            <w:pPr>
              <w:pStyle w:val="7"/>
              <w:spacing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класса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параметр  </w:t>
      </w:r>
      <w:r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определите параметр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MessageName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сервису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Add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Concat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 </w:t>
      </w:r>
    </w:p>
    <w:p>
      <w:pPr>
        <w:pStyle w:val="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ASMX-</w:t>
      </w:r>
      <w:r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WinForm-</w:t>
      </w:r>
      <w:r>
        <w:rPr>
          <w:rFonts w:ascii="Courier New" w:hAnsi="Courier New" w:cs="Courier New"/>
          <w:sz w:val="28"/>
          <w:szCs w:val="28"/>
        </w:rPr>
        <w:t xml:space="preserve">приложение. Используя объект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методе </w:t>
      </w:r>
      <w:r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сервиса, продемонстрируйте и исследуйте содержимое тела запроса, пришедшего от клиента.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 xml:space="preserve">описание (отображается в браузере),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и укажите:</w:t>
      </w:r>
    </w:p>
    <w:p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>
      <w:pPr>
        <w:pStyle w:val="7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>
      <w:pPr>
        <w:pStyle w:val="7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входных и выходных сообщений всех методов сервиса;</w:t>
      </w:r>
    </w:p>
    <w:p>
      <w:pPr>
        <w:pStyle w:val="7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>
      <w:pPr>
        <w:pStyle w:val="7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>
      <w:pPr>
        <w:pStyle w:val="7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сервису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форме в браузере).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выполните два  типа запросов (</w:t>
      </w:r>
      <w:r>
        <w:rPr>
          <w:rFonts w:ascii="Courier New" w:hAnsi="Courier New" w:cs="Courier New"/>
          <w:sz w:val="28"/>
          <w:szCs w:val="28"/>
          <w:lang w:val="en-US"/>
        </w:rPr>
        <w:t>SOAP 1.2, HTTP POST)</w:t>
      </w:r>
      <w:r>
        <w:rPr>
          <w:rFonts w:ascii="Courier New" w:hAnsi="Courier New" w:cs="Courier New"/>
          <w:sz w:val="28"/>
          <w:szCs w:val="28"/>
        </w:rPr>
        <w:t xml:space="preserve"> к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сервису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 в их работоспособности. 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WinForm</w:t>
      </w:r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WSDL.EXE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proxy-</w:t>
      </w:r>
      <w:r>
        <w:rPr>
          <w:rFonts w:ascii="Courier New" w:hAnsi="Courier New" w:cs="Courier New"/>
          <w:sz w:val="28"/>
          <w:szCs w:val="28"/>
        </w:rPr>
        <w:t xml:space="preserve">класс. Продемонстрируйте его работоспособность в отдельном приложении.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WebForm</w:t>
      </w:r>
      <w:r>
        <w:rPr>
          <w:rFonts w:ascii="Courier New" w:hAnsi="Courier New" w:cs="Courier New"/>
          <w:sz w:val="28"/>
          <w:szCs w:val="28"/>
        </w:rPr>
        <w:t>-приложение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WSDL.EXE </w:t>
      </w:r>
      <w:r>
        <w:rPr>
          <w:rFonts w:ascii="Courier New" w:hAnsi="Courier New" w:cs="Courier New"/>
          <w:sz w:val="28"/>
          <w:szCs w:val="28"/>
        </w:rPr>
        <w:t xml:space="preserve">сгенерируйте класс для отдельного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сервиса. Продемонстрируйте его работоспособность.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Создайте в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сервисе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AddS. </w:t>
      </w:r>
      <w:r>
        <w:rPr>
          <w:rFonts w:ascii="Courier New" w:hAnsi="Courier New" w:cs="Courier New"/>
          <w:sz w:val="28"/>
          <w:szCs w:val="28"/>
        </w:rPr>
        <w:t xml:space="preserve">Метод </w:t>
      </w:r>
      <w:r>
        <w:rPr>
          <w:rFonts w:ascii="Courier New" w:hAnsi="Courier New" w:cs="Courier New"/>
          <w:b/>
          <w:sz w:val="28"/>
          <w:szCs w:val="28"/>
          <w:lang w:val="en-US"/>
        </w:rPr>
        <w:t>AddS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аналогичен методу </w:t>
      </w:r>
      <w:r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JSON. </w:t>
      </w:r>
    </w:p>
    <w:p>
      <w:pPr>
        <w:pStyle w:val="7"/>
        <w:numPr>
          <w:ilvl w:val="0"/>
          <w:numId w:val="1"/>
        </w:numPr>
        <w:ind w:left="1020" w:leftChars="0" w:firstLineChars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ASP.NET-</w:t>
      </w:r>
      <w:r>
        <w:rPr>
          <w:rFonts w:ascii="Courier New" w:hAnsi="Courier New" w:cs="Courier New"/>
          <w:sz w:val="28"/>
          <w:szCs w:val="28"/>
        </w:rPr>
        <w:t xml:space="preserve">приложение, применяющее </w:t>
      </w:r>
      <w:r>
        <w:rPr>
          <w:rFonts w:ascii="Courier New" w:hAnsi="Courier New" w:cs="Courier New"/>
          <w:sz w:val="28"/>
          <w:szCs w:val="28"/>
          <w:lang w:val="en-US"/>
        </w:rPr>
        <w:t>AJAX-</w:t>
      </w:r>
      <w:r>
        <w:rPr>
          <w:rFonts w:ascii="Courier New" w:hAnsi="Courier New" w:cs="Courier New"/>
          <w:sz w:val="28"/>
          <w:szCs w:val="28"/>
        </w:rPr>
        <w:t>запрос (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r>
        <w:rPr>
          <w:rFonts w:ascii="Courier New" w:hAnsi="Courier New" w:cs="Courier New"/>
          <w:b/>
          <w:sz w:val="28"/>
          <w:szCs w:val="28"/>
          <w:lang w:val="en-US"/>
        </w:rPr>
        <w:t>AddS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>
        <w:rPr>
          <w:rFonts w:ascii="Courier New" w:hAnsi="Courier New" w:cs="Courier New"/>
          <w:b/>
          <w:sz w:val="28"/>
          <w:szCs w:val="28"/>
        </w:rPr>
        <w:t>.</w:t>
      </w: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C10A4"/>
    <w:multiLevelType w:val="multilevel"/>
    <w:tmpl w:val="0F9C10A4"/>
    <w:lvl w:ilvl="0" w:tentative="0">
      <w:start w:val="1"/>
      <w:numFmt w:val="decimal"/>
      <w:suff w:val="space"/>
      <w:lvlText w:val="%1."/>
      <w:lvlJc w:val="left"/>
      <w:pPr>
        <w:ind w:left="10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multilevel"/>
    <w:tmpl w:val="4590665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412DDB"/>
    <w:rsid w:val="004313DD"/>
    <w:rsid w:val="004372EC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D26A3C"/>
    <w:rsid w:val="00D768C1"/>
    <w:rsid w:val="00E60425"/>
    <w:rsid w:val="00F148FD"/>
    <w:rsid w:val="6C33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412</Words>
  <Characters>2354</Characters>
  <Lines>19</Lines>
  <Paragraphs>5</Paragraphs>
  <TotalTime>620</TotalTime>
  <ScaleCrop>false</ScaleCrop>
  <LinksUpToDate>false</LinksUpToDate>
  <CharactersWithSpaces>2761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2017-09-04T05:56:00Z</dcterms:created>
  <dc:creator>e2-User</dc:creator>
  <cp:lastModifiedBy>Chamster</cp:lastModifiedBy>
  <dcterms:modified xsi:type="dcterms:W3CDTF">2024-10-15T07:17:26Z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397486C9D3AB4F3D828CFC463BB7EB00</vt:lpwstr>
  </property>
</Properties>
</file>