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C8E2E" w14:textId="77777777" w:rsidR="00B52A8B" w:rsidRPr="004E422B" w:rsidRDefault="00B52A8B" w:rsidP="00B52A8B">
      <w:pPr>
        <w:pStyle w:val="01k1a"/>
        <w:spacing w:before="120" w:after="240"/>
        <w:rPr>
          <w:rStyle w:val="01k1"/>
          <w:rFonts w:ascii="Verdana" w:hAnsi="Verdana"/>
          <w:color w:val="0070C0"/>
        </w:rPr>
      </w:pPr>
      <w:r w:rsidRPr="004E422B">
        <w:rPr>
          <w:rStyle w:val="01k1"/>
          <w:rFonts w:ascii="Verdana" w:hAnsi="Verdana"/>
          <w:color w:val="0070C0"/>
        </w:rPr>
        <w:t>COBIT</w:t>
      </w:r>
      <w:r w:rsidRPr="004E422B">
        <w:rPr>
          <w:rStyle w:val="superscript01k1"/>
          <w:rFonts w:ascii="Verdana" w:hAnsi="Verdana"/>
          <w:color w:val="0070C0"/>
        </w:rPr>
        <w:t>®</w:t>
      </w:r>
    </w:p>
    <w:p w14:paraId="7D874F60" w14:textId="77777777" w:rsidR="00B52A8B" w:rsidRPr="00180C9E" w:rsidRDefault="00B52A8B" w:rsidP="00B52A8B">
      <w:pPr>
        <w:pStyle w:val="02k2"/>
      </w:pPr>
      <w:r w:rsidRPr="00180C9E">
        <w:t xml:space="preserve">1 </w:t>
      </w:r>
      <w:r w:rsidRPr="00180C9E">
        <w:tab/>
        <w:t>Title/current version</w:t>
      </w:r>
    </w:p>
    <w:p w14:paraId="4AFD1FD1" w14:textId="77777777" w:rsidR="00B52A8B" w:rsidRPr="00F816A0" w:rsidRDefault="00B52A8B" w:rsidP="00B52A8B">
      <w:pPr>
        <w:pStyle w:val="pt"/>
        <w:rPr>
          <w:rFonts w:ascii="Times" w:hAnsi="Times" w:cs="Times"/>
          <w:sz w:val="18"/>
        </w:rPr>
      </w:pPr>
      <w:r w:rsidRPr="00F816A0">
        <w:rPr>
          <w:rFonts w:ascii="Times" w:hAnsi="Times"/>
        </w:rPr>
        <w:t>COBIT</w:t>
      </w:r>
      <w:r w:rsidRPr="00F816A0">
        <w:rPr>
          <w:rStyle w:val="superscript01k1"/>
          <w:rFonts w:ascii="Times" w:hAnsi="Times" w:cs="Times"/>
          <w:sz w:val="18"/>
        </w:rPr>
        <w:t>®</w:t>
      </w:r>
      <w:r w:rsidRPr="00F816A0">
        <w:rPr>
          <w:rFonts w:ascii="Times" w:hAnsi="Times" w:cs="Times"/>
          <w:sz w:val="18"/>
        </w:rPr>
        <w:t>5</w:t>
      </w:r>
    </w:p>
    <w:p w14:paraId="6BBA7E33" w14:textId="77777777" w:rsidR="00B52A8B" w:rsidRPr="00F816A0" w:rsidRDefault="00B52A8B" w:rsidP="00B52A8B">
      <w:pPr>
        <w:pStyle w:val="pt"/>
        <w:rPr>
          <w:rFonts w:ascii="Verdana" w:hAnsi="Verdana"/>
          <w:sz w:val="18"/>
        </w:rPr>
      </w:pPr>
    </w:p>
    <w:p w14:paraId="6C884C3B" w14:textId="77777777" w:rsidR="00B52A8B" w:rsidRPr="00180C9E" w:rsidRDefault="00B52A8B" w:rsidP="00B52A8B">
      <w:pPr>
        <w:pStyle w:val="02k2"/>
      </w:pPr>
      <w:r w:rsidRPr="00180C9E">
        <w:t>2</w:t>
      </w:r>
      <w:r w:rsidRPr="00180C9E">
        <w:tab/>
        <w:t>The basics</w:t>
      </w:r>
    </w:p>
    <w:p w14:paraId="43E16E3E" w14:textId="77777777" w:rsidR="00B52A8B" w:rsidRPr="00F816A0" w:rsidRDefault="00B52A8B" w:rsidP="00B52A8B">
      <w:pPr>
        <w:pStyle w:val="pt"/>
        <w:rPr>
          <w:rFonts w:ascii="Times" w:hAnsi="Times"/>
        </w:rPr>
      </w:pPr>
      <w:r w:rsidRPr="00F816A0">
        <w:rPr>
          <w:rFonts w:ascii="Times" w:hAnsi="Times"/>
        </w:rPr>
        <w:t>Originally designed for auditors to audit the IT organization, COBIT 5 (Control Objectives for Information and Related Technology) is about linking business goals to IT objectives (note the linkage here from vision to mission to goals to objectives). COBIT 5 (launched April 2012) provides metrics and maturity models to measure whether or not the IT organization has achieved its objectives. Additionally, COBIT identifies the associated responsibilities of the business process owners as well as those of the IT process owners.</w:t>
      </w:r>
    </w:p>
    <w:p w14:paraId="3A4F0F46" w14:textId="77777777" w:rsidR="00B52A8B" w:rsidRPr="00F816A0" w:rsidRDefault="00B52A8B" w:rsidP="00B52A8B">
      <w:pPr>
        <w:pStyle w:val="pt"/>
        <w:rPr>
          <w:rFonts w:ascii="Times" w:hAnsi="Times"/>
        </w:rPr>
      </w:pPr>
    </w:p>
    <w:p w14:paraId="0609C69A" w14:textId="77777777" w:rsidR="00B52A8B" w:rsidRPr="00180C9E" w:rsidRDefault="00B52A8B" w:rsidP="00B52A8B">
      <w:pPr>
        <w:pStyle w:val="02k2"/>
      </w:pPr>
      <w:r w:rsidRPr="00180C9E">
        <w:t xml:space="preserve">3 </w:t>
      </w:r>
      <w:r w:rsidRPr="00180C9E">
        <w:tab/>
        <w:t>Summary</w:t>
      </w:r>
    </w:p>
    <w:p w14:paraId="4014B113" w14:textId="77777777" w:rsidR="00B52A8B" w:rsidRPr="00F816A0" w:rsidRDefault="00B52A8B" w:rsidP="00B52A8B">
      <w:pPr>
        <w:pStyle w:val="pt"/>
        <w:rPr>
          <w:rFonts w:ascii="Times" w:hAnsi="Times"/>
        </w:rPr>
      </w:pPr>
      <w:r w:rsidRPr="00F816A0">
        <w:rPr>
          <w:rFonts w:ascii="Times" w:hAnsi="Times"/>
        </w:rPr>
        <w:t>COBIT is owned and supported by ISACA. It was released in 1996; the current Version 5.0 (April 2012) brings together COBIT 4.1, Val IT 2.0 and Risk IT frameworks.</w:t>
      </w:r>
    </w:p>
    <w:p w14:paraId="74DA0967" w14:textId="77777777" w:rsidR="00B52A8B" w:rsidRPr="00F816A0" w:rsidRDefault="00B52A8B" w:rsidP="00B52A8B">
      <w:pPr>
        <w:pStyle w:val="pt"/>
        <w:rPr>
          <w:rFonts w:ascii="Times" w:hAnsi="Times"/>
        </w:rPr>
      </w:pPr>
    </w:p>
    <w:p w14:paraId="6BA7BD03" w14:textId="77777777" w:rsidR="00B52A8B" w:rsidRPr="00F816A0" w:rsidRDefault="00B52A8B" w:rsidP="00B52A8B">
      <w:pPr>
        <w:pStyle w:val="pt"/>
        <w:rPr>
          <w:rFonts w:ascii="Times" w:hAnsi="Times"/>
        </w:rPr>
      </w:pPr>
      <w:r w:rsidRPr="00F816A0">
        <w:rPr>
          <w:rFonts w:ascii="Times" w:hAnsi="Times"/>
        </w:rPr>
        <w:t>The COBIT 5 principles and enablers are generic and useful for enterprises of all sizes, whether commercial, not-for -profit or in the public sector (Figures 1 and 2).</w:t>
      </w:r>
    </w:p>
    <w:p w14:paraId="1D0AFB07" w14:textId="77777777" w:rsidR="00B52A8B" w:rsidRPr="00F816A0" w:rsidRDefault="00B52A8B" w:rsidP="00B52A8B">
      <w:pPr>
        <w:pStyle w:val="pt"/>
        <w:rPr>
          <w:rFonts w:ascii="Times" w:hAnsi="Times"/>
        </w:rPr>
      </w:pPr>
    </w:p>
    <w:p w14:paraId="494CF46A" w14:textId="77777777" w:rsidR="00B52A8B" w:rsidRPr="00F816A0" w:rsidRDefault="00B52A8B" w:rsidP="00B52A8B">
      <w:pPr>
        <w:pStyle w:val="pt"/>
      </w:pPr>
      <w:r w:rsidRPr="00F816A0">
        <w:object w:dxaOrig="4879" w:dyaOrig="4904" w14:anchorId="719A0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0" type="#_x0000_t75" style="width:244pt;height:245pt" o:ole="">
            <v:imagedata r:id="rId9" o:title=""/>
          </v:shape>
          <o:OLEObject Type="Embed" ProgID="Photoshop.Image.7" ShapeID="_x0000_i1220" DrawAspect="Content" ObjectID="_1472459370" r:id="rId10">
            <o:FieldCodes>\s</o:FieldCodes>
          </o:OLEObject>
        </w:object>
      </w:r>
    </w:p>
    <w:p w14:paraId="28495B2E" w14:textId="77777777" w:rsidR="00B52A8B" w:rsidRPr="00F816A0" w:rsidRDefault="00B52A8B" w:rsidP="00B52A8B">
      <w:pPr>
        <w:pStyle w:val="pt"/>
        <w:rPr>
          <w:rFonts w:ascii="Times" w:hAnsi="Times"/>
        </w:rPr>
      </w:pPr>
    </w:p>
    <w:p w14:paraId="213BB0EE" w14:textId="77777777" w:rsidR="00B52A8B" w:rsidRPr="00180C9E" w:rsidRDefault="00B52A8B" w:rsidP="00B52A8B">
      <w:pPr>
        <w:pStyle w:val="bijschriftfiguur"/>
        <w:rPr>
          <w:rFonts w:ascii="Verdana" w:hAnsi="Verdana"/>
          <w:sz w:val="20"/>
          <w:szCs w:val="20"/>
        </w:rPr>
      </w:pPr>
      <w:r w:rsidRPr="00180C9E">
        <w:rPr>
          <w:rFonts w:ascii="Verdana" w:hAnsi="Verdana"/>
          <w:sz w:val="20"/>
          <w:szCs w:val="20"/>
        </w:rPr>
        <w:t>Figure 1: The COBIT 5 Principles</w:t>
      </w:r>
    </w:p>
    <w:p w14:paraId="09FF5D4D" w14:textId="77777777" w:rsidR="00B52A8B" w:rsidRPr="00F816A0" w:rsidRDefault="00B52A8B" w:rsidP="00B52A8B">
      <w:pPr>
        <w:pStyle w:val="pt"/>
        <w:rPr>
          <w:rFonts w:ascii="Verdana" w:hAnsi="Verdana"/>
          <w:color w:val="auto"/>
          <w:sz w:val="12"/>
        </w:rPr>
      </w:pPr>
    </w:p>
    <w:p w14:paraId="24AB0759" w14:textId="77777777" w:rsidR="00B52A8B" w:rsidRPr="00F816A0" w:rsidRDefault="00B52A8B" w:rsidP="00B52A8B">
      <w:pPr>
        <w:pStyle w:val="pt"/>
        <w:rPr>
          <w:rFonts w:ascii="Verdana" w:hAnsi="Verdana"/>
          <w:color w:val="auto"/>
          <w:sz w:val="12"/>
        </w:rPr>
      </w:pPr>
      <w:r w:rsidRPr="00F816A0">
        <w:object w:dxaOrig="9758" w:dyaOrig="6539" w14:anchorId="3DBB579A">
          <v:shape id="_x0000_i1221" type="#_x0000_t75" style="width:488pt;height:327pt" o:ole="">
            <v:imagedata r:id="rId11" o:title=""/>
          </v:shape>
          <o:OLEObject Type="Embed" ProgID="Photoshop.Image.7" ShapeID="_x0000_i1221" DrawAspect="Content" ObjectID="_1472459371" r:id="rId12">
            <o:FieldCodes>\s</o:FieldCodes>
          </o:OLEObject>
        </w:object>
      </w:r>
    </w:p>
    <w:p w14:paraId="5045B9E6" w14:textId="77777777" w:rsidR="00B52A8B" w:rsidRPr="00180C9E" w:rsidRDefault="00B52A8B" w:rsidP="00B52A8B">
      <w:pPr>
        <w:pStyle w:val="bijschriftfiguur"/>
        <w:shd w:val="clear" w:color="auto" w:fill="A7D9FF"/>
        <w:rPr>
          <w:rFonts w:ascii="Verdana" w:hAnsi="Verdana"/>
          <w:sz w:val="20"/>
          <w:szCs w:val="20"/>
        </w:rPr>
      </w:pPr>
      <w:r w:rsidRPr="00180C9E">
        <w:rPr>
          <w:rFonts w:ascii="Verdana" w:hAnsi="Verdana"/>
          <w:sz w:val="20"/>
          <w:szCs w:val="20"/>
        </w:rPr>
        <w:t>Figure 2: The COBIT 5 Enablers</w:t>
      </w:r>
    </w:p>
    <w:p w14:paraId="1DF97ADB" w14:textId="77777777" w:rsidR="00B52A8B" w:rsidRPr="00F816A0" w:rsidRDefault="00B52A8B" w:rsidP="00B52A8B">
      <w:pPr>
        <w:pStyle w:val="pt"/>
        <w:shd w:val="clear" w:color="auto" w:fill="A7D9FF"/>
      </w:pPr>
    </w:p>
    <w:tbl>
      <w:tblPr>
        <w:tblW w:w="0" w:type="auto"/>
        <w:tblInd w:w="80" w:type="dxa"/>
        <w:tblLayout w:type="fixed"/>
        <w:tblCellMar>
          <w:left w:w="0" w:type="dxa"/>
          <w:right w:w="0" w:type="dxa"/>
        </w:tblCellMar>
        <w:tblLook w:val="0000" w:firstRow="0" w:lastRow="0" w:firstColumn="0" w:lastColumn="0" w:noHBand="0" w:noVBand="0"/>
      </w:tblPr>
      <w:tblGrid>
        <w:gridCol w:w="4649"/>
      </w:tblGrid>
      <w:tr w:rsidR="00B52A8B" w:rsidRPr="004712D9" w14:paraId="7EF6F002" w14:textId="77777777" w:rsidTr="00EA6F78">
        <w:tblPrEx>
          <w:tblCellMar>
            <w:top w:w="0" w:type="dxa"/>
            <w:left w:w="0" w:type="dxa"/>
            <w:bottom w:w="0" w:type="dxa"/>
            <w:right w:w="0" w:type="dxa"/>
          </w:tblCellMar>
        </w:tblPrEx>
        <w:trPr>
          <w:trHeight w:val="1530"/>
        </w:trPr>
        <w:tc>
          <w:tcPr>
            <w:tcW w:w="4649" w:type="dxa"/>
            <w:tcBorders>
              <w:top w:val="single" w:sz="6" w:space="0" w:color="0078C1"/>
              <w:left w:val="single" w:sz="4" w:space="0" w:color="0078C1"/>
              <w:bottom w:val="nil"/>
              <w:right w:val="single" w:sz="4" w:space="0" w:color="0078C1"/>
            </w:tcBorders>
            <w:shd w:val="clear" w:color="auto" w:fill="A7D9FF"/>
            <w:tcMar>
              <w:top w:w="80" w:type="dxa"/>
              <w:left w:w="80" w:type="dxa"/>
              <w:bottom w:w="80" w:type="dxa"/>
              <w:right w:w="80" w:type="dxa"/>
            </w:tcMar>
            <w:vAlign w:val="bottom"/>
          </w:tcPr>
          <w:p w14:paraId="06EAF649" w14:textId="77777777" w:rsidR="00B52A8B" w:rsidRPr="004712D9" w:rsidRDefault="00B52A8B" w:rsidP="00EA6F78">
            <w:pPr>
              <w:pStyle w:val="tabelpt"/>
              <w:shd w:val="clear" w:color="auto" w:fill="A7D9FF"/>
              <w:spacing w:before="100" w:beforeAutospacing="1"/>
              <w:rPr>
                <w:rFonts w:ascii="Verdana" w:hAnsi="Verdana"/>
              </w:rPr>
            </w:pPr>
            <w:r w:rsidRPr="004712D9">
              <w:rPr>
                <w:rFonts w:ascii="Verdana" w:hAnsi="Verdana"/>
              </w:rPr>
              <w:t>The process reference model defines and describes in detail a number of governance, and management processes. It represents all the processes normally found in an organization relating to IT activities, thus providing a common reference model understandable to operational IT, and business managers, and their auditors/advisors. The process reference model divides the processes of organization IT into two domains: governance and management.</w:t>
            </w:r>
          </w:p>
        </w:tc>
      </w:tr>
      <w:tr w:rsidR="00B52A8B" w:rsidRPr="004712D9" w14:paraId="787C1B7A" w14:textId="77777777" w:rsidTr="00EA6F78">
        <w:tblPrEx>
          <w:tblCellMar>
            <w:top w:w="0" w:type="dxa"/>
            <w:left w:w="0" w:type="dxa"/>
            <w:bottom w:w="0" w:type="dxa"/>
            <w:right w:w="0" w:type="dxa"/>
          </w:tblCellMar>
        </w:tblPrEx>
        <w:trPr>
          <w:trHeight w:val="510"/>
        </w:trPr>
        <w:tc>
          <w:tcPr>
            <w:tcW w:w="4649" w:type="dxa"/>
            <w:tcBorders>
              <w:top w:val="nil"/>
              <w:left w:val="single" w:sz="4" w:space="0" w:color="0078C1"/>
              <w:bottom w:val="nil"/>
              <w:right w:val="single" w:sz="4" w:space="0" w:color="0078C1"/>
            </w:tcBorders>
            <w:shd w:val="clear" w:color="auto" w:fill="A7D9FF"/>
            <w:tcMar>
              <w:top w:w="80" w:type="dxa"/>
              <w:left w:w="80" w:type="dxa"/>
              <w:bottom w:w="80" w:type="dxa"/>
              <w:right w:w="80" w:type="dxa"/>
            </w:tcMar>
            <w:vAlign w:val="bottom"/>
          </w:tcPr>
          <w:p w14:paraId="62628458" w14:textId="77777777" w:rsidR="00B52A8B" w:rsidRPr="004712D9" w:rsidRDefault="00B52A8B" w:rsidP="00EA6F78">
            <w:pPr>
              <w:pStyle w:val="tabelpt"/>
              <w:rPr>
                <w:rFonts w:ascii="Verdana" w:hAnsi="Verdana"/>
              </w:rPr>
            </w:pPr>
            <w:r w:rsidRPr="004712D9">
              <w:rPr>
                <w:rFonts w:ascii="Verdana" w:hAnsi="Verdana"/>
              </w:rPr>
              <w:t>COBIT 5 provides a set of 36 governance and management processes within the framework.</w:t>
            </w:r>
          </w:p>
        </w:tc>
      </w:tr>
      <w:tr w:rsidR="00B52A8B" w:rsidRPr="004712D9" w14:paraId="41938427" w14:textId="77777777" w:rsidTr="00EA6F78">
        <w:tblPrEx>
          <w:tblCellMar>
            <w:top w:w="0" w:type="dxa"/>
            <w:left w:w="0" w:type="dxa"/>
            <w:bottom w:w="0" w:type="dxa"/>
            <w:right w:w="0" w:type="dxa"/>
          </w:tblCellMar>
        </w:tblPrEx>
        <w:trPr>
          <w:trHeight w:val="510"/>
        </w:trPr>
        <w:tc>
          <w:tcPr>
            <w:tcW w:w="4649" w:type="dxa"/>
            <w:tcBorders>
              <w:top w:val="nil"/>
              <w:left w:val="single" w:sz="4" w:space="0" w:color="0078C1"/>
              <w:bottom w:val="nil"/>
              <w:right w:val="single" w:sz="4" w:space="0" w:color="0078C1"/>
            </w:tcBorders>
            <w:shd w:val="clear" w:color="auto" w:fill="A7D9FF"/>
            <w:tcMar>
              <w:top w:w="80" w:type="dxa"/>
              <w:left w:w="80" w:type="dxa"/>
              <w:bottom w:w="80" w:type="dxa"/>
              <w:right w:w="80" w:type="dxa"/>
            </w:tcMar>
            <w:vAlign w:val="bottom"/>
          </w:tcPr>
          <w:p w14:paraId="4C370CA8" w14:textId="77777777" w:rsidR="00B52A8B" w:rsidRPr="004712D9" w:rsidRDefault="00B52A8B" w:rsidP="00EA6F78">
            <w:pPr>
              <w:pStyle w:val="tabelpt"/>
              <w:rPr>
                <w:rFonts w:ascii="Verdana" w:hAnsi="Verdana"/>
              </w:rPr>
            </w:pPr>
            <w:r w:rsidRPr="004712D9">
              <w:rPr>
                <w:rFonts w:ascii="Verdana" w:hAnsi="Verdana"/>
              </w:rPr>
              <w:t>The governance domain contains five governance processes; within each process, evaluate, direct, and monitor practices are defined.</w:t>
            </w:r>
          </w:p>
          <w:p w14:paraId="76ED7440" w14:textId="77777777" w:rsidR="00B52A8B" w:rsidRPr="004712D9" w:rsidRDefault="00B52A8B" w:rsidP="00EA6F78">
            <w:pPr>
              <w:pStyle w:val="ptbullet1"/>
              <w:rPr>
                <w:rFonts w:ascii="Verdana" w:hAnsi="Verdana"/>
                <w:sz w:val="14"/>
                <w:szCs w:val="14"/>
              </w:rPr>
            </w:pPr>
            <w:r w:rsidRPr="004712D9">
              <w:rPr>
                <w:rFonts w:ascii="Verdana" w:hAnsi="Verdana"/>
                <w:sz w:val="14"/>
                <w:szCs w:val="14"/>
              </w:rPr>
              <w:t>•</w:t>
            </w:r>
            <w:r w:rsidRPr="004712D9">
              <w:rPr>
                <w:rFonts w:ascii="Verdana" w:hAnsi="Verdana"/>
                <w:sz w:val="14"/>
                <w:szCs w:val="14"/>
              </w:rPr>
              <w:tab/>
              <w:t>EDM1: set and maintain the governance framework</w:t>
            </w:r>
          </w:p>
          <w:p w14:paraId="0E91B8AF" w14:textId="77777777" w:rsidR="00B52A8B" w:rsidRPr="004712D9" w:rsidRDefault="00B52A8B" w:rsidP="00EA6F78">
            <w:pPr>
              <w:pStyle w:val="ptbullet1"/>
              <w:rPr>
                <w:rFonts w:ascii="Verdana" w:hAnsi="Verdana"/>
                <w:sz w:val="14"/>
                <w:szCs w:val="14"/>
              </w:rPr>
            </w:pPr>
            <w:r w:rsidRPr="004712D9">
              <w:rPr>
                <w:rFonts w:ascii="Verdana" w:hAnsi="Verdana"/>
                <w:sz w:val="14"/>
                <w:szCs w:val="14"/>
              </w:rPr>
              <w:t>•</w:t>
            </w:r>
            <w:r w:rsidRPr="004712D9">
              <w:rPr>
                <w:rFonts w:ascii="Verdana" w:hAnsi="Verdana"/>
                <w:sz w:val="14"/>
                <w:szCs w:val="14"/>
              </w:rPr>
              <w:tab/>
              <w:t>EDM2: ensure value optimisation</w:t>
            </w:r>
          </w:p>
          <w:p w14:paraId="0766C7C0" w14:textId="77777777" w:rsidR="00B52A8B" w:rsidRPr="004712D9" w:rsidRDefault="00B52A8B" w:rsidP="00EA6F78">
            <w:pPr>
              <w:pStyle w:val="ptbullet1"/>
              <w:rPr>
                <w:rFonts w:ascii="Verdana" w:hAnsi="Verdana"/>
                <w:sz w:val="14"/>
                <w:szCs w:val="14"/>
              </w:rPr>
            </w:pPr>
            <w:r w:rsidRPr="004712D9">
              <w:rPr>
                <w:rFonts w:ascii="Verdana" w:hAnsi="Verdana"/>
                <w:sz w:val="14"/>
                <w:szCs w:val="14"/>
              </w:rPr>
              <w:t>•</w:t>
            </w:r>
            <w:r w:rsidRPr="004712D9">
              <w:rPr>
                <w:rFonts w:ascii="Verdana" w:hAnsi="Verdana"/>
                <w:sz w:val="14"/>
                <w:szCs w:val="14"/>
              </w:rPr>
              <w:tab/>
              <w:t>EDM3: ensure risk optimisation</w:t>
            </w:r>
          </w:p>
          <w:p w14:paraId="0D09D0BE" w14:textId="77777777" w:rsidR="00B52A8B" w:rsidRPr="004712D9" w:rsidRDefault="00B52A8B" w:rsidP="00EA6F78">
            <w:pPr>
              <w:pStyle w:val="ptbullet1"/>
              <w:rPr>
                <w:rFonts w:ascii="Verdana" w:hAnsi="Verdana"/>
                <w:sz w:val="14"/>
                <w:szCs w:val="14"/>
              </w:rPr>
            </w:pPr>
            <w:r w:rsidRPr="004712D9">
              <w:rPr>
                <w:rFonts w:ascii="Verdana" w:hAnsi="Verdana"/>
                <w:sz w:val="14"/>
                <w:szCs w:val="14"/>
              </w:rPr>
              <w:t>•</w:t>
            </w:r>
            <w:r w:rsidRPr="004712D9">
              <w:rPr>
                <w:rFonts w:ascii="Verdana" w:hAnsi="Verdana"/>
                <w:sz w:val="14"/>
                <w:szCs w:val="14"/>
              </w:rPr>
              <w:tab/>
              <w:t>EDM4: ensure resource optimisation</w:t>
            </w:r>
          </w:p>
          <w:p w14:paraId="4C99C125" w14:textId="77777777" w:rsidR="00B52A8B" w:rsidRPr="004712D9" w:rsidRDefault="00B52A8B" w:rsidP="00EA6F78">
            <w:pPr>
              <w:pStyle w:val="ptbullet1"/>
              <w:rPr>
                <w:rFonts w:ascii="Verdana" w:hAnsi="Verdana"/>
                <w:sz w:val="14"/>
                <w:szCs w:val="14"/>
              </w:rPr>
            </w:pPr>
            <w:r w:rsidRPr="004712D9">
              <w:rPr>
                <w:rFonts w:ascii="Verdana" w:hAnsi="Verdana"/>
                <w:sz w:val="14"/>
                <w:szCs w:val="14"/>
              </w:rPr>
              <w:t>•</w:t>
            </w:r>
            <w:r w:rsidRPr="004712D9">
              <w:rPr>
                <w:rFonts w:ascii="Verdana" w:hAnsi="Verdana"/>
                <w:sz w:val="14"/>
                <w:szCs w:val="14"/>
              </w:rPr>
              <w:tab/>
              <w:t>EDM5: ensure stakeholder transparency</w:t>
            </w:r>
          </w:p>
        </w:tc>
      </w:tr>
      <w:tr w:rsidR="00B52A8B" w:rsidRPr="004712D9" w14:paraId="01840524" w14:textId="77777777" w:rsidTr="00EA6F78">
        <w:tblPrEx>
          <w:tblCellMar>
            <w:top w:w="0" w:type="dxa"/>
            <w:left w:w="0" w:type="dxa"/>
            <w:bottom w:w="0" w:type="dxa"/>
            <w:right w:w="0" w:type="dxa"/>
          </w:tblCellMar>
        </w:tblPrEx>
        <w:trPr>
          <w:trHeight w:val="510"/>
        </w:trPr>
        <w:tc>
          <w:tcPr>
            <w:tcW w:w="4649" w:type="dxa"/>
            <w:tcBorders>
              <w:top w:val="nil"/>
              <w:left w:val="single" w:sz="4" w:space="0" w:color="0078C1"/>
              <w:bottom w:val="nil"/>
              <w:right w:val="single" w:sz="4" w:space="0" w:color="0078C1"/>
            </w:tcBorders>
            <w:shd w:val="clear" w:color="auto" w:fill="A7D9FF"/>
            <w:tcMar>
              <w:top w:w="80" w:type="dxa"/>
              <w:left w:w="80" w:type="dxa"/>
              <w:bottom w:w="80" w:type="dxa"/>
              <w:right w:w="80" w:type="dxa"/>
            </w:tcMar>
            <w:vAlign w:val="bottom"/>
          </w:tcPr>
          <w:p w14:paraId="5341B298" w14:textId="77777777" w:rsidR="00B52A8B" w:rsidRPr="004712D9" w:rsidRDefault="00B52A8B" w:rsidP="00EA6F78">
            <w:pPr>
              <w:pStyle w:val="tabelpt"/>
              <w:rPr>
                <w:rFonts w:ascii="Verdana" w:hAnsi="Verdana"/>
              </w:rPr>
            </w:pPr>
            <w:r w:rsidRPr="004712D9">
              <w:rPr>
                <w:rFonts w:ascii="Verdana" w:hAnsi="Verdana"/>
              </w:rPr>
              <w:t>The four management domains, in line with the responsibility areas of plan, build, run, and monitor (PBRM) provide end-to-end coverage of IT.</w:t>
            </w:r>
          </w:p>
          <w:p w14:paraId="1A6D56AD" w14:textId="77777777" w:rsidR="00B52A8B" w:rsidRPr="004712D9" w:rsidRDefault="00B52A8B" w:rsidP="00EA6F78">
            <w:pPr>
              <w:pStyle w:val="tabelpt"/>
              <w:rPr>
                <w:rFonts w:ascii="Verdana" w:hAnsi="Verdana"/>
              </w:rPr>
            </w:pPr>
            <w:r w:rsidRPr="004712D9">
              <w:rPr>
                <w:rFonts w:ascii="Verdana" w:hAnsi="Verdana"/>
              </w:rPr>
              <w:t>•</w:t>
            </w:r>
            <w:r w:rsidRPr="004712D9">
              <w:rPr>
                <w:rFonts w:ascii="Verdana" w:hAnsi="Verdana"/>
              </w:rPr>
              <w:tab/>
              <w:t>Align, plan, and organize</w:t>
            </w:r>
          </w:p>
          <w:p w14:paraId="6FA2DC13" w14:textId="77777777" w:rsidR="00B52A8B" w:rsidRPr="004712D9" w:rsidRDefault="00B52A8B" w:rsidP="00EA6F78">
            <w:pPr>
              <w:pStyle w:val="tabelpt"/>
              <w:rPr>
                <w:rFonts w:ascii="Verdana" w:hAnsi="Verdana"/>
              </w:rPr>
            </w:pPr>
            <w:r w:rsidRPr="004712D9">
              <w:rPr>
                <w:rFonts w:ascii="Verdana" w:hAnsi="Verdana"/>
              </w:rPr>
              <w:t>•</w:t>
            </w:r>
            <w:r w:rsidRPr="004712D9">
              <w:rPr>
                <w:rFonts w:ascii="Verdana" w:hAnsi="Verdana"/>
              </w:rPr>
              <w:tab/>
              <w:t>Build, acquire, and implement</w:t>
            </w:r>
          </w:p>
          <w:p w14:paraId="55E1ABB4" w14:textId="77777777" w:rsidR="00B52A8B" w:rsidRPr="004712D9" w:rsidRDefault="00B52A8B" w:rsidP="00EA6F78">
            <w:pPr>
              <w:pStyle w:val="tabelpt"/>
              <w:rPr>
                <w:rFonts w:ascii="Verdana" w:hAnsi="Verdana"/>
              </w:rPr>
            </w:pPr>
            <w:r w:rsidRPr="004712D9">
              <w:rPr>
                <w:rFonts w:ascii="Verdana" w:hAnsi="Verdana"/>
              </w:rPr>
              <w:t>•</w:t>
            </w:r>
            <w:r w:rsidRPr="004712D9">
              <w:rPr>
                <w:rFonts w:ascii="Verdana" w:hAnsi="Verdana"/>
              </w:rPr>
              <w:tab/>
              <w:t>Deliver, service, and support</w:t>
            </w:r>
          </w:p>
          <w:p w14:paraId="4D84FA52" w14:textId="77777777" w:rsidR="00B52A8B" w:rsidRPr="004712D9" w:rsidRDefault="00B52A8B" w:rsidP="00EA6F78">
            <w:pPr>
              <w:pStyle w:val="tabelpt"/>
              <w:rPr>
                <w:rFonts w:ascii="Verdana" w:hAnsi="Verdana"/>
              </w:rPr>
            </w:pPr>
            <w:r w:rsidRPr="004712D9">
              <w:rPr>
                <w:rFonts w:ascii="Verdana" w:hAnsi="Verdana"/>
              </w:rPr>
              <w:t>•</w:t>
            </w:r>
            <w:r w:rsidRPr="004712D9">
              <w:rPr>
                <w:rFonts w:ascii="Verdana" w:hAnsi="Verdana"/>
              </w:rPr>
              <w:tab/>
              <w:t>Monitor, evaluate, and assess</w:t>
            </w:r>
          </w:p>
        </w:tc>
      </w:tr>
      <w:tr w:rsidR="00B52A8B" w:rsidRPr="004712D9" w14:paraId="73E34CF7" w14:textId="77777777" w:rsidTr="00EA6F78">
        <w:tblPrEx>
          <w:tblCellMar>
            <w:top w:w="0" w:type="dxa"/>
            <w:left w:w="0" w:type="dxa"/>
            <w:bottom w:w="0" w:type="dxa"/>
            <w:right w:w="0" w:type="dxa"/>
          </w:tblCellMar>
        </w:tblPrEx>
        <w:trPr>
          <w:trHeight w:val="4785"/>
        </w:trPr>
        <w:tc>
          <w:tcPr>
            <w:tcW w:w="4649" w:type="dxa"/>
            <w:tcBorders>
              <w:top w:val="nil"/>
              <w:left w:val="single" w:sz="4" w:space="0" w:color="0078C1"/>
              <w:right w:val="single" w:sz="4" w:space="0" w:color="0078C1"/>
            </w:tcBorders>
            <w:shd w:val="clear" w:color="auto" w:fill="A7D9FF"/>
            <w:tcMar>
              <w:top w:w="80" w:type="dxa"/>
              <w:left w:w="80" w:type="dxa"/>
              <w:bottom w:w="80" w:type="dxa"/>
              <w:right w:w="80" w:type="dxa"/>
            </w:tcMar>
            <w:vAlign w:val="bottom"/>
          </w:tcPr>
          <w:p w14:paraId="40C5F864" w14:textId="77777777" w:rsidR="00B52A8B" w:rsidRPr="004712D9" w:rsidRDefault="00B52A8B" w:rsidP="00EA6F78">
            <w:pPr>
              <w:pStyle w:val="tabelpt"/>
              <w:rPr>
                <w:rFonts w:ascii="Verdana" w:hAnsi="Verdana"/>
              </w:rPr>
            </w:pPr>
            <w:r w:rsidRPr="004712D9">
              <w:rPr>
                <w:rFonts w:ascii="Verdana" w:hAnsi="Verdana"/>
              </w:rPr>
              <w:lastRenderedPageBreak/>
              <w:t>A casual look at the four management domains of COBIT 5 rapidly illustrates its direct relationship with ITIL.</w:t>
            </w:r>
          </w:p>
          <w:p w14:paraId="05D6E4A8" w14:textId="77777777" w:rsidR="00B52A8B" w:rsidRPr="004712D9" w:rsidRDefault="00B52A8B" w:rsidP="00EA6F78">
            <w:pPr>
              <w:pStyle w:val="ptbullet1"/>
              <w:rPr>
                <w:rFonts w:ascii="Verdana" w:hAnsi="Verdana"/>
                <w:sz w:val="14"/>
                <w:szCs w:val="14"/>
              </w:rPr>
            </w:pPr>
            <w:r w:rsidRPr="004712D9">
              <w:rPr>
                <w:rFonts w:ascii="Verdana" w:hAnsi="Verdana"/>
              </w:rPr>
              <w:t>•</w:t>
            </w:r>
            <w:r w:rsidRPr="004712D9">
              <w:rPr>
                <w:rFonts w:ascii="Verdana" w:hAnsi="Verdana"/>
              </w:rPr>
              <w:tab/>
            </w:r>
            <w:r w:rsidRPr="004712D9">
              <w:rPr>
                <w:rFonts w:ascii="Times" w:hAnsi="Times"/>
              </w:rPr>
              <w:t>The</w:t>
            </w:r>
            <w:r w:rsidRPr="004712D9">
              <w:rPr>
                <w:rFonts w:ascii="Verdana" w:hAnsi="Verdana"/>
                <w:sz w:val="14"/>
                <w:szCs w:val="14"/>
              </w:rPr>
              <w:t xml:space="preserve"> align, plan, and organize domain relates to the service strategy and design phases</w:t>
            </w:r>
          </w:p>
          <w:p w14:paraId="200EB52F" w14:textId="77777777" w:rsidR="00B52A8B" w:rsidRPr="004712D9" w:rsidRDefault="00B52A8B" w:rsidP="00EA6F78">
            <w:pPr>
              <w:pStyle w:val="ptbullet1"/>
              <w:rPr>
                <w:rFonts w:ascii="Verdana" w:hAnsi="Verdana"/>
                <w:sz w:val="14"/>
                <w:szCs w:val="14"/>
              </w:rPr>
            </w:pPr>
            <w:r w:rsidRPr="004712D9">
              <w:rPr>
                <w:rFonts w:ascii="Verdana" w:hAnsi="Verdana"/>
              </w:rPr>
              <w:t>•</w:t>
            </w:r>
            <w:r w:rsidRPr="004712D9">
              <w:rPr>
                <w:rFonts w:ascii="Verdana" w:hAnsi="Verdana"/>
              </w:rPr>
              <w:tab/>
            </w:r>
            <w:r w:rsidRPr="004712D9">
              <w:rPr>
                <w:rFonts w:ascii="Verdana" w:hAnsi="Verdana"/>
                <w:sz w:val="14"/>
                <w:szCs w:val="14"/>
              </w:rPr>
              <w:t>The build, acquire, and implement domain relates to the service transition phase</w:t>
            </w:r>
          </w:p>
          <w:p w14:paraId="6F498FBB" w14:textId="77777777" w:rsidR="00B52A8B" w:rsidRPr="004712D9" w:rsidRDefault="00B52A8B" w:rsidP="00EA6F78">
            <w:pPr>
              <w:pStyle w:val="ptbullet1"/>
              <w:rPr>
                <w:rFonts w:ascii="Verdana" w:hAnsi="Verdana"/>
                <w:sz w:val="14"/>
                <w:szCs w:val="14"/>
              </w:rPr>
            </w:pPr>
            <w:r w:rsidRPr="004712D9">
              <w:rPr>
                <w:rFonts w:ascii="Verdana" w:hAnsi="Verdana"/>
              </w:rPr>
              <w:t>•</w:t>
            </w:r>
            <w:r w:rsidRPr="004712D9">
              <w:rPr>
                <w:rFonts w:ascii="Verdana" w:hAnsi="Verdana"/>
              </w:rPr>
              <w:tab/>
            </w:r>
            <w:r w:rsidRPr="004712D9">
              <w:rPr>
                <w:rFonts w:ascii="Verdana" w:hAnsi="Verdana"/>
                <w:sz w:val="14"/>
                <w:szCs w:val="14"/>
              </w:rPr>
              <w:t>The deliver, service, and support domain relates to the service operation phase</w:t>
            </w:r>
          </w:p>
          <w:p w14:paraId="741BF9F5" w14:textId="77777777" w:rsidR="00B52A8B" w:rsidRPr="004712D9" w:rsidRDefault="00B52A8B" w:rsidP="00EA6F78">
            <w:pPr>
              <w:pStyle w:val="ptbullet1"/>
              <w:rPr>
                <w:rFonts w:ascii="Verdana" w:hAnsi="Verdana"/>
                <w:sz w:val="14"/>
                <w:szCs w:val="14"/>
              </w:rPr>
            </w:pPr>
            <w:r w:rsidRPr="004712D9">
              <w:rPr>
                <w:rFonts w:ascii="Verdana" w:hAnsi="Verdana"/>
              </w:rPr>
              <w:t>•</w:t>
            </w:r>
            <w:r w:rsidRPr="004712D9">
              <w:rPr>
                <w:rFonts w:ascii="Verdana" w:hAnsi="Verdana"/>
              </w:rPr>
              <w:tab/>
            </w:r>
            <w:r w:rsidRPr="004712D9">
              <w:rPr>
                <w:rFonts w:ascii="Verdana" w:hAnsi="Verdana"/>
                <w:sz w:val="14"/>
                <w:szCs w:val="14"/>
              </w:rPr>
              <w:t>And finally, the monitor, evaluate, and assess domain relates to the continual service improvement phase</w:t>
            </w:r>
          </w:p>
          <w:p w14:paraId="7051241D" w14:textId="77777777" w:rsidR="00B52A8B" w:rsidRPr="004712D9" w:rsidRDefault="00B52A8B" w:rsidP="00EA6F78">
            <w:pPr>
              <w:pStyle w:val="tabelpt"/>
              <w:rPr>
                <w:rFonts w:ascii="Verdana" w:hAnsi="Verdana"/>
              </w:rPr>
            </w:pPr>
            <w:r w:rsidRPr="004712D9">
              <w:rPr>
                <w:rFonts w:ascii="Verdana" w:hAnsi="Verdana"/>
              </w:rPr>
              <w:t xml:space="preserve">All aspects of COBIT 5 are in line with the responsibility areas of plan, build, run and monitor. In other words, COBIT 5 follows the PDCA cycle of Plan, Do, Check, and Act. COBIT has been positioned at a high level, and has been aligned and harmonized with other, more detailed, IT standards and proven practices such as COSO, ITIL, ISO 27000, CMMI, TOGAF and </w:t>
            </w:r>
            <w:r w:rsidRPr="004712D9">
              <w:rPr>
                <w:rFonts w:ascii="Verdana" w:hAnsi="Verdana"/>
                <w:i/>
              </w:rPr>
              <w:t>PMBOK Guide</w:t>
            </w:r>
            <w:r w:rsidRPr="004712D9">
              <w:rPr>
                <w:rFonts w:ascii="Verdana" w:hAnsi="Verdana"/>
              </w:rPr>
              <w:t>. COBIT 5 acts as an integrator of these different guidance materials, summarising key objectives under one umbrella framework that links the proven practice models with governance and business requirements.</w:t>
            </w:r>
          </w:p>
        </w:tc>
      </w:tr>
    </w:tbl>
    <w:p w14:paraId="720C973D" w14:textId="77777777" w:rsidR="00B52A8B" w:rsidRPr="00F816A0" w:rsidRDefault="00B52A8B" w:rsidP="00B52A8B">
      <w:pPr>
        <w:pStyle w:val="pt"/>
        <w:rPr>
          <w:rFonts w:ascii="Verdana" w:hAnsi="Verdana"/>
        </w:rPr>
      </w:pPr>
    </w:p>
    <w:p w14:paraId="6812F492" w14:textId="77777777" w:rsidR="00B52A8B" w:rsidRPr="00180C9E" w:rsidRDefault="00B52A8B" w:rsidP="00B52A8B">
      <w:pPr>
        <w:pStyle w:val="02k2"/>
      </w:pPr>
      <w:r w:rsidRPr="00180C9E">
        <w:t>4</w:t>
      </w:r>
      <w:r w:rsidRPr="00180C9E">
        <w:tab/>
        <w:t>Target audience</w:t>
      </w:r>
    </w:p>
    <w:p w14:paraId="3A3D7728" w14:textId="77777777" w:rsidR="00B52A8B" w:rsidRPr="00F816A0" w:rsidRDefault="00B52A8B" w:rsidP="00B52A8B">
      <w:pPr>
        <w:pStyle w:val="pt"/>
        <w:rPr>
          <w:rFonts w:ascii="Times" w:hAnsi="Times"/>
        </w:rPr>
      </w:pPr>
      <w:r w:rsidRPr="00F816A0">
        <w:rPr>
          <w:rFonts w:ascii="Times" w:hAnsi="Times"/>
        </w:rPr>
        <w:t>Senior business management, senior IT management and auditors.</w:t>
      </w:r>
    </w:p>
    <w:p w14:paraId="63110582" w14:textId="77777777" w:rsidR="00B52A8B" w:rsidRPr="00F816A0" w:rsidRDefault="00B52A8B" w:rsidP="00B52A8B">
      <w:pPr>
        <w:pStyle w:val="pt"/>
        <w:rPr>
          <w:rFonts w:ascii="Times" w:hAnsi="Times"/>
        </w:rPr>
      </w:pPr>
    </w:p>
    <w:p w14:paraId="1F0D2D1C" w14:textId="77777777" w:rsidR="00B52A8B" w:rsidRPr="00180C9E" w:rsidRDefault="00B52A8B" w:rsidP="00B52A8B">
      <w:pPr>
        <w:pStyle w:val="02k2"/>
      </w:pPr>
      <w:r w:rsidRPr="00180C9E">
        <w:t xml:space="preserve">5 </w:t>
      </w:r>
      <w:r w:rsidRPr="00180C9E">
        <w:tab/>
        <w:t>Scope and constraints</w:t>
      </w:r>
    </w:p>
    <w:p w14:paraId="57885FB1" w14:textId="77777777" w:rsidR="00B52A8B" w:rsidRPr="00F816A0" w:rsidRDefault="00B52A8B" w:rsidP="00B52A8B">
      <w:pPr>
        <w:pStyle w:val="pt"/>
        <w:rPr>
          <w:rFonts w:ascii="Times" w:hAnsi="Times"/>
        </w:rPr>
      </w:pPr>
      <w:r w:rsidRPr="00F816A0">
        <w:rPr>
          <w:rFonts w:ascii="Times" w:hAnsi="Times"/>
        </w:rPr>
        <w:t>COBIT provides an ‘umbrella’ framework for IT governance across the whole of an organization. It is mapped to other frameworks and standards to ensure its completeness of coverage of the IT management lifecycle and support its use in enterprises using multiple IT-related frameworks and standards.</w:t>
      </w:r>
    </w:p>
    <w:p w14:paraId="25CBDEF2" w14:textId="77777777" w:rsidR="00B52A8B" w:rsidRPr="00F816A0" w:rsidRDefault="00B52A8B" w:rsidP="00B52A8B">
      <w:pPr>
        <w:pStyle w:val="pt"/>
        <w:rPr>
          <w:rFonts w:ascii="Times" w:hAnsi="Times"/>
        </w:rPr>
      </w:pPr>
    </w:p>
    <w:p w14:paraId="1934B4FF" w14:textId="77777777" w:rsidR="00B52A8B" w:rsidRPr="00F816A0" w:rsidRDefault="00B52A8B" w:rsidP="00B52A8B">
      <w:pPr>
        <w:pStyle w:val="pt"/>
        <w:rPr>
          <w:rFonts w:ascii="Times" w:hAnsi="Times"/>
        </w:rPr>
      </w:pPr>
      <w:r w:rsidRPr="00F816A0">
        <w:rPr>
          <w:rFonts w:ascii="Times" w:hAnsi="Times"/>
        </w:rPr>
        <w:t>Some strong points are:</w:t>
      </w:r>
    </w:p>
    <w:p w14:paraId="16104E44" w14:textId="77777777" w:rsidR="00B52A8B" w:rsidRPr="00F816A0" w:rsidRDefault="00B52A8B" w:rsidP="00B52A8B">
      <w:pPr>
        <w:pStyle w:val="ptbullet1"/>
        <w:rPr>
          <w:rFonts w:ascii="Times" w:hAnsi="Times"/>
        </w:rPr>
      </w:pPr>
      <w:r w:rsidRPr="00F816A0">
        <w:rPr>
          <w:rFonts w:ascii="Times" w:hAnsi="Times"/>
        </w:rPr>
        <w:t>•</w:t>
      </w:r>
      <w:r w:rsidRPr="00F816A0">
        <w:rPr>
          <w:rFonts w:ascii="Times" w:hAnsi="Times"/>
        </w:rPr>
        <w:tab/>
        <w:t>Value creation through effective governance, management enterprise information and technology (IT) assets</w:t>
      </w:r>
    </w:p>
    <w:p w14:paraId="0A973FF4" w14:textId="77777777" w:rsidR="00B52A8B" w:rsidRPr="00F816A0" w:rsidRDefault="00B52A8B" w:rsidP="00B52A8B">
      <w:pPr>
        <w:pStyle w:val="ptbullet1"/>
        <w:rPr>
          <w:rFonts w:ascii="Times" w:hAnsi="Times"/>
        </w:rPr>
      </w:pPr>
      <w:r w:rsidRPr="00F816A0">
        <w:rPr>
          <w:rFonts w:ascii="Times" w:hAnsi="Times"/>
        </w:rPr>
        <w:t>•</w:t>
      </w:r>
      <w:r w:rsidRPr="00F816A0">
        <w:rPr>
          <w:rFonts w:ascii="Times" w:hAnsi="Times"/>
        </w:rPr>
        <w:tab/>
        <w:t>Business user satisfaction with IT engagement and services by enabling business objectives</w:t>
      </w:r>
    </w:p>
    <w:p w14:paraId="677D1E6C" w14:textId="77777777" w:rsidR="00B52A8B" w:rsidRPr="00F816A0" w:rsidRDefault="00B52A8B" w:rsidP="00B52A8B">
      <w:pPr>
        <w:pStyle w:val="ptbullet1"/>
        <w:rPr>
          <w:rFonts w:ascii="Times" w:hAnsi="Times"/>
        </w:rPr>
      </w:pPr>
      <w:r w:rsidRPr="00F816A0">
        <w:rPr>
          <w:rFonts w:ascii="Times" w:hAnsi="Times"/>
        </w:rPr>
        <w:t>•</w:t>
      </w:r>
      <w:r w:rsidRPr="00F816A0">
        <w:rPr>
          <w:rFonts w:ascii="Times" w:hAnsi="Times"/>
        </w:rPr>
        <w:tab/>
        <w:t>Compliance with relevant laws, regulations and policies</w:t>
      </w:r>
    </w:p>
    <w:p w14:paraId="46050A92" w14:textId="77777777" w:rsidR="00B52A8B" w:rsidRPr="00F816A0" w:rsidRDefault="00B52A8B" w:rsidP="00B52A8B">
      <w:pPr>
        <w:pStyle w:val="ptbullet1"/>
        <w:rPr>
          <w:rFonts w:ascii="Times" w:hAnsi="Times"/>
        </w:rPr>
      </w:pPr>
    </w:p>
    <w:p w14:paraId="4A736E1C" w14:textId="77777777" w:rsidR="00B52A8B" w:rsidRPr="00F816A0" w:rsidRDefault="00B52A8B" w:rsidP="00B52A8B">
      <w:pPr>
        <w:pStyle w:val="pt"/>
        <w:rPr>
          <w:rFonts w:ascii="Times" w:hAnsi="Times"/>
        </w:rPr>
      </w:pPr>
      <w:r w:rsidRPr="00F816A0">
        <w:rPr>
          <w:rFonts w:ascii="Times" w:hAnsi="Times"/>
          <w:i/>
        </w:rPr>
        <w:t>Constraints</w:t>
      </w:r>
      <w:r w:rsidRPr="00F816A0">
        <w:rPr>
          <w:rStyle w:val="italic0"/>
          <w:rFonts w:ascii="Times" w:hAnsi="Times"/>
          <w:iCs/>
        </w:rPr>
        <w:t>:</w:t>
      </w:r>
    </w:p>
    <w:p w14:paraId="495417AA" w14:textId="77777777" w:rsidR="00B52A8B" w:rsidRPr="00F816A0" w:rsidRDefault="00B52A8B" w:rsidP="00B52A8B">
      <w:pPr>
        <w:pStyle w:val="ptbullet1"/>
        <w:tabs>
          <w:tab w:val="clear" w:pos="170"/>
          <w:tab w:val="clear" w:pos="340"/>
          <w:tab w:val="left" w:pos="180"/>
        </w:tabs>
        <w:rPr>
          <w:rFonts w:ascii="Times" w:hAnsi="Times"/>
        </w:rPr>
      </w:pPr>
      <w:r w:rsidRPr="00F816A0">
        <w:rPr>
          <w:rFonts w:ascii="Times" w:hAnsi="Times"/>
        </w:rPr>
        <w:t>•</w:t>
      </w:r>
      <w:r w:rsidRPr="00F816A0">
        <w:rPr>
          <w:rFonts w:ascii="Times" w:hAnsi="Times"/>
        </w:rPr>
        <w:tab/>
        <w:t>Treating COBIT as a prescriptive standard when it should be interpreted as a generic framework to manage IT processes and internal controls. Key themes from COBIT must be tailored to the specific governance needs of the organization</w:t>
      </w:r>
    </w:p>
    <w:p w14:paraId="3A1CB963" w14:textId="77777777" w:rsidR="00B52A8B" w:rsidRPr="00F816A0" w:rsidRDefault="00B52A8B" w:rsidP="00B52A8B">
      <w:pPr>
        <w:pStyle w:val="ptbullet1"/>
        <w:rPr>
          <w:rFonts w:ascii="Times" w:hAnsi="Times"/>
        </w:rPr>
      </w:pPr>
      <w:r w:rsidRPr="00F816A0">
        <w:rPr>
          <w:rFonts w:ascii="Times" w:hAnsi="Times"/>
        </w:rPr>
        <w:t>•</w:t>
      </w:r>
      <w:r w:rsidRPr="00F816A0">
        <w:rPr>
          <w:rFonts w:ascii="Times" w:hAnsi="Times"/>
        </w:rPr>
        <w:tab/>
        <w:t>Lack of commitment from top management – without their leadership and support, the IT control framework will suffer and business alignment of IT risks will not happen</w:t>
      </w:r>
    </w:p>
    <w:p w14:paraId="7B00E2A1" w14:textId="77777777" w:rsidR="00B52A8B" w:rsidRPr="00F816A0" w:rsidRDefault="00B52A8B" w:rsidP="00B52A8B">
      <w:pPr>
        <w:pStyle w:val="ptbullet1"/>
        <w:rPr>
          <w:rFonts w:ascii="Times" w:hAnsi="Times"/>
        </w:rPr>
      </w:pPr>
      <w:r w:rsidRPr="00F816A0">
        <w:rPr>
          <w:rFonts w:ascii="Times" w:hAnsi="Times"/>
        </w:rPr>
        <w:t>•</w:t>
      </w:r>
      <w:r w:rsidRPr="00F816A0">
        <w:rPr>
          <w:rFonts w:ascii="Times" w:hAnsi="Times"/>
        </w:rPr>
        <w:tab/>
        <w:t>Underestimating the cultural change – COBIT is not just about the technical aspects of IT. The organization needs to have a good understanding of the governance controls for the IT risks</w:t>
      </w:r>
    </w:p>
    <w:p w14:paraId="6C032842" w14:textId="77777777" w:rsidR="00B52A8B" w:rsidRPr="00F816A0" w:rsidRDefault="00B52A8B" w:rsidP="00B52A8B">
      <w:pPr>
        <w:pStyle w:val="ptbullet1"/>
        <w:rPr>
          <w:rFonts w:ascii="Times" w:hAnsi="Times"/>
        </w:rPr>
      </w:pPr>
    </w:p>
    <w:p w14:paraId="502C49DC" w14:textId="77777777" w:rsidR="00B52A8B" w:rsidRPr="00180C9E" w:rsidRDefault="00B52A8B" w:rsidP="00B52A8B">
      <w:pPr>
        <w:pStyle w:val="02k2"/>
      </w:pPr>
      <w:r w:rsidRPr="00180C9E">
        <w:t>6</w:t>
      </w:r>
      <w:r w:rsidRPr="00180C9E">
        <w:tab/>
        <w:t>Relevant website</w:t>
      </w:r>
    </w:p>
    <w:p w14:paraId="4E1A6DB0" w14:textId="77777777" w:rsidR="00B52A8B" w:rsidRPr="00F816A0" w:rsidRDefault="00B52A8B" w:rsidP="00B52A8B">
      <w:pPr>
        <w:pStyle w:val="pt"/>
        <w:rPr>
          <w:rFonts w:ascii="Times" w:hAnsi="Times"/>
        </w:rPr>
      </w:pPr>
      <w:r w:rsidRPr="00F816A0">
        <w:rPr>
          <w:rFonts w:ascii="Times" w:hAnsi="Times"/>
        </w:rPr>
        <w:t>www.isaca.org</w:t>
      </w:r>
    </w:p>
    <w:p w14:paraId="09E0F59C" w14:textId="6B047BB2" w:rsidR="0022102E" w:rsidRPr="00441B22" w:rsidRDefault="0022102E" w:rsidP="004864BA">
      <w:pPr>
        <w:pStyle w:val="pt"/>
      </w:pPr>
      <w:bookmarkStart w:id="0" w:name="_GoBack"/>
      <w:bookmarkEnd w:id="0"/>
    </w:p>
    <w:sectPr w:rsidR="0022102E" w:rsidRPr="00441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TenLTStd-Roman">
    <w:altName w:val="Times New Roman"/>
    <w:panose1 w:val="00000000000000000000"/>
    <w:charset w:val="CD"/>
    <w:family w:val="auto"/>
    <w:notTrueType/>
    <w:pitch w:val="default"/>
    <w:sig w:usb0="00000001" w:usb1="00000000" w:usb2="00000000" w:usb3="00000000" w:csb0="00000000" w:csb1="00000000"/>
  </w:font>
  <w:font w:name="EurostileLTStd-Bold">
    <w:altName w:val="Arial"/>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EurostileLTStd-Demi">
    <w:panose1 w:val="00000000000000000000"/>
    <w:charset w:val="4D"/>
    <w:family w:val="auto"/>
    <w:notTrueType/>
    <w:pitch w:val="default"/>
    <w:sig w:usb0="00000003" w:usb1="00000000" w:usb2="00000000" w:usb3="00000000" w:csb0="00000001" w:csb1="00000000"/>
  </w:font>
  <w:font w:name="EurostileLTStd-Cn">
    <w:altName w:val="Arial"/>
    <w:panose1 w:val="00000000000000000000"/>
    <w:charset w:val="4D"/>
    <w:family w:val="auto"/>
    <w:notTrueType/>
    <w:pitch w:val="default"/>
    <w:sig w:usb0="00000003" w:usb1="00000000" w:usb2="00000000" w:usb3="00000000" w:csb0="00000001" w:csb1="00000000"/>
  </w:font>
  <w:font w:name="EurostileLTStd-BoldCn">
    <w:altName w:val="Arial"/>
    <w:panose1 w:val="00000000000000000000"/>
    <w:charset w:val="4D"/>
    <w:family w:val="auto"/>
    <w:notTrueType/>
    <w:pitch w:val="default"/>
    <w:sig w:usb0="00000003" w:usb1="00000000" w:usb2="00000000" w:usb3="00000000" w:csb0="00000001" w:csb1="00000000"/>
  </w:font>
  <w:font w:name="UniversLTStd">
    <w:altName w:val="Arial"/>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UniversLTStd-Obl">
    <w:panose1 w:val="00000000000000000000"/>
    <w:charset w:val="4D"/>
    <w:family w:val="auto"/>
    <w:notTrueType/>
    <w:pitch w:val="default"/>
    <w:sig w:usb0="00000003" w:usb1="00000000" w:usb2="00000000" w:usb3="00000000" w:csb0="00000001" w:csb1="00000000"/>
  </w:font>
  <w:font w:name="Times">
    <w:panose1 w:val="020206030604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3DB"/>
    <w:rsid w:val="00004CD4"/>
    <w:rsid w:val="00062E63"/>
    <w:rsid w:val="000D7089"/>
    <w:rsid w:val="000E49ED"/>
    <w:rsid w:val="00117506"/>
    <w:rsid w:val="001B2C1D"/>
    <w:rsid w:val="001B4332"/>
    <w:rsid w:val="001F1F1E"/>
    <w:rsid w:val="0022102E"/>
    <w:rsid w:val="003A3AF0"/>
    <w:rsid w:val="003C3FC9"/>
    <w:rsid w:val="003E243A"/>
    <w:rsid w:val="004023DB"/>
    <w:rsid w:val="00441B22"/>
    <w:rsid w:val="004864BA"/>
    <w:rsid w:val="004A750A"/>
    <w:rsid w:val="004D1CE0"/>
    <w:rsid w:val="00505669"/>
    <w:rsid w:val="00522C9E"/>
    <w:rsid w:val="005C4A3A"/>
    <w:rsid w:val="00616F0A"/>
    <w:rsid w:val="00651726"/>
    <w:rsid w:val="00671304"/>
    <w:rsid w:val="00726C82"/>
    <w:rsid w:val="00745EB0"/>
    <w:rsid w:val="007718DD"/>
    <w:rsid w:val="00781A7B"/>
    <w:rsid w:val="007B4AF8"/>
    <w:rsid w:val="007E3C98"/>
    <w:rsid w:val="00863A8A"/>
    <w:rsid w:val="00880442"/>
    <w:rsid w:val="009735F8"/>
    <w:rsid w:val="00A722C5"/>
    <w:rsid w:val="00AE0024"/>
    <w:rsid w:val="00B52A8B"/>
    <w:rsid w:val="00B90469"/>
    <w:rsid w:val="00C02489"/>
    <w:rsid w:val="00C12552"/>
    <w:rsid w:val="00C23531"/>
    <w:rsid w:val="00C30818"/>
    <w:rsid w:val="00C31A8D"/>
    <w:rsid w:val="00D34C98"/>
    <w:rsid w:val="00DC1835"/>
    <w:rsid w:val="00E07A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023DB"/>
    <w:rPr>
      <w:rFonts w:ascii="Calibri" w:eastAsia="Times New Roman" w:hAnsi="Calibri" w:cs="Times New Roman"/>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t">
    <w:name w:val="pt"/>
    <w:basedOn w:val="Standaard"/>
    <w:uiPriority w:val="99"/>
    <w:rsid w:val="004023DB"/>
    <w:pPr>
      <w:widowControl w:val="0"/>
      <w:tabs>
        <w:tab w:val="left" w:pos="170"/>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 w:val="left" w:pos="3742"/>
        <w:tab w:val="left" w:pos="3912"/>
        <w:tab w:val="left" w:pos="4082"/>
        <w:tab w:val="left" w:pos="4252"/>
        <w:tab w:val="left" w:pos="4422"/>
        <w:tab w:val="left" w:pos="4592"/>
      </w:tabs>
      <w:suppressAutoHyphens/>
      <w:autoSpaceDE w:val="0"/>
      <w:autoSpaceDN w:val="0"/>
      <w:adjustRightInd w:val="0"/>
      <w:spacing w:after="0" w:line="240" w:lineRule="atLeast"/>
      <w:textAlignment w:val="center"/>
    </w:pPr>
    <w:rPr>
      <w:rFonts w:ascii="Times New Roman" w:hAnsi="Times New Roman" w:cs="TimesTenLTStd-Roman"/>
      <w:color w:val="000000"/>
      <w:szCs w:val="16"/>
      <w:lang w:val="en-GB"/>
    </w:rPr>
  </w:style>
  <w:style w:type="paragraph" w:customStyle="1" w:styleId="01k1a">
    <w:name w:val="01_k1a"/>
    <w:basedOn w:val="Standaard"/>
    <w:uiPriority w:val="99"/>
    <w:rsid w:val="004023DB"/>
    <w:pPr>
      <w:widowControl w:val="0"/>
      <w:tabs>
        <w:tab w:val="left" w:pos="510"/>
      </w:tabs>
      <w:suppressAutoHyphens/>
      <w:autoSpaceDE w:val="0"/>
      <w:autoSpaceDN w:val="0"/>
      <w:adjustRightInd w:val="0"/>
      <w:spacing w:after="0" w:line="420" w:lineRule="atLeast"/>
      <w:textAlignment w:val="center"/>
    </w:pPr>
    <w:rPr>
      <w:rFonts w:ascii="EurostileLTStd-Bold" w:hAnsi="EurostileLTStd-Bold" w:cs="EurostileLTStd-Bold"/>
      <w:b/>
      <w:bCs/>
      <w:color w:val="0078C1"/>
      <w:sz w:val="36"/>
      <w:szCs w:val="36"/>
    </w:rPr>
  </w:style>
  <w:style w:type="paragraph" w:customStyle="1" w:styleId="02k2">
    <w:name w:val="02_k2"/>
    <w:basedOn w:val="Standaard"/>
    <w:uiPriority w:val="99"/>
    <w:rsid w:val="004023DB"/>
    <w:pPr>
      <w:keepNext/>
      <w:widowControl w:val="0"/>
      <w:tabs>
        <w:tab w:val="left" w:pos="283"/>
      </w:tabs>
      <w:suppressAutoHyphens/>
      <w:autoSpaceDE w:val="0"/>
      <w:autoSpaceDN w:val="0"/>
      <w:adjustRightInd w:val="0"/>
      <w:spacing w:after="0" w:line="240" w:lineRule="atLeast"/>
      <w:ind w:left="283" w:hanging="283"/>
      <w:textAlignment w:val="center"/>
    </w:pPr>
    <w:rPr>
      <w:rFonts w:ascii="Verdana" w:hAnsi="Verdana" w:cs="EurostileLTStd-Demi"/>
      <w:b/>
      <w:color w:val="000000"/>
      <w:sz w:val="18"/>
      <w:szCs w:val="18"/>
    </w:rPr>
  </w:style>
  <w:style w:type="paragraph" w:customStyle="1" w:styleId="ptbullet1">
    <w:name w:val="pt_bullet_1"/>
    <w:basedOn w:val="pt"/>
    <w:uiPriority w:val="99"/>
    <w:rsid w:val="004023DB"/>
    <w:pPr>
      <w:ind w:left="227" w:hanging="227"/>
    </w:pPr>
  </w:style>
  <w:style w:type="paragraph" w:customStyle="1" w:styleId="tabelpt">
    <w:name w:val="tabel_pt"/>
    <w:basedOn w:val="Standaard"/>
    <w:uiPriority w:val="99"/>
    <w:rsid w:val="004023DB"/>
    <w:pPr>
      <w:widowControl w:val="0"/>
      <w:tabs>
        <w:tab w:val="left" w:pos="170"/>
        <w:tab w:val="left" w:pos="340"/>
        <w:tab w:val="left" w:pos="510"/>
        <w:tab w:val="left" w:pos="680"/>
        <w:tab w:val="left" w:pos="850"/>
        <w:tab w:val="left" w:pos="1020"/>
      </w:tabs>
      <w:suppressAutoHyphens/>
      <w:autoSpaceDE w:val="0"/>
      <w:autoSpaceDN w:val="0"/>
      <w:adjustRightInd w:val="0"/>
      <w:spacing w:after="0" w:line="200" w:lineRule="atLeast"/>
      <w:textAlignment w:val="center"/>
    </w:pPr>
    <w:rPr>
      <w:rFonts w:ascii="EurostileLTStd-Cn" w:hAnsi="EurostileLTStd-Cn" w:cs="EurostileLTStd-Cn"/>
      <w:color w:val="000000"/>
      <w:sz w:val="14"/>
      <w:szCs w:val="14"/>
    </w:rPr>
  </w:style>
  <w:style w:type="paragraph" w:customStyle="1" w:styleId="tabelbron">
    <w:name w:val="tabel_bron"/>
    <w:basedOn w:val="Standaard"/>
    <w:uiPriority w:val="99"/>
    <w:rsid w:val="004023DB"/>
    <w:pPr>
      <w:widowControl w:val="0"/>
      <w:suppressAutoHyphens/>
      <w:autoSpaceDE w:val="0"/>
      <w:autoSpaceDN w:val="0"/>
      <w:adjustRightInd w:val="0"/>
      <w:spacing w:after="170" w:line="190" w:lineRule="atLeast"/>
      <w:textAlignment w:val="center"/>
    </w:pPr>
    <w:rPr>
      <w:rFonts w:ascii="EurostileLTStd-Cn" w:hAnsi="EurostileLTStd-Cn" w:cs="EurostileLTStd-Cn"/>
      <w:color w:val="000000"/>
      <w:sz w:val="12"/>
      <w:szCs w:val="12"/>
      <w:lang w:val="nl-NL"/>
    </w:rPr>
  </w:style>
  <w:style w:type="character" w:customStyle="1" w:styleId="Italic">
    <w:name w:val="Italic"/>
    <w:uiPriority w:val="99"/>
    <w:rsid w:val="004023DB"/>
    <w:rPr>
      <w:i/>
    </w:rPr>
  </w:style>
  <w:style w:type="character" w:customStyle="1" w:styleId="01k1">
    <w:name w:val="01_k1"/>
    <w:uiPriority w:val="99"/>
    <w:rsid w:val="004023DB"/>
  </w:style>
  <w:style w:type="character" w:customStyle="1" w:styleId="BoldOnderstreept">
    <w:name w:val="Bold + _Onderstreept"/>
    <w:uiPriority w:val="99"/>
    <w:rsid w:val="004023DB"/>
    <w:rPr>
      <w:b/>
      <w:u w:val="thick"/>
    </w:rPr>
  </w:style>
  <w:style w:type="character" w:customStyle="1" w:styleId="Bold-eurostile">
    <w:name w:val="Bold-eurostile"/>
    <w:uiPriority w:val="99"/>
    <w:rsid w:val="004023DB"/>
    <w:rPr>
      <w:rFonts w:ascii="EurostileLTStd-BoldCn" w:hAnsi="EurostileLTStd-BoldCn" w:cs="EurostileLTStd-BoldCn"/>
      <w:b/>
      <w:bCs/>
    </w:rPr>
  </w:style>
  <w:style w:type="paragraph" w:customStyle="1" w:styleId="bijschriftfiguur">
    <w:name w:val="bijschrift_figuur"/>
    <w:basedOn w:val="Standaard"/>
    <w:uiPriority w:val="99"/>
    <w:rsid w:val="00441B22"/>
    <w:pPr>
      <w:widowControl w:val="0"/>
      <w:suppressAutoHyphens/>
      <w:autoSpaceDE w:val="0"/>
      <w:autoSpaceDN w:val="0"/>
      <w:adjustRightInd w:val="0"/>
      <w:spacing w:after="0" w:line="190" w:lineRule="atLeast"/>
      <w:textAlignment w:val="center"/>
    </w:pPr>
    <w:rPr>
      <w:rFonts w:ascii="UniversLTStd" w:hAnsi="UniversLTStd" w:cs="UniversLTStd"/>
      <w:color w:val="000000"/>
      <w:sz w:val="12"/>
      <w:szCs w:val="12"/>
    </w:rPr>
  </w:style>
  <w:style w:type="paragraph" w:customStyle="1" w:styleId="NoParagraphStyle">
    <w:name w:val="[No Paragraph Style]"/>
    <w:rsid w:val="007718DD"/>
    <w:pPr>
      <w:widowControl w:val="0"/>
      <w:autoSpaceDE w:val="0"/>
      <w:autoSpaceDN w:val="0"/>
      <w:adjustRightInd w:val="0"/>
      <w:spacing w:after="0" w:line="288" w:lineRule="auto"/>
      <w:textAlignment w:val="center"/>
    </w:pPr>
    <w:rPr>
      <w:rFonts w:ascii="MinionPro-Regular" w:eastAsia="Times New Roman" w:hAnsi="MinionPro-Regular" w:cs="MinionPro-Regular"/>
      <w:color w:val="000000"/>
      <w:sz w:val="24"/>
      <w:szCs w:val="24"/>
      <w:lang w:val="en-US"/>
    </w:rPr>
  </w:style>
  <w:style w:type="character" w:customStyle="1" w:styleId="superscript01k1">
    <w:name w:val="superscript 01_k1"/>
    <w:uiPriority w:val="99"/>
    <w:rsid w:val="007718DD"/>
    <w:rPr>
      <w:vertAlign w:val="superscript"/>
    </w:rPr>
  </w:style>
  <w:style w:type="character" w:customStyle="1" w:styleId="superscript">
    <w:name w:val="superscript"/>
    <w:uiPriority w:val="99"/>
    <w:rsid w:val="007718DD"/>
    <w:rPr>
      <w:vertAlign w:val="superscript"/>
    </w:rPr>
  </w:style>
  <w:style w:type="character" w:customStyle="1" w:styleId="BoldItalic">
    <w:name w:val="Bold Italic"/>
    <w:uiPriority w:val="99"/>
    <w:rsid w:val="007718DD"/>
    <w:rPr>
      <w:b/>
      <w:i/>
    </w:rPr>
  </w:style>
  <w:style w:type="paragraph" w:customStyle="1" w:styleId="bijschriftbron">
    <w:name w:val="bijschrift_bron"/>
    <w:basedOn w:val="bijschriftfiguur"/>
    <w:uiPriority w:val="99"/>
    <w:rsid w:val="004864BA"/>
    <w:pPr>
      <w:spacing w:after="170"/>
    </w:pPr>
    <w:rPr>
      <w:rFonts w:ascii="UniversLTStd-Obl" w:hAnsi="UniversLTStd-Obl" w:cs="UniversLTStd-Obl"/>
      <w:i/>
      <w:iCs/>
      <w:lang w:val="nl-NL"/>
    </w:rPr>
  </w:style>
  <w:style w:type="character" w:customStyle="1" w:styleId="Onderstreept">
    <w:name w:val="Onderstreept"/>
    <w:uiPriority w:val="99"/>
    <w:rsid w:val="004864BA"/>
    <w:rPr>
      <w:u w:val="thick"/>
    </w:rPr>
  </w:style>
  <w:style w:type="character" w:customStyle="1" w:styleId="Bold">
    <w:name w:val="Bold"/>
    <w:uiPriority w:val="99"/>
    <w:rsid w:val="004864BA"/>
    <w:rPr>
      <w:b/>
    </w:rPr>
  </w:style>
  <w:style w:type="character" w:customStyle="1" w:styleId="italic0">
    <w:name w:val="italic"/>
    <w:uiPriority w:val="99"/>
    <w:rsid w:val="00B52A8B"/>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023DB"/>
    <w:rPr>
      <w:rFonts w:ascii="Calibri" w:eastAsia="Times New Roman" w:hAnsi="Calibri" w:cs="Times New Roman"/>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t">
    <w:name w:val="pt"/>
    <w:basedOn w:val="Standaard"/>
    <w:uiPriority w:val="99"/>
    <w:rsid w:val="004023DB"/>
    <w:pPr>
      <w:widowControl w:val="0"/>
      <w:tabs>
        <w:tab w:val="left" w:pos="170"/>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 w:val="left" w:pos="3742"/>
        <w:tab w:val="left" w:pos="3912"/>
        <w:tab w:val="left" w:pos="4082"/>
        <w:tab w:val="left" w:pos="4252"/>
        <w:tab w:val="left" w:pos="4422"/>
        <w:tab w:val="left" w:pos="4592"/>
      </w:tabs>
      <w:suppressAutoHyphens/>
      <w:autoSpaceDE w:val="0"/>
      <w:autoSpaceDN w:val="0"/>
      <w:adjustRightInd w:val="0"/>
      <w:spacing w:after="0" w:line="240" w:lineRule="atLeast"/>
      <w:textAlignment w:val="center"/>
    </w:pPr>
    <w:rPr>
      <w:rFonts w:ascii="Times New Roman" w:hAnsi="Times New Roman" w:cs="TimesTenLTStd-Roman"/>
      <w:color w:val="000000"/>
      <w:szCs w:val="16"/>
      <w:lang w:val="en-GB"/>
    </w:rPr>
  </w:style>
  <w:style w:type="paragraph" w:customStyle="1" w:styleId="01k1a">
    <w:name w:val="01_k1a"/>
    <w:basedOn w:val="Standaard"/>
    <w:uiPriority w:val="99"/>
    <w:rsid w:val="004023DB"/>
    <w:pPr>
      <w:widowControl w:val="0"/>
      <w:tabs>
        <w:tab w:val="left" w:pos="510"/>
      </w:tabs>
      <w:suppressAutoHyphens/>
      <w:autoSpaceDE w:val="0"/>
      <w:autoSpaceDN w:val="0"/>
      <w:adjustRightInd w:val="0"/>
      <w:spacing w:after="0" w:line="420" w:lineRule="atLeast"/>
      <w:textAlignment w:val="center"/>
    </w:pPr>
    <w:rPr>
      <w:rFonts w:ascii="EurostileLTStd-Bold" w:hAnsi="EurostileLTStd-Bold" w:cs="EurostileLTStd-Bold"/>
      <w:b/>
      <w:bCs/>
      <w:color w:val="0078C1"/>
      <w:sz w:val="36"/>
      <w:szCs w:val="36"/>
    </w:rPr>
  </w:style>
  <w:style w:type="paragraph" w:customStyle="1" w:styleId="02k2">
    <w:name w:val="02_k2"/>
    <w:basedOn w:val="Standaard"/>
    <w:uiPriority w:val="99"/>
    <w:rsid w:val="004023DB"/>
    <w:pPr>
      <w:keepNext/>
      <w:widowControl w:val="0"/>
      <w:tabs>
        <w:tab w:val="left" w:pos="283"/>
      </w:tabs>
      <w:suppressAutoHyphens/>
      <w:autoSpaceDE w:val="0"/>
      <w:autoSpaceDN w:val="0"/>
      <w:adjustRightInd w:val="0"/>
      <w:spacing w:after="0" w:line="240" w:lineRule="atLeast"/>
      <w:ind w:left="283" w:hanging="283"/>
      <w:textAlignment w:val="center"/>
    </w:pPr>
    <w:rPr>
      <w:rFonts w:ascii="Verdana" w:hAnsi="Verdana" w:cs="EurostileLTStd-Demi"/>
      <w:b/>
      <w:color w:val="000000"/>
      <w:sz w:val="18"/>
      <w:szCs w:val="18"/>
    </w:rPr>
  </w:style>
  <w:style w:type="paragraph" w:customStyle="1" w:styleId="ptbullet1">
    <w:name w:val="pt_bullet_1"/>
    <w:basedOn w:val="pt"/>
    <w:uiPriority w:val="99"/>
    <w:rsid w:val="004023DB"/>
    <w:pPr>
      <w:ind w:left="227" w:hanging="227"/>
    </w:pPr>
  </w:style>
  <w:style w:type="paragraph" w:customStyle="1" w:styleId="tabelpt">
    <w:name w:val="tabel_pt"/>
    <w:basedOn w:val="Standaard"/>
    <w:uiPriority w:val="99"/>
    <w:rsid w:val="004023DB"/>
    <w:pPr>
      <w:widowControl w:val="0"/>
      <w:tabs>
        <w:tab w:val="left" w:pos="170"/>
        <w:tab w:val="left" w:pos="340"/>
        <w:tab w:val="left" w:pos="510"/>
        <w:tab w:val="left" w:pos="680"/>
        <w:tab w:val="left" w:pos="850"/>
        <w:tab w:val="left" w:pos="1020"/>
      </w:tabs>
      <w:suppressAutoHyphens/>
      <w:autoSpaceDE w:val="0"/>
      <w:autoSpaceDN w:val="0"/>
      <w:adjustRightInd w:val="0"/>
      <w:spacing w:after="0" w:line="200" w:lineRule="atLeast"/>
      <w:textAlignment w:val="center"/>
    </w:pPr>
    <w:rPr>
      <w:rFonts w:ascii="EurostileLTStd-Cn" w:hAnsi="EurostileLTStd-Cn" w:cs="EurostileLTStd-Cn"/>
      <w:color w:val="000000"/>
      <w:sz w:val="14"/>
      <w:szCs w:val="14"/>
    </w:rPr>
  </w:style>
  <w:style w:type="paragraph" w:customStyle="1" w:styleId="tabelbron">
    <w:name w:val="tabel_bron"/>
    <w:basedOn w:val="Standaard"/>
    <w:uiPriority w:val="99"/>
    <w:rsid w:val="004023DB"/>
    <w:pPr>
      <w:widowControl w:val="0"/>
      <w:suppressAutoHyphens/>
      <w:autoSpaceDE w:val="0"/>
      <w:autoSpaceDN w:val="0"/>
      <w:adjustRightInd w:val="0"/>
      <w:spacing w:after="170" w:line="190" w:lineRule="atLeast"/>
      <w:textAlignment w:val="center"/>
    </w:pPr>
    <w:rPr>
      <w:rFonts w:ascii="EurostileLTStd-Cn" w:hAnsi="EurostileLTStd-Cn" w:cs="EurostileLTStd-Cn"/>
      <w:color w:val="000000"/>
      <w:sz w:val="12"/>
      <w:szCs w:val="12"/>
      <w:lang w:val="nl-NL"/>
    </w:rPr>
  </w:style>
  <w:style w:type="character" w:customStyle="1" w:styleId="Italic">
    <w:name w:val="Italic"/>
    <w:uiPriority w:val="99"/>
    <w:rsid w:val="004023DB"/>
    <w:rPr>
      <w:i/>
    </w:rPr>
  </w:style>
  <w:style w:type="character" w:customStyle="1" w:styleId="01k1">
    <w:name w:val="01_k1"/>
    <w:uiPriority w:val="99"/>
    <w:rsid w:val="004023DB"/>
  </w:style>
  <w:style w:type="character" w:customStyle="1" w:styleId="BoldOnderstreept">
    <w:name w:val="Bold + _Onderstreept"/>
    <w:uiPriority w:val="99"/>
    <w:rsid w:val="004023DB"/>
    <w:rPr>
      <w:b/>
      <w:u w:val="thick"/>
    </w:rPr>
  </w:style>
  <w:style w:type="character" w:customStyle="1" w:styleId="Bold-eurostile">
    <w:name w:val="Bold-eurostile"/>
    <w:uiPriority w:val="99"/>
    <w:rsid w:val="004023DB"/>
    <w:rPr>
      <w:rFonts w:ascii="EurostileLTStd-BoldCn" w:hAnsi="EurostileLTStd-BoldCn" w:cs="EurostileLTStd-BoldCn"/>
      <w:b/>
      <w:bCs/>
    </w:rPr>
  </w:style>
  <w:style w:type="paragraph" w:customStyle="1" w:styleId="bijschriftfiguur">
    <w:name w:val="bijschrift_figuur"/>
    <w:basedOn w:val="Standaard"/>
    <w:uiPriority w:val="99"/>
    <w:rsid w:val="00441B22"/>
    <w:pPr>
      <w:widowControl w:val="0"/>
      <w:suppressAutoHyphens/>
      <w:autoSpaceDE w:val="0"/>
      <w:autoSpaceDN w:val="0"/>
      <w:adjustRightInd w:val="0"/>
      <w:spacing w:after="0" w:line="190" w:lineRule="atLeast"/>
      <w:textAlignment w:val="center"/>
    </w:pPr>
    <w:rPr>
      <w:rFonts w:ascii="UniversLTStd" w:hAnsi="UniversLTStd" w:cs="UniversLTStd"/>
      <w:color w:val="000000"/>
      <w:sz w:val="12"/>
      <w:szCs w:val="12"/>
    </w:rPr>
  </w:style>
  <w:style w:type="paragraph" w:customStyle="1" w:styleId="NoParagraphStyle">
    <w:name w:val="[No Paragraph Style]"/>
    <w:rsid w:val="007718DD"/>
    <w:pPr>
      <w:widowControl w:val="0"/>
      <w:autoSpaceDE w:val="0"/>
      <w:autoSpaceDN w:val="0"/>
      <w:adjustRightInd w:val="0"/>
      <w:spacing w:after="0" w:line="288" w:lineRule="auto"/>
      <w:textAlignment w:val="center"/>
    </w:pPr>
    <w:rPr>
      <w:rFonts w:ascii="MinionPro-Regular" w:eastAsia="Times New Roman" w:hAnsi="MinionPro-Regular" w:cs="MinionPro-Regular"/>
      <w:color w:val="000000"/>
      <w:sz w:val="24"/>
      <w:szCs w:val="24"/>
      <w:lang w:val="en-US"/>
    </w:rPr>
  </w:style>
  <w:style w:type="character" w:customStyle="1" w:styleId="superscript01k1">
    <w:name w:val="superscript 01_k1"/>
    <w:uiPriority w:val="99"/>
    <w:rsid w:val="007718DD"/>
    <w:rPr>
      <w:vertAlign w:val="superscript"/>
    </w:rPr>
  </w:style>
  <w:style w:type="character" w:customStyle="1" w:styleId="superscript">
    <w:name w:val="superscript"/>
    <w:uiPriority w:val="99"/>
    <w:rsid w:val="007718DD"/>
    <w:rPr>
      <w:vertAlign w:val="superscript"/>
    </w:rPr>
  </w:style>
  <w:style w:type="character" w:customStyle="1" w:styleId="BoldItalic">
    <w:name w:val="Bold Italic"/>
    <w:uiPriority w:val="99"/>
    <w:rsid w:val="007718DD"/>
    <w:rPr>
      <w:b/>
      <w:i/>
    </w:rPr>
  </w:style>
  <w:style w:type="paragraph" w:customStyle="1" w:styleId="bijschriftbron">
    <w:name w:val="bijschrift_bron"/>
    <w:basedOn w:val="bijschriftfiguur"/>
    <w:uiPriority w:val="99"/>
    <w:rsid w:val="004864BA"/>
    <w:pPr>
      <w:spacing w:after="170"/>
    </w:pPr>
    <w:rPr>
      <w:rFonts w:ascii="UniversLTStd-Obl" w:hAnsi="UniversLTStd-Obl" w:cs="UniversLTStd-Obl"/>
      <w:i/>
      <w:iCs/>
      <w:lang w:val="nl-NL"/>
    </w:rPr>
  </w:style>
  <w:style w:type="character" w:customStyle="1" w:styleId="Onderstreept">
    <w:name w:val="Onderstreept"/>
    <w:uiPriority w:val="99"/>
    <w:rsid w:val="004864BA"/>
    <w:rPr>
      <w:u w:val="thick"/>
    </w:rPr>
  </w:style>
  <w:style w:type="character" w:customStyle="1" w:styleId="Bold">
    <w:name w:val="Bold"/>
    <w:uiPriority w:val="99"/>
    <w:rsid w:val="004864BA"/>
    <w:rPr>
      <w:b/>
    </w:rPr>
  </w:style>
  <w:style w:type="character" w:customStyle="1" w:styleId="italic0">
    <w:name w:val="italic"/>
    <w:uiPriority w:val="99"/>
    <w:rsid w:val="00B52A8B"/>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2.bin"/><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emf"/><Relationship Id="rId5" Type="http://schemas.openxmlformats.org/officeDocument/2006/relationships/styles" Target="styles.xml"/><Relationship Id="rId10"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B03D92FADAB94693ED558352A5F6F9" ma:contentTypeVersion="0" ma:contentTypeDescription="Een nieuw document maken." ma:contentTypeScope="" ma:versionID="cdc6cf1ee8e3a9a4903052c0d5d5f0fb">
  <xsd:schema xmlns:xsd="http://www.w3.org/2001/XMLSchema" xmlns:xs="http://www.w3.org/2001/XMLSchema" xmlns:p="http://schemas.microsoft.com/office/2006/metadata/properties" xmlns:ns2="76d67360-a404-47e7-b804-7f461cdb56bc" targetNamespace="http://schemas.microsoft.com/office/2006/metadata/properties" ma:root="true" ma:fieldsID="cefc2abdfcc2f6aed7b11476a6f078d0" ns2:_="">
    <xsd:import namespace="76d67360-a404-47e7-b804-7f461cdb56b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d67360-a404-47e7-b804-7f461cdb56bc"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6d67360-a404-47e7-b804-7f461cdb56bc">V4ZWZ6MTH4VR-26-7874</_dlc_DocId>
    <_dlc_DocIdUrl xmlns="76d67360-a404-47e7-b804-7f461cdb56bc">
      <Url>https://vanharen1.sharepoint.com/sites/Drives/Marketing/_layouts/15/DocIdRedir.aspx?ID=V4ZWZ6MTH4VR-26-7874</Url>
      <Description>V4ZWZ6MTH4VR-26-7874</Description>
    </_dlc_DocIdUrl>
  </documentManagement>
</p:properties>
</file>

<file path=customXml/itemProps1.xml><?xml version="1.0" encoding="utf-8"?>
<ds:datastoreItem xmlns:ds="http://schemas.openxmlformats.org/officeDocument/2006/customXml" ds:itemID="{12F3759F-0DA9-44B2-8A9B-71A3FFE578BD}"/>
</file>

<file path=customXml/itemProps2.xml><?xml version="1.0" encoding="utf-8"?>
<ds:datastoreItem xmlns:ds="http://schemas.openxmlformats.org/officeDocument/2006/customXml" ds:itemID="{F0ED2304-BC32-47C9-B20E-71BAB577DADF}"/>
</file>

<file path=customXml/itemProps3.xml><?xml version="1.0" encoding="utf-8"?>
<ds:datastoreItem xmlns:ds="http://schemas.openxmlformats.org/officeDocument/2006/customXml" ds:itemID="{697ED896-5138-44EB-B4C3-3AA1DB9DE039}"/>
</file>

<file path=customXml/itemProps4.xml><?xml version="1.0" encoding="utf-8"?>
<ds:datastoreItem xmlns:ds="http://schemas.openxmlformats.org/officeDocument/2006/customXml" ds:itemID="{73490F69-D334-478E-95C3-F6971BF954FF}"/>
</file>

<file path=docProps/app.xml><?xml version="1.0" encoding="utf-8"?>
<Properties xmlns="http://schemas.openxmlformats.org/officeDocument/2006/extended-properties" xmlns:vt="http://schemas.openxmlformats.org/officeDocument/2006/docPropsVTypes">
  <Template>Normal</Template>
  <TotalTime>0</TotalTime>
  <Pages>3</Pages>
  <Words>702</Words>
  <Characters>3867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van Strien</dc:creator>
  <cp:lastModifiedBy>Audrey van Strien</cp:lastModifiedBy>
  <cp:revision>2</cp:revision>
  <dcterms:created xsi:type="dcterms:W3CDTF">2014-09-17T09:43:00Z</dcterms:created>
  <dcterms:modified xsi:type="dcterms:W3CDTF">2014-09-17T09:43:00Z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0x01010045B03D92FADAB94693ED558352A5F6F9</vt:lpwstr>
  </property>
  <property fmtid="{D5CDD505-2E9C-101B-9397-08002B2CF9AE}" pid="3" name="_dlc_DocIdItemGuid">
    <vt:lpwstr>62c8b4a2-ac2b-47d7-891d-d535f2ef548e</vt:lpwstr>
  </property>
</Properties>
</file>