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F6EF7"/>
          <w:sz w:val="96"/>
          <w:szCs w:val="96"/>
        </w:rPr>
        <w:t xml:space="preserve">MEPIO</w:t>
      </w:r>
    </w:p>
    <w:p>
      <w:pPr>
        <w:spacing w:after="60" w:before="100"/>
        <w:jc w:val="center"/>
      </w:pPr>
      <w:r>
        <w:rPr>
          <w:color w:val="64748B"/>
          <w:sz w:val="28"/>
          <w:szCs w:val="28"/>
        </w:rPr>
        <w:t xml:space="preserve">Micro-E-commerce Profit &amp; Inventory Optimizer</w:t>
      </w:r>
    </w:p>
    <w:p>
      <w:pPr>
        <w:spacing w:before="400"/>
        <w:jc w:val="center"/>
      </w:pPr>
      <w:r>
        <w:rPr>
          <w:b/>
          <w:bCs/>
          <w:color w:val="1E293B"/>
          <w:sz w:val="40"/>
          <w:szCs w:val="40"/>
        </w:rPr>
        <w:t xml:space="preserve">USER MANUAL</w:t>
      </w:r>
    </w:p>
    <w:p>
      <w:pPr>
        <w:spacing w:before="800"/>
        <w:jc w:val="center"/>
      </w:pPr>
      <w:r>
        <w:rPr>
          <w:color w:val="64748B"/>
          <w:sz w:val="22"/>
          <w:szCs w:val="22"/>
        </w:rPr>
        <w:t xml:space="preserve">Version 1.0  ·  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t xml:space="preserve">MEPIO (Micro-E-commerce Profit &amp; Inventory Optimizer) is a desktop application built for small online sellers who manage stock and sell across marketplaces such as Shopee, TikTok Shop, and Lazada. It brings inventory tracking, profit calculation, shipment tracking, and marketplace account management into a single local application.</w:t>
      </w:r>
    </w:p>
    <w:p>
      <w:pPr>
        <w:spacing w:after="160"/>
      </w:pPr>
      <w:r>
        <w:t xml:space="preserve">With MEPIO you can:</w:t>
      </w:r>
    </w:p>
    <w:p>
      <w:pPr>
        <w:pStyle w:val="ListParagraph"/>
        <w:numPr>
          <w:ilvl w:val="0"/>
          <w:numId w:val="1"/>
        </w:numPr>
        <w:spacing w:after="80"/>
      </w:pPr>
      <w:r>
        <w:t xml:space="preserve">Track stock levels and receive low-stock alerts</w:t>
      </w:r>
    </w:p>
    <w:p>
      <w:pPr>
        <w:pStyle w:val="ListParagraph"/>
        <w:numPr>
          <w:ilvl w:val="0"/>
          <w:numId w:val="1"/>
        </w:numPr>
        <w:spacing w:after="80"/>
      </w:pPr>
      <w:r>
        <w:t xml:space="preserve">Calculate the true net profit of a sale after platform fees, packaging, tax, and shipping</w:t>
      </w:r>
    </w:p>
    <w:p>
      <w:pPr>
        <w:pStyle w:val="ListParagraph"/>
        <w:numPr>
          <w:ilvl w:val="0"/>
          <w:numId w:val="1"/>
        </w:numPr>
        <w:spacing w:after="80"/>
      </w:pPr>
      <w:r>
        <w:t xml:space="preserve">Track inbound (supplier) and outbound (customer) parcels</w:t>
      </w:r>
    </w:p>
    <w:p>
      <w:pPr>
        <w:pStyle w:val="ListParagraph"/>
        <w:numPr>
          <w:ilvl w:val="0"/>
          <w:numId w:val="1"/>
        </w:numPr>
        <w:spacing w:after="80"/>
      </w:pPr>
      <w:r>
        <w:t xml:space="preserve">Plan restocking based on sales velocity and expiry risk</w:t>
      </w:r>
    </w:p>
    <w:p>
      <w:pPr>
        <w:pStyle w:val="ListParagraph"/>
        <w:numPr>
          <w:ilvl w:val="0"/>
          <w:numId w:val="1"/>
        </w:numPr>
        <w:spacing w:after="80"/>
      </w:pPr>
      <w:r>
        <w:t xml:space="preserve">Generate restock invoices for suppliers</w:t>
      </w:r>
    </w:p>
    <w:p>
      <w:pPr>
        <w:pStyle w:val="ListParagraph"/>
        <w:numPr>
          <w:ilvl w:val="0"/>
          <w:numId w:val="1"/>
        </w:numPr>
        <w:spacing w:after="80"/>
      </w:pPr>
      <w:r>
        <w:t xml:space="preserve">Link and manage your connected marketplace accounts</w:t>
      </w:r>
    </w:p>
    <w:p>
      <w:pPr>
        <w:pBdr>
          <w:left w:val="single" w:color="4F6EF7" w:sz="18" w:space="8"/>
        </w:pBdr>
        <w:shd w:fill="EEF2FF" w:val="clear"/>
        <w:spacing w:after="200" w:before="100"/>
        <w:ind w:left="200"/>
      </w:pPr>
      <w:r>
        <w:rPr>
          <w:b/>
          <w:bCs/>
          <w:color w:val="4F6EF7"/>
        </w:rPr>
        <w:t xml:space="preserve">Note: </w:t>
      </w:r>
      <w:r>
        <w:t xml:space="preserve">MEPIO stores all data locally in a single SQLite database file, mepio_system.db, in the application folder. There is no cloud sync — back up this file periodically if you rely on the data.</w:t>
      </w:r>
    </w:p>
    <w:p>
      <w:pPr>
        <w:pStyle w:val="Heading1"/>
        <w:spacing w:after="200" w:before="400"/>
      </w:pPr>
      <w:r>
        <w:t xml:space="preserve">2. Getting Started</w:t>
      </w:r>
    </w:p>
    <w:p>
      <w:pPr>
        <w:pStyle w:val="Heading2"/>
        <w:spacing w:after="120" w:before="300"/>
      </w:pPr>
      <w:r>
        <w:t xml:space="preserve">2.1 Launching MEPIO</w:t>
      </w:r>
    </w:p>
    <w:p>
      <w:pPr>
        <w:spacing w:after="160"/>
      </w:pPr>
      <w:r>
        <w:t xml:space="preserve">Starting the application opens the Login window first. On first run, the app automatically creates the mepio_system.db database file and all required tables — no manual setup is needed.</w:t>
      </w:r>
    </w:p>
    <w:p>
      <w:pPr>
        <w:pStyle w:val="Heading2"/>
        <w:spacing w:after="120" w:before="300"/>
      </w:pPr>
      <w:r>
        <w:t xml:space="preserve">2.2 Creating an Account</w:t>
      </w:r>
    </w:p>
    <w:p>
      <w:pPr>
        <w:spacing w:after="160"/>
      </w:pPr>
      <w:r>
        <w:t xml:space="preserve">If you don't have an account yet:</w:t>
      </w:r>
    </w:p>
    <w:p>
      <w:pPr>
        <w:pStyle w:val="ListParagraph"/>
        <w:numPr>
          <w:ilvl w:val="0"/>
          <w:numId w:val="2"/>
        </w:numPr>
        <w:spacing w:after="80"/>
      </w:pPr>
      <w:r>
        <w:t xml:space="preserve">On the login screen, click "Register Now".</w:t>
      </w:r>
    </w:p>
    <w:p>
      <w:pPr>
        <w:pStyle w:val="ListParagraph"/>
        <w:numPr>
          <w:ilvl w:val="0"/>
          <w:numId w:val="2"/>
        </w:numPr>
        <w:spacing w:after="80"/>
      </w:pPr>
      <w:r>
        <w:t xml:space="preserve">Enter a username and a password (at least 6 characters), then confirm the password.</w:t>
      </w:r>
    </w:p>
    <w:p>
      <w:pPr>
        <w:pStyle w:val="ListParagraph"/>
        <w:numPr>
          <w:ilvl w:val="0"/>
          <w:numId w:val="2"/>
        </w:numPr>
        <w:spacing w:after="80"/>
      </w:pPr>
      <w:r>
        <w:t xml:space="preserve">On the next step, answer the security question "What is your favorite pet's name?" — this answer is used later for password recovery, so remember it.</w:t>
      </w:r>
    </w:p>
    <w:p>
      <w:pPr>
        <w:pStyle w:val="ListParagraph"/>
        <w:numPr>
          <w:ilvl w:val="0"/>
          <w:numId w:val="2"/>
        </w:numPr>
        <w:spacing w:after="80"/>
      </w:pPr>
      <w:r>
        <w:t xml:space="preserve">Click "Complete Registration". You'll be returned to the login screen.</w:t>
      </w:r>
    </w:p>
    <w:p>
      <w:pPr>
        <w:pBdr>
          <w:left w:val="single" w:color="C0392B" w:sz="18" w:space="8"/>
        </w:pBdr>
        <w:shd w:fill="FEF2F2" w:val="clear"/>
        <w:spacing w:after="200" w:before="100"/>
        <w:ind w:left="200"/>
      </w:pPr>
      <w:r>
        <w:rPr>
          <w:b/>
          <w:bCs/>
          <w:color w:val="C0392B"/>
        </w:rPr>
        <w:t xml:space="preserve">Caution: </w:t>
      </w:r>
      <w:r>
        <w:t xml:space="preserve">The security answer is used verbatim to verify your identity during password recovery. Write it down somewhere safe if you're prone to forgetting it.</w:t>
      </w:r>
    </w:p>
    <w:p>
      <w:pPr>
        <w:pStyle w:val="Heading2"/>
        <w:spacing w:after="120" w:before="300"/>
      </w:pPr>
      <w:r>
        <w:t xml:space="preserve">2.3 Logging In</w:t>
      </w:r>
    </w:p>
    <w:p>
      <w:pPr>
        <w:pStyle w:val="ListParagraph"/>
        <w:numPr>
          <w:ilvl w:val="0"/>
          <w:numId w:val="2"/>
        </w:numPr>
        <w:spacing w:after="80"/>
      </w:pPr>
      <w:r>
        <w:t xml:space="preserve">Enter your username and password.</w:t>
      </w:r>
    </w:p>
    <w:p>
      <w:pPr>
        <w:pStyle w:val="ListParagraph"/>
        <w:numPr>
          <w:ilvl w:val="0"/>
          <w:numId w:val="2"/>
        </w:numPr>
        <w:spacing w:after="80"/>
      </w:pPr>
      <w:r>
        <w:t xml:space="preserve">Optionally tick "Remember me" to have your username pre-filled next time you open MEPIO.</w:t>
      </w:r>
    </w:p>
    <w:p>
      <w:pPr>
        <w:pStyle w:val="ListParagraph"/>
        <w:numPr>
          <w:ilvl w:val="0"/>
          <w:numId w:val="2"/>
        </w:numPr>
        <w:spacing w:after="80"/>
      </w:pPr>
      <w:r>
        <w:t xml:space="preserve">Optionally tick "Show" next to the password field to reveal what you've typed.</w:t>
      </w:r>
    </w:p>
    <w:p>
      <w:pPr>
        <w:pStyle w:val="ListParagraph"/>
        <w:numPr>
          <w:ilvl w:val="0"/>
          <w:numId w:val="2"/>
        </w:numPr>
        <w:spacing w:after="80"/>
      </w:pPr>
      <w:r>
        <w:t xml:space="preserve">Click "LOGIN".</w:t>
      </w:r>
    </w:p>
    <w:p>
      <w:pPr>
        <w:spacing w:after="160"/>
      </w:pPr>
      <w:r>
        <w:t xml:space="preserve">If your credentials don't match a registered account, you'll see "Wrong username or password!" — double check for typos, or use password recovery below.</w:t>
      </w:r>
    </w:p>
    <w:p>
      <w:pPr>
        <w:pStyle w:val="Heading2"/>
        <w:spacing w:after="120" w:before="300"/>
      </w:pPr>
      <w:r>
        <w:t xml:space="preserve">2.4 Recovering a Forgotten Password</w:t>
      </w:r>
    </w:p>
    <w:p>
      <w:pPr>
        <w:pStyle w:val="ListParagraph"/>
        <w:numPr>
          <w:ilvl w:val="0"/>
          <w:numId w:val="2"/>
        </w:numPr>
        <w:spacing w:after="80"/>
      </w:pPr>
      <w:r>
        <w:t xml:space="preserve">Click "Forgot Password?" on the login screen.</w:t>
      </w:r>
    </w:p>
    <w:p>
      <w:pPr>
        <w:pStyle w:val="ListParagraph"/>
        <w:numPr>
          <w:ilvl w:val="0"/>
          <w:numId w:val="2"/>
        </w:numPr>
        <w:spacing w:after="80"/>
      </w:pPr>
      <w:r>
        <w:t xml:space="preserve">Enter your username.</w:t>
      </w:r>
    </w:p>
    <w:p>
      <w:pPr>
        <w:pStyle w:val="ListParagraph"/>
        <w:numPr>
          <w:ilvl w:val="0"/>
          <w:numId w:val="2"/>
        </w:numPr>
        <w:spacing w:after="80"/>
      </w:pPr>
      <w:r>
        <w:t xml:space="preserve">Answer your security question exactly as you set it up during registration.</w:t>
      </w:r>
    </w:p>
    <w:p>
      <w:pPr>
        <w:pStyle w:val="ListParagraph"/>
        <w:numPr>
          <w:ilvl w:val="0"/>
          <w:numId w:val="2"/>
        </w:numPr>
        <w:spacing w:after="80"/>
      </w:pPr>
      <w:r>
        <w:t xml:space="preserve">Enter and confirm a new password.</w:t>
      </w:r>
    </w:p>
    <w:p>
      <w:pPr>
        <w:pStyle w:val="ListParagraph"/>
        <w:numPr>
          <w:ilvl w:val="0"/>
          <w:numId w:val="2"/>
        </w:numPr>
        <w:spacing w:after="80"/>
      </w:pPr>
      <w:r>
        <w:t xml:space="preserve">Click "Update Password". You can now log in with the new password.</w:t>
      </w:r>
    </w:p>
    <w:p>
      <w:pPr>
        <w:pStyle w:val="Heading2"/>
        <w:spacing w:after="120" w:before="300"/>
      </w:pPr>
      <w:r>
        <w:t xml:space="preserve">2.5 Logging Out</w:t>
      </w:r>
    </w:p>
    <w:p>
      <w:pPr>
        <w:spacing w:after="160"/>
      </w:pPr>
      <w:r>
        <w:t xml:space="preserve">Click "Logout" at the bottom of the sidebar from anywhere in the app to return to the login screen.</w:t>
      </w:r>
    </w:p>
    <w:p>
      <w:pPr>
        <w:pStyle w:val="Heading1"/>
        <w:spacing w:after="200" w:before="400"/>
      </w:pPr>
      <w:r>
        <w:t xml:space="preserve">3. Navigating the App</w:t>
      </w:r>
    </w:p>
    <w:p>
      <w:pPr>
        <w:spacing w:after="160"/>
      </w:pPr>
      <w:r>
        <w:t xml:space="preserve">After logging in, the main window is divided into a sidebar on the left and the active page on the right. The sidebar is always visible and lets you jump between the following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Sidebar Item</w:t>
            </w:r>
          </w:p>
        </w:tc>
        <w:tc>
          <w:tcPr>
            <w:tcW w:type="pct" w:w="65%"/>
            <w:shd w:fill="4F6EF7" w:val="clear"/>
            <w:tcMar>
              <w:top w:type="dxa" w:w="80"/>
              <w:left w:type="dxa" w:w="120"/>
              <w:bottom w:type="dxa" w:w="80"/>
              <w:right w:type="dxa" w:w="120"/>
            </w:tcMar>
          </w:tcPr>
          <w:p>
            <w:r>
              <w:rPr>
                <w:b/>
                <w:bCs/>
                <w:color w:val="FFFFFF"/>
                <w:sz w:val="20"/>
                <w:szCs w:val="20"/>
              </w:rPr>
              <w:t xml:space="preserve">What it's for</w:t>
            </w:r>
          </w:p>
        </w:tc>
      </w:tr>
      <w:tr>
        <w:tc>
          <w:tcPr>
            <w:tcW w:type="pct" w:w="35%"/>
            <w:tcMar>
              <w:top w:type="dxa" w:w="80"/>
              <w:left w:type="dxa" w:w="120"/>
              <w:bottom w:type="dxa" w:w="80"/>
              <w:right w:type="dxa" w:w="120"/>
            </w:tcMar>
          </w:tcPr>
          <w:p>
            <w:r>
              <w:rPr>
                <w:b w:val="false"/>
                <w:bCs w:val="false"/>
                <w:color w:val="1E293B"/>
                <w:sz w:val="20"/>
                <w:szCs w:val="20"/>
              </w:rPr>
              <w:t xml:space="preserve">Dashboard</w:t>
            </w:r>
          </w:p>
        </w:tc>
        <w:tc>
          <w:tcPr>
            <w:tcW w:type="pct" w:w="65%"/>
            <w:tcMar>
              <w:top w:type="dxa" w:w="80"/>
              <w:left w:type="dxa" w:w="120"/>
              <w:bottom w:type="dxa" w:w="80"/>
              <w:right w:type="dxa" w:w="120"/>
            </w:tcMar>
          </w:tcPr>
          <w:p>
            <w:r>
              <w:rPr>
                <w:b w:val="false"/>
                <w:bCs w:val="false"/>
                <w:color w:val="1E293B"/>
                <w:sz w:val="20"/>
                <w:szCs w:val="20"/>
              </w:rPr>
              <w:t xml:space="preserve">At-a-glance overview of orders, revenue, fees, and low stock</w:t>
            </w:r>
          </w:p>
        </w:tc>
      </w:tr>
      <w:tr>
        <w:tc>
          <w:tcPr>
            <w:tcW w:type="pct" w:w="35%"/>
            <w:tcMar>
              <w:top w:type="dxa" w:w="80"/>
              <w:left w:type="dxa" w:w="120"/>
              <w:bottom w:type="dxa" w:w="80"/>
              <w:right w:type="dxa" w:w="120"/>
            </w:tcMar>
          </w:tcPr>
          <w:p>
            <w:r>
              <w:rPr>
                <w:b w:val="false"/>
                <w:bCs w:val="false"/>
                <w:color w:val="1E293B"/>
                <w:sz w:val="20"/>
                <w:szCs w:val="20"/>
              </w:rPr>
              <w:t xml:space="preserve">Orders</w:t>
            </w:r>
          </w:p>
        </w:tc>
        <w:tc>
          <w:tcPr>
            <w:tcW w:type="pct" w:w="65%"/>
            <w:tcMar>
              <w:top w:type="dxa" w:w="80"/>
              <w:left w:type="dxa" w:w="120"/>
              <w:bottom w:type="dxa" w:w="80"/>
              <w:right w:type="dxa" w:w="120"/>
            </w:tcMar>
          </w:tcPr>
          <w:p>
            <w:r>
              <w:rPr>
                <w:b w:val="false"/>
                <w:bCs w:val="false"/>
                <w:color w:val="1E293B"/>
                <w:sz w:val="20"/>
                <w:szCs w:val="20"/>
              </w:rPr>
              <w:t xml:space="preserve">Marketplace order feed, filterable by platform</w:t>
            </w:r>
          </w:p>
        </w:tc>
      </w:tr>
      <w:tr>
        <w:tc>
          <w:tcPr>
            <w:tcW w:type="pct" w:w="35%"/>
            <w:tcMar>
              <w:top w:type="dxa" w:w="80"/>
              <w:left w:type="dxa" w:w="120"/>
              <w:bottom w:type="dxa" w:w="80"/>
              <w:right w:type="dxa" w:w="120"/>
            </w:tcMar>
          </w:tcPr>
          <w:p>
            <w:r>
              <w:rPr>
                <w:b w:val="false"/>
                <w:bCs w:val="false"/>
                <w:color w:val="1E293B"/>
                <w:sz w:val="20"/>
                <w:szCs w:val="20"/>
              </w:rPr>
              <w:t xml:space="preserve">Inventory</w:t>
            </w:r>
          </w:p>
        </w:tc>
        <w:tc>
          <w:tcPr>
            <w:tcW w:type="pct" w:w="65%"/>
            <w:tcMar>
              <w:top w:type="dxa" w:w="80"/>
              <w:left w:type="dxa" w:w="120"/>
              <w:bottom w:type="dxa" w:w="80"/>
              <w:right w:type="dxa" w:w="120"/>
            </w:tcMar>
          </w:tcPr>
          <w:p>
            <w:r>
              <w:rPr>
                <w:b w:val="false"/>
                <w:bCs w:val="false"/>
                <w:color w:val="1E293B"/>
                <w:sz w:val="20"/>
                <w:szCs w:val="20"/>
              </w:rPr>
              <w:t xml:space="preserve">Add, adjust, and monitor stock levels</w:t>
            </w:r>
          </w:p>
        </w:tc>
      </w:tr>
      <w:tr>
        <w:tc>
          <w:tcPr>
            <w:tcW w:type="pct" w:w="35%"/>
            <w:tcMar>
              <w:top w:type="dxa" w:w="80"/>
              <w:left w:type="dxa" w:w="120"/>
              <w:bottom w:type="dxa" w:w="80"/>
              <w:right w:type="dxa" w:w="120"/>
            </w:tcMar>
          </w:tcPr>
          <w:p>
            <w:r>
              <w:rPr>
                <w:b w:val="false"/>
                <w:bCs w:val="false"/>
                <w:color w:val="1E293B"/>
                <w:sz w:val="20"/>
                <w:szCs w:val="20"/>
              </w:rPr>
              <w:t xml:space="preserve">Logistics</w:t>
            </w:r>
          </w:p>
        </w:tc>
        <w:tc>
          <w:tcPr>
            <w:tcW w:type="pct" w:w="65%"/>
            <w:tcMar>
              <w:top w:type="dxa" w:w="80"/>
              <w:left w:type="dxa" w:w="120"/>
              <w:bottom w:type="dxa" w:w="80"/>
              <w:right w:type="dxa" w:w="120"/>
            </w:tcMar>
          </w:tcPr>
          <w:p>
            <w:r>
              <w:rPr>
                <w:b w:val="false"/>
                <w:bCs w:val="false"/>
                <w:color w:val="1E293B"/>
                <w:sz w:val="20"/>
                <w:szCs w:val="20"/>
              </w:rPr>
              <w:t xml:space="preserve">Track inbound supplier parcels and outbound customer parcels</w:t>
            </w:r>
          </w:p>
        </w:tc>
      </w:tr>
      <w:tr>
        <w:tc>
          <w:tcPr>
            <w:tcW w:type="pct" w:w="35%"/>
            <w:tcMar>
              <w:top w:type="dxa" w:w="80"/>
              <w:left w:type="dxa" w:w="120"/>
              <w:bottom w:type="dxa" w:w="80"/>
              <w:right w:type="dxa" w:w="120"/>
            </w:tcMar>
          </w:tcPr>
          <w:p>
            <w:r>
              <w:rPr>
                <w:b w:val="false"/>
                <w:bCs w:val="false"/>
                <w:color w:val="1E293B"/>
                <w:sz w:val="20"/>
                <w:szCs w:val="20"/>
              </w:rPr>
              <w:t xml:space="preserve">Calculator</w:t>
            </w:r>
          </w:p>
        </w:tc>
        <w:tc>
          <w:tcPr>
            <w:tcW w:type="pct" w:w="65%"/>
            <w:tcMar>
              <w:top w:type="dxa" w:w="80"/>
              <w:left w:type="dxa" w:w="120"/>
              <w:bottom w:type="dxa" w:w="80"/>
              <w:right w:type="dxa" w:w="120"/>
            </w:tcMar>
          </w:tcPr>
          <w:p>
            <w:r>
              <w:rPr>
                <w:b w:val="false"/>
                <w:bCs w:val="false"/>
                <w:color w:val="1E293B"/>
                <w:sz w:val="20"/>
                <w:szCs w:val="20"/>
              </w:rPr>
              <w:t xml:space="preserve">Work out the net profit of a single sale</w:t>
            </w:r>
          </w:p>
        </w:tc>
      </w:tr>
      <w:tr>
        <w:tc>
          <w:tcPr>
            <w:tcW w:type="pct" w:w="35%"/>
            <w:tcMar>
              <w:top w:type="dxa" w:w="80"/>
              <w:left w:type="dxa" w:w="120"/>
              <w:bottom w:type="dxa" w:w="80"/>
              <w:right w:type="dxa" w:w="120"/>
            </w:tcMar>
          </w:tcPr>
          <w:p>
            <w:r>
              <w:rPr>
                <w:b w:val="false"/>
                <w:bCs w:val="false"/>
                <w:color w:val="1E293B"/>
                <w:sz w:val="20"/>
                <w:szCs w:val="20"/>
              </w:rPr>
              <w:t xml:space="preserve">Analytics</w:t>
            </w:r>
          </w:p>
        </w:tc>
        <w:tc>
          <w:tcPr>
            <w:tcW w:type="pct" w:w="65%"/>
            <w:tcMar>
              <w:top w:type="dxa" w:w="80"/>
              <w:left w:type="dxa" w:w="120"/>
              <w:bottom w:type="dxa" w:w="80"/>
              <w:right w:type="dxa" w:w="120"/>
            </w:tcMar>
          </w:tcPr>
          <w:p>
            <w:r>
              <w:rPr>
                <w:b w:val="false"/>
                <w:bCs w:val="false"/>
                <w:color w:val="1E293B"/>
                <w:sz w:val="20"/>
                <w:szCs w:val="20"/>
              </w:rPr>
              <w:t xml:space="preserve">Restock budget planning and expiry-risk insights</w:t>
            </w:r>
          </w:p>
        </w:tc>
      </w:tr>
      <w:tr>
        <w:tc>
          <w:tcPr>
            <w:tcW w:type="pct" w:w="35%"/>
            <w:tcMar>
              <w:top w:type="dxa" w:w="80"/>
              <w:left w:type="dxa" w:w="120"/>
              <w:bottom w:type="dxa" w:w="80"/>
              <w:right w:type="dxa" w:w="120"/>
            </w:tcMar>
          </w:tcPr>
          <w:p>
            <w:r>
              <w:rPr>
                <w:b w:val="false"/>
                <w:bCs w:val="false"/>
                <w:color w:val="1E293B"/>
                <w:sz w:val="20"/>
                <w:szCs w:val="20"/>
              </w:rPr>
              <w:t xml:space="preserve">Settings</w:t>
            </w:r>
          </w:p>
        </w:tc>
        <w:tc>
          <w:tcPr>
            <w:tcW w:type="pct" w:w="65%"/>
            <w:tcMar>
              <w:top w:type="dxa" w:w="80"/>
              <w:left w:type="dxa" w:w="120"/>
              <w:bottom w:type="dxa" w:w="80"/>
              <w:right w:type="dxa" w:w="120"/>
            </w:tcMar>
          </w:tcPr>
          <w:p>
            <w:r>
              <w:rPr>
                <w:b w:val="false"/>
                <w:bCs w:val="false"/>
                <w:color w:val="1E293B"/>
                <w:sz w:val="20"/>
                <w:szCs w:val="20"/>
              </w:rPr>
              <w:t xml:space="preserve">App preferences, commission rates, and window options</w:t>
            </w:r>
          </w:p>
        </w:tc>
      </w:tr>
      <w:tr>
        <w:tc>
          <w:tcPr>
            <w:tcW w:type="pct" w:w="35%"/>
            <w:tcMar>
              <w:top w:type="dxa" w:w="80"/>
              <w:left w:type="dxa" w:w="120"/>
              <w:bottom w:type="dxa" w:w="80"/>
              <w:right w:type="dxa" w:w="120"/>
            </w:tcMar>
          </w:tcPr>
          <w:p>
            <w:r>
              <w:rPr>
                <w:b w:val="false"/>
                <w:bCs w:val="false"/>
                <w:color w:val="1E293B"/>
                <w:sz w:val="20"/>
                <w:szCs w:val="20"/>
              </w:rPr>
              <w:t xml:space="preserve">Accounts</w:t>
            </w:r>
          </w:p>
        </w:tc>
        <w:tc>
          <w:tcPr>
            <w:tcW w:type="pct" w:w="65%"/>
            <w:tcMar>
              <w:top w:type="dxa" w:w="80"/>
              <w:left w:type="dxa" w:w="120"/>
              <w:bottom w:type="dxa" w:w="80"/>
              <w:right w:type="dxa" w:w="120"/>
            </w:tcMar>
          </w:tcPr>
          <w:p>
            <w:r>
              <w:rPr>
                <w:b w:val="false"/>
                <w:bCs w:val="false"/>
                <w:color w:val="1E293B"/>
                <w:sz w:val="20"/>
                <w:szCs w:val="20"/>
              </w:rPr>
              <w:t xml:space="preserve">Link and manage connected marketplace stores</w:t>
            </w:r>
          </w:p>
        </w:tc>
      </w:tr>
      <w:tr>
        <w:tc>
          <w:tcPr>
            <w:tcW w:type="pct" w:w="35%"/>
            <w:tcMar>
              <w:top w:type="dxa" w:w="80"/>
              <w:left w:type="dxa" w:w="120"/>
              <w:bottom w:type="dxa" w:w="80"/>
              <w:right w:type="dxa" w:w="120"/>
            </w:tcMar>
          </w:tcPr>
          <w:p>
            <w:r>
              <w:rPr>
                <w:b w:val="false"/>
                <w:bCs w:val="false"/>
                <w:color w:val="1E293B"/>
                <w:sz w:val="20"/>
                <w:szCs w:val="20"/>
              </w:rPr>
              <w:t xml:space="preserve">Help &amp; Support</w:t>
            </w:r>
          </w:p>
        </w:tc>
        <w:tc>
          <w:tcPr>
            <w:tcW w:type="pct" w:w="65%"/>
            <w:tcMar>
              <w:top w:type="dxa" w:w="80"/>
              <w:left w:type="dxa" w:w="120"/>
              <w:bottom w:type="dxa" w:w="80"/>
              <w:right w:type="dxa" w:w="120"/>
            </w:tcMar>
          </w:tcPr>
          <w:p>
            <w:r>
              <w:rPr>
                <w:b w:val="false"/>
                <w:bCs w:val="false"/>
                <w:color w:val="1E293B"/>
                <w:sz w:val="20"/>
                <w:szCs w:val="20"/>
              </w:rPr>
              <w:t xml:space="preserve">Contact details for technical support</w:t>
            </w:r>
          </w:p>
        </w:tc>
      </w:tr>
    </w:tbl>
    <w:p>
      <w:pPr>
        <w:spacing w:after="120"/>
      </w:pPr>
    </w:p>
    <w:p>
      <w:pPr>
        <w:spacing w:after="160"/>
      </w:pPr>
      <w:r>
        <w:t xml:space="preserve">Click any item to switch pages; the current page's content fills the right-hand panel. Click "Logout" at the bottom of the sidebar to sign out.</w:t>
      </w:r>
    </w:p>
    <w:p>
      <w:pPr>
        <w:pStyle w:val="Heading1"/>
        <w:spacing w:after="200" w:before="400"/>
      </w:pPr>
      <w:r>
        <w:t xml:space="preserve">4. Dashboard</w:t>
      </w:r>
    </w:p>
    <w:p>
      <w:pPr>
        <w:spacing w:after="160"/>
      </w:pPr>
      <w:r>
        <w:t xml:space="preserve">The Dashboard is the first screen you see after logging in. It summarizes your business at a glance.</w:t>
      </w:r>
    </w:p>
    <w:p>
      <w:pPr>
        <w:pStyle w:val="Heading2"/>
        <w:spacing w:after="120" w:before="300"/>
      </w:pPr>
      <w:r>
        <w:t xml:space="preserve">4.1 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Card</w:t>
            </w:r>
          </w:p>
        </w:tc>
        <w:tc>
          <w:tcPr>
            <w:tcW w:type="pct" w:w="65%"/>
            <w:shd w:fill="4F6EF7" w:val="clear"/>
            <w:tcMar>
              <w:top w:type="dxa" w:w="80"/>
              <w:left w:type="dxa" w:w="120"/>
              <w:bottom w:type="dxa" w:w="80"/>
              <w:right w:type="dxa" w:w="120"/>
            </w:tcMar>
          </w:tcPr>
          <w:p>
            <w:r>
              <w:rPr>
                <w:b/>
                <w:bCs/>
                <w:color w:val="FFFFFF"/>
                <w:sz w:val="20"/>
                <w:szCs w:val="20"/>
              </w:rPr>
              <w:t xml:space="preserve">Shows</w:t>
            </w:r>
          </w:p>
        </w:tc>
      </w:tr>
      <w:tr>
        <w:tc>
          <w:tcPr>
            <w:tcW w:type="pct" w:w="35%"/>
            <w:tcMar>
              <w:top w:type="dxa" w:w="80"/>
              <w:left w:type="dxa" w:w="120"/>
              <w:bottom w:type="dxa" w:w="80"/>
              <w:right w:type="dxa" w:w="120"/>
            </w:tcMar>
          </w:tcPr>
          <w:p>
            <w:r>
              <w:rPr>
                <w:b w:val="false"/>
                <w:bCs w:val="false"/>
                <w:color w:val="1E293B"/>
                <w:sz w:val="20"/>
                <w:szCs w:val="20"/>
              </w:rPr>
              <w:t xml:space="preserve">Total Orders</w:t>
            </w:r>
          </w:p>
        </w:tc>
        <w:tc>
          <w:tcPr>
            <w:tcW w:type="pct" w:w="65%"/>
            <w:tcMar>
              <w:top w:type="dxa" w:w="80"/>
              <w:left w:type="dxa" w:w="120"/>
              <w:bottom w:type="dxa" w:w="80"/>
              <w:right w:type="dxa" w:w="120"/>
            </w:tcMar>
          </w:tcPr>
          <w:p>
            <w:r>
              <w:rPr>
                <w:b w:val="false"/>
                <w:bCs w:val="false"/>
                <w:color w:val="1E293B"/>
                <w:sz w:val="20"/>
                <w:szCs w:val="20"/>
              </w:rPr>
              <w:t xml:space="preserve">Total number of order units recorded</w:t>
            </w:r>
          </w:p>
        </w:tc>
      </w:tr>
      <w:tr>
        <w:tc>
          <w:tcPr>
            <w:tcW w:type="pct" w:w="35%"/>
            <w:tcMar>
              <w:top w:type="dxa" w:w="80"/>
              <w:left w:type="dxa" w:w="120"/>
              <w:bottom w:type="dxa" w:w="80"/>
              <w:right w:type="dxa" w:w="120"/>
            </w:tcMar>
          </w:tcPr>
          <w:p>
            <w:r>
              <w:rPr>
                <w:b w:val="false"/>
                <w:bCs w:val="false"/>
                <w:color w:val="1E293B"/>
                <w:sz w:val="20"/>
                <w:szCs w:val="20"/>
              </w:rPr>
              <w:t xml:space="preserve">Total Revenue</w:t>
            </w:r>
          </w:p>
        </w:tc>
        <w:tc>
          <w:tcPr>
            <w:tcW w:type="pct" w:w="65%"/>
            <w:tcMar>
              <w:top w:type="dxa" w:w="80"/>
              <w:left w:type="dxa" w:w="120"/>
              <w:bottom w:type="dxa" w:w="80"/>
              <w:right w:type="dxa" w:w="120"/>
            </w:tcMar>
          </w:tcPr>
          <w:p>
            <w:r>
              <w:rPr>
                <w:b w:val="false"/>
                <w:bCs w:val="false"/>
                <w:color w:val="1E293B"/>
                <w:sz w:val="20"/>
                <w:szCs w:val="20"/>
              </w:rPr>
              <w:t xml:space="preserve">Total gross revenue across all recorded sales (RM)</w:t>
            </w:r>
          </w:p>
        </w:tc>
      </w:tr>
      <w:tr>
        <w:tc>
          <w:tcPr>
            <w:tcW w:type="pct" w:w="35%"/>
            <w:tcMar>
              <w:top w:type="dxa" w:w="80"/>
              <w:left w:type="dxa" w:w="120"/>
              <w:bottom w:type="dxa" w:w="80"/>
              <w:right w:type="dxa" w:w="120"/>
            </w:tcMar>
          </w:tcPr>
          <w:p>
            <w:r>
              <w:rPr>
                <w:b w:val="false"/>
                <w:bCs w:val="false"/>
                <w:color w:val="1E293B"/>
                <w:sz w:val="20"/>
                <w:szCs w:val="20"/>
              </w:rPr>
              <w:t xml:space="preserve">Platform Fees</w:t>
            </w:r>
          </w:p>
        </w:tc>
        <w:tc>
          <w:tcPr>
            <w:tcW w:type="pct" w:w="65%"/>
            <w:tcMar>
              <w:top w:type="dxa" w:w="80"/>
              <w:left w:type="dxa" w:w="120"/>
              <w:bottom w:type="dxa" w:w="80"/>
              <w:right w:type="dxa" w:w="120"/>
            </w:tcMar>
          </w:tcPr>
          <w:p>
            <w:r>
              <w:rPr>
                <w:b w:val="false"/>
                <w:bCs w:val="false"/>
                <w:color w:val="1E293B"/>
                <w:sz w:val="20"/>
                <w:szCs w:val="20"/>
              </w:rPr>
              <w:t xml:space="preserve">Total platform commission paid across all sales (RM)</w:t>
            </w:r>
          </w:p>
        </w:tc>
      </w:tr>
      <w:tr>
        <w:tc>
          <w:tcPr>
            <w:tcW w:type="pct" w:w="35%"/>
            <w:tcMar>
              <w:top w:type="dxa" w:w="80"/>
              <w:left w:type="dxa" w:w="120"/>
              <w:bottom w:type="dxa" w:w="80"/>
              <w:right w:type="dxa" w:w="120"/>
            </w:tcMar>
          </w:tcPr>
          <w:p>
            <w:r>
              <w:rPr>
                <w:b w:val="false"/>
                <w:bCs w:val="false"/>
                <w:color w:val="1E293B"/>
                <w:sz w:val="20"/>
                <w:szCs w:val="20"/>
              </w:rPr>
              <w:t xml:space="preserve">Low Stock</w:t>
            </w:r>
          </w:p>
        </w:tc>
        <w:tc>
          <w:tcPr>
            <w:tcW w:type="pct" w:w="65%"/>
            <w:tcMar>
              <w:top w:type="dxa" w:w="80"/>
              <w:left w:type="dxa" w:w="120"/>
              <w:bottom w:type="dxa" w:w="80"/>
              <w:right w:type="dxa" w:w="120"/>
            </w:tcMar>
          </w:tcPr>
          <w:p>
            <w:r>
              <w:rPr>
                <w:b w:val="false"/>
                <w:bCs w:val="false"/>
                <w:color w:val="1E293B"/>
                <w:sz w:val="20"/>
                <w:szCs w:val="20"/>
              </w:rPr>
              <w:t xml:space="preserve">Number of inventory items at or below their threshold — click through to Inventory</w:t>
            </w:r>
          </w:p>
        </w:tc>
      </w:tr>
    </w:tbl>
    <w:p>
      <w:pPr>
        <w:pStyle w:val="Heading2"/>
        <w:spacing w:after="120" w:before="300"/>
      </w:pPr>
      <w:r>
        <w:t xml:space="preserve">4.2 Platform Benchmarking Chart</w:t>
      </w:r>
    </w:p>
    <w:p>
      <w:pPr>
        <w:spacing w:after="160"/>
      </w:pPr>
      <w:r>
        <w:t xml:space="preserve">A chart comparing revenue, net profit, and platform fees across the platforms you sell on. It's populated once you've run at least one calculation in the Calculator page; until then it shows an empty-state prompt with a shortcut button to the Calculator.</w:t>
      </w:r>
    </w:p>
    <w:p>
      <w:pPr>
        <w:pStyle w:val="Heading2"/>
        <w:spacing w:after="120" w:before="300"/>
      </w:pPr>
      <w:r>
        <w:t xml:space="preserve">4.3 Quick Actions</w:t>
      </w:r>
    </w:p>
    <w:p>
      <w:pPr>
        <w:spacing w:after="160"/>
      </w:pPr>
      <w:r>
        <w:t xml:space="preserve">A shortcut panel for common tasks:</w:t>
      </w:r>
    </w:p>
    <w:p>
      <w:pPr>
        <w:pStyle w:val="ListParagraph"/>
        <w:numPr>
          <w:ilvl w:val="0"/>
          <w:numId w:val="1"/>
        </w:numPr>
        <w:spacing w:after="80"/>
      </w:pPr>
      <w:r>
        <w:t xml:space="preserve">Calculate Profit — jumps to the Calculator page</w:t>
      </w:r>
    </w:p>
    <w:p>
      <w:pPr>
        <w:pStyle w:val="ListParagraph"/>
        <w:numPr>
          <w:ilvl w:val="0"/>
          <w:numId w:val="1"/>
        </w:numPr>
        <w:spacing w:after="80"/>
      </w:pPr>
      <w:r>
        <w:t xml:space="preserve">Update Inventory — jumps to the Inventory page</w:t>
      </w:r>
    </w:p>
    <w:p>
      <w:pPr>
        <w:pStyle w:val="ListParagraph"/>
        <w:numPr>
          <w:ilvl w:val="0"/>
          <w:numId w:val="1"/>
        </w:numPr>
        <w:spacing w:after="80"/>
      </w:pPr>
      <w:r>
        <w:t xml:space="preserve">Track Shipments — jumps to the Logistics page</w:t>
      </w:r>
    </w:p>
    <w:p>
      <w:pPr>
        <w:pStyle w:val="ListParagraph"/>
        <w:numPr>
          <w:ilvl w:val="0"/>
          <w:numId w:val="1"/>
        </w:numPr>
        <w:spacing w:after="80"/>
      </w:pPr>
      <w:r>
        <w:t xml:space="preserve">View Profit Trends — jumps to the Analytics page</w:t>
      </w:r>
    </w:p>
    <w:p>
      <w:pPr>
        <w:pStyle w:val="ListParagraph"/>
        <w:numPr>
          <w:ilvl w:val="0"/>
          <w:numId w:val="1"/>
        </w:numPr>
        <w:spacing w:after="80"/>
      </w:pPr>
      <w:r>
        <w:t xml:space="preserve">Update Fee Rates — expands an inline panel to set Shopee / TikTok / Lazada commission percentages without leaving the Dashboard; click "Save &amp; Apply" to store them</w:t>
      </w:r>
    </w:p>
    <w:p>
      <w:pPr>
        <w:pStyle w:val="Heading2"/>
        <w:spacing w:after="120" w:before="300"/>
      </w:pPr>
      <w:r>
        <w:t xml:space="preserve">4.4 System Status</w:t>
      </w:r>
    </w:p>
    <w:p>
      <w:pPr>
        <w:spacing w:after="160"/>
      </w:pPr>
      <w:r>
        <w:t xml:space="preserve">A small indicator confirming local services are running normally.</w:t>
      </w:r>
    </w:p>
    <w:p>
      <w:pPr>
        <w:pStyle w:val="Heading1"/>
        <w:spacing w:after="200" w:before="400"/>
      </w:pPr>
      <w:r>
        <w:t xml:space="preserve">5. Orders</w:t>
      </w:r>
    </w:p>
    <w:p>
      <w:pPr>
        <w:spacing w:after="160"/>
      </w:pPr>
      <w:r>
        <w:t xml:space="preserve">The Orders page lists marketplace orders that have been synced into MEPIO.</w:t>
      </w:r>
    </w:p>
    <w:p>
      <w:pPr>
        <w:pStyle w:val="Heading2"/>
        <w:spacing w:after="120" w:before="300"/>
      </w:pPr>
      <w:r>
        <w:t xml:space="preserve">5.1 Filtering by Platform</w:t>
      </w:r>
    </w:p>
    <w:p>
      <w:pPr>
        <w:spacing w:after="160"/>
      </w:pPr>
      <w:r>
        <w:t xml:space="preserve">Use the "Platform Channel" dropdown in the filter bar to narrow the list to a specific marketplace, or view all platforms together.</w:t>
      </w:r>
    </w:p>
    <w:p>
      <w:pPr>
        <w:pStyle w:val="Heading2"/>
        <w:spacing w:after="120" w:before="300"/>
      </w:pPr>
      <w:r>
        <w:t xml:space="preserve">5.2 Syncing Orders</w:t>
      </w:r>
    </w:p>
    <w:p>
      <w:pPr>
        <w:spacing w:after="160"/>
      </w:pPr>
      <w:r>
        <w:t xml:space="preserve">Click "🔄 Sync Orders" to pull the latest orders. Live syncing requires a connected marketplace account — see Section 11, Accounts.</w:t>
      </w:r>
    </w:p>
    <w:p>
      <w:pPr>
        <w:pStyle w:val="Heading2"/>
        <w:spacing w:after="120" w:before="300"/>
      </w:pPr>
      <w:r>
        <w:t xml:space="preserve">5.3 Reading the Order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Column</w:t>
            </w:r>
          </w:p>
        </w:tc>
        <w:tc>
          <w:tcPr>
            <w:tcW w:type="pct" w:w="65%"/>
            <w:shd w:fill="4F6EF7" w:val="clear"/>
            <w:tcMar>
              <w:top w:type="dxa" w:w="80"/>
              <w:left w:type="dxa" w:w="120"/>
              <w:bottom w:type="dxa" w:w="80"/>
              <w:right w:type="dxa" w:w="120"/>
            </w:tcMar>
          </w:tcPr>
          <w:p>
            <w:r>
              <w:rPr>
                <w:b/>
                <w:bCs/>
                <w:color w:val="FFFFFF"/>
                <w:sz w:val="20"/>
                <w:szCs w:val="20"/>
              </w:rPr>
              <w:t xml:space="preserve">Meaning</w:t>
            </w:r>
          </w:p>
        </w:tc>
      </w:tr>
      <w:tr>
        <w:tc>
          <w:tcPr>
            <w:tcW w:type="pct" w:w="35%"/>
            <w:tcMar>
              <w:top w:type="dxa" w:w="80"/>
              <w:left w:type="dxa" w:w="120"/>
              <w:bottom w:type="dxa" w:w="80"/>
              <w:right w:type="dxa" w:w="120"/>
            </w:tcMar>
          </w:tcPr>
          <w:p>
            <w:r>
              <w:rPr>
                <w:b w:val="false"/>
                <w:bCs w:val="false"/>
                <w:color w:val="1E293B"/>
                <w:sz w:val="20"/>
                <w:szCs w:val="20"/>
              </w:rPr>
              <w:t xml:space="preserve">Platform</w:t>
            </w:r>
          </w:p>
        </w:tc>
        <w:tc>
          <w:tcPr>
            <w:tcW w:type="pct" w:w="65%"/>
            <w:tcMar>
              <w:top w:type="dxa" w:w="80"/>
              <w:left w:type="dxa" w:w="120"/>
              <w:bottom w:type="dxa" w:w="80"/>
              <w:right w:type="dxa" w:w="120"/>
            </w:tcMar>
          </w:tcPr>
          <w:p>
            <w:r>
              <w:rPr>
                <w:b w:val="false"/>
                <w:bCs w:val="false"/>
                <w:color w:val="1E293B"/>
                <w:sz w:val="20"/>
                <w:szCs w:val="20"/>
              </w:rPr>
              <w:t xml:space="preserve">Which marketplace the order came from</w:t>
            </w:r>
          </w:p>
        </w:tc>
      </w:tr>
      <w:tr>
        <w:tc>
          <w:tcPr>
            <w:tcW w:type="pct" w:w="35%"/>
            <w:tcMar>
              <w:top w:type="dxa" w:w="80"/>
              <w:left w:type="dxa" w:w="120"/>
              <w:bottom w:type="dxa" w:w="80"/>
              <w:right w:type="dxa" w:w="120"/>
            </w:tcMar>
          </w:tcPr>
          <w:p>
            <w:r>
              <w:rPr>
                <w:b w:val="false"/>
                <w:bCs w:val="false"/>
                <w:color w:val="1E293B"/>
                <w:sz w:val="20"/>
                <w:szCs w:val="20"/>
              </w:rPr>
              <w:t xml:space="preserve">Order Credentials &amp; Items</w:t>
            </w:r>
          </w:p>
        </w:tc>
        <w:tc>
          <w:tcPr>
            <w:tcW w:type="pct" w:w="65%"/>
            <w:tcMar>
              <w:top w:type="dxa" w:w="80"/>
              <w:left w:type="dxa" w:w="120"/>
              <w:bottom w:type="dxa" w:w="80"/>
              <w:right w:type="dxa" w:w="120"/>
            </w:tcMar>
          </w:tcPr>
          <w:p>
            <w:r>
              <w:rPr>
                <w:b w:val="false"/>
                <w:bCs w:val="false"/>
                <w:color w:val="1E293B"/>
                <w:sz w:val="20"/>
                <w:szCs w:val="20"/>
              </w:rPr>
              <w:t xml:space="preserve">Order/shop reference and the items included</w:t>
            </w:r>
          </w:p>
        </w:tc>
      </w:tr>
      <w:tr>
        <w:tc>
          <w:tcPr>
            <w:tcW w:type="pct" w:w="35%"/>
            <w:tcMar>
              <w:top w:type="dxa" w:w="80"/>
              <w:left w:type="dxa" w:w="120"/>
              <w:bottom w:type="dxa" w:w="80"/>
              <w:right w:type="dxa" w:w="120"/>
            </w:tcMar>
          </w:tcPr>
          <w:p>
            <w:r>
              <w:rPr>
                <w:b w:val="false"/>
                <w:bCs w:val="false"/>
                <w:color w:val="1E293B"/>
                <w:sz w:val="20"/>
                <w:szCs w:val="20"/>
              </w:rPr>
              <w:t xml:space="preserve">Status</w:t>
            </w:r>
          </w:p>
        </w:tc>
        <w:tc>
          <w:tcPr>
            <w:tcW w:type="pct" w:w="65%"/>
            <w:tcMar>
              <w:top w:type="dxa" w:w="80"/>
              <w:left w:type="dxa" w:w="120"/>
              <w:bottom w:type="dxa" w:w="80"/>
              <w:right w:type="dxa" w:w="120"/>
            </w:tcMar>
          </w:tcPr>
          <w:p>
            <w:r>
              <w:rPr>
                <w:b w:val="false"/>
                <w:bCs w:val="false"/>
                <w:color w:val="1E293B"/>
                <w:sz w:val="20"/>
                <w:szCs w:val="20"/>
              </w:rPr>
              <w:t xml:space="preserve">Current fulfilment status</w:t>
            </w:r>
          </w:p>
        </w:tc>
      </w:tr>
      <w:tr>
        <w:tc>
          <w:tcPr>
            <w:tcW w:type="pct" w:w="35%"/>
            <w:tcMar>
              <w:top w:type="dxa" w:w="80"/>
              <w:left w:type="dxa" w:w="120"/>
              <w:bottom w:type="dxa" w:w="80"/>
              <w:right w:type="dxa" w:w="120"/>
            </w:tcMar>
          </w:tcPr>
          <w:p>
            <w:r>
              <w:rPr>
                <w:b w:val="false"/>
                <w:bCs w:val="false"/>
                <w:color w:val="1E293B"/>
                <w:sz w:val="20"/>
                <w:szCs w:val="20"/>
              </w:rPr>
              <w:t xml:space="preserve">Order Value</w:t>
            </w:r>
          </w:p>
        </w:tc>
        <w:tc>
          <w:tcPr>
            <w:tcW w:type="pct" w:w="65%"/>
            <w:tcMar>
              <w:top w:type="dxa" w:w="80"/>
              <w:left w:type="dxa" w:w="120"/>
              <w:bottom w:type="dxa" w:w="80"/>
              <w:right w:type="dxa" w:w="120"/>
            </w:tcMar>
          </w:tcPr>
          <w:p>
            <w:r>
              <w:rPr>
                <w:b w:val="false"/>
                <w:bCs w:val="false"/>
                <w:color w:val="1E293B"/>
                <w:sz w:val="20"/>
                <w:szCs w:val="20"/>
              </w:rPr>
              <w:t xml:space="preserve">Gross value of the order (RM)</w:t>
            </w:r>
          </w:p>
        </w:tc>
      </w:tr>
    </w:tbl>
    <w:p>
      <w:pPr>
        <w:pBdr>
          <w:left w:val="single" w:color="4F6EF7" w:sz="18" w:space="8"/>
        </w:pBdr>
        <w:shd w:fill="EEF2FF" w:val="clear"/>
        <w:spacing w:after="200" w:before="100"/>
        <w:ind w:left="200"/>
      </w:pPr>
      <w:r>
        <w:rPr>
          <w:b/>
          <w:bCs/>
          <w:color w:val="4F6EF7"/>
        </w:rPr>
        <w:t xml:space="preserve">Note: </w:t>
      </w:r>
      <w:r>
        <w:t xml:space="preserve">If no orders have been synced yet, the table shows a prompt to click "🔄 Sync Orders" to pull data.</w:t>
      </w:r>
    </w:p>
    <w:p>
      <w:pPr>
        <w:pStyle w:val="Heading1"/>
        <w:spacing w:after="200" w:before="400"/>
      </w:pPr>
      <w:r>
        <w:t xml:space="preserve">6. Inventory Management</w:t>
      </w:r>
    </w:p>
    <w:p>
      <w:pPr>
        <w:spacing w:after="160"/>
      </w:pPr>
      <w:r>
        <w:t xml:space="preserve">The Inventory page is where you record stock counts, watch for low-stock items, and generate restock paperwork. It's the most frequently used page for day-to-day stock control.</w:t>
      </w:r>
    </w:p>
    <w:p>
      <w:pPr>
        <w:pStyle w:val="Heading2"/>
        <w:spacing w:after="120" w:before="300"/>
      </w:pPr>
      <w:r>
        <w:t xml:space="preserve">6.1 Adding or Restocking an Item</w:t>
      </w:r>
    </w:p>
    <w:p>
      <w:pPr>
        <w:pStyle w:val="ListParagraph"/>
        <w:numPr>
          <w:ilvl w:val="0"/>
          <w:numId w:val="2"/>
        </w:numPr>
        <w:spacing w:after="80"/>
      </w:pPr>
      <w:r>
        <w:t xml:space="preserve">Fill in Item Name and Item Code / SKU.</w:t>
      </w:r>
    </w:p>
    <w:p>
      <w:pPr>
        <w:pStyle w:val="ListParagraph"/>
        <w:numPr>
          <w:ilvl w:val="0"/>
          <w:numId w:val="2"/>
        </w:numPr>
        <w:spacing w:after="80"/>
      </w:pPr>
      <w:r>
        <w:t xml:space="preserve">Enter the Quantity to add.</w:t>
      </w:r>
    </w:p>
    <w:p>
      <w:pPr>
        <w:pStyle w:val="ListParagraph"/>
        <w:numPr>
          <w:ilvl w:val="0"/>
          <w:numId w:val="2"/>
        </w:numPr>
        <w:spacing w:after="80"/>
      </w:pPr>
      <w:r>
        <w:t xml:space="preserve">Optionally enter a Low Stock Threshold (defaults to 5 for new items).</w:t>
      </w:r>
    </w:p>
    <w:p>
      <w:pPr>
        <w:pStyle w:val="ListParagraph"/>
        <w:numPr>
          <w:ilvl w:val="0"/>
          <w:numId w:val="2"/>
        </w:numPr>
        <w:spacing w:after="80"/>
      </w:pPr>
      <w:r>
        <w:t xml:space="preserve">Click "➕ Add Item".</w:t>
      </w:r>
    </w:p>
    <w:p>
      <w:pPr>
        <w:spacing w:after="160"/>
      </w:pPr>
      <w:r>
        <w:t xml:space="preserve">If the SKU already exists, the quantity you enter is added to the current stock (not replaced). If you also typed a threshold, it updates the item's threshold; if you leave the threshold field blank while restocking, the item's existing threshold is kept.</w:t>
      </w:r>
    </w:p>
    <w:p>
      <w:pPr>
        <w:pBdr>
          <w:left w:val="single" w:color="C0392B" w:sz="18" w:space="8"/>
        </w:pBdr>
        <w:shd w:fill="FEF2F2" w:val="clear"/>
        <w:spacing w:after="200" w:before="100"/>
        <w:ind w:left="200"/>
      </w:pPr>
      <w:r>
        <w:rPr>
          <w:b/>
          <w:bCs/>
          <w:color w:val="C0392B"/>
        </w:rPr>
        <w:t xml:space="preserve">Caution: </w:t>
      </w:r>
      <w:r>
        <w:t xml:space="preserve">The quantity entered here must be a positive number — it cannot be used to subtract stock.</w:t>
      </w:r>
    </w:p>
    <w:p>
      <w:pPr>
        <w:pStyle w:val="Heading2"/>
        <w:spacing w:after="120" w:before="300"/>
      </w:pPr>
      <w:r>
        <w:t xml:space="preserve">6.2 Removing Stock</w:t>
      </w:r>
    </w:p>
    <w:p>
      <w:pPr>
        <w:pStyle w:val="ListParagraph"/>
        <w:numPr>
          <w:ilvl w:val="0"/>
          <w:numId w:val="2"/>
        </w:numPr>
        <w:spacing w:after="80"/>
      </w:pPr>
      <w:r>
        <w:t xml:space="preserve">Enter the Item Code / SKU.</w:t>
      </w:r>
    </w:p>
    <w:p>
      <w:pPr>
        <w:pStyle w:val="ListParagraph"/>
        <w:numPr>
          <w:ilvl w:val="0"/>
          <w:numId w:val="2"/>
        </w:numPr>
        <w:spacing w:after="80"/>
      </w:pPr>
      <w:r>
        <w:t xml:space="preserve">Enter the Quantity to remove.</w:t>
      </w:r>
    </w:p>
    <w:p>
      <w:pPr>
        <w:pStyle w:val="ListParagraph"/>
        <w:numPr>
          <w:ilvl w:val="0"/>
          <w:numId w:val="2"/>
        </w:numPr>
        <w:spacing w:after="80"/>
      </w:pPr>
      <w:r>
        <w:t xml:space="preserve">Click "➖ Remove Item".</w:t>
      </w:r>
    </w:p>
    <w:p>
      <w:pPr>
        <w:spacing w:after="160"/>
      </w:pPr>
      <w:r>
        <w:t xml:space="preserve">You cannot remove more units than are currently in stock, and the SKU must already exist — MEPIO will show an error message in either case.</w:t>
      </w:r>
    </w:p>
    <w:p>
      <w:pPr>
        <w:pBdr>
          <w:left w:val="single" w:color="4F6EF7" w:sz="18" w:space="8"/>
        </w:pBdr>
        <w:shd w:fill="EEF2FF" w:val="clear"/>
        <w:spacing w:after="200" w:before="100"/>
        <w:ind w:left="200"/>
      </w:pPr>
      <w:r>
        <w:rPr>
          <w:b/>
          <w:bCs/>
          <w:color w:val="4F6EF7"/>
        </w:rPr>
        <w:t xml:space="preserve">Note: </w:t>
      </w:r>
      <w:r>
        <w:t xml:space="preserve">Removing stock down to 0 does not delete the item. It simply shows as "Out of Stock" (flagged Low Stock) so its history and threshold are preserved. Use Delete Item (6.4) to remove it from the list entirely.</w:t>
      </w:r>
    </w:p>
    <w:p>
      <w:pPr>
        <w:pStyle w:val="Heading2"/>
        <w:spacing w:after="120" w:before="300"/>
      </w:pPr>
      <w:r>
        <w:t xml:space="preserve">6.3 Setting a Low Stock Threshold</w:t>
      </w:r>
    </w:p>
    <w:p>
      <w:pPr>
        <w:pStyle w:val="ListParagraph"/>
        <w:numPr>
          <w:ilvl w:val="0"/>
          <w:numId w:val="2"/>
        </w:numPr>
        <w:spacing w:after="80"/>
      </w:pPr>
      <w:r>
        <w:t xml:space="preserve">Enter the Item Code / SKU of an existing item.</w:t>
      </w:r>
    </w:p>
    <w:p>
      <w:pPr>
        <w:pStyle w:val="ListParagraph"/>
        <w:numPr>
          <w:ilvl w:val="0"/>
          <w:numId w:val="2"/>
        </w:numPr>
        <w:spacing w:after="80"/>
      </w:pPr>
      <w:r>
        <w:t xml:space="preserve">Enter the new threshold value in Low Stock Threshold.</w:t>
      </w:r>
    </w:p>
    <w:p>
      <w:pPr>
        <w:pStyle w:val="ListParagraph"/>
        <w:numPr>
          <w:ilvl w:val="0"/>
          <w:numId w:val="2"/>
        </w:numPr>
        <w:spacing w:after="80"/>
      </w:pPr>
      <w:r>
        <w:t xml:space="preserve">Click "⚙️ Set Threshold".</w:t>
      </w:r>
    </w:p>
    <w:p>
      <w:pPr>
        <w:spacing w:after="160"/>
      </w:pPr>
      <w:r>
        <w:t xml:space="preserve">An item is flagged Low Stock whenever its quantity is at or below this threshold.</w:t>
      </w:r>
    </w:p>
    <w:p>
      <w:pPr>
        <w:pStyle w:val="Heading2"/>
        <w:spacing w:after="120" w:before="300"/>
      </w:pPr>
      <w:r>
        <w:t xml:space="preserve">6.4 Deleting an Item</w:t>
      </w:r>
    </w:p>
    <w:p>
      <w:pPr>
        <w:spacing w:after="160"/>
      </w:pPr>
      <w:r>
        <w:t xml:space="preserve">Use this when an item should be removed from inventory entirely — for example, a discontinued product.</w:t>
      </w:r>
    </w:p>
    <w:p>
      <w:pPr>
        <w:spacing w:after="160"/>
      </w:pPr>
      <w:r>
        <w:t xml:space="preserve">There are two ways to delete an item:</w:t>
      </w:r>
    </w:p>
    <w:p>
      <w:pPr>
        <w:pStyle w:val="ListParagraph"/>
        <w:numPr>
          <w:ilvl w:val="0"/>
          <w:numId w:val="1"/>
        </w:numPr>
        <w:spacing w:after="80"/>
      </w:pPr>
      <w:r>
        <w:t xml:space="preserve">Toolbar: enter the Item Code / SKU, then click "🗑 Delete Item".</w:t>
      </w:r>
    </w:p>
    <w:p>
      <w:pPr>
        <w:pStyle w:val="ListParagraph"/>
        <w:numPr>
          <w:ilvl w:val="0"/>
          <w:numId w:val="1"/>
        </w:numPr>
        <w:spacing w:after="80"/>
      </w:pPr>
      <w:r>
        <w:t xml:space="preserve">Row shortcut: click the 🗑 icon at the right-hand edge of the item's row in the stock table.</w:t>
      </w:r>
    </w:p>
    <w:p>
      <w:pPr>
        <w:spacing w:after="160"/>
      </w:pPr>
      <w:r>
        <w:t xml:space="preserve">Either way, MEPIO asks you to confirm before deleting, since this action cannot be undone.</w:t>
      </w:r>
    </w:p>
    <w:p>
      <w:pPr>
        <w:pBdr>
          <w:left w:val="single" w:color="C0392B" w:sz="18" w:space="8"/>
        </w:pBdr>
        <w:shd w:fill="FEF2F2" w:val="clear"/>
        <w:spacing w:after="200" w:before="100"/>
        <w:ind w:left="200"/>
      </w:pPr>
      <w:r>
        <w:rPr>
          <w:b/>
          <w:bCs/>
          <w:color w:val="C0392B"/>
        </w:rPr>
        <w:t xml:space="preserve">Caution: </w:t>
      </w:r>
      <w:r>
        <w:t xml:space="preserve">Deleting removes the item and its stock history permanently. If you just want to zero out the quantity, use Remove Item or the row's quantity controls instead — the item will stay in the list at 0 units.</w:t>
      </w:r>
    </w:p>
    <w:p>
      <w:pPr>
        <w:pStyle w:val="Heading2"/>
        <w:spacing w:after="120" w:before="300"/>
      </w:pPr>
      <w:r>
        <w:t xml:space="preserve">6.5 The Stock Table</w:t>
      </w:r>
    </w:p>
    <w:p>
      <w:pPr>
        <w:spacing w:after="160"/>
      </w:pPr>
      <w:r>
        <w:t xml:space="preserve">Each row in "Current Stock" shows the SKU, product name, quantity, threshold, and status, and supports several direct interactions:</w:t>
      </w:r>
    </w:p>
    <w:p>
      <w:pPr>
        <w:pStyle w:val="ListParagraph"/>
        <w:numPr>
          <w:ilvl w:val="0"/>
          <w:numId w:val="1"/>
        </w:numPr>
        <w:spacing w:after="80"/>
      </w:pPr>
      <w:r>
        <w:t xml:space="preserve">Click a row (or the SKU/name/threshold/status text) to copy that item's code and name into the input fields above, ready for editing.</w:t>
      </w:r>
    </w:p>
    <w:p>
      <w:pPr>
        <w:pStyle w:val="ListParagraph"/>
        <w:numPr>
          <w:ilvl w:val="0"/>
          <w:numId w:val="1"/>
        </w:numPr>
        <w:spacing w:after="80"/>
      </w:pPr>
      <w:r>
        <w:t xml:space="preserve">Use the − and + buttons to adjust quantity by 1 unit at a time.</w:t>
      </w:r>
    </w:p>
    <w:p>
      <w:pPr>
        <w:pStyle w:val="ListParagraph"/>
        <w:numPr>
          <w:ilvl w:val="0"/>
          <w:numId w:val="1"/>
        </w:numPr>
        <w:spacing w:after="80"/>
      </w:pPr>
      <w:r>
        <w:t xml:space="preserve">Click directly on the quantity number to type an exact new value. Press Enter to save, or Esc to cancel.</w:t>
      </w:r>
    </w:p>
    <w:p>
      <w:pPr>
        <w:pStyle w:val="ListParagraph"/>
        <w:numPr>
          <w:ilvl w:val="0"/>
          <w:numId w:val="1"/>
        </w:numPr>
        <w:spacing w:after="80"/>
      </w:pPr>
      <w:r>
        <w:t xml:space="preserve">Click the 🗑 icon to delete the item (with confirmation).</w:t>
      </w:r>
    </w:p>
    <w:p>
      <w:pPr>
        <w:spacing w:after="160"/>
      </w:pPr>
      <w:r>
        <w:t xml:space="preserve">Rows shaded red are at or below their low-stock threshold.</w:t>
      </w:r>
    </w:p>
    <w:p>
      <w:pPr>
        <w:pStyle w:val="Heading2"/>
        <w:spacing w:after="120" w:before="300"/>
      </w:pPr>
      <w:r>
        <w:t xml:space="preserve">6.6 Search and Filters</w:t>
      </w:r>
    </w:p>
    <w:p>
      <w:pPr>
        <w:spacing w:after="160"/>
      </w:pPr>
      <w:r>
        <w:t xml:space="preserve">Above the stock table:</w:t>
      </w:r>
    </w:p>
    <w:p>
      <w:pPr>
        <w:pStyle w:val="ListParagraph"/>
        <w:numPr>
          <w:ilvl w:val="0"/>
          <w:numId w:val="1"/>
        </w:numPr>
        <w:spacing w:after="80"/>
      </w:pPr>
      <w:r>
        <w:t xml:space="preserve">Type in the Search box to filter by product name or SKU as you type.</w:t>
      </w:r>
    </w:p>
    <w:p>
      <w:pPr>
        <w:pStyle w:val="ListParagraph"/>
        <w:numPr>
          <w:ilvl w:val="0"/>
          <w:numId w:val="1"/>
        </w:numPr>
        <w:spacing w:after="80"/>
      </w:pPr>
      <w:r>
        <w:t xml:space="preserve">Use the All / Low Stock / OK buttons to show every item, only low-stock items, or only items above threshold.</w:t>
      </w:r>
    </w:p>
    <w:p>
      <w:pPr>
        <w:spacing w:after="160"/>
      </w:pPr>
      <w:r>
        <w:t xml:space="preserve">The low-stock summary banner at the top of the card always reflects your full inventory, regardless of the current search or filter — it won't hide an alert just because a matching item isn't currently shown.</w:t>
      </w:r>
    </w:p>
    <w:p>
      <w:pPr>
        <w:pStyle w:val="Heading2"/>
        <w:spacing w:after="120" w:before="300"/>
      </w:pPr>
      <w:r>
        <w:t xml:space="preserve">6.7 Autocomplete</w:t>
      </w:r>
    </w:p>
    <w:p>
      <w:pPr>
        <w:spacing w:after="160"/>
      </w:pPr>
      <w:r>
        <w:t xml:space="preserve">Start typing in the Item Name or Item Code / SKU field to see a dropdown of matching existing items. Click a suggestion to fill in both fields, or press the Down arrow key to move into the suggestion list and press Enter to select the highlighted item.</w:t>
      </w:r>
    </w:p>
    <w:p>
      <w:pPr>
        <w:pStyle w:val="Heading2"/>
        <w:spacing w:after="120" w:before="300"/>
      </w:pPr>
      <w:r>
        <w:t xml:space="preserve">6.8 Low Stock Alerts</w:t>
      </w:r>
    </w:p>
    <w:p>
      <w:pPr>
        <w:spacing w:after="160"/>
      </w:pPr>
      <w:r>
        <w:t xml:space="preserve">When an item's quantity drops to or below its threshold during your session, MEPIO shows a one-time pop-up alert. Items that were already low when you opened the app do not re-trigger a pop-up on startup — check the red banner at the top of the stock card, or use the Low Stock filter, to review them.</w:t>
      </w:r>
    </w:p>
    <w:p>
      <w:pPr>
        <w:pStyle w:val="Heading2"/>
        <w:spacing w:after="120" w:before="300"/>
      </w:pPr>
      <w:r>
        <w:t xml:space="preserve">6.9 Generating a Restock Invoice</w:t>
      </w:r>
    </w:p>
    <w:p>
      <w:pPr>
        <w:pStyle w:val="ListParagraph"/>
        <w:numPr>
          <w:ilvl w:val="0"/>
          <w:numId w:val="2"/>
        </w:numPr>
        <w:spacing w:after="80"/>
      </w:pPr>
      <w:r>
        <w:t xml:space="preserve">Fill in Item Name, Item Code / SKU, and Quantity in the input fields.</w:t>
      </w:r>
    </w:p>
    <w:p>
      <w:pPr>
        <w:pStyle w:val="ListParagraph"/>
        <w:numPr>
          <w:ilvl w:val="0"/>
          <w:numId w:val="2"/>
        </w:numPr>
        <w:spacing w:after="80"/>
      </w:pPr>
      <w:r>
        <w:t xml:space="preserve">Click "📄 Print Restock Invoice".</w:t>
      </w:r>
    </w:p>
    <w:p>
      <w:pPr>
        <w:pStyle w:val="ListParagraph"/>
        <w:numPr>
          <w:ilvl w:val="0"/>
          <w:numId w:val="2"/>
        </w:numPr>
        <w:spacing w:after="80"/>
      </w:pPr>
      <w:r>
        <w:t xml:space="preserve">In the popup, enter the Supplier Company Name and Unit Cost Price (RM).</w:t>
      </w:r>
    </w:p>
    <w:p>
      <w:pPr>
        <w:pStyle w:val="ListParagraph"/>
        <w:numPr>
          <w:ilvl w:val="0"/>
          <w:numId w:val="2"/>
        </w:numPr>
        <w:spacing w:after="80"/>
      </w:pPr>
      <w:r>
        <w:t xml:space="preserve">Click "Generate &amp; Print Invoice".</w:t>
      </w:r>
    </w:p>
    <w:p>
      <w:pPr>
        <w:spacing w:after="160"/>
      </w:pPr>
      <w:r>
        <w:t xml:space="preserve">MEPIO calculates the total (quantity × unit cost), saves the invoice as a text file named Restock_Invoice_&lt;SKU&gt;.txt in the application folder, and opens it automatically.</w:t>
      </w:r>
    </w:p>
    <w:p>
      <w:pPr>
        <w:pBdr>
          <w:left w:val="single" w:color="4F6EF7" w:sz="18" w:space="8"/>
        </w:pBdr>
        <w:shd w:fill="EEF2FF" w:val="clear"/>
        <w:spacing w:after="200" w:before="100"/>
        <w:ind w:left="200"/>
      </w:pPr>
      <w:r>
        <w:rPr>
          <w:b/>
          <w:bCs/>
          <w:color w:val="4F6EF7"/>
        </w:rPr>
        <w:t xml:space="preserve">Note: </w:t>
      </w:r>
      <w:r>
        <w:t xml:space="preserve">Generating another invoice for the same SKU overwrites the previous invoice file for that SKU, since the filename is based on the SKU alone.</w:t>
      </w:r>
    </w:p>
    <w:p>
      <w:pPr>
        <w:pStyle w:val="Heading2"/>
        <w:spacing w:after="120" w:before="300"/>
      </w:pPr>
      <w:r>
        <w:t xml:space="preserve">6.10 Viewing Saved Invoices</w:t>
      </w:r>
    </w:p>
    <w:p>
      <w:pPr>
        <w:spacing w:after="160"/>
      </w:pPr>
      <w:r>
        <w:t xml:space="preserve">Click "📂 View Saved Invoices" to open the application folder in your system's file explorer, where all generated invoice text files are stored.</w:t>
      </w:r>
    </w:p>
    <w:p>
      <w:pPr>
        <w:pStyle w:val="Heading1"/>
        <w:spacing w:after="200" w:before="400"/>
      </w:pPr>
      <w:r>
        <w:t xml:space="preserve">7. Logistics</w:t>
      </w:r>
    </w:p>
    <w:p>
      <w:pPr>
        <w:spacing w:after="160"/>
      </w:pPr>
      <w:r>
        <w:t xml:space="preserve">The Logistics page has three tabs for tracking parcels and comparing couriers.</w:t>
      </w:r>
    </w:p>
    <w:p>
      <w:pPr>
        <w:pStyle w:val="Heading2"/>
        <w:spacing w:after="120" w:before="300"/>
      </w:pPr>
      <w:r>
        <w:t xml:space="preserve">7.1 Inbound (Supplier Restock)</w:t>
      </w:r>
    </w:p>
    <w:p>
      <w:pPr>
        <w:pStyle w:val="ListParagraph"/>
        <w:numPr>
          <w:ilvl w:val="0"/>
          <w:numId w:val="2"/>
        </w:numPr>
        <w:spacing w:after="80"/>
      </w:pPr>
      <w:r>
        <w:t xml:space="preserve">Enter the tracking number in the Inbound Track Number field.</w:t>
      </w:r>
    </w:p>
    <w:p>
      <w:pPr>
        <w:pStyle w:val="ListParagraph"/>
        <w:numPr>
          <w:ilvl w:val="0"/>
          <w:numId w:val="2"/>
        </w:numPr>
        <w:spacing w:after="80"/>
      </w:pPr>
      <w:r>
        <w:t xml:space="preserve">Choose a courier/tracker — 17TRACK (Universal), Cainiao (Taobao), or MyPoz (Malaysia Sea Freight).</w:t>
      </w:r>
    </w:p>
    <w:p>
      <w:pPr>
        <w:pStyle w:val="ListParagraph"/>
        <w:numPr>
          <w:ilvl w:val="0"/>
          <w:numId w:val="2"/>
        </w:numPr>
        <w:spacing w:after="80"/>
      </w:pPr>
      <w:r>
        <w:t xml:space="preserve">Click "Track Parcel".</w:t>
      </w:r>
    </w:p>
    <w:p>
      <w:pPr>
        <w:pStyle w:val="Heading2"/>
        <w:spacing w:after="120" w:before="300"/>
      </w:pPr>
      <w:r>
        <w:t xml:space="preserve">7.2 Outbound (Customer Orders)</w:t>
      </w:r>
    </w:p>
    <w:p>
      <w:pPr>
        <w:pStyle w:val="ListParagraph"/>
        <w:numPr>
          <w:ilvl w:val="0"/>
          <w:numId w:val="2"/>
        </w:numPr>
        <w:spacing w:after="80"/>
      </w:pPr>
      <w:r>
        <w:t xml:space="preserve">Enter the tracking number in the Outbound Track Number field.</w:t>
      </w:r>
    </w:p>
    <w:p>
      <w:pPr>
        <w:pStyle w:val="ListParagraph"/>
        <w:numPr>
          <w:ilvl w:val="0"/>
          <w:numId w:val="2"/>
        </w:numPr>
        <w:spacing w:after="80"/>
      </w:pPr>
      <w:r>
        <w:t xml:space="preserve">Click "Track via Tracking.my" — used for local Malaysian couriers such as J&amp;T and Shopee Express.</w:t>
      </w:r>
    </w:p>
    <w:p>
      <w:pPr>
        <w:pStyle w:val="Heading2"/>
        <w:spacing w:after="120" w:before="300"/>
      </w:pPr>
      <w:r>
        <w:t xml:space="preserve">7.3 Recent Tracking</w:t>
      </w:r>
    </w:p>
    <w:p>
      <w:pPr>
        <w:spacing w:after="160"/>
      </w:pPr>
      <w:r>
        <w:t xml:space="preserve">Both tabs keep a short list of recently tracked numbers for quick re-checking; click the ✖ next to an entry to remove it from the recent list.</w:t>
      </w:r>
    </w:p>
    <w:p>
      <w:pPr>
        <w:pStyle w:val="Heading2"/>
        <w:spacing w:after="120" w:before="300"/>
      </w:pPr>
      <w:r>
        <w:t xml:space="preserve">7.4 Carrier Efficiency</w:t>
      </w:r>
    </w:p>
    <w:p>
      <w:pPr>
        <w:spacing w:after="160"/>
      </w:pPr>
      <w:r>
        <w:t xml:space="preserve">This tab charts average delivery speed, on-time rate, and cost-per-parcel across local couriers, based on your order history. Click "🔄 Refresh Chart" to recalculate after new data comes in.</w:t>
      </w:r>
    </w:p>
    <w:p>
      <w:pPr>
        <w:pBdr>
          <w:left w:val="single" w:color="4F6EF7" w:sz="18" w:space="8"/>
        </w:pBdr>
        <w:shd w:fill="EEF2FF" w:val="clear"/>
        <w:spacing w:after="200" w:before="100"/>
        <w:ind w:left="200"/>
      </w:pPr>
      <w:r>
        <w:rPr>
          <w:b/>
          <w:bCs/>
          <w:color w:val="4F6EF7"/>
        </w:rPr>
        <w:t xml:space="preserve">Note: </w:t>
      </w:r>
      <w:r>
        <w:t xml:space="preserve">Carrier efficiency figures are based on simulated order history unless a live courier API is connected in Settings.</w:t>
      </w:r>
    </w:p>
    <w:p>
      <w:pPr>
        <w:pStyle w:val="Heading1"/>
        <w:spacing w:after="200" w:before="400"/>
      </w:pPr>
      <w:r>
        <w:t xml:space="preserve">8. Calculator</w:t>
      </w:r>
    </w:p>
    <w:p>
      <w:pPr>
        <w:spacing w:after="160"/>
      </w:pPr>
      <w:r>
        <w:t xml:space="preserve">The Calculator works out the real net profit of a single sale after every fee and cost is accounted for.</w:t>
      </w:r>
    </w:p>
    <w:p>
      <w:pPr>
        <w:pStyle w:val="Heading2"/>
        <w:spacing w:after="120" w:before="300"/>
      </w:pPr>
      <w:r>
        <w:t xml:space="preserve">8.1 Product &amp; Platform Details</w:t>
      </w:r>
    </w:p>
    <w:p>
      <w:pPr>
        <w:pStyle w:val="ListParagraph"/>
        <w:numPr>
          <w:ilvl w:val="0"/>
          <w:numId w:val="1"/>
        </w:numPr>
        <w:spacing w:after="80"/>
      </w:pPr>
      <w:r>
        <w:t xml:space="preserve">Target Platform — choose Shopee, TikTok, or Lazada; this auto-fills the platform fee percentage from your saved rates</w:t>
      </w:r>
    </w:p>
    <w:p>
      <w:pPr>
        <w:pStyle w:val="ListParagraph"/>
        <w:numPr>
          <w:ilvl w:val="0"/>
          <w:numId w:val="1"/>
        </w:numPr>
        <w:spacing w:after="80"/>
      </w:pPr>
      <w:r>
        <w:t xml:space="preserve">Cost Price (RM) — what you paid for the item</w:t>
      </w:r>
    </w:p>
    <w:p>
      <w:pPr>
        <w:pStyle w:val="ListParagraph"/>
        <w:numPr>
          <w:ilvl w:val="0"/>
          <w:numId w:val="1"/>
        </w:numPr>
        <w:spacing w:after="80"/>
      </w:pPr>
      <w:r>
        <w:t xml:space="preserve">Selling Price (RM) — what the customer pays</w:t>
      </w:r>
    </w:p>
    <w:p>
      <w:pPr>
        <w:pStyle w:val="ListParagraph"/>
        <w:numPr>
          <w:ilvl w:val="0"/>
          <w:numId w:val="1"/>
        </w:numPr>
        <w:spacing w:after="80"/>
      </w:pPr>
      <w:r>
        <w:t xml:space="preserve">Platform Fee (%) — auto-filled, editable</w:t>
      </w:r>
    </w:p>
    <w:p>
      <w:pPr>
        <w:pStyle w:val="ListParagraph"/>
        <w:numPr>
          <w:ilvl w:val="0"/>
          <w:numId w:val="1"/>
        </w:numPr>
        <w:spacing w:after="80"/>
      </w:pPr>
      <w:r>
        <w:t xml:space="preserve">Shipping Fee Paid by Seller (RM)</w:t>
      </w:r>
    </w:p>
    <w:p>
      <w:pPr>
        <w:pStyle w:val="ListParagraph"/>
        <w:numPr>
          <w:ilvl w:val="0"/>
          <w:numId w:val="1"/>
        </w:numPr>
        <w:spacing w:after="80"/>
      </w:pPr>
      <w:r>
        <w:t xml:space="preserve">Estimated Tax Rate (%)</w:t>
      </w:r>
    </w:p>
    <w:p>
      <w:pPr>
        <w:pStyle w:val="ListParagraph"/>
        <w:numPr>
          <w:ilvl w:val="0"/>
          <w:numId w:val="1"/>
        </w:numPr>
        <w:spacing w:after="80"/>
      </w:pPr>
      <w:r>
        <w:t xml:space="preserve">Partner Profit Share (%) — for split arrangements with a business partner</w:t>
      </w:r>
    </w:p>
    <w:p>
      <w:pPr>
        <w:pStyle w:val="Heading2"/>
        <w:spacing w:after="120" w:before="300"/>
      </w:pPr>
      <w:r>
        <w:t xml:space="preserve">8.2 Packaging Cost Breakdown</w:t>
      </w:r>
    </w:p>
    <w:p>
      <w:pPr>
        <w:pStyle w:val="ListParagraph"/>
        <w:numPr>
          <w:ilvl w:val="0"/>
          <w:numId w:val="1"/>
        </w:numPr>
        <w:spacing w:after="80"/>
      </w:pPr>
      <w:r>
        <w:t xml:space="preserve">Package Size Preset — Small Flyer, Medium Box, Large Box, or Custom/Manual, which auto-fills a base package cost you can override</w:t>
      </w:r>
    </w:p>
    <w:p>
      <w:pPr>
        <w:pStyle w:val="ListParagraph"/>
        <w:numPr>
          <w:ilvl w:val="0"/>
          <w:numId w:val="1"/>
        </w:numPr>
        <w:spacing w:after="80"/>
      </w:pPr>
      <w:r>
        <w:t xml:space="preserve">Base Package Cost (RM)</w:t>
      </w:r>
    </w:p>
    <w:p>
      <w:pPr>
        <w:pStyle w:val="ListParagraph"/>
        <w:numPr>
          <w:ilvl w:val="0"/>
          <w:numId w:val="1"/>
        </w:numPr>
        <w:spacing w:after="80"/>
      </w:pPr>
      <w:r>
        <w:t xml:space="preserve">Labor Cost per Item (RM)</w:t>
      </w:r>
    </w:p>
    <w:p>
      <w:pPr>
        <w:pStyle w:val="ListParagraph"/>
        <w:numPr>
          <w:ilvl w:val="0"/>
          <w:numId w:val="1"/>
        </w:numPr>
        <w:spacing w:after="80"/>
      </w:pPr>
      <w:r>
        <w:t xml:space="preserve">Other Buffer Cost (RM)</w:t>
      </w:r>
    </w:p>
    <w:p>
      <w:pPr>
        <w:pStyle w:val="Heading2"/>
        <w:spacing w:after="120" w:before="300"/>
      </w:pPr>
      <w:r>
        <w:t xml:space="preserve">8.3 Running the Calculation</w:t>
      </w:r>
    </w:p>
    <w:p>
      <w:pPr>
        <w:spacing w:after="160"/>
      </w:pPr>
      <w:r>
        <w:t xml:space="preserve">Click "Calculate Net Profit". The Financial Summary panel on the right updates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Result</w:t>
            </w:r>
          </w:p>
        </w:tc>
        <w:tc>
          <w:tcPr>
            <w:tcW w:type="pct" w:w="65%"/>
            <w:shd w:fill="4F6EF7" w:val="clear"/>
            <w:tcMar>
              <w:top w:type="dxa" w:w="80"/>
              <w:left w:type="dxa" w:w="120"/>
              <w:bottom w:type="dxa" w:w="80"/>
              <w:right w:type="dxa" w:w="120"/>
            </w:tcMar>
          </w:tcPr>
          <w:p>
            <w:r>
              <w:rPr>
                <w:b/>
                <w:bCs/>
                <w:color w:val="FFFFFF"/>
                <w:sz w:val="20"/>
                <w:szCs w:val="20"/>
              </w:rPr>
              <w:t xml:space="preserve">Meaning</w:t>
            </w:r>
          </w:p>
        </w:tc>
      </w:tr>
      <w:tr>
        <w:tc>
          <w:tcPr>
            <w:tcW w:type="pct" w:w="35%"/>
            <w:tcMar>
              <w:top w:type="dxa" w:w="80"/>
              <w:left w:type="dxa" w:w="120"/>
              <w:bottom w:type="dxa" w:w="80"/>
              <w:right w:type="dxa" w:w="120"/>
            </w:tcMar>
          </w:tcPr>
          <w:p>
            <w:r>
              <w:rPr>
                <w:b w:val="false"/>
                <w:bCs w:val="false"/>
                <w:color w:val="1E293B"/>
                <w:sz w:val="20"/>
                <w:szCs w:val="20"/>
              </w:rPr>
              <w:t xml:space="preserve">Gross Profit</w:t>
            </w:r>
          </w:p>
        </w:tc>
        <w:tc>
          <w:tcPr>
            <w:tcW w:type="pct" w:w="65%"/>
            <w:tcMar>
              <w:top w:type="dxa" w:w="80"/>
              <w:left w:type="dxa" w:w="120"/>
              <w:bottom w:type="dxa" w:w="80"/>
              <w:right w:type="dxa" w:w="120"/>
            </w:tcMar>
          </w:tcPr>
          <w:p>
            <w:r>
              <w:rPr>
                <w:b w:val="false"/>
                <w:bCs w:val="false"/>
                <w:color w:val="1E293B"/>
                <w:sz w:val="20"/>
                <w:szCs w:val="20"/>
              </w:rPr>
              <w:t xml:space="preserve">Selling price minus cost price</w:t>
            </w:r>
          </w:p>
        </w:tc>
      </w:tr>
      <w:tr>
        <w:tc>
          <w:tcPr>
            <w:tcW w:type="pct" w:w="35%"/>
            <w:tcMar>
              <w:top w:type="dxa" w:w="80"/>
              <w:left w:type="dxa" w:w="120"/>
              <w:bottom w:type="dxa" w:w="80"/>
              <w:right w:type="dxa" w:w="120"/>
            </w:tcMar>
          </w:tcPr>
          <w:p>
            <w:r>
              <w:rPr>
                <w:b w:val="false"/>
                <w:bCs w:val="false"/>
                <w:color w:val="1E293B"/>
                <w:sz w:val="20"/>
                <w:szCs w:val="20"/>
              </w:rPr>
              <w:t xml:space="preserve">Tax Provisioning</w:t>
            </w:r>
          </w:p>
        </w:tc>
        <w:tc>
          <w:tcPr>
            <w:tcW w:type="pct" w:w="65%"/>
            <w:tcMar>
              <w:top w:type="dxa" w:w="80"/>
              <w:left w:type="dxa" w:w="120"/>
              <w:bottom w:type="dxa" w:w="80"/>
              <w:right w:type="dxa" w:w="120"/>
            </w:tcMar>
          </w:tcPr>
          <w:p>
            <w:r>
              <w:rPr>
                <w:b w:val="false"/>
                <w:bCs w:val="false"/>
                <w:color w:val="1E293B"/>
                <w:sz w:val="20"/>
                <w:szCs w:val="20"/>
              </w:rPr>
              <w:t xml:space="preserve">Estimated tax set aside</w:t>
            </w:r>
          </w:p>
        </w:tc>
      </w:tr>
      <w:tr>
        <w:tc>
          <w:tcPr>
            <w:tcW w:type="pct" w:w="35%"/>
            <w:tcMar>
              <w:top w:type="dxa" w:w="80"/>
              <w:left w:type="dxa" w:w="120"/>
              <w:bottom w:type="dxa" w:w="80"/>
              <w:right w:type="dxa" w:w="120"/>
            </w:tcMar>
          </w:tcPr>
          <w:p>
            <w:r>
              <w:rPr>
                <w:b w:val="false"/>
                <w:bCs w:val="false"/>
                <w:color w:val="1E293B"/>
                <w:sz w:val="20"/>
                <w:szCs w:val="20"/>
              </w:rPr>
              <w:t xml:space="preserve">Partner Share</w:t>
            </w:r>
          </w:p>
        </w:tc>
        <w:tc>
          <w:tcPr>
            <w:tcW w:type="pct" w:w="65%"/>
            <w:tcMar>
              <w:top w:type="dxa" w:w="80"/>
              <w:left w:type="dxa" w:w="120"/>
              <w:bottom w:type="dxa" w:w="80"/>
              <w:right w:type="dxa" w:w="120"/>
            </w:tcMar>
          </w:tcPr>
          <w:p>
            <w:r>
              <w:rPr>
                <w:b w:val="false"/>
                <w:bCs w:val="false"/>
                <w:color w:val="1E293B"/>
                <w:sz w:val="20"/>
                <w:szCs w:val="20"/>
              </w:rPr>
              <w:t xml:space="preserve">Amount allocated to a profit-sharing partner, if any</w:t>
            </w:r>
          </w:p>
        </w:tc>
      </w:tr>
      <w:tr>
        <w:tc>
          <w:tcPr>
            <w:tcW w:type="pct" w:w="35%"/>
            <w:tcMar>
              <w:top w:type="dxa" w:w="80"/>
              <w:left w:type="dxa" w:w="120"/>
              <w:bottom w:type="dxa" w:w="80"/>
              <w:right w:type="dxa" w:w="120"/>
            </w:tcMar>
          </w:tcPr>
          <w:p>
            <w:r>
              <w:rPr>
                <w:b w:val="false"/>
                <w:bCs w:val="false"/>
                <w:color w:val="1E293B"/>
                <w:sz w:val="20"/>
                <w:szCs w:val="20"/>
              </w:rPr>
              <w:t xml:space="preserve">Final Take-Home</w:t>
            </w:r>
          </w:p>
        </w:tc>
        <w:tc>
          <w:tcPr>
            <w:tcW w:type="pct" w:w="65%"/>
            <w:tcMar>
              <w:top w:type="dxa" w:w="80"/>
              <w:left w:type="dxa" w:w="120"/>
              <w:bottom w:type="dxa" w:w="80"/>
              <w:right w:type="dxa" w:w="120"/>
            </w:tcMar>
          </w:tcPr>
          <w:p>
            <w:r>
              <w:rPr>
                <w:b w:val="false"/>
                <w:bCs w:val="false"/>
                <w:color w:val="1E293B"/>
                <w:sz w:val="20"/>
                <w:szCs w:val="20"/>
              </w:rPr>
              <w:t xml:space="preserve">What you actually keep after all fees and costs</w:t>
            </w:r>
          </w:p>
        </w:tc>
      </w:tr>
      <w:tr>
        <w:tc>
          <w:tcPr>
            <w:tcW w:type="pct" w:w="35%"/>
            <w:tcMar>
              <w:top w:type="dxa" w:w="80"/>
              <w:left w:type="dxa" w:w="120"/>
              <w:bottom w:type="dxa" w:w="80"/>
              <w:right w:type="dxa" w:w="120"/>
            </w:tcMar>
          </w:tcPr>
          <w:p>
            <w:r>
              <w:rPr>
                <w:b w:val="false"/>
                <w:bCs w:val="false"/>
                <w:color w:val="1E293B"/>
                <w:sz w:val="20"/>
                <w:szCs w:val="20"/>
              </w:rPr>
              <w:t xml:space="preserve">ROI (%)</w:t>
            </w:r>
          </w:p>
        </w:tc>
        <w:tc>
          <w:tcPr>
            <w:tcW w:type="pct" w:w="65%"/>
            <w:tcMar>
              <w:top w:type="dxa" w:w="80"/>
              <w:left w:type="dxa" w:w="120"/>
              <w:bottom w:type="dxa" w:w="80"/>
              <w:right w:type="dxa" w:w="120"/>
            </w:tcMar>
          </w:tcPr>
          <w:p>
            <w:r>
              <w:rPr>
                <w:b w:val="false"/>
                <w:bCs w:val="false"/>
                <w:color w:val="1E293B"/>
                <w:sz w:val="20"/>
                <w:szCs w:val="20"/>
              </w:rPr>
              <w:t xml:space="preserve">Return on your cost investment</w:t>
            </w:r>
          </w:p>
        </w:tc>
      </w:tr>
      <w:tr>
        <w:tc>
          <w:tcPr>
            <w:tcW w:type="pct" w:w="35%"/>
            <w:tcMar>
              <w:top w:type="dxa" w:w="80"/>
              <w:left w:type="dxa" w:w="120"/>
              <w:bottom w:type="dxa" w:w="80"/>
              <w:right w:type="dxa" w:w="120"/>
            </w:tcMar>
          </w:tcPr>
          <w:p>
            <w:r>
              <w:rPr>
                <w:b w:val="false"/>
                <w:bCs w:val="false"/>
                <w:color w:val="1E293B"/>
                <w:sz w:val="20"/>
                <w:szCs w:val="20"/>
              </w:rPr>
              <w:t xml:space="preserve">Total Packaging Cost</w:t>
            </w:r>
          </w:p>
        </w:tc>
        <w:tc>
          <w:tcPr>
            <w:tcW w:type="pct" w:w="65%"/>
            <w:tcMar>
              <w:top w:type="dxa" w:w="80"/>
              <w:left w:type="dxa" w:w="120"/>
              <w:bottom w:type="dxa" w:w="80"/>
              <w:right w:type="dxa" w:w="120"/>
            </w:tcMar>
          </w:tcPr>
          <w:p>
            <w:r>
              <w:rPr>
                <w:b w:val="false"/>
                <w:bCs w:val="false"/>
                <w:color w:val="1E293B"/>
                <w:sz w:val="20"/>
                <w:szCs w:val="20"/>
              </w:rPr>
              <w:t xml:space="preserve">Sum of base, labor, and buffer packaging costs</w:t>
            </w:r>
          </w:p>
        </w:tc>
      </w:tr>
      <w:tr>
        <w:tc>
          <w:tcPr>
            <w:tcW w:type="pct" w:w="35%"/>
            <w:tcMar>
              <w:top w:type="dxa" w:w="80"/>
              <w:left w:type="dxa" w:w="120"/>
              <w:bottom w:type="dxa" w:w="80"/>
              <w:right w:type="dxa" w:w="120"/>
            </w:tcMar>
          </w:tcPr>
          <w:p>
            <w:r>
              <w:rPr>
                <w:b w:val="false"/>
                <w:bCs w:val="false"/>
                <w:color w:val="1E293B"/>
                <w:sz w:val="20"/>
                <w:szCs w:val="20"/>
              </w:rPr>
              <w:t xml:space="preserve">Platform Fees</w:t>
            </w:r>
          </w:p>
        </w:tc>
        <w:tc>
          <w:tcPr>
            <w:tcW w:type="pct" w:w="65%"/>
            <w:tcMar>
              <w:top w:type="dxa" w:w="80"/>
              <w:left w:type="dxa" w:w="120"/>
              <w:bottom w:type="dxa" w:w="80"/>
              <w:right w:type="dxa" w:w="120"/>
            </w:tcMar>
          </w:tcPr>
          <w:p>
            <w:r>
              <w:rPr>
                <w:b w:val="false"/>
                <w:bCs w:val="false"/>
                <w:color w:val="1E293B"/>
                <w:sz w:val="20"/>
                <w:szCs w:val="20"/>
              </w:rPr>
              <w:t xml:space="preserve">Commission paid to the marketplace</w:t>
            </w:r>
          </w:p>
        </w:tc>
      </w:tr>
    </w:tbl>
    <w:p>
      <w:pPr>
        <w:spacing w:after="160"/>
      </w:pPr>
      <w:r>
        <w:t xml:space="preserve">An insight message below the results offers a quick read on whether the sale is worth running at these numbers.</w:t>
      </w:r>
    </w:p>
    <w:p>
      <w:pPr>
        <w:pStyle w:val="Heading1"/>
        <w:spacing w:after="200" w:before="400"/>
      </w:pPr>
      <w:r>
        <w:t xml:space="preserve">9. Analytics</w:t>
      </w:r>
    </w:p>
    <w:p>
      <w:pPr>
        <w:spacing w:after="160"/>
      </w:pPr>
      <w:r>
        <w:t xml:space="preserve">The Analytics page helps you plan restocking based on sales velocity and expiry risk.</w:t>
      </w:r>
    </w:p>
    <w:p>
      <w:pPr>
        <w:pStyle w:val="Heading2"/>
        <w:spacing w:after="120" w:before="300"/>
      </w:pPr>
      <w:r>
        <w:t xml:space="preserve">9.1 KPI Cards</w:t>
      </w:r>
    </w:p>
    <w:p>
      <w:pPr>
        <w:pStyle w:val="ListParagraph"/>
        <w:numPr>
          <w:ilvl w:val="0"/>
          <w:numId w:val="1"/>
        </w:numPr>
        <w:spacing w:after="80"/>
      </w:pPr>
      <w:r>
        <w:t xml:space="preserve">Total Procurement Budget Needed — estimated RM required to restock based on your inputs</w:t>
      </w:r>
    </w:p>
    <w:p>
      <w:pPr>
        <w:pStyle w:val="ListParagraph"/>
        <w:numPr>
          <w:ilvl w:val="0"/>
          <w:numId w:val="1"/>
        </w:numPr>
        <w:spacing w:after="80"/>
      </w:pPr>
      <w:r>
        <w:t xml:space="preserve">Inventory Batches Near Expiry — units at risk of expiring before they sell</w:t>
      </w:r>
    </w:p>
    <w:p>
      <w:pPr>
        <w:pStyle w:val="Heading2"/>
        <w:spacing w:after="120" w:before="300"/>
      </w:pPr>
      <w:r>
        <w:t xml:space="preserve">9.2 Manual Optimization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Field</w:t>
            </w:r>
          </w:p>
        </w:tc>
        <w:tc>
          <w:tcPr>
            <w:tcW w:type="pct" w:w="65%"/>
            <w:shd w:fill="4F6EF7" w:val="clear"/>
            <w:tcMar>
              <w:top w:type="dxa" w:w="80"/>
              <w:left w:type="dxa" w:w="120"/>
              <w:bottom w:type="dxa" w:w="80"/>
              <w:right w:type="dxa" w:w="120"/>
            </w:tcMar>
          </w:tcPr>
          <w:p>
            <w:r>
              <w:rPr>
                <w:b/>
                <w:bCs/>
                <w:color w:val="FFFFFF"/>
                <w:sz w:val="20"/>
                <w:szCs w:val="20"/>
              </w:rPr>
              <w:t xml:space="preserve">Default</w:t>
            </w:r>
          </w:p>
        </w:tc>
      </w:tr>
      <w:tr>
        <w:tc>
          <w:tcPr>
            <w:tcW w:type="pct" w:w="35%"/>
            <w:tcMar>
              <w:top w:type="dxa" w:w="80"/>
              <w:left w:type="dxa" w:w="120"/>
              <w:bottom w:type="dxa" w:w="80"/>
              <w:right w:type="dxa" w:w="120"/>
            </w:tcMar>
          </w:tcPr>
          <w:p>
            <w:r>
              <w:rPr>
                <w:b w:val="false"/>
                <w:bCs w:val="false"/>
                <w:color w:val="1E293B"/>
                <w:sz w:val="20"/>
                <w:szCs w:val="20"/>
              </w:rPr>
              <w:t xml:space="preserve">Current Local Stock (Units)</w:t>
            </w:r>
          </w:p>
        </w:tc>
        <w:tc>
          <w:tcPr>
            <w:tcW w:type="pct" w:w="65%"/>
            <w:tcMar>
              <w:top w:type="dxa" w:w="80"/>
              <w:left w:type="dxa" w:w="120"/>
              <w:bottom w:type="dxa" w:w="80"/>
              <w:right w:type="dxa" w:w="120"/>
            </w:tcMar>
          </w:tcPr>
          <w:p>
            <w:r>
              <w:rPr>
                <w:b w:val="false"/>
                <w:bCs w:val="false"/>
                <w:color w:val="1E293B"/>
                <w:sz w:val="20"/>
                <w:szCs w:val="20"/>
              </w:rPr>
              <w:t xml:space="preserve">50</w:t>
            </w:r>
          </w:p>
        </w:tc>
      </w:tr>
      <w:tr>
        <w:tc>
          <w:tcPr>
            <w:tcW w:type="pct" w:w="35%"/>
            <w:tcMar>
              <w:top w:type="dxa" w:w="80"/>
              <w:left w:type="dxa" w:w="120"/>
              <w:bottom w:type="dxa" w:w="80"/>
              <w:right w:type="dxa" w:w="120"/>
            </w:tcMar>
          </w:tcPr>
          <w:p>
            <w:r>
              <w:rPr>
                <w:b w:val="false"/>
                <w:bCs w:val="false"/>
                <w:color w:val="1E293B"/>
                <w:sz w:val="20"/>
                <w:szCs w:val="20"/>
              </w:rPr>
              <w:t xml:space="preserve">Average Daily Sales (Units)</w:t>
            </w:r>
          </w:p>
        </w:tc>
        <w:tc>
          <w:tcPr>
            <w:tcW w:type="pct" w:w="65%"/>
            <w:tcMar>
              <w:top w:type="dxa" w:w="80"/>
              <w:left w:type="dxa" w:w="120"/>
              <w:bottom w:type="dxa" w:w="80"/>
              <w:right w:type="dxa" w:w="120"/>
            </w:tcMar>
          </w:tcPr>
          <w:p>
            <w:r>
              <w:rPr>
                <w:b w:val="false"/>
                <w:bCs w:val="false"/>
                <w:color w:val="1E293B"/>
                <w:sz w:val="20"/>
                <w:szCs w:val="20"/>
              </w:rPr>
              <w:t xml:space="preserve">10</w:t>
            </w:r>
          </w:p>
        </w:tc>
      </w:tr>
      <w:tr>
        <w:tc>
          <w:tcPr>
            <w:tcW w:type="pct" w:w="35%"/>
            <w:tcMar>
              <w:top w:type="dxa" w:w="80"/>
              <w:left w:type="dxa" w:w="120"/>
              <w:bottom w:type="dxa" w:w="80"/>
              <w:right w:type="dxa" w:w="120"/>
            </w:tcMar>
          </w:tcPr>
          <w:p>
            <w:r>
              <w:rPr>
                <w:b w:val="false"/>
                <w:bCs w:val="false"/>
                <w:color w:val="1E293B"/>
                <w:sz w:val="20"/>
                <w:szCs w:val="20"/>
              </w:rPr>
              <w:t xml:space="preserve">Stock Near Expiry (Units)</w:t>
            </w:r>
          </w:p>
        </w:tc>
        <w:tc>
          <w:tcPr>
            <w:tcW w:type="pct" w:w="65%"/>
            <w:tcMar>
              <w:top w:type="dxa" w:w="80"/>
              <w:left w:type="dxa" w:w="120"/>
              <w:bottom w:type="dxa" w:w="80"/>
              <w:right w:type="dxa" w:w="120"/>
            </w:tcMar>
          </w:tcPr>
          <w:p>
            <w:r>
              <w:rPr>
                <w:b w:val="false"/>
                <w:bCs w:val="false"/>
                <w:color w:val="1E293B"/>
                <w:sz w:val="20"/>
                <w:szCs w:val="20"/>
              </w:rPr>
              <w:t xml:space="preserve">35</w:t>
            </w:r>
          </w:p>
        </w:tc>
      </w:tr>
      <w:tr>
        <w:tc>
          <w:tcPr>
            <w:tcW w:type="pct" w:w="35%"/>
            <w:tcMar>
              <w:top w:type="dxa" w:w="80"/>
              <w:left w:type="dxa" w:w="120"/>
              <w:bottom w:type="dxa" w:w="80"/>
              <w:right w:type="dxa" w:w="120"/>
            </w:tcMar>
          </w:tcPr>
          <w:p>
            <w:r>
              <w:rPr>
                <w:b w:val="false"/>
                <w:bCs w:val="false"/>
                <w:color w:val="1E293B"/>
                <w:sz w:val="20"/>
                <w:szCs w:val="20"/>
              </w:rPr>
              <w:t xml:space="preserve">Supplier Cost per Unit (RM)</w:t>
            </w:r>
          </w:p>
        </w:tc>
        <w:tc>
          <w:tcPr>
            <w:tcW w:type="pct" w:w="65%"/>
            <w:tcMar>
              <w:top w:type="dxa" w:w="80"/>
              <w:left w:type="dxa" w:w="120"/>
              <w:bottom w:type="dxa" w:w="80"/>
              <w:right w:type="dxa" w:w="120"/>
            </w:tcMar>
          </w:tcPr>
          <w:p>
            <w:r>
              <w:rPr>
                <w:b w:val="false"/>
                <w:bCs w:val="false"/>
                <w:color w:val="1E293B"/>
                <w:sz w:val="20"/>
                <w:szCs w:val="20"/>
              </w:rPr>
              <w:t xml:space="preserve">10.00</w:t>
            </w:r>
          </w:p>
        </w:tc>
      </w:tr>
    </w:tbl>
    <w:p>
      <w:pPr>
        <w:spacing w:after="160"/>
      </w:pPr>
      <w:r>
        <w:t xml:space="preserve">Adjust these to match your actual numbers, then click "Run Restock Optimization".</w:t>
      </w:r>
    </w:p>
    <w:p>
      <w:pPr>
        <w:pStyle w:val="Heading2"/>
        <w:spacing w:after="120" w:before="300"/>
      </w:pPr>
      <w:r>
        <w:t xml:space="preserve">9.3 Smart Sourcing Recommendations</w:t>
      </w:r>
    </w:p>
    <w:p>
      <w:pPr>
        <w:spacing w:after="160"/>
      </w:pPr>
      <w:r>
        <w:t xml:space="preserve">After running the optimization, this panel gives a plain-language recommendation on how much and how soon to reorder, based on your sales velocity versus current stock.</w:t>
      </w:r>
    </w:p>
    <w:p>
      <w:pPr>
        <w:pBdr>
          <w:left w:val="single" w:color="4F6EF7" w:sz="18" w:space="8"/>
        </w:pBdr>
        <w:shd w:fill="EEF2FF" w:val="clear"/>
        <w:spacing w:after="200" w:before="100"/>
        <w:ind w:left="200"/>
      </w:pPr>
      <w:r>
        <w:rPr>
          <w:b/>
          <w:bCs/>
          <w:color w:val="4F6EF7"/>
        </w:rPr>
        <w:t xml:space="preserve">Note: </w:t>
      </w:r>
      <w:r>
        <w:t xml:space="preserve">Enter numeric values only — non-numeric input will show an input error instead of a recommendation.</w:t>
      </w:r>
    </w:p>
    <w:p>
      <w:pPr>
        <w:pStyle w:val="Heading1"/>
        <w:spacing w:after="200" w:before="400"/>
      </w:pPr>
      <w:r>
        <w:t xml:space="preserve">10. Settings</w:t>
      </w:r>
    </w:p>
    <w:p>
      <w:pPr>
        <w:spacing w:after="160"/>
      </w:pPr>
      <w:r>
        <w:t xml:space="preserve">General application preferences live here.</w:t>
      </w:r>
    </w:p>
    <w:p>
      <w:pPr>
        <w:pStyle w:val="ListParagraph"/>
        <w:numPr>
          <w:ilvl w:val="0"/>
          <w:numId w:val="1"/>
        </w:numPr>
        <w:spacing w:after="80"/>
      </w:pPr>
      <w:r>
        <w:t xml:space="preserve">Enable Dark Mode Visualization — toggles the app's color scheme</w:t>
      </w:r>
    </w:p>
    <w:p>
      <w:pPr>
        <w:pStyle w:val="ListParagraph"/>
        <w:numPr>
          <w:ilvl w:val="0"/>
          <w:numId w:val="1"/>
        </w:numPr>
        <w:spacing w:after="80"/>
      </w:pPr>
      <w:r>
        <w:t xml:space="preserve">Startup Default View Viewport — choose which page MEPIO opens to after login</w:t>
      </w:r>
    </w:p>
    <w:p>
      <w:pPr>
        <w:pStyle w:val="ListParagraph"/>
        <w:numPr>
          <w:ilvl w:val="0"/>
          <w:numId w:val="1"/>
        </w:numPr>
        <w:spacing w:after="80"/>
      </w:pPr>
      <w:r>
        <w:t xml:space="preserve">Marketplace Commission Fee Percentages — set the default Shopee, TikTok, and Lazada rates used to auto-fill the Calculator</w:t>
      </w:r>
    </w:p>
    <w:p>
      <w:pPr>
        <w:pStyle w:val="ListParagraph"/>
        <w:numPr>
          <w:ilvl w:val="0"/>
          <w:numId w:val="1"/>
        </w:numPr>
        <w:spacing w:after="80"/>
      </w:pPr>
      <w:r>
        <w:t xml:space="preserve">Sync Database / Export Settings — data maintenance utilities</w:t>
      </w:r>
    </w:p>
    <w:p>
      <w:pPr>
        <w:pStyle w:val="ListParagraph"/>
        <w:numPr>
          <w:ilvl w:val="0"/>
          <w:numId w:val="1"/>
        </w:numPr>
        <w:spacing w:after="80"/>
      </w:pPr>
      <w:r>
        <w:t xml:space="preserve">Application Window Resolution — set your preferred starting window size</w:t>
      </w:r>
    </w:p>
    <w:p>
      <w:pPr>
        <w:spacing w:after="160"/>
      </w:pPr>
      <w:r>
        <w:t xml:space="preserve">Click "💾 Save All Configuration Profiles" to persist any changes you've made on this page.</w:t>
      </w:r>
    </w:p>
    <w:p>
      <w:pPr>
        <w:pStyle w:val="Heading1"/>
        <w:spacing w:after="200" w:before="400"/>
      </w:pPr>
      <w:r>
        <w:t xml:space="preserve">11. Accounts</w:t>
      </w:r>
    </w:p>
    <w:p>
      <w:pPr>
        <w:spacing w:after="160"/>
      </w:pPr>
      <w:r>
        <w:t xml:space="preserve">Link your marketplace seller accounts so MEPIO can sync orders automatically.</w:t>
      </w:r>
    </w:p>
    <w:p>
      <w:pPr>
        <w:pStyle w:val="Heading2"/>
        <w:spacing w:after="120" w:before="300"/>
      </w:pPr>
      <w:r>
        <w:t xml:space="preserve">11.1 Instant Login &amp; Link</w:t>
      </w:r>
    </w:p>
    <w:p>
      <w:pPr>
        <w:spacing w:after="160"/>
      </w:pPr>
      <w:r>
        <w:t xml:space="preserve">Click "🚀 Instant Login &amp; Link Account" to connect a store via the marketplace's official OAuth login flow.</w:t>
      </w:r>
    </w:p>
    <w:p>
      <w:pPr>
        <w:pStyle w:val="Heading2"/>
        <w:spacing w:after="120" w:before="300"/>
      </w:pPr>
      <w:r>
        <w:t xml:space="preserve">11.2 Manual API Token Entry</w:t>
      </w:r>
    </w:p>
    <w:p>
      <w:pPr>
        <w:spacing w:after="160"/>
      </w:pPr>
      <w:r>
        <w:t xml:space="preserve">For advanced setups, expand "⚙️ Advanced: Manual API Token Entry" and provide:</w:t>
      </w:r>
    </w:p>
    <w:p>
      <w:pPr>
        <w:pStyle w:val="ListParagraph"/>
        <w:numPr>
          <w:ilvl w:val="0"/>
          <w:numId w:val="1"/>
        </w:numPr>
        <w:spacing w:after="80"/>
      </w:pPr>
      <w:r>
        <w:t xml:space="preserve">Developer Shop ID</w:t>
      </w:r>
    </w:p>
    <w:p>
      <w:pPr>
        <w:pStyle w:val="ListParagraph"/>
        <w:numPr>
          <w:ilvl w:val="0"/>
          <w:numId w:val="1"/>
        </w:numPr>
        <w:spacing w:after="80"/>
      </w:pPr>
      <w:r>
        <w:t xml:space="preserve">API Access Token / Key</w:t>
      </w:r>
    </w:p>
    <w:p>
      <w:pPr>
        <w:spacing w:after="160"/>
      </w:pPr>
      <w:r>
        <w:t xml:space="preserve">Click "Bind" to link the account using these credentials directly.</w:t>
      </w:r>
    </w:p>
    <w:p>
      <w:pPr>
        <w:pStyle w:val="Heading2"/>
        <w:spacing w:after="120" w:before="300"/>
      </w:pPr>
      <w:r>
        <w:t xml:space="preserve">11.3 Web Account Linking</w:t>
      </w:r>
    </w:p>
    <w:p>
      <w:pPr>
        <w:spacing w:after="160"/>
      </w:pPr>
      <w:r>
        <w:t xml:space="preserve">Alternatively, enter your registered seller email/phone and password, then click "Verify Credentials &amp; Agree Authorization".</w:t>
      </w:r>
    </w:p>
    <w:p>
      <w:pPr>
        <w:pBdr>
          <w:left w:val="single" w:color="C0392B" w:sz="18" w:space="8"/>
        </w:pBdr>
        <w:shd w:fill="FEF2F2" w:val="clear"/>
        <w:spacing w:after="200" w:before="100"/>
        <w:ind w:left="200"/>
      </w:pPr>
      <w:r>
        <w:rPr>
          <w:b/>
          <w:bCs/>
          <w:color w:val="C0392B"/>
        </w:rPr>
        <w:t xml:space="preserve">Caution: </w:t>
      </w:r>
      <w:r>
        <w:t xml:space="preserve">Only enter marketplace credentials you trust this device with — they're used to authorize the connection to your seller account.</w:t>
      </w:r>
    </w:p>
    <w:p>
      <w:pPr>
        <w:pStyle w:val="Heading2"/>
        <w:spacing w:after="120" w:before="300"/>
      </w:pPr>
      <w:r>
        <w:t xml:space="preserve">11.4 Managing Connected Stores</w:t>
      </w:r>
    </w:p>
    <w:p>
      <w:pPr>
        <w:spacing w:after="160"/>
      </w:pPr>
      <w:r>
        <w:t xml:space="preserve">All linked accounts appear under "📜 Active Connected Stores &amp; Nodes". Click "⛔ Unlink Account" next to any entry to disconnect it.</w:t>
      </w:r>
    </w:p>
    <w:p>
      <w:pPr>
        <w:pStyle w:val="Heading1"/>
        <w:spacing w:after="200" w:before="400"/>
      </w:pPr>
      <w:r>
        <w:t xml:space="preserve">12. Help &amp; Support</w:t>
      </w:r>
    </w:p>
    <w:p>
      <w:pPr>
        <w:spacing w:after="160"/>
      </w:pPr>
      <w:r>
        <w:t xml:space="preserve">If you need assistance with inventory matching, fee calculation, or anything else in MEPIO, reach the support team directly from the app:</w:t>
      </w:r>
    </w:p>
    <w:p>
      <w:pPr>
        <w:pStyle w:val="ListParagraph"/>
        <w:numPr>
          <w:ilvl w:val="0"/>
          <w:numId w:val="1"/>
        </w:numPr>
        <w:spacing w:after="80"/>
      </w:pPr>
      <w:r>
        <w:t xml:space="preserve">WhatsApp Support — click the listed number to start a chat</w:t>
      </w:r>
    </w:p>
    <w:p>
      <w:pPr>
        <w:pStyle w:val="ListParagraph"/>
        <w:numPr>
          <w:ilvl w:val="0"/>
          <w:numId w:val="1"/>
        </w:numPr>
        <w:spacing w:after="80"/>
      </w:pPr>
      <w:r>
        <w:t xml:space="preserve">Email Assistance — click the listed address to compose an email</w:t>
      </w:r>
    </w:p>
    <w:p>
      <w:pPr>
        <w:pStyle w:val="Heading1"/>
        <w:spacing w:after="200" w:before="400"/>
      </w:pPr>
      <w:r>
        <w:t xml:space="preserve">13. Troubleshooting &amp; FAQ</w:t>
      </w:r>
    </w:p>
    <w:p>
      <w:pPr>
        <w:pStyle w:val="Heading3"/>
        <w:spacing w:after="100" w:before="200"/>
      </w:pPr>
      <w:r>
        <w:t xml:space="preserve">"Wrong username or password!" on login</w:t>
      </w:r>
    </w:p>
    <w:p>
      <w:pPr>
        <w:spacing w:after="160"/>
      </w:pPr>
      <w:r>
        <w:t xml:space="preserve">Double-check for typos and caps lock. If you can't recall your password, use "Forgot Password?" on the login screen (Section 2.4).</w:t>
      </w:r>
    </w:p>
    <w:p>
      <w:pPr>
        <w:pStyle w:val="Heading3"/>
        <w:spacing w:after="100" w:before="200"/>
      </w:pPr>
      <w:r>
        <w:t xml:space="preserve">I can't remember my security answer</w:t>
      </w:r>
    </w:p>
    <w:p>
      <w:pPr>
        <w:spacing w:after="160"/>
      </w:pPr>
      <w:r>
        <w:t xml:space="preserve">The security answer is required to reset your password and can't be recovered another way. Contact support (Section 12) if you're locked out.</w:t>
      </w:r>
    </w:p>
    <w:p>
      <w:pPr>
        <w:pStyle w:val="Heading3"/>
        <w:spacing w:after="100" w:before="200"/>
      </w:pPr>
      <w:r>
        <w:t xml:space="preserve">"Cannot remove N. Only X in stock." when removing inventory</w:t>
      </w:r>
    </w:p>
    <w:p>
      <w:pPr>
        <w:spacing w:after="160"/>
      </w:pPr>
      <w:r>
        <w:t xml:space="preserve">You're trying to remove more units than are currently recorded. Check the current quantity in the stock table before removing.</w:t>
      </w:r>
    </w:p>
    <w:p>
      <w:pPr>
        <w:pStyle w:val="Heading3"/>
        <w:spacing w:after="100" w:before="200"/>
      </w:pPr>
      <w:r>
        <w:t xml:space="preserve">An item won't disappear even though its quantity is 0</w:t>
      </w:r>
    </w:p>
    <w:p>
      <w:pPr>
        <w:spacing w:after="160"/>
      </w:pPr>
      <w:r>
        <w:t xml:space="preserve">This is expected — quantity reaching 0 no longer removes an item automatically, so its record and threshold are preserved. Use Delete Item (Section 6.4) if you want it gone entirely.</w:t>
      </w:r>
    </w:p>
    <w:p>
      <w:pPr>
        <w:pStyle w:val="Heading3"/>
        <w:spacing w:after="100" w:before="200"/>
      </w:pPr>
      <w:r>
        <w:t xml:space="preserve">A low-stock item didn't show a pop-up alert</w:t>
      </w:r>
    </w:p>
    <w:p>
      <w:pPr>
        <w:spacing w:after="160"/>
      </w:pPr>
      <w:r>
        <w:t xml:space="preserve">Items that were already low stock when the app started don't re-trigger a pop-up — this avoids a wall of dialogs on launch. Check the red "⚠ Low stock" banner or the Low Stock filter on the Inventory page instead.</w:t>
      </w:r>
    </w:p>
    <w:p>
      <w:pPr>
        <w:pStyle w:val="Heading3"/>
        <w:spacing w:after="100" w:before="200"/>
      </w:pPr>
      <w:r>
        <w:t xml:space="preserve">The restock invoice didn't open automatically</w:t>
      </w:r>
    </w:p>
    <w:p>
      <w:pPr>
        <w:spacing w:after="160"/>
      </w:pPr>
      <w:r>
        <w:t xml:space="preserve">Automatic opening relies on your operating system's default handler for .txt files. If it doesn't open, use "📂 View Saved Invoices" to locate the file and open it manually.</w:t>
      </w:r>
    </w:p>
    <w:p>
      <w:pPr>
        <w:pStyle w:val="Heading3"/>
        <w:spacing w:after="100" w:before="200"/>
      </w:pPr>
      <w:r>
        <w:t xml:space="preserve">Generating a second invoice for the same SKU overwrote the first</w:t>
      </w:r>
    </w:p>
    <w:p>
      <w:pPr>
        <w:spacing w:after="160"/>
      </w:pPr>
      <w:r>
        <w:t xml:space="preserve">Invoice files are named after the SKU only. If you need to keep multiple invoices for the same item, rename or move the earlier file out of the folder before generating a new one.</w:t>
      </w:r>
    </w:p>
    <w:p>
      <w:pPr>
        <w:pStyle w:val="Heading1"/>
        <w:spacing w:after="200" w:before="400"/>
      </w:pPr>
      <w:r>
        <w:t xml:space="preserve">14. Appendix: Tips &amp;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4F6EF7" w:val="clear"/>
            <w:tcMar>
              <w:top w:type="dxa" w:w="80"/>
              <w:left w:type="dxa" w:w="120"/>
              <w:bottom w:type="dxa" w:w="80"/>
              <w:right w:type="dxa" w:w="120"/>
            </w:tcMar>
          </w:tcPr>
          <w:p>
            <w:r>
              <w:rPr>
                <w:b/>
                <w:bCs/>
                <w:color w:val="FFFFFF"/>
                <w:sz w:val="20"/>
                <w:szCs w:val="20"/>
              </w:rPr>
              <w:t xml:space="preserve">Action</w:t>
            </w:r>
          </w:p>
        </w:tc>
        <w:tc>
          <w:tcPr>
            <w:tcW w:type="pct" w:w="65%"/>
            <w:shd w:fill="4F6EF7" w:val="clear"/>
            <w:tcMar>
              <w:top w:type="dxa" w:w="80"/>
              <w:left w:type="dxa" w:w="120"/>
              <w:bottom w:type="dxa" w:w="80"/>
              <w:right w:type="dxa" w:w="120"/>
            </w:tcMar>
          </w:tcPr>
          <w:p>
            <w:r>
              <w:rPr>
                <w:b/>
                <w:bCs/>
                <w:color w:val="FFFFFF"/>
                <w:sz w:val="20"/>
                <w:szCs w:val="20"/>
              </w:rPr>
              <w:t xml:space="preserve">How</w:t>
            </w:r>
          </w:p>
        </w:tc>
      </w:tr>
      <w:tr>
        <w:tc>
          <w:tcPr>
            <w:tcW w:type="pct" w:w="35%"/>
            <w:tcMar>
              <w:top w:type="dxa" w:w="80"/>
              <w:left w:type="dxa" w:w="120"/>
              <w:bottom w:type="dxa" w:w="80"/>
              <w:right w:type="dxa" w:w="120"/>
            </w:tcMar>
          </w:tcPr>
          <w:p>
            <w:r>
              <w:rPr>
                <w:b w:val="false"/>
                <w:bCs w:val="false"/>
                <w:color w:val="1E293B"/>
                <w:sz w:val="20"/>
                <w:szCs w:val="20"/>
              </w:rPr>
              <w:t xml:space="preserve">Save an inline quantity edit</w:t>
            </w:r>
          </w:p>
        </w:tc>
        <w:tc>
          <w:tcPr>
            <w:tcW w:type="pct" w:w="65%"/>
            <w:tcMar>
              <w:top w:type="dxa" w:w="80"/>
              <w:left w:type="dxa" w:w="120"/>
              <w:bottom w:type="dxa" w:w="80"/>
              <w:right w:type="dxa" w:w="120"/>
            </w:tcMar>
          </w:tcPr>
          <w:p>
            <w:r>
              <w:rPr>
                <w:b w:val="false"/>
                <w:bCs w:val="false"/>
                <w:color w:val="1E293B"/>
                <w:sz w:val="20"/>
                <w:szCs w:val="20"/>
              </w:rPr>
              <w:t xml:space="preserve">Click the quantity number, type a new value, press Enter</w:t>
            </w:r>
          </w:p>
        </w:tc>
      </w:tr>
      <w:tr>
        <w:tc>
          <w:tcPr>
            <w:tcW w:type="pct" w:w="35%"/>
            <w:tcMar>
              <w:top w:type="dxa" w:w="80"/>
              <w:left w:type="dxa" w:w="120"/>
              <w:bottom w:type="dxa" w:w="80"/>
              <w:right w:type="dxa" w:w="120"/>
            </w:tcMar>
          </w:tcPr>
          <w:p>
            <w:r>
              <w:rPr>
                <w:b w:val="false"/>
                <w:bCs w:val="false"/>
                <w:color w:val="1E293B"/>
                <w:sz w:val="20"/>
                <w:szCs w:val="20"/>
              </w:rPr>
              <w:t xml:space="preserve">Cancel an inline quantity edit</w:t>
            </w:r>
          </w:p>
        </w:tc>
        <w:tc>
          <w:tcPr>
            <w:tcW w:type="pct" w:w="65%"/>
            <w:tcMar>
              <w:top w:type="dxa" w:w="80"/>
              <w:left w:type="dxa" w:w="120"/>
              <w:bottom w:type="dxa" w:w="80"/>
              <w:right w:type="dxa" w:w="120"/>
            </w:tcMar>
          </w:tcPr>
          <w:p>
            <w:r>
              <w:rPr>
                <w:b w:val="false"/>
                <w:bCs w:val="false"/>
                <w:color w:val="1E293B"/>
                <w:sz w:val="20"/>
                <w:szCs w:val="20"/>
              </w:rPr>
              <w:t xml:space="preserve">Press Esc while editing</w:t>
            </w:r>
          </w:p>
        </w:tc>
      </w:tr>
      <w:tr>
        <w:tc>
          <w:tcPr>
            <w:tcW w:type="pct" w:w="35%"/>
            <w:tcMar>
              <w:top w:type="dxa" w:w="80"/>
              <w:left w:type="dxa" w:w="120"/>
              <w:bottom w:type="dxa" w:w="80"/>
              <w:right w:type="dxa" w:w="120"/>
            </w:tcMar>
          </w:tcPr>
          <w:p>
            <w:r>
              <w:rPr>
                <w:b w:val="false"/>
                <w:bCs w:val="false"/>
                <w:color w:val="1E293B"/>
                <w:sz w:val="20"/>
                <w:szCs w:val="20"/>
              </w:rPr>
              <w:t xml:space="preserve">Select an autocomplete suggestion by keyboard</w:t>
            </w:r>
          </w:p>
        </w:tc>
        <w:tc>
          <w:tcPr>
            <w:tcW w:type="pct" w:w="65%"/>
            <w:tcMar>
              <w:top w:type="dxa" w:w="80"/>
              <w:left w:type="dxa" w:w="120"/>
              <w:bottom w:type="dxa" w:w="80"/>
              <w:right w:type="dxa" w:w="120"/>
            </w:tcMar>
          </w:tcPr>
          <w:p>
            <w:r>
              <w:rPr>
                <w:b w:val="false"/>
                <w:bCs w:val="false"/>
                <w:color w:val="1E293B"/>
                <w:sz w:val="20"/>
                <w:szCs w:val="20"/>
              </w:rPr>
              <w:t xml:space="preserve">Press Down to enter the suggestion list, then Enter to select</w:t>
            </w:r>
          </w:p>
        </w:tc>
      </w:tr>
      <w:tr>
        <w:tc>
          <w:tcPr>
            <w:tcW w:type="pct" w:w="35%"/>
            <w:tcMar>
              <w:top w:type="dxa" w:w="80"/>
              <w:left w:type="dxa" w:w="120"/>
              <w:bottom w:type="dxa" w:w="80"/>
              <w:right w:type="dxa" w:w="120"/>
            </w:tcMar>
          </w:tcPr>
          <w:p>
            <w:r>
              <w:rPr>
                <w:b w:val="false"/>
                <w:bCs w:val="false"/>
                <w:color w:val="1E293B"/>
                <w:sz w:val="20"/>
                <w:szCs w:val="20"/>
              </w:rPr>
              <w:t xml:space="preserve">Quickly load an item into the input fields</w:t>
            </w:r>
          </w:p>
        </w:tc>
        <w:tc>
          <w:tcPr>
            <w:tcW w:type="pct" w:w="65%"/>
            <w:tcMar>
              <w:top w:type="dxa" w:w="80"/>
              <w:left w:type="dxa" w:w="120"/>
              <w:bottom w:type="dxa" w:w="80"/>
              <w:right w:type="dxa" w:w="120"/>
            </w:tcMar>
          </w:tcPr>
          <w:p>
            <w:r>
              <w:rPr>
                <w:b w:val="false"/>
                <w:bCs w:val="false"/>
                <w:color w:val="1E293B"/>
                <w:sz w:val="20"/>
                <w:szCs w:val="20"/>
              </w:rPr>
              <w:t xml:space="preserve">Click anywhere on its row in the stock table</w:t>
            </w:r>
          </w:p>
        </w:tc>
      </w:tr>
      <w:tr>
        <w:tc>
          <w:tcPr>
            <w:tcW w:type="pct" w:w="35%"/>
            <w:tcMar>
              <w:top w:type="dxa" w:w="80"/>
              <w:left w:type="dxa" w:w="120"/>
              <w:bottom w:type="dxa" w:w="80"/>
              <w:right w:type="dxa" w:w="120"/>
            </w:tcMar>
          </w:tcPr>
          <w:p>
            <w:r>
              <w:rPr>
                <w:b w:val="false"/>
                <w:bCs w:val="false"/>
                <w:color w:val="1E293B"/>
                <w:sz w:val="20"/>
                <w:szCs w:val="20"/>
              </w:rPr>
              <w:t xml:space="preserve">Jump to Inventory from the Dashboard</w:t>
            </w:r>
          </w:p>
        </w:tc>
        <w:tc>
          <w:tcPr>
            <w:tcW w:type="pct" w:w="65%"/>
            <w:tcMar>
              <w:top w:type="dxa" w:w="80"/>
              <w:left w:type="dxa" w:w="120"/>
              <w:bottom w:type="dxa" w:w="80"/>
              <w:right w:type="dxa" w:w="120"/>
            </w:tcMar>
          </w:tcPr>
          <w:p>
            <w:r>
              <w:rPr>
                <w:b w:val="false"/>
                <w:bCs w:val="false"/>
                <w:color w:val="1E293B"/>
                <w:sz w:val="20"/>
                <w:szCs w:val="20"/>
              </w:rPr>
              <w:t xml:space="preserve">Click the Low Stock KPI card or the "Update Inventory" quick action</w:t>
            </w:r>
          </w:p>
        </w:tc>
      </w:tr>
    </w:tbl>
    <w:p>
      <w:pPr>
        <w:spacing w:after="300"/>
      </w:pPr>
    </w:p>
    <w:p>
      <w:pPr>
        <w:spacing w:after="160"/>
      </w:pPr>
      <w:r>
        <w:rPr>
          <w:i/>
          <w:iCs/>
          <w:color w:val="64748B"/>
        </w:rPr>
        <w:t xml:space="preserve">For anything not covered in this manual, reach out via the Help &amp; Support page (Section 12).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MEPIO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4F6EF7"/>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6474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2026-07-02T07:22:53.324Z</dcterms:created>
  <dcterms:modified xsi:type="dcterms:W3CDTF">2026-07-02T07:22:53.325Z</dcterms:modified>
</cp:coreProperties>
</file>

<file path=docProps/custom.xml><?xml version="1.0" encoding="utf-8"?>
<Properties xmlns="http://schemas.openxmlformats.org/officeDocument/2006/custom-properties" xmlns:vt="http://schemas.openxmlformats.org/officeDocument/2006/docPropsVTypes"/>
</file>