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EF7" w:rsidRDefault="001F0CA7">
      <w:pPr>
        <w:rPr>
          <w:b/>
          <w:u w:val="single"/>
        </w:rPr>
      </w:pPr>
      <w:r w:rsidRPr="001F0CA7">
        <w:rPr>
          <w:b/>
          <w:u w:val="single"/>
        </w:rPr>
        <w:t>Task 1</w:t>
      </w:r>
      <w:r>
        <w:rPr>
          <w:b/>
          <w:u w:val="single"/>
        </w:rPr>
        <w:t xml:space="preserve"> (1)</w:t>
      </w:r>
      <w:r w:rsidR="001561B5">
        <w:rPr>
          <w:b/>
          <w:u w:val="single"/>
        </w:rPr>
        <w:t xml:space="preserve"> Simulating Geometric Brownian </w:t>
      </w:r>
      <w:proofErr w:type="gramStart"/>
      <w:r w:rsidR="001561B5">
        <w:rPr>
          <w:b/>
          <w:u w:val="single"/>
        </w:rPr>
        <w:t>Motion</w:t>
      </w:r>
      <w:proofErr w:type="gramEnd"/>
    </w:p>
    <w:p w:rsidR="001561B5" w:rsidRPr="001561B5" w:rsidRDefault="001561B5">
      <w:r>
        <w:t>By running the code of typed “gbm.py”, we obtain the result below.</w:t>
      </w:r>
    </w:p>
    <w:p w:rsidR="008D2E2C" w:rsidRDefault="000F0AAA">
      <w:pPr>
        <w:rPr>
          <w:b/>
          <w:u w:val="single"/>
        </w:rPr>
      </w:pPr>
      <w:r>
        <w:rPr>
          <w:noProof/>
          <w:lang w:val="en-MY" w:eastAsia="zh-CN"/>
        </w:rPr>
        <w:drawing>
          <wp:inline distT="0" distB="0" distL="0" distR="0" wp14:anchorId="32F6FF6B" wp14:editId="48B1852F">
            <wp:extent cx="5734878" cy="3409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203" t="19331" r="28908" b="25810"/>
                    <a:stretch/>
                  </pic:blipFill>
                  <pic:spPr bwMode="auto">
                    <a:xfrm>
                      <a:off x="0" y="0"/>
                      <a:ext cx="5746908" cy="3416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9FA" w:rsidRDefault="001F0CA7" w:rsidP="00AE69FA">
      <w:r>
        <w:t>From the given equation, we know that µ=0.1, and sigma =0.26.</w:t>
      </w:r>
      <w:r>
        <w:br/>
        <w:t xml:space="preserve">We then set up the given information in. </w:t>
      </w:r>
      <w:r w:rsidR="00AE69FA">
        <w:br/>
      </w:r>
      <w:proofErr w:type="spellStart"/>
      <w:r w:rsidR="00AE69FA" w:rsidRPr="00AE69FA">
        <w:rPr>
          <w:b/>
        </w:rPr>
        <w:t>n_path</w:t>
      </w:r>
      <w:proofErr w:type="spellEnd"/>
      <w:r w:rsidR="00AE69FA">
        <w:t xml:space="preserve"> is the number of simulations, while </w:t>
      </w:r>
      <w:r w:rsidR="00AE69FA" w:rsidRPr="00AE69FA">
        <w:rPr>
          <w:b/>
        </w:rPr>
        <w:t>n</w:t>
      </w:r>
      <w:r w:rsidR="00AE69FA">
        <w:t xml:space="preserve"> is the number of partitions within the interval 0 to 3, which are both equals to 1000.</w:t>
      </w:r>
    </w:p>
    <w:p w:rsidR="00AE69FA" w:rsidRDefault="00AE69FA">
      <w:r>
        <w:t>After that, we generate a row vector, and set the first column of dB as zero, and sum over rows for each of the column. Then, we calculate the stock price, and plot 5 realizations of the GBM.</w:t>
      </w:r>
    </w:p>
    <w:p w:rsidR="00A93D9B" w:rsidRDefault="00A93D9B">
      <w:r>
        <w:t xml:space="preserve">To find the expected value of </w:t>
      </w:r>
      <w:proofErr w:type="gramStart"/>
      <w:r>
        <w:t>S(</w:t>
      </w:r>
      <w:proofErr w:type="gramEnd"/>
      <w:r>
        <w:t xml:space="preserve">3), E[S(3)], we use the </w:t>
      </w:r>
      <w:proofErr w:type="spellStart"/>
      <w:r>
        <w:t>numpy</w:t>
      </w:r>
      <w:proofErr w:type="spellEnd"/>
      <w:r>
        <w:t xml:space="preserve"> function “</w:t>
      </w:r>
      <w:proofErr w:type="spellStart"/>
      <w:r>
        <w:t>np.mean</w:t>
      </w:r>
      <w:proofErr w:type="spellEnd"/>
      <w:r>
        <w:t>()” by substituting the last price into the bracket of the function.</w:t>
      </w:r>
      <w:r>
        <w:br/>
        <w:t xml:space="preserve">To find the variance of </w:t>
      </w:r>
      <w:proofErr w:type="gramStart"/>
      <w:r>
        <w:t>S(</w:t>
      </w:r>
      <w:proofErr w:type="gramEnd"/>
      <w:r>
        <w:t xml:space="preserve">3), </w:t>
      </w:r>
      <w:proofErr w:type="spellStart"/>
      <w:r>
        <w:t>Var</w:t>
      </w:r>
      <w:proofErr w:type="spellEnd"/>
      <w:r>
        <w:t xml:space="preserve">[S(3)], we use the </w:t>
      </w:r>
      <w:proofErr w:type="spellStart"/>
      <w:r>
        <w:t>numpy</w:t>
      </w:r>
      <w:proofErr w:type="spellEnd"/>
      <w:r>
        <w:t xml:space="preserve"> function “</w:t>
      </w:r>
      <w:proofErr w:type="spellStart"/>
      <w:r>
        <w:t>np.var</w:t>
      </w:r>
      <w:proofErr w:type="spellEnd"/>
      <w:r>
        <w:t>()” by substituting the last price into the bracket of the function.</w:t>
      </w:r>
    </w:p>
    <w:p w:rsidR="00A93D9B" w:rsidRDefault="00A93D9B">
      <w:r>
        <w:t xml:space="preserve">To calculate </w:t>
      </w:r>
      <w:r>
        <w:t>P[</w:t>
      </w:r>
      <w:proofErr w:type="gramStart"/>
      <w:r>
        <w:t>S(</w:t>
      </w:r>
      <w:proofErr w:type="gramEnd"/>
      <w:r>
        <w:t>3)&gt;39]</w:t>
      </w:r>
      <w:r>
        <w:t xml:space="preserve">, we find out the number of S3 &gt; 39, stored in </w:t>
      </w:r>
      <w:r w:rsidR="003415BE">
        <w:t>‘</w:t>
      </w:r>
      <w:r>
        <w:t>x</w:t>
      </w:r>
      <w:r w:rsidR="003415BE">
        <w:t>’</w:t>
      </w:r>
      <w:r>
        <w:t xml:space="preserve">. </w:t>
      </w:r>
      <w:r>
        <w:br/>
        <w:t>Then we calculate its probability by using the commands: sum(X)/</w:t>
      </w:r>
      <w:proofErr w:type="spellStart"/>
      <w:r>
        <w:t>len</w:t>
      </w:r>
      <w:proofErr w:type="spellEnd"/>
      <w:r>
        <w:t xml:space="preserve">(X), which is the total value of “S3 &gt; 39” </w:t>
      </w:r>
      <w:r w:rsidR="003415BE">
        <w:t>divided</w:t>
      </w:r>
      <w:r>
        <w:t xml:space="preserve"> by its “length”</w:t>
      </w:r>
      <w:r w:rsidR="003415BE">
        <w:t>- total number in the array</w:t>
      </w:r>
      <w:r>
        <w:t xml:space="preserve">. </w:t>
      </w:r>
    </w:p>
    <w:p w:rsidR="003415BE" w:rsidRDefault="003415BE">
      <w:r>
        <w:t xml:space="preserve">Finally, we calculate </w:t>
      </w:r>
      <w:r>
        <w:t>E[</w:t>
      </w:r>
      <w:proofErr w:type="gramStart"/>
      <w:r>
        <w:t>S(</w:t>
      </w:r>
      <w:proofErr w:type="gramEnd"/>
      <w:r>
        <w:t>3)| S(3)&gt;39]</w:t>
      </w:r>
      <w:r>
        <w:t xml:space="preserve"> by summing up the number of ‘S3’ intersect ‘x’, divided by total “length” of ‘x’. </w:t>
      </w:r>
    </w:p>
    <w:p w:rsidR="00AE69FA" w:rsidRDefault="00AE69FA"/>
    <w:p w:rsidR="000F0AAA" w:rsidRDefault="003415BE">
      <w:pPr>
        <w:rPr>
          <w:b/>
          <w:u w:val="single"/>
        </w:rPr>
      </w:pPr>
      <w:r w:rsidRPr="001F0CA7">
        <w:rPr>
          <w:b/>
          <w:u w:val="single"/>
        </w:rPr>
        <w:lastRenderedPageBreak/>
        <w:t>Task 1</w:t>
      </w:r>
      <w:r>
        <w:rPr>
          <w:b/>
          <w:u w:val="single"/>
        </w:rPr>
        <w:t xml:space="preserve"> (2</w:t>
      </w:r>
      <w:r>
        <w:rPr>
          <w:b/>
          <w:u w:val="single"/>
        </w:rPr>
        <w:t>) Simul</w:t>
      </w:r>
      <w:r>
        <w:rPr>
          <w:b/>
          <w:u w:val="single"/>
        </w:rPr>
        <w:t>ating Mean Reversal Process</w:t>
      </w:r>
    </w:p>
    <w:p w:rsidR="003415BE" w:rsidRPr="003415BE" w:rsidRDefault="003415BE">
      <w:r>
        <w:t>By running the code of typed “m</w:t>
      </w:r>
      <w:r>
        <w:t>r</w:t>
      </w:r>
      <w:r>
        <w:t>.py”, we obtain the result below.</w:t>
      </w:r>
    </w:p>
    <w:p w:rsidR="000F0AAA" w:rsidRDefault="000F0AAA">
      <w:r>
        <w:rPr>
          <w:noProof/>
          <w:lang w:val="en-MY" w:eastAsia="zh-CN"/>
        </w:rPr>
        <w:drawing>
          <wp:inline distT="0" distB="0" distL="0" distR="0" wp14:anchorId="5D4F49B1" wp14:editId="45CB018A">
            <wp:extent cx="5734878" cy="3222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521" t="27387" r="42126" b="21300"/>
                    <a:stretch/>
                  </pic:blipFill>
                  <pic:spPr bwMode="auto">
                    <a:xfrm>
                      <a:off x="0" y="0"/>
                      <a:ext cx="5744365" cy="322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5BE" w:rsidRDefault="003415BE">
      <w:r>
        <w:t>The code of this part is similar to Task1 (1), the difference is we used the command below to make it into mean reversal process.</w:t>
      </w:r>
    </w:p>
    <w:p w:rsidR="003415BE" w:rsidRPr="003415BE" w:rsidRDefault="003415BE" w:rsidP="00341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proofErr w:type="gramStart"/>
      <w:r w:rsidRPr="003415BE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for</w:t>
      </w:r>
      <w:proofErr w:type="gramEnd"/>
      <w:r w:rsidRPr="003415BE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col in range(n):</w:t>
      </w:r>
    </w:p>
    <w:p w:rsidR="003415BE" w:rsidRDefault="003415BE" w:rsidP="003415BE">
      <w:pPr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 w:rsidRPr="003415BE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R[:,col+1] = R[:,col] + (theta-R[:,col])*</w:t>
      </w:r>
      <w:proofErr w:type="spellStart"/>
      <w:r w:rsidRPr="003415BE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dt</w:t>
      </w:r>
      <w:proofErr w:type="spellEnd"/>
      <w:r w:rsidRPr="003415BE"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 + sigma*R[:,col]*dB[:,col+1]</w:t>
      </w:r>
    </w:p>
    <w:p w:rsidR="003415BE" w:rsidRDefault="00F1188A" w:rsidP="003415BE">
      <w:pPr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Then, we also calculate the E[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>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MY" w:eastAsia="zh-CN"/>
        </w:rPr>
        <w:t xml:space="preserve">1)] and </w:t>
      </w:r>
      <w:r>
        <w:t>P[R(1)&gt;2]</w:t>
      </w:r>
      <w:r>
        <w:t xml:space="preserve"> by using the similar way.</w:t>
      </w:r>
    </w:p>
    <w:p w:rsidR="003415BE" w:rsidRDefault="003415BE" w:rsidP="003415BE"/>
    <w:p w:rsidR="000F0AAA" w:rsidRDefault="000F0AAA"/>
    <w:p w:rsidR="00F1188A" w:rsidRDefault="00F1188A"/>
    <w:p w:rsidR="00F1188A" w:rsidRDefault="00F1188A"/>
    <w:p w:rsidR="00F1188A" w:rsidRDefault="00F1188A"/>
    <w:p w:rsidR="00F1188A" w:rsidRDefault="00F1188A" w:rsidP="00F1188A">
      <w:pPr>
        <w:rPr>
          <w:b/>
          <w:u w:val="single"/>
        </w:rPr>
      </w:pPr>
      <w:r>
        <w:rPr>
          <w:b/>
          <w:u w:val="single"/>
        </w:rPr>
        <w:t>Task 2 (1</w:t>
      </w:r>
      <w:r>
        <w:rPr>
          <w:b/>
          <w:u w:val="single"/>
        </w:rPr>
        <w:t xml:space="preserve">) </w:t>
      </w:r>
      <w:r>
        <w:rPr>
          <w:b/>
          <w:u w:val="single"/>
        </w:rPr>
        <w:t>FTSE Bursa Malaysia KLCI Index</w:t>
      </w:r>
    </w:p>
    <w:p w:rsidR="00A76575" w:rsidRPr="00A76575" w:rsidRDefault="00A76575" w:rsidP="00F1188A">
      <w:r>
        <w:t>There are 30 components stocks in FTSE Bursa Malaysia KLCI Index.</w:t>
      </w:r>
      <w:r>
        <w:br/>
        <w:t>The sources of the data in table bellows are:</w:t>
      </w:r>
      <w:r>
        <w:tab/>
      </w:r>
      <w:r>
        <w:br/>
      </w:r>
      <w:hyperlink r:id="rId8" w:history="1">
        <w:r w:rsidRPr="00717A98">
          <w:rPr>
            <w:rStyle w:val="Hyperlink"/>
          </w:rPr>
          <w:t>file:///C:/Users/User/Downloads/FBMKLCIRCO_20150612.pdf</w:t>
        </w:r>
      </w:hyperlink>
      <w:r>
        <w:br/>
      </w:r>
      <w:hyperlink r:id="rId9" w:history="1">
        <w:r w:rsidRPr="00717A98">
          <w:rPr>
            <w:rStyle w:val="Hyperlink"/>
          </w:rPr>
          <w:t>http://quotes.wsj.com/MY/XKLS/PBBANK</w:t>
        </w:r>
      </w:hyperlink>
    </w:p>
    <w:tbl>
      <w:tblPr>
        <w:tblW w:w="11278" w:type="dxa"/>
        <w:tblInd w:w="-743" w:type="dxa"/>
        <w:tblLook w:val="04A0" w:firstRow="1" w:lastRow="0" w:firstColumn="1" w:lastColumn="0" w:noHBand="0" w:noVBand="1"/>
      </w:tblPr>
      <w:tblGrid>
        <w:gridCol w:w="569"/>
        <w:gridCol w:w="3262"/>
        <w:gridCol w:w="922"/>
        <w:gridCol w:w="2765"/>
        <w:gridCol w:w="1351"/>
        <w:gridCol w:w="992"/>
        <w:gridCol w:w="1419"/>
      </w:tblGrid>
      <w:tr w:rsidR="00F1188A" w:rsidRPr="00F1188A" w:rsidTr="00F1188A">
        <w:trPr>
          <w:trHeight w:val="375"/>
        </w:trPr>
        <w:tc>
          <w:tcPr>
            <w:tcW w:w="112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MY" w:eastAsia="zh-CN"/>
              </w:rPr>
              <w:lastRenderedPageBreak/>
              <w:t>FTSE Bursa Malaysia KLCI Index</w:t>
            </w:r>
          </w:p>
        </w:tc>
      </w:tr>
      <w:tr w:rsidR="00F1188A" w:rsidRPr="00F1188A" w:rsidTr="00F1188A">
        <w:trPr>
          <w:trHeight w:val="375"/>
        </w:trPr>
        <w:tc>
          <w:tcPr>
            <w:tcW w:w="1127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MY" w:eastAsia="zh-CN"/>
              </w:rPr>
            </w:pP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 </w:t>
            </w:r>
          </w:p>
        </w:tc>
        <w:tc>
          <w:tcPr>
            <w:tcW w:w="3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 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 </w:t>
            </w:r>
          </w:p>
        </w:tc>
        <w:tc>
          <w:tcPr>
            <w:tcW w:w="2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 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0" w:history="1">
              <w:r w:rsidRPr="00F1188A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as@ 12JUNE2015</w:t>
              </w:r>
            </w:hyperlink>
          </w:p>
        </w:tc>
        <w:tc>
          <w:tcPr>
            <w:tcW w:w="24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val="en-MY" w:eastAsia="zh-CN"/>
              </w:rPr>
            </w:pPr>
            <w:hyperlink r:id="rId11" w:history="1">
              <w:r w:rsidRPr="00F1188A">
                <w:rPr>
                  <w:rFonts w:ascii="Calibri" w:eastAsia="Times New Roman" w:hAnsi="Calibri" w:cs="Times New Roman"/>
                  <w:color w:val="0000FF"/>
                  <w:u w:val="single"/>
                  <w:lang w:val="en-MY" w:eastAsia="zh-CN"/>
                </w:rPr>
                <w:t>as@ 24JULY2015</w:t>
              </w:r>
            </w:hyperlink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NO.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STOCK NAME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STOCKE CODE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STOCK SECTOR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WEIGHTAGE IN FTSEKLCI (%)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P/E RATIO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b/>
                <w:bCs/>
                <w:color w:val="000000"/>
                <w:lang w:val="en-MY" w:eastAsia="zh-CN"/>
              </w:rPr>
              <w:t>NET MARKET CAPITAL (Billion)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Public Bank BHD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1295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15.33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73.840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Malayan Banking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1155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12.47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87.660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Tenaga</w:t>
            </w:r>
            <w:proofErr w:type="spellEnd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</w:t>
            </w:r>
            <w:proofErr w:type="spellStart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Nasional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5347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Alternative Electricity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9.15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69.420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CIMB Group Holdings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1023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17.42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46.690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Axiata</w:t>
            </w:r>
            <w:proofErr w:type="spellEnd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Group </w:t>
            </w:r>
            <w:proofErr w:type="spellStart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6888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Mobile Telecommunications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24.27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55.440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Sime</w:t>
            </w:r>
            <w:proofErr w:type="spellEnd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Darby </w:t>
            </w:r>
            <w:proofErr w:type="spellStart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4197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Diversified Industrials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5.51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21.76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52.420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7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Digi.com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6947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Mobile Telecommunications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4.16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21.02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41.290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8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Genting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3182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Hotels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19.54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30.880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PETRONAS Chemicals Group </w:t>
            </w:r>
            <w:proofErr w:type="spellStart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5183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Commodity Chemicals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21.83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51.520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Maxis </w:t>
            </w:r>
            <w:proofErr w:type="spellStart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6012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Mobile Telecommunications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30.05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49.480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Petronas</w:t>
            </w:r>
            <w:proofErr w:type="spellEnd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Gas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6033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Exploration &amp; Production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22.79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42.820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IHH Healthcare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5225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Health Care Providers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3.28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63.42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48.760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13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IOI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1961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Farming &amp; Fishing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73.91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27.450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14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Telekom Malaysia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4863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Fixed Line Telecommunications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32.34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25.140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Genting</w:t>
            </w:r>
            <w:proofErr w:type="spellEnd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Malaysia </w:t>
            </w:r>
            <w:proofErr w:type="spellStart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4715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Hotels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20.21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25.530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MISC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3816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Marine Transportation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15.99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35.440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17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AMMB Holdings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1015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8.82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17.090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18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Kuala Lumpur Kepong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2445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Farming &amp; Fishing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2.28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29.21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24.020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SapuraKencana</w:t>
            </w:r>
            <w:proofErr w:type="spellEnd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Petroleum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5218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Oil Equipment &amp; Services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1.98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12.08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14.260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PBB Group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4065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Food Products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1.80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18.13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17.830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21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British American Tobacco (Malaysia)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4162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Tobacco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20.06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18.500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22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Hong Leong Bank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5819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1.67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11.19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25.680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23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YTL Corp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4677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Multiutilities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14.95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17.380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24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UMW Holdings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4588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Automobiles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1.37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20.41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11.960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25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Astro</w:t>
            </w:r>
            <w:proofErr w:type="spellEnd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Malaysia Holdings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6399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Broadcasting &amp; Entertainment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28.32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15.970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26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Petronas</w:t>
            </w:r>
            <w:proofErr w:type="spellEnd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</w:t>
            </w:r>
            <w:proofErr w:type="spellStart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Dagangan</w:t>
            </w:r>
            <w:proofErr w:type="spellEnd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</w:t>
            </w:r>
            <w:proofErr w:type="spellStart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Bhd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5681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Intrgrated</w:t>
            </w:r>
            <w:proofErr w:type="spellEnd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Oil &amp; Gas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1.21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37.05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20.430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27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RHB Capital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1066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1.06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9.18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19.520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28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proofErr w:type="spellStart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Westports</w:t>
            </w:r>
            <w:proofErr w:type="spellEnd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Holdings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5246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Transportation Services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26.60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14.050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29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Hong Leong Financial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1082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Banks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0.64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9.94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16.320</w:t>
            </w:r>
          </w:p>
        </w:tc>
      </w:tr>
      <w:tr w:rsidR="00F1188A" w:rsidRPr="00F1188A" w:rsidTr="001D22CB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30</w:t>
            </w: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KLCC Prop &amp; </w:t>
            </w:r>
            <w:proofErr w:type="spellStart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Reits</w:t>
            </w:r>
            <w:proofErr w:type="spellEnd"/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 xml:space="preserve"> - Stapled Sec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5235SS</w:t>
            </w:r>
          </w:p>
        </w:tc>
        <w:tc>
          <w:tcPr>
            <w:tcW w:w="2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Real Estate Holding &amp; Development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0.63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28.20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188A" w:rsidRPr="00F1188A" w:rsidRDefault="00F1188A" w:rsidP="00F118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MY" w:eastAsia="zh-CN"/>
              </w:rPr>
            </w:pPr>
            <w:r w:rsidRPr="00F1188A">
              <w:rPr>
                <w:rFonts w:ascii="Calibri" w:eastAsia="Times New Roman" w:hAnsi="Calibri" w:cs="Times New Roman"/>
                <w:color w:val="000000"/>
                <w:lang w:val="en-MY" w:eastAsia="zh-CN"/>
              </w:rPr>
              <w:t>12.710</w:t>
            </w:r>
          </w:p>
        </w:tc>
      </w:tr>
    </w:tbl>
    <w:p w:rsidR="00F1188A" w:rsidRPr="00F1188A" w:rsidRDefault="00F1188A" w:rsidP="00F1188A">
      <w:pPr>
        <w:rPr>
          <w:b/>
          <w:u w:val="single"/>
          <w:lang w:val="en-MY"/>
        </w:rPr>
      </w:pPr>
    </w:p>
    <w:p w:rsidR="00F1188A" w:rsidRDefault="001121B1">
      <w:pPr>
        <w:rPr>
          <w:b/>
          <w:u w:val="single"/>
        </w:rPr>
      </w:pPr>
      <w:r>
        <w:rPr>
          <w:b/>
          <w:u w:val="single"/>
        </w:rPr>
        <w:lastRenderedPageBreak/>
        <w:t>Task 2 (2</w:t>
      </w:r>
      <w:r>
        <w:rPr>
          <w:b/>
          <w:u w:val="single"/>
        </w:rPr>
        <w:t xml:space="preserve">) </w:t>
      </w:r>
      <w:r>
        <w:rPr>
          <w:b/>
          <w:u w:val="single"/>
        </w:rPr>
        <w:t>Downloading data</w:t>
      </w:r>
    </w:p>
    <w:p w:rsidR="001121B1" w:rsidRPr="001121B1" w:rsidRDefault="001121B1">
      <w:r>
        <w:t>By running the code of typed “</w:t>
      </w:r>
      <w:r>
        <w:t>downloading_data.py</w:t>
      </w:r>
      <w:r>
        <w:t>”, we obtain the result below.</w:t>
      </w:r>
    </w:p>
    <w:p w:rsidR="000F0AAA" w:rsidRDefault="000F0AAA">
      <w:r>
        <w:rPr>
          <w:noProof/>
          <w:lang w:val="en-MY" w:eastAsia="zh-CN"/>
        </w:rPr>
        <w:drawing>
          <wp:inline distT="0" distB="0" distL="0" distR="0" wp14:anchorId="1806D6BD" wp14:editId="5968CEB3">
            <wp:extent cx="5486400" cy="32995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5399" t="20942" r="32711" b="23555"/>
                    <a:stretch/>
                  </pic:blipFill>
                  <pic:spPr bwMode="auto">
                    <a:xfrm>
                      <a:off x="0" y="0"/>
                      <a:ext cx="5494738" cy="330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21B1" w:rsidRDefault="001121B1">
      <w:r>
        <w:t>The company that I had chosen with index number 5819 is Hong Leong Bank.</w:t>
      </w:r>
      <w:r>
        <w:br/>
        <w:t>The financial year of Hong Leong Bank is 30 June; therefore, I download the data of Hong Leong Bank from 1 July 2011 to 30 June 2014 (3years).</w:t>
      </w:r>
    </w:p>
    <w:p w:rsidR="006634C1" w:rsidRDefault="001121B1">
      <w:r>
        <w:t xml:space="preserve">The data is downloaded by using the function </w:t>
      </w:r>
      <w:proofErr w:type="gramStart"/>
      <w:r>
        <w:t>‘DR</w:t>
      </w:r>
      <w:r w:rsidR="006634C1">
        <w:t>(</w:t>
      </w:r>
      <w:proofErr w:type="gramEnd"/>
      <w:r w:rsidR="006634C1">
        <w:t>)</w:t>
      </w:r>
      <w:r>
        <w:t>’</w:t>
      </w:r>
      <w:r w:rsidR="006634C1">
        <w:t xml:space="preserve"> – Data Reader from Yahoo Finance.</w:t>
      </w:r>
      <w:r w:rsidR="006634C1">
        <w:br/>
        <w:t>After that, we calculate the 5-Days moving average of the data, and plot the graph.</w:t>
      </w:r>
    </w:p>
    <w:p w:rsidR="006634C1" w:rsidRPr="001F0CA7" w:rsidRDefault="006634C1">
      <w:r>
        <w:t xml:space="preserve">Then, we download and combine FTSE KLCI index with </w:t>
      </w:r>
      <w:r>
        <w:t>Hong Leong Bank and</w:t>
      </w:r>
      <w:r>
        <w:t xml:space="preserve"> calculate the correlation of them. The correlation calculated was 0.868798, which means Hong Leong Bank is highly correlated with FTSE KLCI Index.</w:t>
      </w:r>
      <w:bookmarkStart w:id="0" w:name="_GoBack"/>
      <w:bookmarkEnd w:id="0"/>
    </w:p>
    <w:sectPr w:rsidR="006634C1" w:rsidRPr="001F0CA7" w:rsidSect="00B5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83EA2"/>
    <w:multiLevelType w:val="hybridMultilevel"/>
    <w:tmpl w:val="07D834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46EA8"/>
    <w:multiLevelType w:val="hybridMultilevel"/>
    <w:tmpl w:val="0584016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12CBC"/>
    <w:rsid w:val="000F0AAA"/>
    <w:rsid w:val="001121B1"/>
    <w:rsid w:val="001561B5"/>
    <w:rsid w:val="001D22CB"/>
    <w:rsid w:val="001F0CA7"/>
    <w:rsid w:val="003415BE"/>
    <w:rsid w:val="006634C1"/>
    <w:rsid w:val="008D2E2C"/>
    <w:rsid w:val="00A76575"/>
    <w:rsid w:val="00A93D9B"/>
    <w:rsid w:val="00AE69FA"/>
    <w:rsid w:val="00B56EF7"/>
    <w:rsid w:val="00F1188A"/>
    <w:rsid w:val="00F1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E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69F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1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  <w:style w:type="character" w:styleId="Hyperlink">
    <w:name w:val="Hyperlink"/>
    <w:basedOn w:val="DefaultParagraphFont"/>
    <w:uiPriority w:val="99"/>
    <w:unhideWhenUsed/>
    <w:rsid w:val="00F118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User/Downloads/FBMKLCIRCO_20150612.pdf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as@%2024JULY201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s@%2012JUNE201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quotes.wsj.com/MY/XKLS/PBBA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</cp:revision>
  <dcterms:created xsi:type="dcterms:W3CDTF">2015-07-13T01:39:00Z</dcterms:created>
  <dcterms:modified xsi:type="dcterms:W3CDTF">2015-07-26T15:45:00Z</dcterms:modified>
</cp:coreProperties>
</file>