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Toc10676"/>
      <w:r>
        <w:rPr>
          <w:rFonts w:hint="eastAsia"/>
        </w:rPr>
        <w:t>项目概述</w:t>
      </w:r>
      <w:bookmarkEnd w:id="0"/>
    </w:p>
    <w:p>
      <w:pPr>
        <w:spacing w:line="360" w:lineRule="auto"/>
        <w:ind w:firstLine="480" w:firstLineChars="200"/>
        <w:rPr>
          <w:rFonts w:hint="eastAsia"/>
          <w:sz w:val="24"/>
          <w:szCs w:val="24"/>
        </w:rPr>
      </w:pPr>
      <w:r>
        <w:rPr>
          <w:rFonts w:hint="eastAsia"/>
          <w:sz w:val="24"/>
          <w:szCs w:val="24"/>
        </w:rPr>
        <w:t>本文是兰州宏彬新能源发展有限公司（以下简称“兰州宏彬”）智能工厂项目的技术规格书文档，主要是对智能工厂项目的技术规格说明。本项目主要通过智能制造系统建设，打通上层计划与下层控制之间的信息流，提高计划调度及生产现场综合管控能力，并提高企业员工的技术及管理能力，从而整体提升企业智能制造信息化建设水平，将兰州宏彬打造成为数字经济和智能制造转型的标杆型企业。</w:t>
      </w:r>
    </w:p>
    <w:p>
      <w:pPr>
        <w:spacing w:line="360" w:lineRule="auto"/>
        <w:ind w:firstLine="480" w:firstLineChars="200"/>
        <w:rPr>
          <w:rFonts w:hint="eastAsia"/>
          <w:sz w:val="24"/>
          <w:szCs w:val="24"/>
        </w:rPr>
      </w:pPr>
      <w:r>
        <w:rPr>
          <w:rFonts w:hint="eastAsia"/>
          <w:sz w:val="24"/>
          <w:szCs w:val="24"/>
        </w:rPr>
        <w:t>本项目实施范围：兰州宏彬企业内部负极材料生产车间，包含生产产线、物料存储区、线边库、实验室、中控室等相关区位。本项目通过搭建以控制系统、工业互联网平台、大数据平台、可视化管控平台为核心的生产管理底座，实现控制过程优化、生产计划优化、精益生产管理、能耗数据监测、人员实时跟踪、质量精准追溯、资产全生命周期管理、仿真培训等智能制造典型场景。本系统需要使用收集的数据来实现生产计划的执行、生产过程监控、设备管理、产品质量过程追溯、能源监控等信息化管理工作，并可与第三方系统兼容协作（如ERP等），实现财务成本核算与生产、设备等核心业务的全面深度融合，将数字化管控能力覆盖订单、采购、计划、制造、质量、设备、安全、能源等全价值链，最大化实现全流程价值。</w:t>
      </w:r>
    </w:p>
    <w:p>
      <w:pPr>
        <w:pStyle w:val="2"/>
        <w:rPr>
          <w:rFonts w:hint="eastAsia"/>
        </w:rPr>
      </w:pPr>
      <w:bookmarkStart w:id="1" w:name="_Toc30297"/>
      <w:r>
        <w:rPr>
          <w:rFonts w:hint="eastAsia"/>
        </w:rPr>
        <w:t>项目目标</w:t>
      </w:r>
      <w:bookmarkEnd w:id="1"/>
    </w:p>
    <w:p>
      <w:pPr>
        <w:spacing w:line="360" w:lineRule="auto"/>
        <w:ind w:firstLine="480" w:firstLineChars="200"/>
        <w:rPr>
          <w:rFonts w:hint="eastAsia"/>
          <w:sz w:val="24"/>
          <w:szCs w:val="24"/>
        </w:rPr>
      </w:pPr>
      <w:r>
        <w:rPr>
          <w:rFonts w:hint="eastAsia"/>
          <w:sz w:val="24"/>
          <w:szCs w:val="24"/>
        </w:rPr>
        <w:t>本项目最终目的是借助于自动控制技术、物联网技术、移动应用、大数据等先进的技术手段，实现感知、互联、智能的制造体系，实现产品全生命周期的有效协同和全程追溯、业务价值链上从客户到供应端各相关方的快速响应与协同，各层信息系统的互通互联。以建设智能制造平台为目标，提升工厂制造执行运营能力，支持和促进跨工厂的运营提升、技术协同、质量改善。通过建设制造执行系统平台，逐步实现以下业务目标：</w:t>
      </w:r>
    </w:p>
    <w:p>
      <w:pPr>
        <w:spacing w:line="360" w:lineRule="auto"/>
        <w:ind w:firstLine="480" w:firstLineChars="200"/>
        <w:rPr>
          <w:rFonts w:hint="eastAsia"/>
          <w:sz w:val="24"/>
          <w:szCs w:val="24"/>
        </w:rPr>
      </w:pPr>
      <w:r>
        <w:rPr>
          <w:rFonts w:hint="eastAsia"/>
          <w:sz w:val="24"/>
          <w:szCs w:val="24"/>
        </w:rPr>
        <w:t>1)通过自动化技术，对生产过程进行控制和监控，实现工厂全面感知和控制，智能装备代替人力劳动，降低人员劳动强度，提高生产安全性和生产效率，提升工厂操作的智能化水平。</w:t>
      </w:r>
    </w:p>
    <w:p>
      <w:pPr>
        <w:spacing w:line="360" w:lineRule="auto"/>
        <w:ind w:firstLine="480" w:firstLineChars="200"/>
        <w:rPr>
          <w:rFonts w:hint="eastAsia"/>
          <w:sz w:val="24"/>
          <w:szCs w:val="24"/>
        </w:rPr>
      </w:pPr>
      <w:r>
        <w:rPr>
          <w:rFonts w:hint="eastAsia"/>
          <w:sz w:val="24"/>
          <w:szCs w:val="24"/>
        </w:rPr>
        <w:t>2)通过仿真培训技术，保证学员能够对控制系统有较全面的了解、掌握生产控制和监控系统的使用方法，给学员带来沉浸式的操作体验，使得仿真培训与生产实操可以“无缝”对接。</w:t>
      </w:r>
    </w:p>
    <w:p>
      <w:pPr>
        <w:spacing w:line="360" w:lineRule="auto"/>
        <w:ind w:firstLine="480" w:firstLineChars="200"/>
        <w:rPr>
          <w:rFonts w:hint="eastAsia"/>
          <w:sz w:val="24"/>
          <w:szCs w:val="24"/>
        </w:rPr>
      </w:pPr>
      <w:r>
        <w:rPr>
          <w:rFonts w:hint="eastAsia"/>
          <w:sz w:val="24"/>
          <w:szCs w:val="24"/>
        </w:rPr>
        <w:t>3)通过打造企业开放、共享的智能工厂工业互联网平台，围绕业务及技术服务组件积累构建平台关键能力，整合统一的数据中心和互联感知的互联网环境，对各系统进行统一数据对接、接口对接、权限对接，并提供面向企业的自主APP低代码开发。</w:t>
      </w:r>
    </w:p>
    <w:p>
      <w:pPr>
        <w:spacing w:line="360" w:lineRule="auto"/>
        <w:ind w:firstLine="480" w:firstLineChars="200"/>
        <w:rPr>
          <w:rFonts w:hint="eastAsia"/>
          <w:sz w:val="24"/>
          <w:szCs w:val="24"/>
        </w:rPr>
      </w:pPr>
      <w:r>
        <w:rPr>
          <w:rFonts w:hint="eastAsia"/>
          <w:sz w:val="24"/>
          <w:szCs w:val="24"/>
        </w:rPr>
        <w:t>4)通过信息化技术，打通从订单、采购、计划、制造、质量、设备、安全、能源等企业管理的全流程，进行数据互联互通和信息共享。</w:t>
      </w:r>
    </w:p>
    <w:p>
      <w:pPr>
        <w:spacing w:line="360" w:lineRule="auto"/>
        <w:ind w:firstLine="480" w:firstLineChars="200"/>
        <w:rPr>
          <w:rFonts w:hint="eastAsia"/>
          <w:sz w:val="24"/>
          <w:szCs w:val="24"/>
        </w:rPr>
      </w:pPr>
      <w:r>
        <w:rPr>
          <w:rFonts w:hint="eastAsia"/>
          <w:sz w:val="24"/>
          <w:szCs w:val="24"/>
        </w:rPr>
        <w:t>5)通过决策指挥系统、经营管理系统、生产营运系统，实现“工厂智能生产、平台协同运营”的管控模式，实现企业生产管控精准化、生产运营高效化、产品/服务质量高标化，企业效益最大化，提升工厂生产和经营决策的智能化水平。</w:t>
      </w:r>
    </w:p>
    <w:p>
      <w:pPr>
        <w:pStyle w:val="2"/>
        <w:rPr>
          <w:rFonts w:hint="eastAsia"/>
        </w:rPr>
      </w:pPr>
      <w:bookmarkStart w:id="2" w:name="_Toc28027"/>
      <w:r>
        <w:rPr>
          <w:rFonts w:hint="eastAsia"/>
        </w:rPr>
        <w:t>项目总体要求</w:t>
      </w:r>
      <w:bookmarkEnd w:id="2"/>
    </w:p>
    <w:p>
      <w:pPr>
        <w:pStyle w:val="3"/>
        <w:rPr>
          <w:rFonts w:hint="eastAsia"/>
        </w:rPr>
      </w:pPr>
      <w:bookmarkStart w:id="3" w:name="_Toc11160"/>
      <w:r>
        <w:rPr>
          <w:rFonts w:hint="eastAsia"/>
        </w:rPr>
        <w:t>项目总则</w:t>
      </w:r>
      <w:bookmarkEnd w:id="3"/>
    </w:p>
    <w:p>
      <w:pPr>
        <w:spacing w:line="360" w:lineRule="auto"/>
        <w:ind w:firstLine="480" w:firstLineChars="200"/>
        <w:rPr>
          <w:rFonts w:hint="eastAsia"/>
          <w:sz w:val="24"/>
          <w:szCs w:val="24"/>
        </w:rPr>
      </w:pPr>
      <w:r>
        <w:rPr>
          <w:rFonts w:hint="eastAsia"/>
          <w:sz w:val="24"/>
          <w:szCs w:val="24"/>
        </w:rPr>
        <w:t>1)本技术规范适用于兰州宏彬智能工厂项目所需系统的需求、功能设计、结构、性能、技术服务、安装、调试和验收等方面的技术要求。</w:t>
      </w:r>
    </w:p>
    <w:p>
      <w:pPr>
        <w:spacing w:line="360" w:lineRule="auto"/>
        <w:ind w:firstLine="480" w:firstLineChars="200"/>
        <w:rPr>
          <w:rFonts w:hint="eastAsia"/>
          <w:sz w:val="24"/>
          <w:szCs w:val="24"/>
        </w:rPr>
      </w:pPr>
      <w:r>
        <w:rPr>
          <w:rFonts w:hint="eastAsia"/>
          <w:sz w:val="24"/>
          <w:szCs w:val="24"/>
        </w:rPr>
        <w:t>2)本技术规格书中涉及的所有规范、标准或材料规格（包括一切有效的补充或附录） 均应为最新版本，若发现本技术规格书与参照的规范、标准有不一致之处，投标方应向招标方书面指明，并由招标方最后决定。</w:t>
      </w:r>
    </w:p>
    <w:p>
      <w:pPr>
        <w:spacing w:line="360" w:lineRule="auto"/>
        <w:ind w:firstLine="480" w:firstLineChars="200"/>
        <w:rPr>
          <w:rFonts w:hint="eastAsia"/>
          <w:sz w:val="24"/>
          <w:szCs w:val="24"/>
        </w:rPr>
      </w:pPr>
      <w:r>
        <w:rPr>
          <w:rFonts w:hint="eastAsia"/>
          <w:sz w:val="24"/>
          <w:szCs w:val="24"/>
        </w:rPr>
        <w:t>3)本技术规范书提出的是最低限度的技术要求，并未对一切技术细节做出规定，也未充分引述有关标准和规范的条文。招标方应提供符合本技术规范和工业标准的优质产品。</w:t>
      </w:r>
    </w:p>
    <w:p>
      <w:pPr>
        <w:spacing w:line="360" w:lineRule="auto"/>
        <w:ind w:firstLine="480" w:firstLineChars="200"/>
        <w:rPr>
          <w:rFonts w:hint="eastAsia"/>
          <w:sz w:val="24"/>
          <w:szCs w:val="24"/>
        </w:rPr>
      </w:pPr>
    </w:p>
    <w:p>
      <w:pPr>
        <w:spacing w:line="360" w:lineRule="auto"/>
        <w:ind w:firstLine="480" w:firstLineChars="200"/>
        <w:rPr>
          <w:rFonts w:hint="eastAsia"/>
          <w:sz w:val="24"/>
          <w:szCs w:val="24"/>
        </w:rPr>
      </w:pPr>
      <w:r>
        <w:rPr>
          <w:rFonts w:hint="eastAsia"/>
          <w:sz w:val="24"/>
          <w:szCs w:val="24"/>
        </w:rPr>
        <w:t>4)如果卖方没有以书面形式对本技术规范的条文提出异议，则意味着卖方提供的货物完全符合本技术规范的要求。如有异议，应在投标文件“技术偏离”中予以详细说明。</w:t>
      </w:r>
    </w:p>
    <w:p>
      <w:pPr>
        <w:spacing w:line="360" w:lineRule="auto"/>
        <w:ind w:firstLine="480" w:firstLineChars="200"/>
        <w:rPr>
          <w:rFonts w:hint="eastAsia"/>
          <w:sz w:val="24"/>
          <w:szCs w:val="24"/>
        </w:rPr>
      </w:pPr>
      <w:r>
        <w:rPr>
          <w:rFonts w:hint="eastAsia"/>
          <w:sz w:val="24"/>
          <w:szCs w:val="24"/>
        </w:rPr>
        <w:t>5)本技术规范书所使用的标准、规范如与投标人所执行的标准、规范不一致时，应按高于本技术要求所列的标准、规范执行，并在投标文件“技术偏离”中予以说明。</w:t>
      </w:r>
    </w:p>
    <w:p>
      <w:pPr>
        <w:spacing w:line="360" w:lineRule="auto"/>
        <w:ind w:firstLine="480" w:firstLineChars="200"/>
        <w:rPr>
          <w:rFonts w:hint="eastAsia"/>
          <w:sz w:val="24"/>
          <w:szCs w:val="24"/>
        </w:rPr>
      </w:pPr>
      <w:r>
        <w:rPr>
          <w:rFonts w:hint="eastAsia"/>
          <w:sz w:val="24"/>
          <w:szCs w:val="24"/>
        </w:rPr>
        <w:t>6)投标方保证向招标方提供的所有材料和服务遵循中国和当地的法律、法规及适用的标准和规范。</w:t>
      </w:r>
    </w:p>
    <w:p>
      <w:pPr>
        <w:spacing w:line="360" w:lineRule="auto"/>
        <w:ind w:firstLine="480" w:firstLineChars="200"/>
        <w:rPr>
          <w:rFonts w:hint="eastAsia"/>
          <w:sz w:val="24"/>
          <w:szCs w:val="24"/>
        </w:rPr>
      </w:pPr>
      <w:r>
        <w:rPr>
          <w:rFonts w:hint="eastAsia"/>
          <w:sz w:val="24"/>
          <w:szCs w:val="24"/>
        </w:rPr>
        <w:t>7)投标方可提出其它相当的替代标准，但需经招标方确认。</w:t>
      </w:r>
    </w:p>
    <w:p>
      <w:pPr>
        <w:spacing w:line="360" w:lineRule="auto"/>
        <w:ind w:firstLine="480" w:firstLineChars="200"/>
        <w:rPr>
          <w:rFonts w:hint="eastAsia"/>
          <w:sz w:val="24"/>
          <w:szCs w:val="24"/>
        </w:rPr>
      </w:pPr>
      <w:r>
        <w:rPr>
          <w:rFonts w:hint="eastAsia"/>
          <w:sz w:val="24"/>
          <w:szCs w:val="24"/>
        </w:rPr>
        <w:t>8)投标方采用的设备及软件专利、商标涉及到的全部费用均被认为己包含在总体报价中，投标方应保证招标方不承担有关设备及软件专利、商标的一切责任。</w:t>
      </w:r>
    </w:p>
    <w:p>
      <w:pPr>
        <w:spacing w:line="360" w:lineRule="auto"/>
        <w:ind w:firstLine="480" w:firstLineChars="200"/>
        <w:rPr>
          <w:rFonts w:hint="eastAsia"/>
          <w:sz w:val="24"/>
          <w:szCs w:val="24"/>
        </w:rPr>
      </w:pPr>
      <w:r>
        <w:rPr>
          <w:rFonts w:hint="eastAsia"/>
          <w:sz w:val="24"/>
          <w:szCs w:val="24"/>
        </w:rPr>
        <w:t>9)投标人应对招标人采购的货物所涉及的技术、产能等信息负有保密义务，特殊项目应当无条件签署保密协议。</w:t>
      </w:r>
    </w:p>
    <w:p>
      <w:pPr>
        <w:pStyle w:val="3"/>
        <w:rPr>
          <w:rFonts w:hint="eastAsia"/>
        </w:rPr>
      </w:pPr>
      <w:bookmarkStart w:id="4" w:name="_Toc5800"/>
      <w:r>
        <w:rPr>
          <w:rFonts w:hint="eastAsia"/>
        </w:rPr>
        <w:t>工作范围</w:t>
      </w:r>
      <w:bookmarkEnd w:id="4"/>
    </w:p>
    <w:p>
      <w:pPr>
        <w:spacing w:line="360" w:lineRule="auto"/>
        <w:ind w:firstLine="480" w:firstLineChars="200"/>
        <w:rPr>
          <w:rFonts w:hint="eastAsia"/>
          <w:sz w:val="24"/>
          <w:szCs w:val="24"/>
        </w:rPr>
      </w:pPr>
      <w:r>
        <w:rPr>
          <w:rFonts w:hint="eastAsia"/>
          <w:sz w:val="24"/>
          <w:szCs w:val="24"/>
        </w:rPr>
        <w:t>本系统适用于兰州宏彬的企业内部负极材料生产车间，包含生产产线、物料存储区、线边库、实验室、中控室等相关区位。投标方应提供满足本技术规格书要求所必须的硬件、软件和各项服务。其中包括但不限于下列内容：</w:t>
      </w:r>
    </w:p>
    <w:p>
      <w:pPr>
        <w:spacing w:line="360" w:lineRule="auto"/>
        <w:ind w:firstLine="480" w:firstLineChars="200"/>
        <w:rPr>
          <w:rFonts w:hint="eastAsia"/>
          <w:sz w:val="24"/>
          <w:szCs w:val="24"/>
        </w:rPr>
      </w:pPr>
      <w:r>
        <w:rPr>
          <w:rFonts w:hint="eastAsia"/>
          <w:sz w:val="24"/>
          <w:szCs w:val="24"/>
        </w:rPr>
        <w:t>1)按照工厂生产运行要求、本技术规格书规定和适用的技术标准，设计并提供一套完整的智能工厂系统。所供智能工厂系统应保证项目范围内生产区域的正常生产运行。</w:t>
      </w:r>
    </w:p>
    <w:p>
      <w:pPr>
        <w:spacing w:line="360" w:lineRule="auto"/>
        <w:ind w:firstLine="480" w:firstLineChars="200"/>
        <w:rPr>
          <w:rFonts w:hint="eastAsia"/>
          <w:sz w:val="24"/>
          <w:szCs w:val="24"/>
        </w:rPr>
      </w:pPr>
      <w:r>
        <w:rPr>
          <w:rFonts w:hint="eastAsia"/>
          <w:sz w:val="24"/>
          <w:szCs w:val="24"/>
        </w:rPr>
        <w:t>2)投标方需提供构成智能工厂系统所必需的全部硬件和软件。投标方所供设备在数量、类型、功能、性能方面都必须满足本招标书的要求（除非在差异表中特别说明的），即使在供货范围里没有列出但属于满足本招标书的技术要求所必须的，投标方也必须提供而不再发生任何费用问题。</w:t>
      </w:r>
    </w:p>
    <w:p>
      <w:pPr>
        <w:spacing w:line="360" w:lineRule="auto"/>
        <w:ind w:firstLine="480" w:firstLineChars="200"/>
        <w:rPr>
          <w:rFonts w:hint="eastAsia"/>
          <w:sz w:val="24"/>
          <w:szCs w:val="24"/>
        </w:rPr>
      </w:pPr>
      <w:r>
        <w:rPr>
          <w:rFonts w:hint="eastAsia"/>
          <w:sz w:val="24"/>
          <w:szCs w:val="24"/>
        </w:rPr>
        <w:t>3)按本项目的实际需要，提供完整的智能工厂系统，包括其设计、编码、测试、试验及系统运行所必须的咨询服务，培训和试运行。</w:t>
      </w:r>
    </w:p>
    <w:p>
      <w:pPr>
        <w:spacing w:line="360" w:lineRule="auto"/>
        <w:ind w:firstLine="480" w:firstLineChars="200"/>
        <w:rPr>
          <w:rFonts w:hint="eastAsia"/>
          <w:sz w:val="24"/>
          <w:szCs w:val="24"/>
        </w:rPr>
      </w:pPr>
      <w:r>
        <w:rPr>
          <w:rFonts w:hint="eastAsia"/>
          <w:sz w:val="24"/>
          <w:szCs w:val="24"/>
        </w:rPr>
        <w:t>4)投标方负责提供所有详细技术资料、用户操作手册等。</w:t>
      </w:r>
    </w:p>
    <w:p>
      <w:pPr>
        <w:spacing w:line="360" w:lineRule="auto"/>
        <w:ind w:firstLine="480" w:firstLineChars="200"/>
        <w:rPr>
          <w:rFonts w:hint="eastAsia"/>
          <w:sz w:val="24"/>
          <w:szCs w:val="24"/>
        </w:rPr>
      </w:pPr>
      <w:r>
        <w:rPr>
          <w:rFonts w:hint="eastAsia"/>
          <w:sz w:val="24"/>
          <w:szCs w:val="24"/>
        </w:rPr>
        <w:t>5)投标方应提供安装智能工厂系统所需的配套专用材料和设备。如发现短缺任何材料和设备，投标方必须在不延误安装工期的前提下，免费提供。</w:t>
      </w:r>
    </w:p>
    <w:p>
      <w:pPr>
        <w:spacing w:line="360" w:lineRule="auto"/>
        <w:ind w:firstLine="480" w:firstLineChars="200"/>
        <w:rPr>
          <w:rFonts w:hint="eastAsia"/>
          <w:sz w:val="24"/>
          <w:szCs w:val="24"/>
        </w:rPr>
      </w:pPr>
      <w:r>
        <w:rPr>
          <w:rFonts w:hint="eastAsia"/>
          <w:sz w:val="24"/>
          <w:szCs w:val="24"/>
        </w:rPr>
        <w:t>6)应达到本技术规格书规定的全部功能要求，在此基础上进行智能工厂系统的设计、编程、调试、软件测试和设备调试，并满足现场生产工艺要求。</w:t>
      </w:r>
    </w:p>
    <w:p>
      <w:pPr>
        <w:spacing w:line="360" w:lineRule="auto"/>
        <w:ind w:firstLine="480" w:firstLineChars="200"/>
        <w:rPr>
          <w:rFonts w:hint="eastAsia"/>
          <w:sz w:val="24"/>
          <w:szCs w:val="24"/>
        </w:rPr>
      </w:pPr>
      <w:r>
        <w:rPr>
          <w:rFonts w:hint="eastAsia"/>
          <w:sz w:val="24"/>
          <w:szCs w:val="24"/>
        </w:rPr>
        <w:t>7)按照合同规定的进度要求，按招标方要求发运智能工厂系统及相关设备到招标方指定地点。</w:t>
      </w:r>
    </w:p>
    <w:p>
      <w:pPr>
        <w:spacing w:line="360" w:lineRule="auto"/>
        <w:ind w:firstLine="480" w:firstLineChars="200"/>
        <w:rPr>
          <w:rFonts w:hint="eastAsia"/>
          <w:sz w:val="24"/>
          <w:szCs w:val="24"/>
        </w:rPr>
      </w:pPr>
      <w:r>
        <w:rPr>
          <w:rFonts w:hint="eastAsia"/>
          <w:sz w:val="24"/>
          <w:szCs w:val="24"/>
        </w:rPr>
        <w:t>8)负责培训招标方的运行、维护工程技术人员，并使这些培训人员能熟练地操作、维护智能工厂系统。</w:t>
      </w:r>
    </w:p>
    <w:p>
      <w:pPr>
        <w:snapToGrid w:val="0"/>
        <w:spacing w:line="360" w:lineRule="auto"/>
        <w:jc w:val="center"/>
        <w:rPr>
          <w:rFonts w:hint="eastAsia" w:hAnsi="宋体"/>
          <w:b/>
          <w:sz w:val="24"/>
        </w:rPr>
      </w:pPr>
      <w:r>
        <w:rPr>
          <w:rFonts w:hint="eastAsia" w:hAnsi="宋体"/>
          <w:b/>
          <w:sz w:val="24"/>
        </w:rPr>
        <w:t>工程建设期和质保期的</w:t>
      </w:r>
      <w:r>
        <w:rPr>
          <w:rFonts w:hAnsi="宋体"/>
          <w:b/>
          <w:sz w:val="24"/>
        </w:rPr>
        <w:t>服务承诺</w:t>
      </w:r>
    </w:p>
    <w:p>
      <w:pPr>
        <w:snapToGrid w:val="0"/>
        <w:spacing w:line="360" w:lineRule="auto"/>
        <w:jc w:val="center"/>
        <w:rPr>
          <w:b/>
          <w:sz w:val="24"/>
        </w:rPr>
      </w:pP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4"/>
        <w:gridCol w:w="6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84" w:type="dxa"/>
            <w:tcBorders>
              <w:top w:val="single" w:color="auto" w:sz="4" w:space="0"/>
              <w:left w:val="single" w:color="auto" w:sz="4" w:space="0"/>
              <w:bottom w:val="single" w:color="auto" w:sz="4" w:space="0"/>
              <w:right w:val="single" w:color="auto" w:sz="4" w:space="0"/>
            </w:tcBorders>
          </w:tcPr>
          <w:p>
            <w:pPr>
              <w:rPr>
                <w:rFonts w:ascii="宋体" w:hAnsi="宋体"/>
                <w:sz w:val="24"/>
              </w:rPr>
            </w:pPr>
            <w:r>
              <w:rPr>
                <w:rFonts w:hint="eastAsia" w:ascii="宋体" w:hAnsi="宋体"/>
                <w:sz w:val="24"/>
              </w:rPr>
              <w:t>投标人</w:t>
            </w:r>
          </w:p>
        </w:tc>
        <w:tc>
          <w:tcPr>
            <w:tcW w:w="6838" w:type="dxa"/>
            <w:tcBorders>
              <w:top w:val="single" w:color="auto" w:sz="4" w:space="0"/>
              <w:left w:val="single" w:color="auto" w:sz="4" w:space="0"/>
              <w:bottom w:val="single" w:color="auto" w:sz="4" w:space="0"/>
              <w:right w:val="single" w:color="auto" w:sz="4" w:space="0"/>
            </w:tcBorders>
          </w:tcPr>
          <w:p>
            <w:pPr>
              <w:rPr>
                <w:rFonts w:hint="eastAsia" w:ascii="宋体" w:hAnsi="宋体"/>
                <w:sz w:val="24"/>
              </w:rPr>
            </w:pPr>
            <w:r>
              <w:rPr>
                <w:rFonts w:hint="eastAsia" w:ascii="宋体" w:hAnsi="宋体"/>
                <w:sz w:val="24"/>
              </w:rPr>
              <w:t>xxxx信息技术有限责任公司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22" w:type="dxa"/>
            <w:gridSpan w:val="2"/>
            <w:tcBorders>
              <w:top w:val="single" w:color="auto" w:sz="4" w:space="0"/>
              <w:left w:val="single" w:color="auto" w:sz="4" w:space="0"/>
              <w:bottom w:val="single" w:color="auto" w:sz="4" w:space="0"/>
              <w:right w:val="single" w:color="auto" w:sz="4" w:space="0"/>
            </w:tcBorders>
          </w:tcPr>
          <w:p>
            <w:pPr>
              <w:rPr>
                <w:rFonts w:hint="eastAsia" w:ascii="宋体" w:hAnsi="宋体"/>
                <w:b/>
                <w:sz w:val="24"/>
              </w:rPr>
            </w:pPr>
          </w:p>
          <w:p>
            <w:pPr>
              <w:rPr>
                <w:rFonts w:hint="eastAsia" w:ascii="宋体" w:hAnsi="宋体"/>
                <w:b/>
                <w:sz w:val="24"/>
              </w:rPr>
            </w:pPr>
            <w:r>
              <w:rPr>
                <w:rFonts w:hint="eastAsia" w:ascii="宋体" w:hAnsi="宋体"/>
                <w:b/>
                <w:sz w:val="24"/>
              </w:rPr>
              <w:t>工程建设期承诺：</w:t>
            </w:r>
          </w:p>
          <w:p>
            <w:pPr>
              <w:rPr>
                <w:rFonts w:ascii="宋体" w:hAnsi="宋体"/>
                <w:sz w:val="24"/>
              </w:rPr>
            </w:pPr>
          </w:p>
          <w:p>
            <w:pPr>
              <w:rPr>
                <w:rFonts w:hint="eastAsia" w:ascii="宋体" w:hAnsi="宋体"/>
                <w:sz w:val="24"/>
              </w:rPr>
            </w:pPr>
            <w:r>
              <w:rPr>
                <w:rFonts w:hint="eastAsia" w:ascii="宋体" w:hAnsi="宋体"/>
                <w:sz w:val="24"/>
              </w:rPr>
              <w:t>一、工程质量方面的承诺：合格，符合施工验收规范标准。</w:t>
            </w:r>
          </w:p>
          <w:p>
            <w:pPr>
              <w:rPr>
                <w:rFonts w:hint="eastAsia" w:ascii="宋体" w:hAnsi="宋体"/>
                <w:sz w:val="24"/>
              </w:rPr>
            </w:pPr>
            <w:r>
              <w:rPr>
                <w:rFonts w:hint="eastAsia" w:ascii="宋体" w:hAnsi="宋体"/>
                <w:sz w:val="24"/>
              </w:rPr>
              <w:t>二、工期方面的承诺：保证90日历天完工。</w:t>
            </w:r>
          </w:p>
          <w:p>
            <w:pPr>
              <w:rPr>
                <w:rFonts w:hint="eastAsia" w:ascii="宋体" w:hAnsi="宋体"/>
                <w:sz w:val="24"/>
              </w:rPr>
            </w:pPr>
            <w:r>
              <w:rPr>
                <w:rFonts w:hint="eastAsia" w:ascii="宋体" w:hAnsi="宋体"/>
                <w:sz w:val="24"/>
              </w:rPr>
              <w:t>三、工程进度承诺：</w:t>
            </w:r>
          </w:p>
          <w:p>
            <w:pPr>
              <w:spacing w:line="500" w:lineRule="exact"/>
              <w:ind w:firstLine="480" w:firstLineChars="200"/>
              <w:rPr>
                <w:rFonts w:hint="eastAsia" w:ascii="宋体" w:hAnsi="宋体"/>
                <w:sz w:val="24"/>
              </w:rPr>
            </w:pPr>
            <w:r>
              <w:rPr>
                <w:rFonts w:hint="eastAsia" w:ascii="宋体" w:hAnsi="宋体"/>
                <w:sz w:val="24"/>
              </w:rPr>
              <w:t>我公司将使用与我公司合作多年的专业队伍，以保证在雨季、农忙季节、法定节假日不影响现场的正常施工，确保工程按进度如期完成。否则，愿接受甲方处罚。</w:t>
            </w:r>
          </w:p>
          <w:p>
            <w:pPr>
              <w:rPr>
                <w:rFonts w:hint="eastAsia" w:ascii="宋体" w:hAnsi="宋体"/>
                <w:sz w:val="24"/>
              </w:rPr>
            </w:pPr>
            <w:r>
              <w:rPr>
                <w:rFonts w:hint="eastAsia" w:ascii="宋体" w:hAnsi="宋体"/>
                <w:sz w:val="24"/>
              </w:rPr>
              <w:t>四、安全措施方面的承诺：</w:t>
            </w:r>
          </w:p>
          <w:p>
            <w:pPr>
              <w:spacing w:line="580" w:lineRule="exact"/>
              <w:ind w:firstLine="720" w:firstLineChars="300"/>
              <w:rPr>
                <w:rFonts w:hint="eastAsia" w:ascii="宋体" w:hAnsi="宋体"/>
                <w:sz w:val="24"/>
              </w:rPr>
            </w:pPr>
            <w:r>
              <w:rPr>
                <w:rFonts w:hint="eastAsia" w:ascii="宋体" w:hAnsi="宋体"/>
                <w:sz w:val="24"/>
              </w:rPr>
              <w:t>安全管理目标：杜绝重大伤亡、设备、火灾事故，确保行人、车辆的安全和周边建筑物及群众的安全。施工期间，加强安全防护措施，保证安全文明施工，不发生各种安全事故，承担安全文明施工费用。</w:t>
            </w:r>
          </w:p>
          <w:p>
            <w:pPr>
              <w:spacing w:line="500" w:lineRule="exact"/>
              <w:rPr>
                <w:rFonts w:hint="eastAsia" w:ascii="宋体" w:hAnsi="宋体"/>
                <w:sz w:val="24"/>
              </w:rPr>
            </w:pPr>
            <w:r>
              <w:rPr>
                <w:rFonts w:hint="eastAsia" w:ascii="宋体" w:hAnsi="宋体"/>
                <w:sz w:val="24"/>
              </w:rPr>
              <w:t>安全措施：</w:t>
            </w:r>
          </w:p>
          <w:p>
            <w:pPr>
              <w:spacing w:line="500" w:lineRule="exact"/>
              <w:ind w:firstLine="360" w:firstLineChars="150"/>
              <w:rPr>
                <w:rFonts w:hint="eastAsia" w:ascii="宋体" w:hAnsi="宋体"/>
                <w:sz w:val="24"/>
              </w:rPr>
            </w:pPr>
            <w:r>
              <w:rPr>
                <w:rFonts w:hint="eastAsia" w:ascii="宋体" w:hAnsi="宋体"/>
                <w:sz w:val="24"/>
              </w:rPr>
              <w:t>1、根据施工和工程的实际情况，编制详细的安全操作规程、细则，制定切实可行的安全技术措施，分发到工班，组织逐条学习，落实，抓好“安全三同时”（即在计划、布置、检查、总结、评比生产的同时，计划、布置、检查、总结，评比安全工作）和“三级安全教育”。</w:t>
            </w:r>
          </w:p>
          <w:p>
            <w:pPr>
              <w:spacing w:line="500" w:lineRule="exact"/>
              <w:ind w:firstLine="360" w:firstLineChars="150"/>
              <w:rPr>
                <w:rFonts w:hint="eastAsia" w:ascii="宋体" w:hAnsi="宋体"/>
                <w:sz w:val="24"/>
              </w:rPr>
            </w:pPr>
            <w:r>
              <w:rPr>
                <w:rFonts w:hint="eastAsia" w:ascii="宋体" w:hAnsi="宋体"/>
                <w:sz w:val="24"/>
              </w:rPr>
              <w:t>2、每一工序开工前，必须做出详细的施工方案和实施措施，根据监理审批后，及时做好施工技术及安全交底，并在施工过程中督促检查、严格执行。</w:t>
            </w:r>
          </w:p>
          <w:p>
            <w:pPr>
              <w:spacing w:line="500" w:lineRule="exact"/>
              <w:ind w:firstLine="360" w:firstLineChars="150"/>
              <w:rPr>
                <w:rFonts w:hint="eastAsia" w:ascii="宋体" w:hAnsi="宋体"/>
                <w:sz w:val="24"/>
              </w:rPr>
            </w:pPr>
            <w:r>
              <w:rPr>
                <w:rFonts w:hint="eastAsia" w:ascii="宋体" w:hAnsi="宋体"/>
                <w:sz w:val="24"/>
              </w:rPr>
              <w:t>3、加强安全检查，公司对本工程安全实行每月一次的全面检查，经理部半月检查一次，班组实行工前、工中检查。凡检查中发现的不安全因素，指定专人限期解决，不留后患。</w:t>
            </w:r>
          </w:p>
          <w:p>
            <w:pPr>
              <w:spacing w:line="500" w:lineRule="exact"/>
              <w:ind w:firstLine="360" w:firstLineChars="150"/>
              <w:rPr>
                <w:rFonts w:hint="eastAsia" w:ascii="宋体" w:hAnsi="宋体"/>
                <w:sz w:val="24"/>
              </w:rPr>
            </w:pPr>
            <w:r>
              <w:rPr>
                <w:rFonts w:hint="eastAsia" w:ascii="宋体" w:hAnsi="宋体"/>
                <w:sz w:val="24"/>
              </w:rPr>
              <w:t>4、安全生产与经济利益挂钩。施工中对安全好的个人和班组进行大力宣传。实行重奖，对违章指挥、违章操作的责任人给予重罚，并视情节作出严肃处理。</w:t>
            </w:r>
          </w:p>
          <w:p>
            <w:pPr>
              <w:rPr>
                <w:rFonts w:hint="eastAsia" w:ascii="宋体" w:hAnsi="宋体"/>
                <w:sz w:val="24"/>
              </w:rPr>
            </w:pPr>
            <w:r>
              <w:rPr>
                <w:rFonts w:hint="eastAsia" w:ascii="宋体" w:hAnsi="宋体"/>
                <w:sz w:val="24"/>
              </w:rPr>
              <w:t>五、建造师、管理人员方面的承诺：</w:t>
            </w:r>
          </w:p>
          <w:p>
            <w:pPr>
              <w:ind w:firstLine="480" w:firstLineChars="200"/>
              <w:rPr>
                <w:rFonts w:hint="eastAsia" w:ascii="宋体" w:hAnsi="宋体"/>
                <w:sz w:val="24"/>
              </w:rPr>
            </w:pPr>
            <w:r>
              <w:rPr>
                <w:rFonts w:hint="eastAsia" w:ascii="宋体" w:hAnsi="宋体"/>
                <w:sz w:val="24"/>
              </w:rPr>
              <w:t>1、一旦我单位中标，我公司将选派高素质、有很强的施工管理能力、特别是有着同类工程施工管理经验的李未军同志担任该工程的建造师；选派高素质、有经验的专业管理人员组成精干的项目班子与业主合作。我公司对建造师部管理人员的配置和管理将严格遵循FIDIC条款的相应要求，未经业主同意不随意调换管理人员，如遇业主方对项目管理成员的工作状况不尽满意时，可随时提出撤换要求。</w:t>
            </w:r>
          </w:p>
          <w:p>
            <w:pPr>
              <w:ind w:firstLine="480" w:firstLineChars="200"/>
              <w:rPr>
                <w:rFonts w:hint="eastAsia" w:ascii="宋体" w:hAnsi="宋体"/>
                <w:sz w:val="24"/>
              </w:rPr>
            </w:pPr>
            <w:r>
              <w:rPr>
                <w:rFonts w:hint="eastAsia" w:ascii="宋体" w:hAnsi="宋体"/>
                <w:sz w:val="24"/>
              </w:rPr>
              <w:t>2、我公司中标后，原则上不更换建造师，遇特殊情况，我公司推荐符合规定的建造师人选，在征得建设单位同意，并向有关部门办理有关手续后，方可进行更换。</w:t>
            </w:r>
          </w:p>
          <w:p>
            <w:pPr>
              <w:rPr>
                <w:rFonts w:hint="eastAsia" w:ascii="宋体" w:hAnsi="宋体"/>
                <w:sz w:val="24"/>
              </w:rPr>
            </w:pPr>
            <w:r>
              <w:rPr>
                <w:rFonts w:hint="eastAsia" w:ascii="宋体" w:hAnsi="宋体"/>
                <w:sz w:val="24"/>
              </w:rPr>
              <w:t>六、与业主及监理单位配合方面的承诺：</w:t>
            </w:r>
          </w:p>
          <w:p>
            <w:pPr>
              <w:pStyle w:val="4"/>
              <w:spacing w:line="360" w:lineRule="auto"/>
              <w:ind w:firstLine="480" w:firstLineChars="200"/>
              <w:rPr>
                <w:rFonts w:hint="eastAsia" w:ascii="宋体" w:hAnsi="宋体"/>
                <w:sz w:val="24"/>
              </w:rPr>
            </w:pPr>
            <w:r>
              <w:rPr>
                <w:rFonts w:hint="eastAsia" w:ascii="宋体" w:hAnsi="宋体"/>
                <w:sz w:val="24"/>
              </w:rPr>
              <w:t>业主、监理单位与我单位之间是业主和乙方、监理与被监理的关系，我们保证和建设、监理单位之间搞好配合工作，共同搞好工程施工的各项工作；积极参加业主召开的各种会议，严格执行业主发出的合理指令，并为建设单位开展工作提供方便。</w:t>
            </w:r>
          </w:p>
          <w:p>
            <w:pPr>
              <w:pStyle w:val="4"/>
              <w:spacing w:line="500" w:lineRule="exact"/>
              <w:rPr>
                <w:rFonts w:hint="eastAsia" w:ascii="宋体" w:hAnsi="宋体"/>
                <w:sz w:val="24"/>
              </w:rPr>
            </w:pPr>
            <w:r>
              <w:rPr>
                <w:rFonts w:hint="eastAsia" w:ascii="宋体" w:hAnsi="宋体"/>
                <w:sz w:val="24"/>
              </w:rPr>
              <w:t>七、农民工工资保障金承诺：</w:t>
            </w:r>
          </w:p>
          <w:p>
            <w:pPr>
              <w:ind w:firstLine="475" w:firstLineChars="198"/>
              <w:rPr>
                <w:rFonts w:hint="eastAsia" w:ascii="宋体" w:hAnsi="宋体"/>
                <w:sz w:val="24"/>
              </w:rPr>
            </w:pPr>
            <w:r>
              <w:rPr>
                <w:rFonts w:hint="eastAsia" w:ascii="宋体" w:hAnsi="宋体"/>
                <w:sz w:val="24"/>
              </w:rPr>
              <w:t>如我公司中标，我公司向业主交纳农民工工资保障金。我公司承诺：一旦承包的建设工程项目中出现拖欠农民工工资情况的，可由项目主管部门从工资保障金或工程款中先予划支。</w:t>
            </w:r>
          </w:p>
          <w:p>
            <w:pPr>
              <w:rPr>
                <w:rFonts w:hint="eastAsia" w:ascii="宋体" w:hAnsi="宋体"/>
                <w:sz w:val="24"/>
              </w:rPr>
            </w:pPr>
            <w:r>
              <w:rPr>
                <w:rFonts w:hint="eastAsia" w:ascii="宋体" w:hAnsi="宋体"/>
                <w:sz w:val="24"/>
              </w:rPr>
              <w:t>八、在施工过程中的建筑垃圾，承诺无偿清运。</w:t>
            </w:r>
          </w:p>
          <w:p>
            <w:pPr>
              <w:rPr>
                <w:rFonts w:hint="eastAsia" w:ascii="宋体" w:hAnsi="宋体"/>
                <w:sz w:val="24"/>
              </w:rPr>
            </w:pPr>
          </w:p>
          <w:p>
            <w:pPr>
              <w:pStyle w:val="3"/>
              <w:spacing w:line="360" w:lineRule="auto"/>
              <w:rPr>
                <w:rFonts w:hint="eastAsia"/>
                <w:szCs w:val="24"/>
              </w:rPr>
            </w:pPr>
            <w:r>
              <w:rPr>
                <w:rFonts w:hint="eastAsia"/>
                <w:szCs w:val="24"/>
              </w:rPr>
              <w:t>质保期服务承诺</w:t>
            </w:r>
          </w:p>
          <w:p>
            <w:pPr>
              <w:spacing w:line="360" w:lineRule="auto"/>
              <w:ind w:firstLine="472" w:firstLineChars="225"/>
              <w:rPr>
                <w:rFonts w:hint="eastAsia"/>
              </w:rPr>
            </w:pPr>
            <w:r>
              <w:rPr>
                <w:rFonts w:hint="eastAsia"/>
              </w:rPr>
              <w:t>我们在本项目保修期内承诺：</w:t>
            </w:r>
          </w:p>
          <w:p>
            <w:pPr>
              <w:widowControl/>
              <w:numPr>
                <w:ilvl w:val="0"/>
                <w:numId w:val="2"/>
              </w:numPr>
              <w:spacing w:before="120" w:after="120" w:line="360" w:lineRule="auto"/>
              <w:jc w:val="left"/>
              <w:rPr>
                <w:rFonts w:hint="eastAsia"/>
              </w:rPr>
            </w:pPr>
            <w:r>
              <w:rPr>
                <w:rFonts w:hint="eastAsia"/>
              </w:rPr>
              <w:t>我公司依据有效合同，从工程竣工开始，我公司针对本项目中由我方进行安装的系统提供</w:t>
            </w:r>
            <w:r>
              <w:rPr>
                <w:rFonts w:hint="eastAsia"/>
                <w:b/>
                <w:i/>
                <w:u w:val="single"/>
              </w:rPr>
              <w:t xml:space="preserve"> 24个月 </w:t>
            </w:r>
            <w:r>
              <w:rPr>
                <w:rFonts w:hint="eastAsia"/>
              </w:rPr>
              <w:t>的免费维护。自双方代表在验收报告上签字之日起计算。</w:t>
            </w:r>
          </w:p>
          <w:p>
            <w:pPr>
              <w:widowControl/>
              <w:numPr>
                <w:ilvl w:val="0"/>
                <w:numId w:val="2"/>
              </w:numPr>
              <w:spacing w:before="120" w:after="120" w:line="360" w:lineRule="auto"/>
              <w:jc w:val="left"/>
              <w:rPr>
                <w:rFonts w:hint="eastAsia"/>
              </w:rPr>
            </w:pPr>
            <w:r>
              <w:rPr>
                <w:rFonts w:hint="eastAsia"/>
              </w:rPr>
              <w:t>对于本系统工程由我方提供的所有产品，我们承诺提供</w:t>
            </w:r>
            <w:r>
              <w:rPr>
                <w:rFonts w:hint="eastAsia"/>
                <w:b/>
                <w:i/>
                <w:u w:val="single"/>
              </w:rPr>
              <w:t xml:space="preserve"> 两年 </w:t>
            </w:r>
            <w:r>
              <w:rPr>
                <w:rFonts w:hint="eastAsia"/>
              </w:rPr>
              <w:t>的免费维修服务。</w:t>
            </w:r>
          </w:p>
          <w:p>
            <w:pPr>
              <w:widowControl/>
              <w:numPr>
                <w:ilvl w:val="0"/>
                <w:numId w:val="2"/>
              </w:numPr>
              <w:spacing w:before="120" w:after="120" w:line="360" w:lineRule="auto"/>
              <w:jc w:val="left"/>
              <w:rPr>
                <w:rFonts w:hint="eastAsia"/>
              </w:rPr>
            </w:pPr>
            <w:r>
              <w:rPr>
                <w:rFonts w:hint="eastAsia"/>
              </w:rPr>
              <w:t>针对本系统工程我方提供的设备中易耗易损件建立完善的备品备件库。</w:t>
            </w:r>
          </w:p>
          <w:p>
            <w:pPr>
              <w:widowControl/>
              <w:numPr>
                <w:ilvl w:val="0"/>
                <w:numId w:val="2"/>
              </w:numPr>
              <w:spacing w:before="120" w:after="120" w:line="360" w:lineRule="auto"/>
              <w:jc w:val="left"/>
              <w:rPr>
                <w:rFonts w:hint="eastAsia"/>
              </w:rPr>
            </w:pPr>
            <w:r>
              <w:rPr>
                <w:rFonts w:hint="eastAsia"/>
              </w:rPr>
              <w:t>我公司在系统调试交接时，将提供完整的完工图纸，软、硬件文档，操作、维护手册，设备清单等，并帮助业主建立系统的运行、管理和维护文档，以便在发生故障时能及时提供资料，迅速找到并排除故障，将损失减至最小。</w:t>
            </w:r>
          </w:p>
          <w:p>
            <w:pPr>
              <w:widowControl/>
              <w:numPr>
                <w:ilvl w:val="0"/>
                <w:numId w:val="2"/>
              </w:numPr>
              <w:spacing w:before="120" w:after="120" w:line="360" w:lineRule="auto"/>
              <w:jc w:val="left"/>
              <w:rPr>
                <w:rFonts w:hint="eastAsia"/>
              </w:rPr>
            </w:pPr>
            <w:r>
              <w:rPr>
                <w:rFonts w:hint="eastAsia"/>
              </w:rPr>
              <w:t>在保修期内，我公司提供“7 X 24小时随传服务”，及时派遣技术人员修理损坏的设备。设备保养工作采取定期、不定期与突发事故抢修的方式进行。</w:t>
            </w:r>
          </w:p>
          <w:p>
            <w:pPr>
              <w:widowControl/>
              <w:numPr>
                <w:ilvl w:val="0"/>
                <w:numId w:val="2"/>
              </w:numPr>
              <w:spacing w:before="120" w:after="120" w:line="360" w:lineRule="auto"/>
              <w:jc w:val="left"/>
              <w:rPr>
                <w:rFonts w:hint="eastAsia"/>
              </w:rPr>
            </w:pPr>
            <w:r>
              <w:rPr>
                <w:rFonts w:hint="eastAsia"/>
              </w:rPr>
              <w:t>设立24小时开通的维修热线电话，在系统发生故障后，应及时电话通知我公司，贵方需要把故障现象及出错处描述清楚。</w:t>
            </w:r>
            <w:r>
              <w:rPr>
                <w:rFonts w:hint="eastAsia"/>
                <w:b/>
                <w:i/>
                <w:u w:val="single"/>
              </w:rPr>
              <w:t>我公司在接到贵方通知后，承诺在4小时之内到达现场。</w:t>
            </w:r>
          </w:p>
          <w:p>
            <w:pPr>
              <w:widowControl/>
              <w:numPr>
                <w:ilvl w:val="0"/>
                <w:numId w:val="2"/>
              </w:numPr>
              <w:spacing w:before="120" w:after="120" w:line="360" w:lineRule="auto"/>
              <w:jc w:val="left"/>
              <w:rPr>
                <w:rFonts w:hint="eastAsia"/>
              </w:rPr>
            </w:pPr>
            <w:r>
              <w:rPr>
                <w:rFonts w:hint="eastAsia"/>
              </w:rPr>
              <w:t>在保修期内由于我方提供设备材料本身质量原因造成的任何损伤或损坏，我公司将提供现场免费服务，及时提供免费的备品备件更换出问题的设备，保证系统不间断的稳定运行，然后积极与设备供应方联系设备维修事宜，对故障设备免费修理或更换，保证在部分设备修理期间不影响系统的正常使用。同时在如上情况下，修理的设备的保修期重新计算并延长。</w:t>
            </w:r>
          </w:p>
          <w:p>
            <w:pPr>
              <w:widowControl/>
              <w:numPr>
                <w:ilvl w:val="0"/>
                <w:numId w:val="2"/>
              </w:numPr>
              <w:spacing w:before="120" w:after="120" w:line="360" w:lineRule="auto"/>
              <w:jc w:val="left"/>
              <w:rPr>
                <w:rFonts w:hint="eastAsia"/>
              </w:rPr>
            </w:pPr>
            <w:r>
              <w:rPr>
                <w:rFonts w:hint="eastAsia"/>
              </w:rPr>
              <w:t>在保修期内由于我方提供设备材料非其本身质量原因造成（如人为不正当使用损坏、不可抗力损坏等）的任何损伤或损坏，我公司将首先提供免费的备品备件更换出问题的设备，保证系统不间断的稳定运行，然后积极与设备供应方联系设备维修事宜，酌情对损坏的设备做出鉴定，达到维修成本最低，维修费用由事故造成方承担，我方负责免费安装、调试服务。设备修好并经过检测达到使用功能后进入备品备件库备用；</w:t>
            </w:r>
          </w:p>
          <w:p>
            <w:pPr>
              <w:widowControl/>
              <w:numPr>
                <w:ilvl w:val="0"/>
                <w:numId w:val="2"/>
              </w:numPr>
              <w:spacing w:before="120" w:after="120" w:line="360" w:lineRule="auto"/>
              <w:jc w:val="left"/>
              <w:rPr>
                <w:rFonts w:hint="eastAsia"/>
              </w:rPr>
            </w:pPr>
            <w:r>
              <w:rPr>
                <w:rFonts w:hint="eastAsia"/>
              </w:rPr>
              <w:t>免费保修期结束后，我们承诺提供长期的跟踪服务，为系统进行定期检测和系统升级服务。同时免费保修期结束后的12个月内，我们可以提供优惠保修服务，内容见下一节。</w:t>
            </w:r>
          </w:p>
          <w:p>
            <w:pPr>
              <w:widowControl/>
              <w:numPr>
                <w:ilvl w:val="0"/>
                <w:numId w:val="2"/>
              </w:numPr>
              <w:spacing w:before="120" w:after="120" w:line="360" w:lineRule="auto"/>
              <w:jc w:val="left"/>
              <w:rPr>
                <w:rFonts w:hint="eastAsia"/>
              </w:rPr>
            </w:pPr>
            <w:r>
              <w:rPr>
                <w:rFonts w:hint="eastAsia"/>
              </w:rPr>
              <w:t>系统验收通过，移交之后，我方组织物业相关管理人员进行本系统的原理及使用方面的培训工作，同时将在本系统移交之后</w:t>
            </w:r>
            <w:r>
              <w:rPr>
                <w:rFonts w:hint="eastAsia"/>
                <w:b/>
                <w:i/>
                <w:u w:val="single"/>
              </w:rPr>
              <w:t xml:space="preserve"> 三个月内 </w:t>
            </w:r>
            <w:r>
              <w:rPr>
                <w:rFonts w:hint="eastAsia"/>
              </w:rPr>
              <w:t>在现场派驻工程师及技术工人配合贵方物业管理人员协助系统开通运行，业主入住，保驾护航。</w:t>
            </w:r>
          </w:p>
          <w:p>
            <w:pPr>
              <w:widowControl/>
              <w:numPr>
                <w:ilvl w:val="0"/>
                <w:numId w:val="2"/>
              </w:numPr>
              <w:spacing w:before="120" w:after="120" w:line="360" w:lineRule="auto"/>
              <w:jc w:val="left"/>
              <w:rPr>
                <w:rFonts w:hint="eastAsia"/>
              </w:rPr>
            </w:pPr>
            <w:r>
              <w:rPr>
                <w:rFonts w:hint="eastAsia"/>
              </w:rPr>
              <w:t>我公司指定专业技术人员负责与贵方联系，保证贵方能及时得到必要的指导，如我公司指定人员变更，将及时通知贵方，以保持服务的延续性。</w:t>
            </w:r>
          </w:p>
          <w:p>
            <w:pPr>
              <w:widowControl/>
              <w:numPr>
                <w:ilvl w:val="0"/>
                <w:numId w:val="2"/>
              </w:numPr>
              <w:spacing w:before="120" w:after="120" w:line="360" w:lineRule="auto"/>
              <w:jc w:val="left"/>
              <w:rPr>
                <w:rFonts w:hint="eastAsia"/>
              </w:rPr>
            </w:pPr>
            <w:r>
              <w:rPr>
                <w:rFonts w:hint="eastAsia"/>
              </w:rPr>
              <w:t>在免费保修期内，</w:t>
            </w:r>
            <w:r>
              <w:rPr>
                <w:rFonts w:hint="eastAsia"/>
                <w:b/>
                <w:i/>
                <w:u w:val="single"/>
              </w:rPr>
              <w:t>我公司将每月进行一次例行回访</w:t>
            </w:r>
            <w:r>
              <w:rPr>
                <w:rFonts w:hint="eastAsia"/>
              </w:rPr>
              <w:t>。由该项目项目经理及技术人员到使用单位有关部门了解设备使用情况，处理发现的问题，并对设备进行相关保养维护。每季度由该项目技术人员进行一次保养、检查电气设备和装置。并在每次保养、检查后进行记录，记录册存放于有关设备房间内。</w:t>
            </w:r>
          </w:p>
          <w:p>
            <w:pPr>
              <w:widowControl/>
              <w:numPr>
                <w:ilvl w:val="0"/>
                <w:numId w:val="3"/>
              </w:numPr>
              <w:spacing w:before="120" w:after="120" w:line="360" w:lineRule="auto"/>
              <w:jc w:val="left"/>
              <w:rPr>
                <w:rFonts w:hint="eastAsia"/>
              </w:rPr>
            </w:pPr>
            <w:r>
              <w:rPr>
                <w:rFonts w:hint="eastAsia"/>
              </w:rPr>
              <w:t>每次维护并解决问题之后，做出标准的全面的维护记录。</w:t>
            </w:r>
          </w:p>
          <w:p>
            <w:pPr>
              <w:rPr>
                <w:rFonts w:hint="eastAsia" w:ascii="宋体" w:hAnsi="宋体"/>
                <w:sz w:val="24"/>
              </w:rPr>
            </w:pPr>
          </w:p>
          <w:p>
            <w:pPr>
              <w:ind w:firstLine="235" w:firstLineChars="98"/>
              <w:rPr>
                <w:rFonts w:ascii="宋体" w:hAnsi="宋体"/>
                <w:sz w:val="24"/>
              </w:rPr>
            </w:pPr>
          </w:p>
        </w:tc>
      </w:tr>
    </w:tbl>
    <w:p/>
    <w:p>
      <w:pPr>
        <w:pStyle w:val="5"/>
        <w:rPr>
          <w:rFonts w:hint="eastAsia"/>
        </w:rPr>
      </w:pPr>
    </w:p>
    <w:p>
      <w:pPr>
        <w:pStyle w:val="2"/>
        <w:rPr>
          <w:rFonts w:hint="eastAsia"/>
        </w:rPr>
      </w:pPr>
      <w:bookmarkStart w:id="5" w:name="_Toc30068"/>
      <w:r>
        <w:rPr>
          <w:rFonts w:hint="eastAsia"/>
        </w:rPr>
        <w:t>设计标准</w:t>
      </w:r>
      <w:bookmarkEnd w:id="5"/>
    </w:p>
    <w:p>
      <w:pPr>
        <w:spacing w:line="360" w:lineRule="auto"/>
        <w:ind w:firstLine="480" w:firstLineChars="200"/>
        <w:rPr>
          <w:rFonts w:hint="eastAsia"/>
          <w:sz w:val="24"/>
          <w:szCs w:val="24"/>
        </w:rPr>
      </w:pPr>
      <w:r>
        <w:rPr>
          <w:rFonts w:hint="eastAsia"/>
          <w:sz w:val="24"/>
          <w:szCs w:val="24"/>
        </w:rPr>
        <w:t>本项目的方案设计符合国家及行业内标准，在进行设计时主要以下列标准作为参考依据：</w:t>
      </w:r>
    </w:p>
    <w:p>
      <w:pPr>
        <w:spacing w:line="360" w:lineRule="auto"/>
        <w:ind w:firstLine="480" w:firstLineChars="200"/>
        <w:rPr>
          <w:rFonts w:hint="eastAsia"/>
          <w:sz w:val="24"/>
          <w:szCs w:val="24"/>
        </w:rPr>
      </w:pPr>
      <w:r>
        <w:rPr>
          <w:rFonts w:hint="eastAsia"/>
          <w:sz w:val="24"/>
          <w:szCs w:val="24"/>
        </w:rPr>
        <w:t>《计算机信息系统 安全保护等级划分准则》（GB 17859-1999）</w:t>
      </w:r>
    </w:p>
    <w:p>
      <w:pPr>
        <w:spacing w:line="360" w:lineRule="auto"/>
        <w:ind w:firstLine="480" w:firstLineChars="200"/>
        <w:rPr>
          <w:rFonts w:hint="eastAsia"/>
          <w:sz w:val="24"/>
          <w:szCs w:val="24"/>
        </w:rPr>
      </w:pPr>
      <w:r>
        <w:rPr>
          <w:rFonts w:hint="eastAsia"/>
          <w:sz w:val="24"/>
          <w:szCs w:val="24"/>
        </w:rPr>
        <w:t>《基于网络的企业信息集成规范》（GB/Z 18729-20024）</w:t>
      </w:r>
    </w:p>
    <w:p>
      <w:pPr>
        <w:spacing w:line="360" w:lineRule="auto"/>
        <w:ind w:firstLine="480" w:firstLineChars="200"/>
        <w:rPr>
          <w:rFonts w:hint="eastAsia"/>
          <w:sz w:val="24"/>
          <w:szCs w:val="24"/>
        </w:rPr>
      </w:pPr>
      <w:r>
        <w:rPr>
          <w:rFonts w:hint="eastAsia"/>
          <w:sz w:val="24"/>
          <w:szCs w:val="24"/>
        </w:rPr>
        <w:t>《综合布线系统工程设计规范》（GB 50311-2007）</w:t>
      </w:r>
    </w:p>
    <w:p>
      <w:pPr>
        <w:spacing w:line="360" w:lineRule="auto"/>
        <w:ind w:firstLine="480" w:firstLineChars="200"/>
        <w:rPr>
          <w:rFonts w:hint="eastAsia"/>
          <w:sz w:val="24"/>
          <w:szCs w:val="24"/>
        </w:rPr>
      </w:pPr>
      <w:r>
        <w:rPr>
          <w:rFonts w:hint="eastAsia"/>
          <w:sz w:val="24"/>
          <w:szCs w:val="24"/>
        </w:rPr>
        <w:t>《通讯设备产品包装通用技术条件》（GB3873）</w:t>
      </w:r>
    </w:p>
    <w:p>
      <w:pPr>
        <w:spacing w:line="360" w:lineRule="auto"/>
        <w:ind w:firstLine="480" w:firstLineChars="200"/>
        <w:rPr>
          <w:sz w:val="24"/>
          <w:szCs w:val="24"/>
        </w:rPr>
      </w:pPr>
      <w:r>
        <w:rPr>
          <w:rFonts w:hint="eastAsia"/>
          <w:sz w:val="24"/>
          <w:szCs w:val="24"/>
        </w:rPr>
        <w:t>《计算机场地技术要求》（</w:t>
      </w:r>
      <w:r>
        <w:rPr>
          <w:sz w:val="24"/>
          <w:szCs w:val="24"/>
        </w:rPr>
        <w:t>GBJ45—82</w:t>
      </w:r>
      <w:r>
        <w:rPr>
          <w:rFonts w:hint="eastAsia"/>
          <w:sz w:val="24"/>
          <w:szCs w:val="24"/>
        </w:rPr>
        <w:t>）</w:t>
      </w:r>
    </w:p>
    <w:p>
      <w:pPr>
        <w:spacing w:line="360" w:lineRule="auto"/>
        <w:ind w:firstLine="480" w:firstLineChars="200"/>
        <w:rPr>
          <w:sz w:val="24"/>
          <w:szCs w:val="24"/>
        </w:rPr>
      </w:pPr>
      <w:r>
        <w:rPr>
          <w:rFonts w:hint="eastAsia"/>
          <w:sz w:val="24"/>
          <w:szCs w:val="24"/>
        </w:rPr>
        <w:t>《电子信息系统机房设计规范》（</w:t>
      </w:r>
      <w:r>
        <w:rPr>
          <w:sz w:val="24"/>
          <w:szCs w:val="24"/>
        </w:rPr>
        <w:t>GB50174-2008</w:t>
      </w:r>
      <w:r>
        <w:rPr>
          <w:rFonts w:hint="eastAsia"/>
          <w:sz w:val="24"/>
          <w:szCs w:val="24"/>
        </w:rPr>
        <w:t>）</w:t>
      </w:r>
    </w:p>
    <w:p>
      <w:pPr>
        <w:spacing w:line="360" w:lineRule="auto"/>
        <w:ind w:firstLine="480" w:firstLineChars="200"/>
        <w:rPr>
          <w:sz w:val="24"/>
          <w:szCs w:val="24"/>
        </w:rPr>
      </w:pPr>
      <w:r>
        <w:rPr>
          <w:rFonts w:hint="eastAsia"/>
          <w:sz w:val="24"/>
          <w:szCs w:val="24"/>
        </w:rPr>
        <w:t>《电子信息系统机房施工及验收规范》（</w:t>
      </w:r>
      <w:r>
        <w:rPr>
          <w:sz w:val="24"/>
          <w:szCs w:val="24"/>
        </w:rPr>
        <w:t>GB 50462-2008</w:t>
      </w:r>
      <w:r>
        <w:rPr>
          <w:rFonts w:hint="eastAsia"/>
          <w:sz w:val="24"/>
          <w:szCs w:val="24"/>
        </w:rPr>
        <w:t>）</w:t>
      </w:r>
    </w:p>
    <w:p>
      <w:pPr>
        <w:spacing w:line="360" w:lineRule="auto"/>
        <w:ind w:firstLine="480" w:firstLineChars="200"/>
        <w:rPr>
          <w:sz w:val="24"/>
          <w:szCs w:val="24"/>
        </w:rPr>
      </w:pPr>
      <w:r>
        <w:rPr>
          <w:rFonts w:hint="eastAsia"/>
          <w:sz w:val="24"/>
          <w:szCs w:val="24"/>
        </w:rPr>
        <w:t>《工业企业通讯设计规范》（</w:t>
      </w:r>
      <w:r>
        <w:rPr>
          <w:sz w:val="24"/>
          <w:szCs w:val="24"/>
        </w:rPr>
        <w:t>GBJ42-1981</w:t>
      </w:r>
      <w:r>
        <w:rPr>
          <w:rFonts w:hint="eastAsia"/>
          <w:sz w:val="24"/>
          <w:szCs w:val="24"/>
        </w:rPr>
        <w:t>）</w:t>
      </w:r>
    </w:p>
    <w:p>
      <w:pPr>
        <w:spacing w:line="360" w:lineRule="auto"/>
        <w:ind w:firstLine="480" w:firstLineChars="200"/>
        <w:rPr>
          <w:sz w:val="24"/>
          <w:szCs w:val="24"/>
        </w:rPr>
      </w:pPr>
      <w:r>
        <w:rPr>
          <w:rFonts w:hint="eastAsia"/>
          <w:sz w:val="24"/>
          <w:szCs w:val="24"/>
        </w:rPr>
        <w:t>《</w:t>
      </w:r>
      <w:r>
        <w:rPr>
          <w:sz w:val="24"/>
          <w:szCs w:val="24"/>
        </w:rPr>
        <w:t>IEC 801.2</w:t>
      </w:r>
      <w:r>
        <w:rPr>
          <w:rFonts w:hint="eastAsia"/>
          <w:sz w:val="24"/>
          <w:szCs w:val="24"/>
        </w:rPr>
        <w:t>标准的第二部分</w:t>
      </w:r>
      <w:r>
        <w:rPr>
          <w:sz w:val="24"/>
          <w:szCs w:val="24"/>
        </w:rPr>
        <w:t xml:space="preserve"> </w:t>
      </w:r>
      <w:r>
        <w:rPr>
          <w:rFonts w:hint="eastAsia"/>
          <w:sz w:val="24"/>
          <w:szCs w:val="24"/>
        </w:rPr>
        <w:t>静电的放电标准》（</w:t>
      </w:r>
      <w:r>
        <w:rPr>
          <w:sz w:val="24"/>
          <w:szCs w:val="24"/>
        </w:rPr>
        <w:t>IEC801.2</w:t>
      </w:r>
      <w:r>
        <w:rPr>
          <w:rFonts w:hint="eastAsia"/>
          <w:sz w:val="24"/>
          <w:szCs w:val="24"/>
        </w:rPr>
        <w:t>）</w:t>
      </w:r>
    </w:p>
    <w:p>
      <w:pPr>
        <w:spacing w:line="360" w:lineRule="auto"/>
        <w:ind w:firstLine="480" w:firstLineChars="200"/>
        <w:rPr>
          <w:sz w:val="24"/>
          <w:szCs w:val="24"/>
        </w:rPr>
      </w:pPr>
      <w:r>
        <w:rPr>
          <w:rFonts w:hint="eastAsia"/>
          <w:sz w:val="24"/>
          <w:szCs w:val="24"/>
        </w:rPr>
        <w:t>《工业过程测量和控制的电磁兼容性标准》（</w:t>
      </w:r>
      <w:r>
        <w:rPr>
          <w:sz w:val="24"/>
          <w:szCs w:val="24"/>
        </w:rPr>
        <w:t>NFC 46-022</w:t>
      </w:r>
      <w:r>
        <w:rPr>
          <w:rFonts w:hint="eastAsia"/>
          <w:sz w:val="24"/>
          <w:szCs w:val="24"/>
        </w:rPr>
        <w:t>）</w:t>
      </w:r>
    </w:p>
    <w:p>
      <w:pPr>
        <w:spacing w:line="360" w:lineRule="auto"/>
        <w:ind w:firstLine="480" w:firstLineChars="200"/>
        <w:rPr>
          <w:rFonts w:hint="eastAsia"/>
          <w:sz w:val="24"/>
          <w:szCs w:val="24"/>
        </w:rPr>
      </w:pPr>
      <w:r>
        <w:rPr>
          <w:rFonts w:hint="eastAsia"/>
          <w:sz w:val="24"/>
          <w:szCs w:val="24"/>
        </w:rPr>
        <w:t>《软件开发规范》（</w:t>
      </w:r>
      <w:r>
        <w:rPr>
          <w:sz w:val="24"/>
          <w:szCs w:val="24"/>
        </w:rPr>
        <w:t>ISO9001-2000</w:t>
      </w:r>
      <w:r>
        <w:rPr>
          <w:rFonts w:hint="eastAsia"/>
          <w:sz w:val="24"/>
          <w:szCs w:val="24"/>
        </w:rPr>
        <w:t>）</w:t>
      </w:r>
    </w:p>
    <w:p>
      <w:pPr>
        <w:spacing w:line="360" w:lineRule="auto"/>
        <w:ind w:firstLine="480" w:firstLineChars="200"/>
        <w:rPr>
          <w:rFonts w:hint="eastAsia"/>
          <w:sz w:val="24"/>
          <w:szCs w:val="24"/>
        </w:rPr>
      </w:pPr>
      <w:r>
        <w:rPr>
          <w:rFonts w:hint="eastAsia"/>
          <w:sz w:val="24"/>
          <w:szCs w:val="24"/>
        </w:rPr>
        <w:t>《信息技术设备的安全》（GB4943）</w:t>
      </w:r>
    </w:p>
    <w:p>
      <w:pPr>
        <w:spacing w:line="360" w:lineRule="auto"/>
        <w:ind w:firstLine="480" w:firstLineChars="200"/>
        <w:rPr>
          <w:sz w:val="24"/>
          <w:szCs w:val="24"/>
        </w:rPr>
      </w:pPr>
      <w:r>
        <w:rPr>
          <w:rFonts w:hint="eastAsia"/>
          <w:sz w:val="24"/>
          <w:szCs w:val="24"/>
        </w:rPr>
        <w:t>《包装储运图示标志》（GB191）</w:t>
      </w:r>
    </w:p>
    <w:p>
      <w:pPr>
        <w:spacing w:line="360" w:lineRule="auto"/>
        <w:ind w:firstLine="480" w:firstLineChars="200"/>
        <w:rPr>
          <w:sz w:val="24"/>
          <w:szCs w:val="24"/>
        </w:rPr>
      </w:pPr>
      <w:r>
        <w:rPr>
          <w:sz w:val="24"/>
          <w:szCs w:val="24"/>
        </w:rPr>
        <w:t xml:space="preserve">DL/T635—1997 </w:t>
      </w:r>
      <w:r>
        <w:rPr>
          <w:rFonts w:hint="eastAsia"/>
          <w:sz w:val="24"/>
          <w:szCs w:val="24"/>
        </w:rPr>
        <w:t>县级电网调度自动化功能规范</w:t>
      </w:r>
    </w:p>
    <w:p>
      <w:pPr>
        <w:spacing w:line="360" w:lineRule="auto"/>
        <w:ind w:firstLine="480" w:firstLineChars="200"/>
        <w:rPr>
          <w:sz w:val="24"/>
          <w:szCs w:val="24"/>
        </w:rPr>
      </w:pPr>
      <w:r>
        <w:rPr>
          <w:rFonts w:hint="eastAsia"/>
          <w:sz w:val="24"/>
          <w:szCs w:val="24"/>
        </w:rPr>
        <w:t>《电力系统调度自动化设计技术规程》（</w:t>
      </w:r>
      <w:r>
        <w:rPr>
          <w:sz w:val="24"/>
          <w:szCs w:val="24"/>
        </w:rPr>
        <w:t>DL5003-1991</w:t>
      </w:r>
      <w:r>
        <w:rPr>
          <w:rFonts w:hint="eastAsia"/>
          <w:sz w:val="24"/>
          <w:szCs w:val="24"/>
        </w:rPr>
        <w:t>）</w:t>
      </w:r>
    </w:p>
    <w:p>
      <w:pPr>
        <w:spacing w:line="360" w:lineRule="auto"/>
        <w:ind w:firstLine="480" w:firstLineChars="200"/>
        <w:rPr>
          <w:sz w:val="24"/>
          <w:szCs w:val="24"/>
        </w:rPr>
      </w:pPr>
      <w:r>
        <w:rPr>
          <w:rFonts w:hint="eastAsia"/>
          <w:sz w:val="24"/>
          <w:szCs w:val="24"/>
        </w:rPr>
        <w:t>《远动设备及系统工作条件环境条件和电源》（</w:t>
      </w:r>
      <w:r>
        <w:rPr>
          <w:sz w:val="24"/>
          <w:szCs w:val="24"/>
        </w:rPr>
        <w:t>GB/T15153-94</w:t>
      </w:r>
      <w:r>
        <w:rPr>
          <w:rFonts w:hint="eastAsia"/>
          <w:sz w:val="24"/>
          <w:szCs w:val="24"/>
        </w:rPr>
        <w:t>）</w:t>
      </w:r>
    </w:p>
    <w:p>
      <w:pPr>
        <w:spacing w:line="360" w:lineRule="auto"/>
        <w:ind w:firstLine="480" w:firstLineChars="200"/>
        <w:rPr>
          <w:sz w:val="24"/>
          <w:szCs w:val="24"/>
        </w:rPr>
      </w:pPr>
      <w:r>
        <w:rPr>
          <w:rFonts w:hint="eastAsia"/>
          <w:sz w:val="24"/>
          <w:szCs w:val="24"/>
        </w:rPr>
        <w:t>《固定污染源排放烟气连续监测系统技术要求和检测方法》</w:t>
      </w:r>
      <w:r>
        <w:rPr>
          <w:sz w:val="24"/>
          <w:szCs w:val="24"/>
        </w:rPr>
        <w:t>(HJ/T 76-2001)</w:t>
      </w:r>
    </w:p>
    <w:p>
      <w:pPr>
        <w:spacing w:line="360" w:lineRule="auto"/>
        <w:ind w:firstLine="480" w:firstLineChars="200"/>
        <w:rPr>
          <w:sz w:val="24"/>
          <w:szCs w:val="24"/>
        </w:rPr>
      </w:pPr>
      <w:r>
        <w:rPr>
          <w:rFonts w:hint="eastAsia"/>
          <w:sz w:val="24"/>
          <w:szCs w:val="24"/>
        </w:rPr>
        <w:t>《环境空气质量自动监测技术规范》（</w:t>
      </w:r>
      <w:r>
        <w:rPr>
          <w:sz w:val="24"/>
          <w:szCs w:val="24"/>
        </w:rPr>
        <w:t>HJ/T193-2005</w:t>
      </w:r>
      <w:r>
        <w:rPr>
          <w:rFonts w:hint="eastAsia"/>
          <w:sz w:val="24"/>
          <w:szCs w:val="24"/>
        </w:rPr>
        <w:t>）</w:t>
      </w:r>
    </w:p>
    <w:p>
      <w:pPr>
        <w:spacing w:line="360" w:lineRule="auto"/>
        <w:ind w:firstLine="480" w:firstLineChars="200"/>
        <w:rPr>
          <w:sz w:val="24"/>
          <w:szCs w:val="24"/>
        </w:rPr>
      </w:pPr>
      <w:r>
        <w:rPr>
          <w:rFonts w:hint="eastAsia"/>
          <w:sz w:val="24"/>
          <w:szCs w:val="24"/>
        </w:rPr>
        <w:t>《污染源在线自动监控（监测）系统数据传输标准》（</w:t>
      </w:r>
      <w:r>
        <w:rPr>
          <w:sz w:val="24"/>
          <w:szCs w:val="24"/>
        </w:rPr>
        <w:t>HJ/T212-2005</w:t>
      </w:r>
      <w:r>
        <w:rPr>
          <w:rFonts w:hint="eastAsia"/>
          <w:sz w:val="24"/>
          <w:szCs w:val="24"/>
        </w:rPr>
        <w:t>）</w:t>
      </w:r>
    </w:p>
    <w:p>
      <w:pPr>
        <w:spacing w:line="360" w:lineRule="auto"/>
        <w:ind w:firstLine="480" w:firstLineChars="200"/>
        <w:rPr>
          <w:sz w:val="24"/>
          <w:szCs w:val="24"/>
        </w:rPr>
      </w:pPr>
      <w:r>
        <w:rPr>
          <w:rFonts w:hint="eastAsia"/>
          <w:sz w:val="24"/>
          <w:szCs w:val="24"/>
        </w:rPr>
        <w:t>《建筑物电子信息系统防雷技术规范》（</w:t>
      </w:r>
      <w:r>
        <w:rPr>
          <w:sz w:val="24"/>
          <w:szCs w:val="24"/>
        </w:rPr>
        <w:t>GB50343-2004</w:t>
      </w:r>
      <w:r>
        <w:rPr>
          <w:rFonts w:hint="eastAsia"/>
          <w:sz w:val="24"/>
          <w:szCs w:val="24"/>
        </w:rPr>
        <w:t>）</w:t>
      </w:r>
    </w:p>
    <w:p>
      <w:pPr>
        <w:spacing w:line="360" w:lineRule="auto"/>
        <w:ind w:firstLine="480" w:firstLineChars="200"/>
      </w:pPr>
      <w:r>
        <w:rPr>
          <w:rFonts w:hint="eastAsia"/>
          <w:sz w:val="24"/>
          <w:szCs w:val="24"/>
        </w:rPr>
        <w:t>《电力工程电缆设计规范》（</w:t>
      </w:r>
      <w:r>
        <w:rPr>
          <w:sz w:val="24"/>
          <w:szCs w:val="24"/>
        </w:rPr>
        <w:t>GB50217-2007</w:t>
      </w:r>
      <w:r>
        <w:rPr>
          <w:rFonts w:hint="eastAsia"/>
          <w:sz w:val="24"/>
          <w:szCs w:val="24"/>
        </w:rPr>
        <w:t>）</w:t>
      </w: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lvl w:ilvl="0" w:tentative="0">
      <w:start w:val="1"/>
      <w:numFmt w:val="bullet"/>
      <w:lvlText w:val=""/>
      <w:lvlJc w:val="left"/>
      <w:pPr>
        <w:tabs>
          <w:tab w:val="left" w:pos="425"/>
        </w:tabs>
        <w:ind w:left="425" w:hanging="425"/>
      </w:pPr>
      <w:rPr>
        <w:rFonts w:hint="default" w:ascii="Wingdings" w:hAnsi="Wingdings"/>
      </w:rPr>
    </w:lvl>
  </w:abstractNum>
  <w:abstractNum w:abstractNumId="1">
    <w:nsid w:val="00000038"/>
    <w:multiLevelType w:val="singleLevel"/>
    <w:tmpl w:val="00000038"/>
    <w:lvl w:ilvl="0" w:tentative="0">
      <w:start w:val="1"/>
      <w:numFmt w:val="bullet"/>
      <w:lvlText w:val=""/>
      <w:lvlJc w:val="left"/>
      <w:pPr>
        <w:tabs>
          <w:tab w:val="left" w:pos="425"/>
        </w:tabs>
        <w:ind w:left="425" w:hanging="425"/>
      </w:pPr>
      <w:rPr>
        <w:rFonts w:hint="default" w:ascii="Wingdings" w:hAnsi="Wingdings"/>
      </w:rPr>
    </w:lvl>
  </w:abstractNum>
  <w:abstractNum w:abstractNumId="2">
    <w:nsid w:val="72F44B64"/>
    <w:multiLevelType w:val="multilevel"/>
    <w:tmpl w:val="72F44B64"/>
    <w:lvl w:ilvl="0" w:tentative="0">
      <w:start w:val="1"/>
      <w:numFmt w:val="decimal"/>
      <w:lvlText w:val="%1"/>
      <w:lvlJc w:val="left"/>
      <w:pPr>
        <w:tabs>
          <w:tab w:val="left" w:pos="284"/>
        </w:tabs>
        <w:ind w:left="284" w:hanging="284"/>
      </w:pPr>
      <w:rPr>
        <w:rFonts w:hint="eastAsia"/>
      </w:rPr>
    </w:lvl>
    <w:lvl w:ilvl="1" w:tentative="0">
      <w:start w:val="1"/>
      <w:numFmt w:val="decimal"/>
      <w:pStyle w:val="2"/>
      <w:lvlText w:val="%1.%2"/>
      <w:lvlJc w:val="left"/>
      <w:pPr>
        <w:tabs>
          <w:tab w:val="left" w:pos="510"/>
        </w:tabs>
        <w:ind w:left="510" w:hanging="510"/>
      </w:pPr>
      <w:rPr>
        <w:rFonts w:hint="eastAsia"/>
      </w:rPr>
    </w:lvl>
    <w:lvl w:ilvl="2" w:tentative="0">
      <w:start w:val="1"/>
      <w:numFmt w:val="decimal"/>
      <w:pStyle w:val="3"/>
      <w:lvlText w:val="%1.%2.%3"/>
      <w:lvlJc w:val="left"/>
      <w:pPr>
        <w:tabs>
          <w:tab w:val="left" w:pos="737"/>
        </w:tabs>
        <w:ind w:left="737" w:hanging="737"/>
      </w:pPr>
      <w:rPr>
        <w:rFonts w:hint="eastAsia"/>
      </w:rPr>
    </w:lvl>
    <w:lvl w:ilvl="3" w:tentative="0">
      <w:start w:val="1"/>
      <w:numFmt w:val="decimal"/>
      <w:lvlText w:val="%1.%2.%3.%4"/>
      <w:lvlJc w:val="left"/>
      <w:pPr>
        <w:tabs>
          <w:tab w:val="left" w:pos="964"/>
        </w:tabs>
        <w:ind w:left="964" w:hanging="964"/>
      </w:pPr>
      <w:rPr>
        <w:rFonts w:hint="eastAsia"/>
      </w:rPr>
    </w:lvl>
    <w:lvl w:ilvl="4" w:tentative="0">
      <w:start w:val="1"/>
      <w:numFmt w:val="decimal"/>
      <w:lvlText w:val="%1.%2.%3.%4.%5"/>
      <w:lvlJc w:val="left"/>
      <w:rPr>
        <w:rFonts w:hint="default" w:cs="Times New Roman"/>
        <w:b/>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rPr>
    </w:lvl>
    <w:lvl w:ilvl="5" w:tentative="0">
      <w:start w:val="1"/>
      <w:numFmt w:val="decimal"/>
      <w:lvlText w:val="%1.%2.%3.%4.%5.%6"/>
      <w:lvlJc w:val="left"/>
      <w:pPr>
        <w:tabs>
          <w:tab w:val="left" w:pos="1418"/>
        </w:tabs>
        <w:ind w:left="1418" w:hanging="1418"/>
      </w:pPr>
      <w:rPr>
        <w:rFonts w:hint="eastAsia"/>
      </w:rPr>
    </w:lvl>
    <w:lvl w:ilvl="6" w:tentative="0">
      <w:start w:val="1"/>
      <w:numFmt w:val="decimal"/>
      <w:lvlText w:val="%1.%2.%3.%4.%5.%6.%7"/>
      <w:lvlJc w:val="left"/>
      <w:pPr>
        <w:tabs>
          <w:tab w:val="left" w:pos="1644"/>
        </w:tabs>
        <w:ind w:left="1644" w:hanging="1644"/>
      </w:pPr>
      <w:rPr>
        <w:rFonts w:hint="eastAsia"/>
      </w:rPr>
    </w:lvl>
    <w:lvl w:ilvl="7" w:tentative="0">
      <w:start w:val="1"/>
      <w:numFmt w:val="decimal"/>
      <w:lvlText w:val="%1.%2.%3.%4.%5.%6.%7.%8"/>
      <w:lvlJc w:val="left"/>
      <w:pPr>
        <w:tabs>
          <w:tab w:val="left" w:pos="1814"/>
        </w:tabs>
        <w:ind w:left="1814" w:hanging="1814"/>
      </w:pPr>
      <w:rPr>
        <w:rFonts w:hint="eastAsia"/>
      </w:rPr>
    </w:lvl>
    <w:lvl w:ilvl="8" w:tentative="0">
      <w:start w:val="1"/>
      <w:numFmt w:val="decimal"/>
      <w:lvlText w:val="%1.%2.%3.%4.%5.%6.%7.%8.%9"/>
      <w:lvlJc w:val="left"/>
      <w:pPr>
        <w:tabs>
          <w:tab w:val="left" w:pos="1871"/>
        </w:tabs>
        <w:ind w:left="1985" w:hanging="1985"/>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A5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1"/>
    <w:next w:val="1"/>
    <w:qFormat/>
    <w:uiPriority w:val="0"/>
    <w:pPr>
      <w:keepNext/>
      <w:keepLines/>
      <w:numPr>
        <w:ilvl w:val="2"/>
        <w:numId w:val="1"/>
      </w:numPr>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0"/>
    <w:pPr>
      <w:adjustRightInd w:val="0"/>
      <w:spacing w:after="120" w:line="312" w:lineRule="atLeast"/>
      <w:textAlignment w:val="baseline"/>
    </w:pPr>
    <w:rPr>
      <w:kern w:val="0"/>
      <w:szCs w:val="20"/>
    </w:rPr>
  </w:style>
  <w:style w:type="paragraph" w:styleId="5">
    <w:name w:val="footer"/>
    <w:basedOn w:val="1"/>
    <w:unhideWhenUsed/>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2023-05-08T01:28:09Z</dcterms:created>
  <dc:creator>wuqianpeng</dc:creator>
  <cp:lastModifiedBy>wuqianpeng</cp:lastModifiedBy>
  <dcterms:modified xsi:type="dcterms:W3CDTF">2023-05-08T01:31:35Z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