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该系统应该包括标准的硬件和软件配置以符合规定的要求。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不得修改系统的标准操作软件以满足项目要求。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系统的软件应该是订购时商业发布的最新版本。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要提供所有必要的软件许可证，并确保用户有权使用所有相关的和可用的软件。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  <w:sz w:val="24"/>
          <w:szCs w:val="24"/>
        </w:rPr>
        <w:t>所有数据采集卡、网络设备、电源模块等带有电子电路的板卡，需经过严格的防腐工艺处理，并取得相关的检验认证文件。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655BE"/>
    <w:multiLevelType w:val="multilevel"/>
    <w:tmpl w:val="78F655BE"/>
    <w:lvl w:ilvl="0" w:tentative="0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D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2023-05-08T01:30:55Z</dcterms:created>
  <dc:creator>wuqianpeng</dc:creator>
  <cp:lastModifiedBy>wuqianpeng</cp:lastModifiedBy>
  <dcterms:modified xsi:type="dcterms:W3CDTF">2023-05-08T01:31:00Z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