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ocumentation-requirements"/>
    <w:p>
      <w:pPr>
        <w:pStyle w:val="Heading1"/>
      </w:pPr>
      <w:r>
        <w:t xml:space="preserve">Documentation Requirements</w:t>
      </w:r>
    </w:p>
    <w:bookmarkStart w:id="20" w:name="complete-project-report-with-insights"/>
    <w:p>
      <w:pPr>
        <w:pStyle w:val="Heading2"/>
      </w:pPr>
      <w:r>
        <w:t xml:space="preserve">Complete Project Report with Insights</w:t>
      </w:r>
    </w:p>
    <w:p>
      <w:pPr>
        <w:pStyle w:val="FirstParagraph"/>
      </w:pPr>
      <w:r>
        <w:t xml:space="preserve">This document provides complete guidelines and explanations for the project, aligned with submission quality standards.</w:t>
      </w:r>
    </w:p>
    <w:p>
      <w:r>
        <w:pict>
          <v:rect style="width:0;height:1.5pt" o:hralign="center" o:hrstd="t" o:hr="t"/>
        </w:pict>
      </w:r>
    </w:p>
    <w:bookmarkEnd w:id="20"/>
    <w:bookmarkStart w:id="27" w:name="quality-standards-checklist"/>
    <w:p>
      <w:pPr>
        <w:pStyle w:val="Heading2"/>
      </w:pPr>
      <w:r>
        <w:t xml:space="preserve">Quality Standards Checklist</w:t>
      </w:r>
    </w:p>
    <w:p>
      <w:pPr>
        <w:pStyle w:val="FirstParagraph"/>
      </w:pPr>
      <w:r>
        <w:t xml:space="preserve">All items listed below are included to ensure full marks.</w:t>
      </w:r>
    </w:p>
    <w:bookmarkStart w:id="21" w:name="project-overview"/>
    <w:p>
      <w:pPr>
        <w:pStyle w:val="Heading3"/>
      </w:pPr>
      <w:r>
        <w:t xml:space="preserve">1. Project Overview</w:t>
      </w:r>
    </w:p>
    <w:p>
      <w:pPr>
        <w:pStyle w:val="FirstParagraph"/>
      </w:pPr>
      <w:r>
        <w:rPr>
          <w:b/>
          <w:bCs/>
        </w:rPr>
        <w:t xml:space="preserve">Clear description of project goals and objectives</w:t>
      </w:r>
    </w:p>
    <w:p>
      <w:pPr>
        <w:pStyle w:val="Compact"/>
        <w:numPr>
          <w:ilvl w:val="0"/>
          <w:numId w:val="1001"/>
        </w:numPr>
      </w:pPr>
      <w:r>
        <w:t xml:space="preserve">Define the problem statement</w:t>
      </w:r>
    </w:p>
    <w:p>
      <w:pPr>
        <w:pStyle w:val="Compact"/>
        <w:numPr>
          <w:ilvl w:val="0"/>
          <w:numId w:val="1001"/>
        </w:numPr>
      </w:pPr>
      <w:r>
        <w:t xml:space="preserve">Explain why the analysis is needed</w:t>
      </w:r>
    </w:p>
    <w:p>
      <w:pPr>
        <w:pStyle w:val="Compact"/>
        <w:numPr>
          <w:ilvl w:val="0"/>
          <w:numId w:val="1001"/>
        </w:numPr>
      </w:pPr>
      <w:r>
        <w:t xml:space="preserve">Describe expected outcomes</w:t>
      </w:r>
    </w:p>
    <w:bookmarkEnd w:id="21"/>
    <w:bookmarkStart w:id="22" w:name="setup-instructions"/>
    <w:p>
      <w:pPr>
        <w:pStyle w:val="Heading3"/>
      </w:pPr>
      <w:r>
        <w:t xml:space="preserve">2. Setup Instructions</w:t>
      </w:r>
    </w:p>
    <w:p>
      <w:pPr>
        <w:pStyle w:val="FirstParagraph"/>
      </w:pPr>
      <w:r>
        <w:rPr>
          <w:b/>
          <w:bCs/>
        </w:rPr>
        <w:t xml:space="preserve">Step‑by‑step installation and configuration guide</w:t>
      </w:r>
    </w:p>
    <w:p>
      <w:pPr>
        <w:pStyle w:val="Compact"/>
        <w:numPr>
          <w:ilvl w:val="0"/>
          <w:numId w:val="1002"/>
        </w:numPr>
      </w:pPr>
      <w:r>
        <w:t xml:space="preserve">Install Python (3.9 or above)</w:t>
      </w:r>
    </w:p>
    <w:p>
      <w:pPr>
        <w:pStyle w:val="Compact"/>
        <w:numPr>
          <w:ilvl w:val="0"/>
          <w:numId w:val="1002"/>
        </w:numPr>
      </w:pPr>
      <w:r>
        <w:t xml:space="preserve">Install dependencies using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02"/>
        </w:numPr>
      </w:pPr>
      <w:r>
        <w:t xml:space="preserve">Launch Jupyter Notebook</w:t>
      </w:r>
    </w:p>
    <w:p>
      <w:pPr>
        <w:pStyle w:val="Compact"/>
        <w:numPr>
          <w:ilvl w:val="0"/>
          <w:numId w:val="1002"/>
        </w:numPr>
      </w:pPr>
      <w:r>
        <w:t xml:space="preserve">Run the analysis notebook</w:t>
      </w:r>
    </w:p>
    <w:bookmarkEnd w:id="22"/>
    <w:bookmarkStart w:id="23" w:name="code-structure"/>
    <w:p>
      <w:pPr>
        <w:pStyle w:val="Heading3"/>
      </w:pPr>
      <w:r>
        <w:t xml:space="preserve">3. Code Structure</w:t>
      </w:r>
    </w:p>
    <w:p>
      <w:pPr>
        <w:pStyle w:val="FirstParagraph"/>
      </w:pPr>
      <w:r>
        <w:rPr>
          <w:b/>
          <w:bCs/>
        </w:rPr>
        <w:t xml:space="preserve">Well‑organized code with clear file hierarchy</w:t>
      </w:r>
    </w:p>
    <w:p>
      <w:pPr>
        <w:pStyle w:val="Compact"/>
        <w:numPr>
          <w:ilvl w:val="0"/>
          <w:numId w:val="1003"/>
        </w:numPr>
      </w:pPr>
      <w:r>
        <w:t xml:space="preserve">Separation of data, notebooks, and outputs</w:t>
      </w:r>
    </w:p>
    <w:p>
      <w:pPr>
        <w:pStyle w:val="Compact"/>
        <w:numPr>
          <w:ilvl w:val="0"/>
          <w:numId w:val="1003"/>
        </w:numPr>
      </w:pPr>
      <w:r>
        <w:t xml:space="preserve">Meaningful variable and function names</w:t>
      </w:r>
    </w:p>
    <w:p>
      <w:pPr>
        <w:pStyle w:val="Compact"/>
        <w:numPr>
          <w:ilvl w:val="0"/>
          <w:numId w:val="1003"/>
        </w:numPr>
      </w:pPr>
      <w:r>
        <w:t xml:space="preserve">Modular and readable code</w:t>
      </w:r>
    </w:p>
    <w:bookmarkEnd w:id="23"/>
    <w:bookmarkStart w:id="24" w:name="visual-documentation"/>
    <w:p>
      <w:pPr>
        <w:pStyle w:val="Heading3"/>
      </w:pPr>
      <w:r>
        <w:t xml:space="preserve">4. Visual Documentation</w:t>
      </w:r>
    </w:p>
    <w:p>
      <w:pPr>
        <w:pStyle w:val="FirstParagraph"/>
      </w:pPr>
      <w:r>
        <w:rPr>
          <w:b/>
          <w:bCs/>
        </w:rPr>
        <w:t xml:space="preserve">Screenshots demonstrating functionality</w:t>
      </w:r>
    </w:p>
    <w:p>
      <w:pPr>
        <w:pStyle w:val="Compact"/>
        <w:numPr>
          <w:ilvl w:val="0"/>
          <w:numId w:val="1004"/>
        </w:numPr>
      </w:pPr>
      <w:r>
        <w:t xml:space="preserve">Data loading confirmation</w:t>
      </w:r>
    </w:p>
    <w:p>
      <w:pPr>
        <w:pStyle w:val="Compact"/>
        <w:numPr>
          <w:ilvl w:val="0"/>
          <w:numId w:val="1004"/>
        </w:numPr>
      </w:pPr>
      <w:r>
        <w:t xml:space="preserve">Cleaned dataset preview</w:t>
      </w:r>
    </w:p>
    <w:p>
      <w:pPr>
        <w:pStyle w:val="Compact"/>
        <w:numPr>
          <w:ilvl w:val="0"/>
          <w:numId w:val="1004"/>
        </w:numPr>
      </w:pPr>
      <w:r>
        <w:t xml:space="preserve">Generated charts and graphs</w:t>
      </w:r>
    </w:p>
    <w:p>
      <w:pPr>
        <w:pStyle w:val="Compact"/>
        <w:numPr>
          <w:ilvl w:val="0"/>
          <w:numId w:val="1004"/>
        </w:numPr>
      </w:pPr>
      <w:r>
        <w:t xml:space="preserve">Final output results</w:t>
      </w:r>
    </w:p>
    <w:bookmarkEnd w:id="24"/>
    <w:bookmarkStart w:id="25" w:name="technical-details"/>
    <w:p>
      <w:pPr>
        <w:pStyle w:val="Heading3"/>
      </w:pPr>
      <w:r>
        <w:t xml:space="preserve">5. Technical Details</w:t>
      </w:r>
    </w:p>
    <w:p>
      <w:pPr>
        <w:pStyle w:val="FirstParagraph"/>
      </w:pPr>
      <w:r>
        <w:rPr>
          <w:b/>
          <w:bCs/>
        </w:rPr>
        <w:t xml:space="preserve">Explanation of algorithms, data structures, and architecture</w:t>
      </w:r>
    </w:p>
    <w:p>
      <w:pPr>
        <w:pStyle w:val="Compact"/>
        <w:numPr>
          <w:ilvl w:val="0"/>
          <w:numId w:val="1005"/>
        </w:numPr>
      </w:pPr>
      <w:r>
        <w:t xml:space="preserve">Data preprocessing techniques</w:t>
      </w:r>
    </w:p>
    <w:p>
      <w:pPr>
        <w:pStyle w:val="Compact"/>
        <w:numPr>
          <w:ilvl w:val="0"/>
          <w:numId w:val="1005"/>
        </w:numPr>
      </w:pPr>
      <w:r>
        <w:t xml:space="preserve">Grouping and aggregation logic</w:t>
      </w:r>
    </w:p>
    <w:p>
      <w:pPr>
        <w:pStyle w:val="Compact"/>
        <w:numPr>
          <w:ilvl w:val="0"/>
          <w:numId w:val="1005"/>
        </w:numPr>
      </w:pPr>
      <w:r>
        <w:t xml:space="preserve">Time‑based analysis (monthly/yearly)</w:t>
      </w:r>
    </w:p>
    <w:p>
      <w:pPr>
        <w:pStyle w:val="Compact"/>
        <w:numPr>
          <w:ilvl w:val="0"/>
          <w:numId w:val="1005"/>
        </w:numPr>
      </w:pPr>
      <w:r>
        <w:t xml:space="preserve">Visualization techniques used</w:t>
      </w:r>
    </w:p>
    <w:bookmarkEnd w:id="25"/>
    <w:bookmarkStart w:id="26" w:name="testing-evidence"/>
    <w:p>
      <w:pPr>
        <w:pStyle w:val="Heading3"/>
      </w:pPr>
      <w:r>
        <w:t xml:space="preserve">6. Testing Evidence</w:t>
      </w:r>
    </w:p>
    <w:p>
      <w:pPr>
        <w:pStyle w:val="FirstParagraph"/>
      </w:pPr>
      <w:r>
        <w:rPr>
          <w:b/>
          <w:bCs/>
        </w:rPr>
        <w:t xml:space="preserve">Examples of test cases and validation</w:t>
      </w:r>
    </w:p>
    <w:p>
      <w:pPr>
        <w:pStyle w:val="Compact"/>
        <w:numPr>
          <w:ilvl w:val="0"/>
          <w:numId w:val="1006"/>
        </w:numPr>
      </w:pPr>
      <w:r>
        <w:t xml:space="preserve">Verified missing value handling</w:t>
      </w:r>
    </w:p>
    <w:p>
      <w:pPr>
        <w:pStyle w:val="Compact"/>
        <w:numPr>
          <w:ilvl w:val="0"/>
          <w:numId w:val="1006"/>
        </w:numPr>
      </w:pPr>
      <w:r>
        <w:t xml:space="preserve">Data type validation</w:t>
      </w:r>
    </w:p>
    <w:p>
      <w:pPr>
        <w:pStyle w:val="Compact"/>
        <w:numPr>
          <w:ilvl w:val="0"/>
          <w:numId w:val="1006"/>
        </w:numPr>
      </w:pPr>
      <w:r>
        <w:t xml:space="preserve">Output cross‑checks</w:t>
      </w:r>
    </w:p>
    <w:p>
      <w:pPr>
        <w:pStyle w:val="Compact"/>
        <w:numPr>
          <w:ilvl w:val="0"/>
          <w:numId w:val="1006"/>
        </w:numPr>
      </w:pPr>
      <w:r>
        <w:t xml:space="preserve">Chart verification against raw data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documentation ensures clarity, reproducibility, and compliance with submission standards while effectively communicating insights derived from the analysis.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2026-01-06T17:09:25Z</dcterms:created>
  <dcterms:modified xsi:type="dcterms:W3CDTF">2026-01-06T17:09:25Z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