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f7k2nrxpuawr" w:id="0"/>
      <w:bookmarkEnd w:id="0"/>
      <w:r w:rsidDel="00000000" w:rsidR="00000000" w:rsidRPr="00000000">
        <w:rPr>
          <w:u w:val="single"/>
          <w:rtl w:val="0"/>
        </w:rPr>
        <w:t xml:space="preserve">Analysis of IoT testbeds</w:t>
      </w:r>
    </w:p>
    <w:p w:rsidR="00000000" w:rsidDel="00000000" w:rsidP="00000000" w:rsidRDefault="00000000" w:rsidRPr="00000000" w14:paraId="00000002">
      <w:pPr>
        <w:shd w:fill="ffffff" w:val="clear"/>
        <w:spacing w:after="260" w:lineRule="auto"/>
        <w:rPr/>
      </w:pPr>
      <w:r w:rsidDel="00000000" w:rsidR="00000000" w:rsidRPr="00000000">
        <w:rPr>
          <w:rtl w:val="0"/>
        </w:rPr>
        <w:t xml:space="preserve">What's a testbed?</w:t>
      </w:r>
    </w:p>
    <w:p w:rsidR="00000000" w:rsidDel="00000000" w:rsidP="00000000" w:rsidRDefault="00000000" w:rsidRPr="00000000" w14:paraId="00000003">
      <w:pPr>
        <w:shd w:fill="ffffff" w:val="clear"/>
        <w:spacing w:after="260" w:lineRule="auto"/>
        <w:rPr/>
      </w:pPr>
      <w:r w:rsidDel="00000000" w:rsidR="00000000" w:rsidRPr="00000000">
        <w:rPr>
          <w:rtl w:val="0"/>
        </w:rPr>
        <w:t xml:space="preserve">A testbed is a </w:t>
      </w:r>
      <w:r w:rsidDel="00000000" w:rsidR="00000000" w:rsidRPr="00000000">
        <w:rPr>
          <w:i w:val="1"/>
          <w:rtl w:val="0"/>
        </w:rPr>
        <w:t xml:space="preserve">controlled experimentation 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60" w:lineRule="auto"/>
        <w:rPr/>
      </w:pPr>
      <w:r w:rsidDel="00000000" w:rsidR="00000000" w:rsidRPr="00000000">
        <w:rPr>
          <w:rtl w:val="0"/>
        </w:rPr>
        <w:t xml:space="preserve">Using a testbed you can: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specific user scenarios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Get a testable outcome to see if results are expected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Experiment with connecting different technologies together in a non-production environment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Build final project requirements using test results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52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Discover opportunities for products and services outside your initial scope</w:t>
      </w:r>
    </w:p>
    <w:p w:rsidR="00000000" w:rsidDel="00000000" w:rsidP="00000000" w:rsidRDefault="00000000" w:rsidRPr="00000000" w14:paraId="0000000A">
      <w:pPr>
        <w:spacing w:after="520" w:lineRule="auto"/>
        <w:ind w:left="0" w:firstLine="0"/>
        <w:rPr/>
      </w:pPr>
      <w:r w:rsidDel="00000000" w:rsidR="00000000" w:rsidRPr="00000000">
        <w:rPr>
          <w:rtl w:val="0"/>
        </w:rPr>
        <w:t xml:space="preserve">Different Testbeds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IIC (Industrial Internet Consortium) offers 9 testbeds for different markets and application. These testbed use is for IIC members only.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Fiesta-IoT stands for Federated Interoperable Semantic IoT Testbeds and Applications.(http://fiesta-iot.eu/index.php/fiesta-testbeds/)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Eclipse IoT Open Testbeds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FIT/IoT-LAB testbeds(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C. B. des Roziers et al., "Using SensLAB as a first class scientific tool for large scale wireless sensor network experiments", </w:t>
      </w:r>
      <w:r w:rsidDel="00000000" w:rsidR="00000000" w:rsidRPr="00000000">
        <w:rPr>
          <w:i w:val="1"/>
          <w:color w:val="333333"/>
          <w:sz w:val="23"/>
          <w:szCs w:val="23"/>
          <w:highlight w:val="white"/>
          <w:rtl w:val="0"/>
        </w:rPr>
        <w:t xml:space="preserve">Proc. Int. Conf. Res. Netw.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pp. 147-159, 2011.)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FlockLab(https://ieeexplore.ieee.org/stamp/stamp.jsp?arnumber=6917582)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SmartSantander(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L. Sanchez et al., "SmartSantander: IoT experimentation over a smart city testbed", </w:t>
      </w:r>
      <w:r w:rsidDel="00000000" w:rsidR="00000000" w:rsidRPr="00000000">
        <w:rPr>
          <w:i w:val="1"/>
          <w:color w:val="333333"/>
          <w:sz w:val="23"/>
          <w:szCs w:val="23"/>
          <w:highlight w:val="white"/>
          <w:rtl w:val="0"/>
        </w:rPr>
        <w:t xml:space="preserve">Comput. Netw.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vol. 61, pp. 217-238, Mar. 2014.) Also one of Fiesta-IoT testbeds.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Japan-Wide Orchestrated Smart/Sensor Environment(JOSE)(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Large-Scale Open Test-Bed JOSE, Tokyo, Japan, 2017, [online] Available: https://www.nict.go.jp/en/nrh/nwgn/jose.html.)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scale testbeds such as Kansei,TWIST, and WISEBE(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A.-S. Tonneau, N. Mitton, J. Vandaele, "How to choose an experimentation platform for wireless sensor networks? A survey on static and mobile wireless sensor network experimentation facilities", </w:t>
      </w:r>
      <w:r w:rsidDel="00000000" w:rsidR="00000000" w:rsidRPr="00000000">
        <w:rPr>
          <w:i w:val="1"/>
          <w:color w:val="333333"/>
          <w:sz w:val="23"/>
          <w:szCs w:val="23"/>
          <w:highlight w:val="white"/>
          <w:rtl w:val="0"/>
        </w:rPr>
        <w:t xml:space="preserve">Ad Hoc Netw.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, vol. 30, pp. 115-127, Jul. 2015.)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5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Low-cost LoRaWAN testbed(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https://ieeexplore.ieee.org/document/8355180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5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c798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355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