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833" w:rsidRDefault="001624E2">
      <w:pPr>
        <w:spacing w:after="60"/>
      </w:pPr>
      <w:r>
        <w:rPr>
          <w:b/>
          <w:bCs/>
          <w:color w:val="1A3A6B"/>
          <w:sz w:val="40"/>
          <w:szCs w:val="40"/>
        </w:rPr>
        <w:t xml:space="preserve">NANO </w:t>
      </w:r>
      <w:r>
        <w:rPr>
          <w:b/>
          <w:bCs/>
          <w:color w:val="1A3A6B"/>
          <w:sz w:val="40"/>
          <w:szCs w:val="40"/>
        </w:rPr>
        <w:t>NUTRACEUTICAL PRODUCTS</w:t>
      </w:r>
    </w:p>
    <w:p w:rsidR="000E4833" w:rsidRDefault="001624E2">
      <w:pPr>
        <w:spacing w:after="60"/>
      </w:pPr>
      <w:proofErr w:type="spellStart"/>
      <w:r>
        <w:rPr>
          <w:i/>
          <w:iCs/>
          <w:color w:val="555555"/>
        </w:rPr>
        <w:t>Ochnology</w:t>
      </w:r>
      <w:proofErr w:type="spell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Solutions  ·</w:t>
      </w:r>
      <w:proofErr w:type="gramEnd"/>
      <w:r>
        <w:rPr>
          <w:i/>
          <w:iCs/>
          <w:color w:val="555555"/>
        </w:rPr>
        <w:t xml:space="preserve">  Advanced Nano-Technology Formulations  ·  B2B &amp; Export Supply</w:t>
      </w:r>
    </w:p>
    <w:p w:rsidR="000E4833" w:rsidRDefault="000E4833">
      <w:pPr>
        <w:pBdr>
          <w:bottom w:val="single" w:sz="4" w:space="1" w:color="DDDDDD"/>
        </w:pBdr>
        <w:spacing w:before="100" w:after="100"/>
      </w:pPr>
    </w:p>
    <w:p w:rsidR="000E4833" w:rsidRDefault="001624E2">
      <w:pPr>
        <w:pStyle w:val="Heading2"/>
      </w:pPr>
      <w:r>
        <w:t>Who We Are</w:t>
      </w:r>
    </w:p>
    <w:p w:rsidR="000E4833" w:rsidRDefault="001624E2">
      <w:pPr>
        <w:pBdr>
          <w:left w:val="single" w:sz="14" w:space="1" w:color="0E7C60"/>
        </w:pBdr>
        <w:shd w:val="clear" w:color="auto" w:fill="E6F4F0"/>
        <w:spacing w:before="80" w:after="80"/>
        <w:ind w:left="300"/>
      </w:pPr>
      <w:proofErr w:type="spellStart"/>
      <w:r>
        <w:rPr>
          <w:b/>
          <w:bCs/>
          <w:color w:val="0E7C60"/>
          <w:sz w:val="24"/>
          <w:szCs w:val="24"/>
        </w:rPr>
        <w:t>Ochnology</w:t>
      </w:r>
      <w:proofErr w:type="spellEnd"/>
      <w:r>
        <w:rPr>
          <w:b/>
          <w:bCs/>
          <w:color w:val="0E7C60"/>
          <w:sz w:val="24"/>
          <w:szCs w:val="24"/>
        </w:rPr>
        <w:t xml:space="preserve"> Solutions has tie-ups with </w:t>
      </w:r>
      <w:proofErr w:type="spellStart"/>
      <w:r>
        <w:rPr>
          <w:b/>
          <w:bCs/>
          <w:color w:val="0E7C60"/>
          <w:sz w:val="24"/>
          <w:szCs w:val="24"/>
        </w:rPr>
        <w:t>nano</w:t>
      </w:r>
      <w:proofErr w:type="spellEnd"/>
      <w:r>
        <w:rPr>
          <w:b/>
          <w:bCs/>
          <w:color w:val="0E7C60"/>
          <w:sz w:val="24"/>
          <w:szCs w:val="24"/>
        </w:rPr>
        <w:t xml:space="preserve">-formulation manufacturers in India — enabling us to supply high-quality </w:t>
      </w:r>
      <w:proofErr w:type="spellStart"/>
      <w:r>
        <w:rPr>
          <w:b/>
          <w:bCs/>
          <w:color w:val="0E7C60"/>
          <w:sz w:val="24"/>
          <w:szCs w:val="24"/>
        </w:rPr>
        <w:t>nano</w:t>
      </w:r>
      <w:proofErr w:type="spellEnd"/>
      <w:r>
        <w:rPr>
          <w:b/>
          <w:bCs/>
          <w:color w:val="0E7C60"/>
          <w:sz w:val="24"/>
          <w:szCs w:val="24"/>
        </w:rPr>
        <w:t xml:space="preserve"> and nutraceutical products to distributors, healthcare brands and export buyers.</w:t>
      </w:r>
    </w:p>
    <w:p w:rsidR="000E4833" w:rsidRDefault="000E4833">
      <w:pPr>
        <w:spacing w:before="80" w:after="80"/>
      </w:pPr>
    </w:p>
    <w:p w:rsidR="000E4833" w:rsidRDefault="001624E2">
      <w:pPr>
        <w:spacing w:before="50" w:after="50"/>
      </w:pPr>
      <w:r>
        <w:t>We source and supply — we do not m</w:t>
      </w:r>
      <w:r>
        <w:t>anufacture. Our manufacturer partnerships allow us to offer: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 xml:space="preserve">Consistent quality with </w:t>
      </w:r>
      <w:r>
        <w:t>production and full batch documentation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Competitive pricing through established supply relationships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Flexible quantities — trial lots to commercial volumes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E</w:t>
      </w:r>
      <w:r>
        <w:t>xport-ready packaging and regulatory documentation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Private label supply available under your brand name</w:t>
      </w:r>
    </w:p>
    <w:p w:rsidR="000E4833" w:rsidRDefault="000E4833">
      <w:pPr>
        <w:pBdr>
          <w:bottom w:val="single" w:sz="4" w:space="1" w:color="DDDDDD"/>
        </w:pBdr>
        <w:spacing w:before="100" w:after="100"/>
      </w:pPr>
    </w:p>
    <w:p w:rsidR="000E4833" w:rsidRDefault="001624E2">
      <w:pPr>
        <w:pStyle w:val="Heading2"/>
      </w:pPr>
      <w:r>
        <w:t>Market Opportunity — At a Glance</w:t>
      </w:r>
    </w:p>
    <w:p w:rsidR="000E4833" w:rsidRDefault="001624E2">
      <w:pPr>
        <w:spacing w:before="80" w:after="80"/>
      </w:pPr>
      <w:r>
        <w:rPr>
          <w:i/>
          <w:iCs/>
          <w:color w:val="555555"/>
        </w:rPr>
        <w:t>India market sizes (combined sectors we operate in):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0E48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b/>
                <w:bCs/>
                <w:color w:val="FFFFFF"/>
                <w:sz w:val="20"/>
                <w:szCs w:val="20"/>
              </w:rPr>
              <w:t>India Market Size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b/>
                <w:bCs/>
                <w:color w:val="FFFFFF"/>
                <w:sz w:val="20"/>
                <w:szCs w:val="20"/>
              </w:rPr>
              <w:t>Growth Rate</w:t>
            </w:r>
          </w:p>
        </w:tc>
      </w:tr>
      <w:tr w:rsidR="000E483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b/>
                <w:bCs/>
                <w:sz w:val="20"/>
                <w:szCs w:val="20"/>
              </w:rPr>
              <w:t>Wound Care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8,000+ Cr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color w:val="0E7C60"/>
                <w:sz w:val="20"/>
                <w:szCs w:val="20"/>
              </w:rPr>
              <w:t>10–14% CAGR</w:t>
            </w:r>
          </w:p>
        </w:tc>
      </w:tr>
      <w:tr w:rsidR="000E483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b/>
                <w:bCs/>
                <w:sz w:val="20"/>
                <w:szCs w:val="20"/>
              </w:rPr>
              <w:t>Oral Care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12,000+ Cr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color w:val="0E7C60"/>
                <w:sz w:val="20"/>
                <w:szCs w:val="20"/>
              </w:rPr>
              <w:t>10–15% CAGR</w:t>
            </w:r>
          </w:p>
        </w:tc>
      </w:tr>
      <w:tr w:rsidR="000E483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b/>
                <w:bCs/>
                <w:sz w:val="20"/>
                <w:szCs w:val="20"/>
              </w:rPr>
              <w:t>Dental Materials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22,000+ Cr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color w:val="0E7C60"/>
                <w:sz w:val="20"/>
                <w:szCs w:val="20"/>
              </w:rPr>
              <w:t>15–20% CAGR (SDF)</w:t>
            </w:r>
          </w:p>
        </w:tc>
      </w:tr>
      <w:tr w:rsidR="000E483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b/>
                <w:bCs/>
                <w:sz w:val="20"/>
                <w:szCs w:val="20"/>
              </w:rPr>
              <w:t>Nutraceuticals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18,000+ Cr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color w:val="0E7C60"/>
                <w:sz w:val="20"/>
                <w:szCs w:val="20"/>
              </w:rPr>
              <w:t>10–15% CAGR</w:t>
            </w:r>
          </w:p>
        </w:tc>
      </w:tr>
      <w:tr w:rsidR="000E483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b/>
                <w:bCs/>
                <w:sz w:val="20"/>
                <w:szCs w:val="20"/>
              </w:rPr>
              <w:t>Dermatology / OTC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15,000+ Cr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r>
              <w:rPr>
                <w:color w:val="0E7C60"/>
                <w:sz w:val="20"/>
                <w:szCs w:val="20"/>
              </w:rPr>
              <w:t>10–12% CAGR</w:t>
            </w:r>
          </w:p>
        </w:tc>
      </w:tr>
    </w:tbl>
    <w:p w:rsidR="000E4833" w:rsidRDefault="000E4833">
      <w:pPr>
        <w:spacing w:before="80" w:after="80"/>
      </w:pPr>
    </w:p>
    <w:p w:rsidR="000E4833" w:rsidRDefault="000E4833">
      <w:pPr>
        <w:pBdr>
          <w:bottom w:val="single" w:sz="4" w:space="1" w:color="DDDDDD"/>
        </w:pBdr>
        <w:spacing w:before="100" w:after="100"/>
      </w:pPr>
    </w:p>
    <w:p w:rsidR="000E4833" w:rsidRDefault="001624E2">
      <w:pPr>
        <w:pStyle w:val="Heading2"/>
      </w:pPr>
      <w:r>
        <w:t>Our Product Portfolio</w:t>
      </w:r>
    </w:p>
    <w:p w:rsidR="000E4833" w:rsidRDefault="001624E2">
      <w:pPr>
        <w:spacing w:before="50" w:after="50"/>
      </w:pPr>
      <w:r>
        <w:t xml:space="preserve">We supply five </w:t>
      </w:r>
      <w:proofErr w:type="spellStart"/>
      <w:r>
        <w:t>nano</w:t>
      </w:r>
      <w:proofErr w:type="spellEnd"/>
      <w:r>
        <w:t>-technology based products sourced through our GMP manufacturer tie-ups:</w:t>
      </w:r>
    </w:p>
    <w:p w:rsidR="000E4833" w:rsidRDefault="000E483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48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0E4833" w:rsidRDefault="001624E2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Colloidal Silver — Wound Care</w:t>
            </w:r>
          </w:p>
          <w:p w:rsidR="000E4833" w:rsidRDefault="001624E2">
            <w:r>
              <w:rPr>
                <w:i/>
                <w:iCs/>
                <w:color w:val="B3C8E8"/>
                <w:sz w:val="17"/>
                <w:szCs w:val="17"/>
              </w:rPr>
              <w:t>Pharma / OTC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Nano-silver suspension — kills bacteria, reduces inflammation, promotes tissue repair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Gels, sprays, wound dressings — for cuts, burns, ulcers, diabetic wounds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India wound-care market: ₹8,000+ Cr · Global: ₹2,40,000+ Cr · Growing 10–14% annually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Buyers: hospitals, pharmacies, surgical centres, distributors</w:t>
            </w:r>
          </w:p>
        </w:tc>
      </w:tr>
      <w:tr w:rsidR="000E48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28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0E4833" w:rsidRDefault="001624E2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Nano-Hydroxyapatite — Oral Care</w:t>
            </w:r>
          </w:p>
          <w:p w:rsidR="000E4833" w:rsidRDefault="001624E2">
            <w:r>
              <w:rPr>
                <w:i/>
                <w:iCs/>
                <w:color w:val="B3C8E8"/>
                <w:sz w:val="17"/>
                <w:szCs w:val="17"/>
              </w:rPr>
              <w:t>De</w:t>
            </w:r>
            <w:r>
              <w:rPr>
                <w:i/>
                <w:iCs/>
                <w:color w:val="B3C8E8"/>
                <w:sz w:val="17"/>
                <w:szCs w:val="17"/>
              </w:rPr>
              <w:t>ntal / FMCG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Biomimetic enamel repair — fluoride-free remineralisation, sensitivity relief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Toothpastes, gels, serums, professional dental products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lastRenderedPageBreak/>
              <w:t>India oral-care market: ₹12,000+ Cr · 10–15% CAGR · Japan, EU, USA key markets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Buyers: oral care brands, dental distributors, private label buyers</w:t>
            </w:r>
          </w:p>
        </w:tc>
      </w:tr>
      <w:tr w:rsidR="000E48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0E4833" w:rsidRDefault="001624E2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SDF Gel — Silver Diamine Fluoride (38%)</w:t>
            </w:r>
          </w:p>
          <w:p w:rsidR="000E4833" w:rsidRDefault="001624E2">
            <w:r>
              <w:rPr>
                <w:i/>
                <w:iCs/>
                <w:color w:val="B3C8E8"/>
                <w:sz w:val="17"/>
                <w:szCs w:val="17"/>
              </w:rPr>
              <w:t>Dental Professional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Non-invasive caries arrest in precise gel form — no drip, easy placement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Painless drill-free dentistry for children, elderly, community health programs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India dental market: ₹22,000+ Cr · SDF growing 15–20% CAGR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Buyers: dental distributors, hospitals, government oral-health programs, dental colleges</w:t>
            </w:r>
          </w:p>
        </w:tc>
      </w:tr>
      <w:tr w:rsidR="000E48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28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0E4833" w:rsidRDefault="001624E2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Nano-Curcumin / Curcumin</w:t>
            </w:r>
          </w:p>
          <w:p w:rsidR="000E4833" w:rsidRDefault="001624E2">
            <w:r>
              <w:rPr>
                <w:i/>
                <w:iCs/>
                <w:color w:val="B3C8E8"/>
                <w:sz w:val="17"/>
                <w:szCs w:val="17"/>
              </w:rPr>
              <w:t>Nutraceutical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20–40x higher bioavailability vs standard curcumin — water-soluble </w:t>
            </w:r>
            <w:proofErr w:type="spellStart"/>
            <w:r>
              <w:rPr>
                <w:sz w:val="20"/>
                <w:szCs w:val="20"/>
              </w:rPr>
              <w:t>nano</w:t>
            </w:r>
            <w:proofErr w:type="spellEnd"/>
            <w:r>
              <w:rPr>
                <w:sz w:val="20"/>
                <w:szCs w:val="20"/>
              </w:rPr>
              <w:t xml:space="preserve"> form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Anti-inflammatory, antioxidant, joint health, liver protection, immunity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India nutraceutical sector: ₹18,000+ Cr · 10–15% CAGR · Strong export demand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Buyers: supplem</w:t>
            </w:r>
            <w:r>
              <w:rPr>
                <w:sz w:val="20"/>
                <w:szCs w:val="20"/>
              </w:rPr>
              <w:t>ent brands, functional food makers, pharma formulators</w:t>
            </w:r>
          </w:p>
        </w:tc>
      </w:tr>
      <w:tr w:rsidR="000E48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0E4833" w:rsidRDefault="001624E2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Nano Zinc Oxide (Nano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ZnO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  <w:p w:rsidR="000E4833" w:rsidRDefault="001624E2">
            <w:r>
              <w:rPr>
                <w:i/>
                <w:iCs/>
                <w:color w:val="B3C8E8"/>
                <w:sz w:val="17"/>
                <w:szCs w:val="17"/>
              </w:rPr>
              <w:t>Derma / Cosmetics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Antibacterial, antiviral, UV-protective, anti-inflammatory at nanoscale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Wound gels, sunscreens, antimicrobial creams, baby care, skincare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India </w:t>
            </w:r>
            <w:proofErr w:type="spellStart"/>
            <w:r>
              <w:rPr>
                <w:sz w:val="20"/>
                <w:szCs w:val="20"/>
              </w:rPr>
              <w:t>derm</w:t>
            </w:r>
            <w:proofErr w:type="spellEnd"/>
            <w:r>
              <w:rPr>
                <w:sz w:val="20"/>
                <w:szCs w:val="20"/>
              </w:rPr>
              <w:t xml:space="preserve">/OTC market: ₹15,000+ Cr · Nano </w:t>
            </w:r>
            <w:proofErr w:type="spellStart"/>
            <w:r>
              <w:rPr>
                <w:sz w:val="20"/>
                <w:szCs w:val="20"/>
              </w:rPr>
              <w:t>ZnO</w:t>
            </w:r>
            <w:proofErr w:type="spellEnd"/>
            <w:r>
              <w:rPr>
                <w:sz w:val="20"/>
                <w:szCs w:val="20"/>
              </w:rPr>
              <w:t xml:space="preserve"> growing 10–12% CAGR</w:t>
            </w:r>
          </w:p>
          <w:p w:rsidR="000E4833" w:rsidRDefault="001624E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Buyers: sunscreen brands, dermatology distributors, baby care manufacturers</w:t>
            </w:r>
          </w:p>
        </w:tc>
      </w:tr>
    </w:tbl>
    <w:p w:rsidR="000E4833" w:rsidRDefault="000E4833">
      <w:pPr>
        <w:spacing w:before="80" w:after="80"/>
      </w:pPr>
    </w:p>
    <w:p w:rsidR="000E4833" w:rsidRDefault="000E4833">
      <w:pPr>
        <w:pBdr>
          <w:bottom w:val="single" w:sz="4" w:space="1" w:color="DDDDDD"/>
        </w:pBdr>
        <w:spacing w:before="100" w:after="100"/>
      </w:pPr>
    </w:p>
    <w:p w:rsidR="000E4833" w:rsidRDefault="001624E2">
      <w:pPr>
        <w:pStyle w:val="Heading2"/>
      </w:pPr>
      <w:r>
        <w:t>Who We Supply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Pharmaceutical and nutraceutical distributors — domestic and export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 xml:space="preserve">Healthcare brands looking for ready-to-sell </w:t>
      </w:r>
      <w:proofErr w:type="spellStart"/>
      <w:r>
        <w:t>nano</w:t>
      </w:r>
      <w:proofErr w:type="spellEnd"/>
      <w:r>
        <w:t>-formulations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Hospitals, clinic chains and institutional procurement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Dental distributors and dental college supply chains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Export buyers in Middle East, Southeast Asia and Africa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 xml:space="preserve">Private label buyers who want </w:t>
      </w:r>
      <w:r>
        <w:t>to sell under their own brand name</w:t>
      </w:r>
    </w:p>
    <w:p w:rsidR="000E4833" w:rsidRDefault="000E4833">
      <w:pPr>
        <w:pBdr>
          <w:bottom w:val="single" w:sz="4" w:space="1" w:color="DDDDDD"/>
        </w:pBdr>
        <w:spacing w:before="100" w:after="100"/>
      </w:pPr>
    </w:p>
    <w:p w:rsidR="000E4833" w:rsidRDefault="001624E2">
      <w:pPr>
        <w:pStyle w:val="Heading2"/>
      </w:pPr>
      <w:r>
        <w:t xml:space="preserve">Why </w:t>
      </w:r>
      <w:proofErr w:type="spellStart"/>
      <w:r>
        <w:t>Ochnology</w:t>
      </w:r>
      <w:proofErr w:type="spellEnd"/>
      <w:r>
        <w:t xml:space="preserve"> Solutions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 xml:space="preserve">Established tie-ups with GMP-certified </w:t>
      </w:r>
      <w:proofErr w:type="spellStart"/>
      <w:r>
        <w:t>nano</w:t>
      </w:r>
      <w:proofErr w:type="spellEnd"/>
      <w:r>
        <w:t>-formulation manufacturers — quality assured at source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We bridge the gap between specialised manufacturers and end buyers — saving you sourcing effort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Full documentation: COA, MSDS, batch reports, regulatory certificates with every order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Flexible supply: trial quantities available before bulk commitment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Private label supply under your brand — minimum quantities applicable</w:t>
      </w:r>
    </w:p>
    <w:p w:rsidR="000E4833" w:rsidRDefault="001624E2">
      <w:pPr>
        <w:pStyle w:val="ListParagraph"/>
        <w:numPr>
          <w:ilvl w:val="0"/>
          <w:numId w:val="2"/>
        </w:numPr>
        <w:spacing w:before="36" w:after="36"/>
      </w:pPr>
      <w:r>
        <w:t>Competitive pricing through esta</w:t>
      </w:r>
      <w:r>
        <w:t>blished supply relationships — better than spot market</w:t>
      </w:r>
    </w:p>
    <w:p w:rsidR="001624E2" w:rsidRDefault="001624E2" w:rsidP="001624E2">
      <w:pPr>
        <w:pStyle w:val="Heading1"/>
      </w:pPr>
      <w:r>
        <w:lastRenderedPageBreak/>
        <w:t>Frequently Asked Questions</w:t>
      </w:r>
    </w:p>
    <w:p w:rsidR="001624E2" w:rsidRDefault="001624E2" w:rsidP="001624E2">
      <w:r>
        <w:pict>
          <v:rect id="_x0000_i1025" style="width:0;height:1.5pt" o:hralign="center" o:hrstd="t" o:hr="t" fillcolor="#a0a0a0" stroked="f"/>
        </w:pict>
      </w:r>
    </w:p>
    <w:p w:rsidR="001624E2" w:rsidRDefault="001624E2" w:rsidP="001624E2">
      <w:r>
        <w:pict>
          <v:rect id="_x0000_i1026" style="width:0;height:1.5pt" o:hralign="center" o:hrstd="t" o:hr="t" fillcolor="#a0a0a0" stroked="f"/>
        </w:pict>
      </w:r>
    </w:p>
    <w:p w:rsidR="001624E2" w:rsidRDefault="001624E2" w:rsidP="001624E2">
      <w:pPr>
        <w:pStyle w:val="Heading3"/>
      </w:pPr>
      <w:r>
        <w:t>Q1</w:t>
      </w:r>
      <w:r>
        <w:t>. Can we provide samples?</w:t>
      </w:r>
    </w:p>
    <w:p w:rsidR="001624E2" w:rsidRDefault="001624E2" w:rsidP="001624E2">
      <w:pPr>
        <w:pStyle w:val="NormalWeb"/>
      </w:pPr>
      <w:r>
        <w:t xml:space="preserve">Yes, </w:t>
      </w:r>
      <w:r>
        <w:rPr>
          <w:rStyle w:val="Strong"/>
        </w:rPr>
        <w:t>samples with COA and TDS</w:t>
      </w:r>
      <w:r>
        <w:t xml:space="preserve"> </w:t>
      </w:r>
      <w:proofErr w:type="gramStart"/>
      <w:r>
        <w:t>can be arranged</w:t>
      </w:r>
      <w:proofErr w:type="gramEnd"/>
      <w:r>
        <w:t>.</w:t>
      </w:r>
      <w:r>
        <w:br/>
        <w:t xml:space="preserve">Typical </w:t>
      </w:r>
      <w:proofErr w:type="gramStart"/>
      <w:r>
        <w:t>lead time</w:t>
      </w:r>
      <w:proofErr w:type="gramEnd"/>
      <w:r>
        <w:t xml:space="preserve">: </w:t>
      </w:r>
      <w:r>
        <w:rPr>
          <w:rStyle w:val="Strong"/>
        </w:rPr>
        <w:t>5–7 working days</w:t>
      </w:r>
      <w:r>
        <w:t>.</w:t>
      </w:r>
    </w:p>
    <w:p w:rsidR="001624E2" w:rsidRDefault="001624E2" w:rsidP="001624E2">
      <w:r>
        <w:pict>
          <v:rect id="_x0000_i1028" style="width:0;height:1.5pt" o:hralign="center" o:hrstd="t" o:hr="t" fillcolor="#a0a0a0" stroked="f"/>
        </w:pict>
      </w:r>
    </w:p>
    <w:p w:rsidR="001624E2" w:rsidRDefault="001624E2" w:rsidP="001624E2">
      <w:pPr>
        <w:pStyle w:val="Heading3"/>
      </w:pPr>
      <w:r>
        <w:t>Q2</w:t>
      </w:r>
      <w:r>
        <w:t>. Which markets do we supply?</w:t>
      </w:r>
    </w:p>
    <w:p w:rsidR="001624E2" w:rsidRDefault="001624E2" w:rsidP="001624E2">
      <w:pPr>
        <w:pStyle w:val="NormalWeb"/>
      </w:pPr>
      <w:r>
        <w:t xml:space="preserve">We supply across </w:t>
      </w:r>
      <w:r>
        <w:rPr>
          <w:rStyle w:val="Strong"/>
        </w:rPr>
        <w:t xml:space="preserve">India and export to </w:t>
      </w:r>
      <w:proofErr w:type="gramStart"/>
      <w:r>
        <w:rPr>
          <w:rStyle w:val="Strong"/>
        </w:rPr>
        <w:t>Middle</w:t>
      </w:r>
      <w:proofErr w:type="gramEnd"/>
      <w:r>
        <w:rPr>
          <w:rStyle w:val="Strong"/>
        </w:rPr>
        <w:t xml:space="preserve"> East, Southeast Asia and Africa</w:t>
      </w:r>
      <w:r>
        <w:t>.</w:t>
      </w:r>
    </w:p>
    <w:p w:rsidR="001624E2" w:rsidRDefault="001624E2" w:rsidP="001624E2">
      <w:r>
        <w:pict>
          <v:rect id="_x0000_i1029" style="width:0;height:1.5pt" o:hralign="center" o:hrstd="t" o:hr="t" fillcolor="#a0a0a0" stroked="f"/>
        </w:pict>
      </w:r>
    </w:p>
    <w:p w:rsidR="001624E2" w:rsidRDefault="001624E2" w:rsidP="001624E2">
      <w:pPr>
        <w:pStyle w:val="Heading3"/>
      </w:pPr>
      <w:r>
        <w:t>Q3</w:t>
      </w:r>
      <w:r>
        <w:t xml:space="preserve">. What documents </w:t>
      </w:r>
      <w:proofErr w:type="gramStart"/>
      <w:r>
        <w:t>are provided</w:t>
      </w:r>
      <w:proofErr w:type="gramEnd"/>
      <w:r>
        <w:t>?</w:t>
      </w:r>
    </w:p>
    <w:p w:rsidR="001624E2" w:rsidRDefault="001624E2" w:rsidP="001624E2">
      <w:pPr>
        <w:pStyle w:val="NormalWeb"/>
      </w:pPr>
      <w:r>
        <w:t xml:space="preserve">We provide </w:t>
      </w:r>
      <w:r>
        <w:rPr>
          <w:rStyle w:val="Strong"/>
        </w:rPr>
        <w:t>COA, MSDS, and relevant regulatory documents</w:t>
      </w:r>
      <w:r>
        <w:t xml:space="preserve"> with every order.</w:t>
      </w:r>
      <w:r>
        <w:br/>
        <w:t xml:space="preserve">Export documentation </w:t>
      </w:r>
      <w:proofErr w:type="gramStart"/>
      <w:r>
        <w:t>can also be arranged</w:t>
      </w:r>
      <w:proofErr w:type="gramEnd"/>
      <w:r>
        <w:t>.</w:t>
      </w:r>
    </w:p>
    <w:p w:rsidR="001624E2" w:rsidRDefault="001624E2" w:rsidP="001624E2">
      <w:r>
        <w:pict>
          <v:rect id="_x0000_i1030" style="width:0;height:1.5pt" o:hralign="center" o:hrstd="t" o:hr="t" fillcolor="#a0a0a0" stroked="f"/>
        </w:pict>
      </w:r>
    </w:p>
    <w:p w:rsidR="001624E2" w:rsidRDefault="001624E2" w:rsidP="001624E2">
      <w:pPr>
        <w:pStyle w:val="Heading3"/>
      </w:pPr>
      <w:r>
        <w:t>Q4</w:t>
      </w:r>
      <w:r>
        <w:t xml:space="preserve">. Can we supply other </w:t>
      </w:r>
      <w:proofErr w:type="spellStart"/>
      <w:r>
        <w:t>nano</w:t>
      </w:r>
      <w:proofErr w:type="spellEnd"/>
      <w:r>
        <w:t xml:space="preserve"> products?</w:t>
      </w:r>
    </w:p>
    <w:p w:rsidR="001624E2" w:rsidRDefault="001624E2" w:rsidP="001624E2">
      <w:pPr>
        <w:pStyle w:val="NormalWeb"/>
      </w:pPr>
      <w:r>
        <w:t xml:space="preserve">Yes, we can source and supply </w:t>
      </w:r>
      <w:r>
        <w:rPr>
          <w:rStyle w:val="Strong"/>
        </w:rPr>
        <w:t xml:space="preserve">a wide range of </w:t>
      </w:r>
      <w:proofErr w:type="spellStart"/>
      <w:r>
        <w:rPr>
          <w:rStyle w:val="Strong"/>
        </w:rPr>
        <w:t>nano</w:t>
      </w:r>
      <w:proofErr w:type="spellEnd"/>
      <w:r>
        <w:rPr>
          <w:rStyle w:val="Strong"/>
        </w:rPr>
        <w:t xml:space="preserve"> formulations</w:t>
      </w:r>
      <w:r>
        <w:t xml:space="preserve"> based on your requirement.</w:t>
      </w:r>
    </w:p>
    <w:p w:rsidR="001624E2" w:rsidRDefault="001624E2" w:rsidP="001624E2">
      <w:r>
        <w:pict>
          <v:rect id="_x0000_i1031" style="width:0;height:1.5pt" o:hralign="center" o:hrstd="t" o:hr="t" fillcolor="#a0a0a0" stroked="f"/>
        </w:pict>
      </w:r>
    </w:p>
    <w:p w:rsidR="001624E2" w:rsidRDefault="001624E2" w:rsidP="001624E2">
      <w:pPr>
        <w:pStyle w:val="Heading3"/>
      </w:pPr>
      <w:r>
        <w:t>Q4</w:t>
      </w:r>
      <w:bookmarkStart w:id="0" w:name="_GoBack"/>
      <w:bookmarkEnd w:id="0"/>
      <w:r>
        <w:t>. What are the payment terms?</w:t>
      </w:r>
    </w:p>
    <w:p w:rsidR="001624E2" w:rsidRDefault="001624E2" w:rsidP="001624E2">
      <w:pPr>
        <w:pStyle w:val="NormalWeb"/>
      </w:pPr>
      <w:r>
        <w:t xml:space="preserve">We work on </w:t>
      </w:r>
      <w:r>
        <w:rPr>
          <w:rStyle w:val="Strong"/>
        </w:rPr>
        <w:t>advance payment terms only</w:t>
      </w:r>
      <w:r>
        <w:t>.</w:t>
      </w:r>
    </w:p>
    <w:p w:rsidR="000E4833" w:rsidRDefault="000E4833">
      <w:pPr>
        <w:spacing w:before="260" w:after="60"/>
      </w:pPr>
    </w:p>
    <w:sectPr w:rsidR="000E483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8917D3"/>
    <w:multiLevelType w:val="hybridMultilevel"/>
    <w:tmpl w:val="541ADD7E"/>
    <w:lvl w:ilvl="0" w:tplc="AFE2EDAC">
      <w:start w:val="1"/>
      <w:numFmt w:val="bullet"/>
      <w:lvlText w:val="●"/>
      <w:lvlJc w:val="left"/>
      <w:pPr>
        <w:ind w:left="720" w:hanging="360"/>
      </w:pPr>
    </w:lvl>
    <w:lvl w:ilvl="1" w:tplc="6EC4E1E8">
      <w:start w:val="1"/>
      <w:numFmt w:val="bullet"/>
      <w:lvlText w:val="○"/>
      <w:lvlJc w:val="left"/>
      <w:pPr>
        <w:ind w:left="1440" w:hanging="360"/>
      </w:pPr>
    </w:lvl>
    <w:lvl w:ilvl="2" w:tplc="0838B342">
      <w:start w:val="1"/>
      <w:numFmt w:val="bullet"/>
      <w:lvlText w:val="■"/>
      <w:lvlJc w:val="left"/>
      <w:pPr>
        <w:ind w:left="2160" w:hanging="360"/>
      </w:pPr>
    </w:lvl>
    <w:lvl w:ilvl="3" w:tplc="5BE61E26">
      <w:start w:val="1"/>
      <w:numFmt w:val="bullet"/>
      <w:lvlText w:val="●"/>
      <w:lvlJc w:val="left"/>
      <w:pPr>
        <w:ind w:left="2880" w:hanging="360"/>
      </w:pPr>
    </w:lvl>
    <w:lvl w:ilvl="4" w:tplc="1C9C0792">
      <w:start w:val="1"/>
      <w:numFmt w:val="bullet"/>
      <w:lvlText w:val="○"/>
      <w:lvlJc w:val="left"/>
      <w:pPr>
        <w:ind w:left="3600" w:hanging="360"/>
      </w:pPr>
    </w:lvl>
    <w:lvl w:ilvl="5" w:tplc="DCB24FB6">
      <w:start w:val="1"/>
      <w:numFmt w:val="bullet"/>
      <w:lvlText w:val="■"/>
      <w:lvlJc w:val="left"/>
      <w:pPr>
        <w:ind w:left="4320" w:hanging="360"/>
      </w:pPr>
    </w:lvl>
    <w:lvl w:ilvl="6" w:tplc="55C0FEE0">
      <w:start w:val="1"/>
      <w:numFmt w:val="bullet"/>
      <w:lvlText w:val="●"/>
      <w:lvlJc w:val="left"/>
      <w:pPr>
        <w:ind w:left="5040" w:hanging="360"/>
      </w:pPr>
    </w:lvl>
    <w:lvl w:ilvl="7" w:tplc="A606AB3A">
      <w:start w:val="1"/>
      <w:numFmt w:val="bullet"/>
      <w:lvlText w:val="●"/>
      <w:lvlJc w:val="left"/>
      <w:pPr>
        <w:ind w:left="5760" w:hanging="360"/>
      </w:pPr>
    </w:lvl>
    <w:lvl w:ilvl="8" w:tplc="48BA83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EC1B54"/>
    <w:multiLevelType w:val="hybridMultilevel"/>
    <w:tmpl w:val="1E888BAE"/>
    <w:lvl w:ilvl="0" w:tplc="31B0A8FC">
      <w:start w:val="1"/>
      <w:numFmt w:val="bullet"/>
      <w:lvlText w:val="•"/>
      <w:lvlJc w:val="left"/>
      <w:pPr>
        <w:ind w:left="480" w:hanging="240"/>
      </w:pPr>
    </w:lvl>
    <w:lvl w:ilvl="1" w:tplc="79AA143E">
      <w:numFmt w:val="decimal"/>
      <w:lvlText w:val=""/>
      <w:lvlJc w:val="left"/>
    </w:lvl>
    <w:lvl w:ilvl="2" w:tplc="0726AA9C">
      <w:numFmt w:val="decimal"/>
      <w:lvlText w:val=""/>
      <w:lvlJc w:val="left"/>
    </w:lvl>
    <w:lvl w:ilvl="3" w:tplc="930CA928">
      <w:numFmt w:val="decimal"/>
      <w:lvlText w:val=""/>
      <w:lvlJc w:val="left"/>
    </w:lvl>
    <w:lvl w:ilvl="4" w:tplc="E4E00EF6">
      <w:numFmt w:val="decimal"/>
      <w:lvlText w:val=""/>
      <w:lvlJc w:val="left"/>
    </w:lvl>
    <w:lvl w:ilvl="5" w:tplc="5F7A5696">
      <w:numFmt w:val="decimal"/>
      <w:lvlText w:val=""/>
      <w:lvlJc w:val="left"/>
    </w:lvl>
    <w:lvl w:ilvl="6" w:tplc="0C9E8B40">
      <w:numFmt w:val="decimal"/>
      <w:lvlText w:val=""/>
      <w:lvlJc w:val="left"/>
    </w:lvl>
    <w:lvl w:ilvl="7" w:tplc="A53ED090">
      <w:numFmt w:val="decimal"/>
      <w:lvlText w:val=""/>
      <w:lvlJc w:val="left"/>
    </w:lvl>
    <w:lvl w:ilvl="8" w:tplc="AEFC7F74">
      <w:numFmt w:val="decimal"/>
      <w:lvlText w:val=""/>
      <w:lvlJc w:val="left"/>
    </w:lvl>
  </w:abstractNum>
  <w:abstractNum w:abstractNumId="2" w15:restartNumberingAfterBreak="0">
    <w:nsid w:val="7740320F"/>
    <w:multiLevelType w:val="hybridMultilevel"/>
    <w:tmpl w:val="439E5D0A"/>
    <w:lvl w:ilvl="0" w:tplc="B3E4D49C">
      <w:start w:val="1"/>
      <w:numFmt w:val="bullet"/>
      <w:lvlText w:val="✓"/>
      <w:lvlJc w:val="left"/>
      <w:pPr>
        <w:ind w:left="480" w:hanging="240"/>
      </w:pPr>
    </w:lvl>
    <w:lvl w:ilvl="1" w:tplc="FA58AC72">
      <w:numFmt w:val="decimal"/>
      <w:lvlText w:val=""/>
      <w:lvlJc w:val="left"/>
    </w:lvl>
    <w:lvl w:ilvl="2" w:tplc="3278A136">
      <w:numFmt w:val="decimal"/>
      <w:lvlText w:val=""/>
      <w:lvlJc w:val="left"/>
    </w:lvl>
    <w:lvl w:ilvl="3" w:tplc="24B8F47C">
      <w:numFmt w:val="decimal"/>
      <w:lvlText w:val=""/>
      <w:lvlJc w:val="left"/>
    </w:lvl>
    <w:lvl w:ilvl="4" w:tplc="D8083D6A">
      <w:numFmt w:val="decimal"/>
      <w:lvlText w:val=""/>
      <w:lvlJc w:val="left"/>
    </w:lvl>
    <w:lvl w:ilvl="5" w:tplc="6B980A0C">
      <w:numFmt w:val="decimal"/>
      <w:lvlText w:val=""/>
      <w:lvlJc w:val="left"/>
    </w:lvl>
    <w:lvl w:ilvl="6" w:tplc="D15C5DD8">
      <w:numFmt w:val="decimal"/>
      <w:lvlText w:val=""/>
      <w:lvlJc w:val="left"/>
    </w:lvl>
    <w:lvl w:ilvl="7" w:tplc="ABB4A81A">
      <w:numFmt w:val="decimal"/>
      <w:lvlText w:val=""/>
      <w:lvlJc w:val="left"/>
    </w:lvl>
    <w:lvl w:ilvl="8" w:tplc="69F65D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833"/>
    <w:rsid w:val="000E4833"/>
    <w:rsid w:val="00142B78"/>
    <w:rsid w:val="0016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75B5"/>
  <w15:docId w15:val="{14B52E93-A3A2-4C94-8EE3-C5AE6E49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60" w:after="100"/>
      <w:outlineLvl w:val="1"/>
    </w:pPr>
    <w:rPr>
      <w:b/>
      <w:bCs/>
      <w:color w:val="1A3A6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24E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624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2026-04-22T11:53:00Z</dcterms:created>
  <dcterms:modified xsi:type="dcterms:W3CDTF">2026-04-22T11:57:00Z</dcterms:modified>
</cp:coreProperties>
</file>