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widowControl w:val="1"/>
        <w:spacing w:before="400" w:line="276" w:lineRule="auto"/>
        <w:jc w:val="center"/>
        <w:rPr>
          <w:sz w:val="40"/>
          <w:szCs w:val="40"/>
        </w:rPr>
      </w:pPr>
      <w:bookmarkStart w:colFirst="0" w:colLast="0" w:name="_oayy0gj5b8p5" w:id="0"/>
      <w:bookmarkEnd w:id="0"/>
      <w:r w:rsidDel="00000000" w:rsidR="00000000" w:rsidRPr="00000000">
        <w:rPr>
          <w:sz w:val="40"/>
          <w:szCs w:val="40"/>
          <w:rtl w:val="0"/>
        </w:rPr>
        <w:t xml:space="preserve">List of Holidays 2022</w:t>
      </w:r>
    </w:p>
    <w:tbl>
      <w:tblPr>
        <w:tblStyle w:val="Table1"/>
        <w:tblW w:w="104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155"/>
        <w:gridCol w:w="2250"/>
        <w:gridCol w:w="3030"/>
        <w:tblGridChange w:id="0">
          <w:tblGrid>
            <w:gridCol w:w="1035"/>
            <w:gridCol w:w="4155"/>
            <w:gridCol w:w="2250"/>
            <w:gridCol w:w="3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Sl. 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Holiday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January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Saturday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New 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January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Annual Retreat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 January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Wednesday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Republic Day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February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Saturday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Saraswati Puja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March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Tuesday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Mahashivratri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 March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Friday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May *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Tuesday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Eid-ul-Fitr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July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Friday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Rath Yatra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July *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Bakri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 August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Independence Day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 August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Wednesday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Ganesh Chaturthi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October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Maha Ashtami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October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Tuesday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Maha Navami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October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Wednesday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Vijaya Dashami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 October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Monday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Diwali</w:t>
            </w:r>
          </w:p>
        </w:tc>
      </w:tr>
    </w:tbl>
    <w:p w:rsidR="00000000" w:rsidDel="00000000" w:rsidP="00000000" w:rsidRDefault="00000000" w:rsidRPr="00000000" w14:paraId="00000042">
      <w:pPr>
        <w:keepNext w:val="1"/>
        <w:keepLines w:val="1"/>
        <w:widowControl w:val="1"/>
        <w:spacing w:after="80" w:before="320" w:line="276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Notes: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Holidays with the (*) marks are to be decided the week before. 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Second and Fourth Saturdays in a month are weekly offs.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3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event of any unprecedented office closure because of Bunds, Strikes, etc. the corresponding second or fourth Saturday will be a working day.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1"/>
        <w:keepLines w:val="1"/>
        <w:widowControl w:val="1"/>
        <w:spacing w:before="400" w:line="276" w:lineRule="auto"/>
        <w:jc w:val="center"/>
        <w:rPr>
          <w:sz w:val="40"/>
          <w:szCs w:val="40"/>
        </w:rPr>
      </w:pPr>
      <w:bookmarkStart w:colFirst="0" w:colLast="0" w:name="_l064nmfijngz" w:id="1"/>
      <w:bookmarkEnd w:id="1"/>
      <w:r w:rsidDel="00000000" w:rsidR="00000000" w:rsidRPr="00000000">
        <w:rPr>
          <w:sz w:val="40"/>
          <w:szCs w:val="40"/>
          <w:rtl w:val="0"/>
        </w:rPr>
        <w:t xml:space="preserve">Updated Leave Policy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maximum of 2 miscellaneous leaves and 2 half-day leaves in a month are allowed for valid reasons provided and are subject to your supervisor’s approval.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Monthly leaves cannot be accumulated and used later.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every in excess of the 2 leaves in a month the team member is liable to a loss of pay unless there is prior approval for otherwise.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Miscellaneous leaves cannot be clubbed or bound with holidays unless and until it is approved at-least 4 days in advance (unless in-case of emergencies). In-case of unapproved miscellaneous leaves bound or clubbed with holidays, the corresponding holidays shall be liable to loss of pay.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Minimum 5 working hours is required for a leave to be considered as half-day, otherwise it will be considered as a full-day leave.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Every 6 months a team member is entitled for a planned leave for upto 5 or 6 working days (1 work week).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Planned leaves cannot be combined with miscellaneous leaves.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Planned leaves can be clubbed in a single year only if there has been no miscellaneous leaves claimed in the previous quarter.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Planned leaves cannot be accumulated and used beyond the single calendar year.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 members must inform about planned leaves at-least one month beforehand and plan the project roster accordingly.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Planned Leaves are allocated on a roster basis and can be declined if necessary.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Sick Leaves and Miscellaneous Leaves shall be considered on a case-by-case basis. In-case of Sick Leaves the monthly 2 Miscellaneous Leaves shall not be considered.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All team members must be intimate about their absence via email (addressed to their respective manager, </w:t>
      </w:r>
      <w:r w:rsidDel="00000000" w:rsidR="00000000" w:rsidRPr="00000000">
        <w:rPr>
          <w:b w:val="1"/>
          <w:sz w:val="22"/>
          <w:szCs w:val="22"/>
          <w:rtl w:val="0"/>
        </w:rPr>
        <w:t xml:space="preserve">hr@nettantra.com</w:t>
      </w:r>
      <w:r w:rsidDel="00000000" w:rsidR="00000000" w:rsidRPr="00000000">
        <w:rPr>
          <w:sz w:val="22"/>
          <w:szCs w:val="22"/>
          <w:rtl w:val="0"/>
        </w:rPr>
        <w:t xml:space="preserve"> &amp; </w:t>
      </w:r>
      <w:r w:rsidDel="00000000" w:rsidR="00000000" w:rsidRPr="00000000">
        <w:rPr>
          <w:b w:val="1"/>
          <w:sz w:val="22"/>
          <w:szCs w:val="22"/>
          <w:rtl w:val="0"/>
        </w:rPr>
        <w:t xml:space="preserve">slt@nettantra.com</w:t>
      </w:r>
      <w:r w:rsidDel="00000000" w:rsidR="00000000" w:rsidRPr="00000000">
        <w:rPr>
          <w:sz w:val="22"/>
          <w:szCs w:val="22"/>
          <w:rtl w:val="0"/>
        </w:rPr>
        <w:t xml:space="preserve"> ) with a subject prefix of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“&lt;Leave&gt;”</w:t>
      </w:r>
      <w:r w:rsidDel="00000000" w:rsidR="00000000" w:rsidRPr="00000000">
        <w:rPr>
          <w:sz w:val="22"/>
          <w:szCs w:val="22"/>
          <w:rtl w:val="0"/>
        </w:rPr>
        <w:t xml:space="preserve"> without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</w:t>
      </w:r>
      <w:r w:rsidDel="00000000" w:rsidR="00000000" w:rsidRPr="00000000">
        <w:rPr>
          <w:sz w:val="22"/>
          <w:szCs w:val="22"/>
          <w:rtl w:val="0"/>
        </w:rPr>
        <w:t xml:space="preserve"> (quotes).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"/>
        </w:numPr>
        <w:spacing w:after="20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Leave Encashment Bonus</w:t>
      </w:r>
      <w:r w:rsidDel="00000000" w:rsidR="00000000" w:rsidRPr="00000000">
        <w:rPr>
          <w:sz w:val="22"/>
          <w:szCs w:val="22"/>
          <w:rtl w:val="0"/>
        </w:rPr>
        <w:t xml:space="preserve">: Every 3 months, if an individual has taken less than 3 leaves and less than 2 “work from home” (only when approved by client or the head of Human Resources) an additional payout of an equivalent salary for the remaining of the 6 leaves shall be awarded as a bonus at the end of every three month period. Also, at the end of each year all unclaimed planned leaves can be encashed.</w:t>
      </w:r>
    </w:p>
    <w:p w:rsidR="00000000" w:rsidDel="00000000" w:rsidP="00000000" w:rsidRDefault="00000000" w:rsidRPr="00000000" w14:paraId="00000055">
      <w:pPr>
        <w:widowControl w:val="1"/>
        <w:spacing w:after="100" w:line="276" w:lineRule="auto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Trivia: 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Maximum Number of paid day offs</w:t>
      </w:r>
      <w:r w:rsidDel="00000000" w:rsidR="00000000" w:rsidRPr="00000000">
        <w:rPr>
          <w:i w:val="1"/>
          <w:sz w:val="20"/>
          <w:szCs w:val="20"/>
          <w:rtl w:val="0"/>
        </w:rPr>
        <w:t xml:space="preserve"> in 2022 can be 52 Sundays + 12 Second Saturdays + 12 Fourth Saturdays + 15 Holidays + 12 Planned Leaves + 24 Miscellaneous Leaves that is 127 Days i.e. 18.14 Weeks or 4.23 Months.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Maximum leave encashment</w:t>
      </w:r>
      <w:r w:rsidDel="00000000" w:rsidR="00000000" w:rsidRPr="00000000">
        <w:rPr>
          <w:i w:val="1"/>
          <w:sz w:val="20"/>
          <w:szCs w:val="20"/>
          <w:rtl w:val="0"/>
        </w:rPr>
        <w:t xml:space="preserve"> that can be achieved in 2022 = 24 miscellaneous leaves + 12 planned leaves = 36 days = 1.2 Months worth of additional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1"/>
          <w:color w:val="00555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color w:val="134f5c"/>
          <w:shd w:fill="fcfcfc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08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mic Sans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color w:val="073763"/>
        <w:sz w:val="10"/>
        <w:szCs w:val="10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0.0" w:type="pct"/>
      <w:tblLayout w:type="fixed"/>
      <w:tblLook w:val="0600"/>
    </w:tblPr>
    <w:tblGrid>
      <w:gridCol w:w="3315"/>
      <w:gridCol w:w="7125"/>
      <w:tblGridChange w:id="0">
        <w:tblGrid>
          <w:gridCol w:w="3315"/>
          <w:gridCol w:w="7125"/>
        </w:tblGrid>
      </w:tblGridChange>
    </w:tblGrid>
    <w:tr>
      <w:trPr>
        <w:cantSplit w:val="0"/>
        <w:tblHeader w:val="0"/>
      </w:trPr>
      <w:tc>
        <w:tcPr>
          <w:tcBorders>
            <w:top w:color="005552" w:space="0" w:sz="8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61">
          <w:pPr>
            <w:pageBreakBefore w:val="0"/>
            <w:rPr>
              <w:rFonts w:ascii="Arial" w:cs="Arial" w:eastAsia="Arial" w:hAnsi="Arial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ageBreakBefore w:val="0"/>
            <w:rPr>
              <w:color w:val="073763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</w:rPr>
            <w:drawing>
              <wp:inline distB="114300" distT="114300" distL="114300" distR="114300">
                <wp:extent cx="1281113" cy="47383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113" cy="47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5552" w:space="0" w:sz="8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3">
          <w:pPr>
            <w:pageBreakBefore w:val="0"/>
            <w:jc w:val="right"/>
            <w:rPr>
              <w:color w:val="005552"/>
              <w:sz w:val="18"/>
              <w:szCs w:val="18"/>
            </w:rPr>
          </w:pPr>
          <w:r w:rsidDel="00000000" w:rsidR="00000000" w:rsidRPr="00000000">
            <w:rPr>
              <w:b w:val="1"/>
              <w:color w:val="005552"/>
              <w:sz w:val="18"/>
              <w:szCs w:val="18"/>
              <w:rtl w:val="0"/>
            </w:rPr>
            <w:t xml:space="preserve">Head Office:</w:t>
          </w:r>
          <w:r w:rsidDel="00000000" w:rsidR="00000000" w:rsidRPr="00000000">
            <w:rPr>
              <w:color w:val="005552"/>
              <w:sz w:val="18"/>
              <w:szCs w:val="18"/>
              <w:rtl w:val="0"/>
            </w:rPr>
            <w:t xml:space="preserve"> GA-430, Sailashree Vihar, Bhubaneswar, Odisha (India), PIN – 751021</w:t>
            <w:br w:type="textWrapping"/>
          </w:r>
          <w:r w:rsidDel="00000000" w:rsidR="00000000" w:rsidRPr="00000000">
            <w:rPr>
              <w:b w:val="1"/>
              <w:color w:val="005552"/>
              <w:sz w:val="18"/>
              <w:szCs w:val="18"/>
              <w:rtl w:val="0"/>
            </w:rPr>
            <w:t xml:space="preserve">Phone: </w:t>
          </w:r>
          <w:r w:rsidDel="00000000" w:rsidR="00000000" w:rsidRPr="00000000">
            <w:rPr>
              <w:color w:val="005552"/>
              <w:sz w:val="18"/>
              <w:szCs w:val="18"/>
              <w:rtl w:val="0"/>
            </w:rPr>
            <w:t xml:space="preserve">+91-674-297-6677 (IN) / +1-408-658-0677 (US)</w:t>
          </w:r>
          <w:r w:rsidDel="00000000" w:rsidR="00000000" w:rsidRPr="00000000">
            <w:rPr>
              <w:b w:val="1"/>
              <w:color w:val="005552"/>
              <w:sz w:val="18"/>
              <w:szCs w:val="18"/>
              <w:rtl w:val="0"/>
            </w:rPr>
            <w:br w:type="textWrapping"/>
            <w:t xml:space="preserve">Email:</w:t>
          </w:r>
          <w:r w:rsidDel="00000000" w:rsidR="00000000" w:rsidRPr="00000000">
            <w:rPr>
              <w:color w:val="005552"/>
              <w:sz w:val="18"/>
              <w:szCs w:val="18"/>
              <w:rtl w:val="0"/>
            </w:rPr>
            <w:t xml:space="preserve"> info@nettantra.com</w:t>
          </w:r>
          <w:r w:rsidDel="00000000" w:rsidR="00000000" w:rsidRPr="00000000">
            <w:rPr>
              <w:b w:val="1"/>
              <w:color w:val="005552"/>
              <w:sz w:val="18"/>
              <w:szCs w:val="18"/>
              <w:rtl w:val="0"/>
            </w:rPr>
            <w:t xml:space="preserve"> | Website:</w:t>
          </w:r>
          <w:r w:rsidDel="00000000" w:rsidR="00000000" w:rsidRPr="00000000">
            <w:rPr>
              <w:color w:val="005552"/>
              <w:sz w:val="18"/>
              <w:szCs w:val="18"/>
              <w:rtl w:val="0"/>
            </w:rPr>
            <w:t xml:space="preserve"> www.nettantra.com</w:t>
          </w:r>
        </w:p>
      </w:tc>
    </w:tr>
  </w:tbl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color w:val="073763"/>
        <w:sz w:val="6"/>
        <w:szCs w:val="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10466.0" w:type="dxa"/>
      <w:jc w:val="left"/>
      <w:tblInd w:w="-108.0" w:type="dxa"/>
      <w:tblLayout w:type="fixed"/>
      <w:tblLook w:val="0000"/>
    </w:tblPr>
    <w:tblGrid>
      <w:gridCol w:w="5233"/>
      <w:gridCol w:w="5233"/>
      <w:tblGridChange w:id="0">
        <w:tblGrid>
          <w:gridCol w:w="5233"/>
          <w:gridCol w:w="5233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5B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</w:rPr>
            <w:drawing>
              <wp:inline distB="114300" distT="114300" distL="114300" distR="114300">
                <wp:extent cx="2433638" cy="72073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3638" cy="7207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ageBreakBefore w:val="0"/>
            <w:rPr>
              <w:rFonts w:ascii="Arial" w:cs="Arial" w:eastAsia="Arial" w:hAnsi="Arial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bottom"/>
        </w:tcPr>
        <w:p w:rsidR="00000000" w:rsidDel="00000000" w:rsidP="00000000" w:rsidRDefault="00000000" w:rsidRPr="00000000" w14:paraId="0000005D">
          <w:pPr>
            <w:pageBreakBefore w:val="0"/>
            <w:jc w:val="right"/>
            <w:rPr>
              <w:rFonts w:ascii="Courier New" w:cs="Courier New" w:eastAsia="Courier New" w:hAnsi="Courier New"/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ageBreakBefore w:val="0"/>
            <w:jc w:val="right"/>
            <w:rPr>
              <w:rFonts w:ascii="Arial" w:cs="Arial" w:eastAsia="Arial" w:hAnsi="Arial"/>
              <w:b w:val="1"/>
              <w:color w:val="666666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pageBreakBefore w:val="0"/>
      <w:rPr>
        <w:rFonts w:ascii="Arial" w:cs="Arial" w:eastAsia="Arial" w:hAnsi="Arial"/>
        <w:sz w:val="4"/>
        <w:szCs w:val="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rebuchet MS" w:cs="Trebuchet MS" w:eastAsia="Trebuchet MS" w:hAnsi="Trebuchet MS"/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12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120" w:before="24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120" w:before="240" w:lineRule="auto"/>
    </w:pPr>
    <w:rPr>
      <w:b w:val="1"/>
      <w:i w:val="1"/>
      <w:smallCaps w:val="0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120" w:before="240" w:lineRule="auto"/>
    </w:pPr>
    <w:rPr>
      <w:b w:val="1"/>
      <w:smallCaps w:val="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120" w:before="24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