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400"/>
        <w:jc w:val="center"/>
      </w:pPr>
      <w:r>
        <w:rPr>
          <w:rFonts w:ascii="Arial" w:cs="Arial" w:eastAsia="Arial" w:hAnsi="Arial"/>
          <w:b/>
          <w:bCs/>
          <w:color w:val="1F3864"/>
          <w:sz w:val="60"/>
          <w:szCs w:val="60"/>
        </w:rPr>
        <w:t xml:space="preserve">SENTINEL-G</w:t>
      </w:r>
    </w:p>
    <w:p>
      <w:pPr>
        <w:spacing w:after="60" w:before="0"/>
        <w:jc w:val="center"/>
      </w:pPr>
      <w:r>
        <w:rPr>
          <w:rFonts w:ascii="Arial" w:cs="Arial" w:eastAsia="Arial" w:hAnsi="Arial"/>
          <w:color w:val="2E4A7A"/>
          <w:sz w:val="28"/>
          <w:szCs w:val="28"/>
        </w:rPr>
        <w:t xml:space="preserve">Product Requirements Document — Final</w:t>
      </w:r>
    </w:p>
    <w:p>
      <w:pPr>
        <w:spacing w:after="80" w:before="0"/>
        <w:jc w:val="center"/>
      </w:pPr>
      <w:r>
        <w:rPr>
          <w:rFonts w:ascii="Arial" w:cs="Arial" w:eastAsia="Arial" w:hAnsi="Arial"/>
          <w:color w:val="888888"/>
          <w:sz w:val="22"/>
          <w:szCs w:val="22"/>
        </w:rPr>
        <w:t xml:space="preserve">SME Financial Fraud Detection Platform  ·  v4.0  ·  HackHazards '26</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1F3864" w:sz="2"/>
              <w:left w:val="single" w:color="1F3864" w:sz="2"/>
              <w:bottom w:val="single" w:color="1F3864" w:sz="2"/>
              <w:right w:val="single" w:color="1F3864" w:sz="2"/>
            </w:tcBorders>
            <w:shd w:fill="1F3864" w:val="clear"/>
            <w:tcMar>
              <w:top w:type="dxa" w:w="80"/>
              <w:left w:type="dxa" w:w="120"/>
              <w:bottom w:type="dxa" w:w="80"/>
              <w:right w:type="dxa" w:w="120"/>
            </w:tcMar>
          </w:tcPr>
          <w:p>
            <w:pPr>
              <w:jc w:val="center"/>
            </w:pPr>
            <w:r>
              <w:rPr>
                <w:rFonts w:ascii="Arial" w:cs="Arial" w:eastAsia="Arial" w:hAnsi="Arial"/>
                <w:b/>
                <w:bCs/>
                <w:color w:val="FFFFFF"/>
                <w:sz w:val="19"/>
                <w:szCs w:val="19"/>
              </w:rPr>
              <w:t xml:space="preserve">Track
Neo4j / AuraDB</w:t>
            </w:r>
          </w:p>
        </w:tc>
        <w:tc>
          <w:tcPr>
            <w:tcW w:type="dxa" w:w="2340"/>
            <w:tcBorders>
              <w:top w:val="single" w:color="1F3864" w:sz="2"/>
              <w:left w:val="single" w:color="1F3864" w:sz="2"/>
              <w:bottom w:val="single" w:color="1F3864" w:sz="2"/>
              <w:right w:val="single" w:color="1F3864" w:sz="2"/>
            </w:tcBorders>
            <w:shd w:fill="1F3864" w:val="clear"/>
            <w:tcMar>
              <w:top w:type="dxa" w:w="80"/>
              <w:left w:type="dxa" w:w="120"/>
              <w:bottom w:type="dxa" w:w="80"/>
              <w:right w:type="dxa" w:w="120"/>
            </w:tcMar>
          </w:tcPr>
          <w:p>
            <w:pPr>
              <w:jc w:val="center"/>
            </w:pPr>
            <w:r>
              <w:rPr>
                <w:rFonts w:ascii="Arial" w:cs="Arial" w:eastAsia="Arial" w:hAnsi="Arial"/>
                <w:b/>
                <w:bCs/>
                <w:color w:val="FFFFFF"/>
                <w:sz w:val="19"/>
                <w:szCs w:val="19"/>
              </w:rPr>
              <w:t xml:space="preserve">Stack
FastAPI · Neo4j · LightGBM</w:t>
            </w:r>
          </w:p>
        </w:tc>
        <w:tc>
          <w:tcPr>
            <w:tcW w:type="dxa" w:w="2340"/>
            <w:tcBorders>
              <w:top w:val="single" w:color="1F3864" w:sz="2"/>
              <w:left w:val="single" w:color="1F3864" w:sz="2"/>
              <w:bottom w:val="single" w:color="1F3864" w:sz="2"/>
              <w:right w:val="single" w:color="1F3864" w:sz="2"/>
            </w:tcBorders>
            <w:shd w:fill="1F3864" w:val="clear"/>
            <w:tcMar>
              <w:top w:type="dxa" w:w="80"/>
              <w:left w:type="dxa" w:w="120"/>
              <w:bottom w:type="dxa" w:w="80"/>
              <w:right w:type="dxa" w:w="120"/>
            </w:tcMar>
          </w:tcPr>
          <w:p>
            <w:pPr>
              <w:jc w:val="center"/>
            </w:pPr>
            <w:r>
              <w:rPr>
                <w:rFonts w:ascii="Arial" w:cs="Arial" w:eastAsia="Arial" w:hAnsi="Arial"/>
                <w:b/>
                <w:bCs/>
                <w:color w:val="FFFFFF"/>
                <w:sz w:val="19"/>
                <w:szCs w:val="19"/>
              </w:rPr>
              <w:t xml:space="preserve">Fraud Types
SME · ITC Carousel · Evergreening</w:t>
            </w:r>
          </w:p>
        </w:tc>
        <w:tc>
          <w:tcPr>
            <w:tcW w:type="dxa" w:w="2340"/>
            <w:tcBorders>
              <w:top w:val="single" w:color="1F3864" w:sz="2"/>
              <w:left w:val="single" w:color="1F3864" w:sz="2"/>
              <w:bottom w:val="single" w:color="1F3864" w:sz="2"/>
              <w:right w:val="single" w:color="1F3864" w:sz="2"/>
            </w:tcBorders>
            <w:shd w:fill="1F3864" w:val="clear"/>
            <w:tcMar>
              <w:top w:type="dxa" w:w="80"/>
              <w:left w:type="dxa" w:w="120"/>
              <w:bottom w:type="dxa" w:w="80"/>
              <w:right w:type="dxa" w:w="120"/>
            </w:tcMar>
          </w:tcPr>
          <w:p>
            <w:pPr>
              <w:jc w:val="center"/>
            </w:pPr>
            <w:r>
              <w:rPr>
                <w:rFonts w:ascii="Arial" w:cs="Arial" w:eastAsia="Arial" w:hAnsi="Arial"/>
                <w:b/>
                <w:bCs/>
                <w:color w:val="FFFFFF"/>
                <w:sz w:val="19"/>
                <w:szCs w:val="19"/>
              </w:rPr>
              <w:t xml:space="preserve">Timeline
30-Day Build</w:t>
            </w:r>
          </w:p>
        </w:tc>
      </w:tr>
    </w:tbl>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17"/>
                <w:szCs w:val="17"/>
              </w:rPr>
              <w:t xml:space="preserve">v4.0 FINAL — Supersedes all prior versions. Incorporates: (1) uploaded architecture doc (Jeikarthikpandi) — TGN, β-VAE, Mamba SSM, Combined AE, LOF, OOF LightGBM meta-learner, isotonic calibration, conformal prediction; (2) all decisions from design conversation — No PostgreSQL, No Redis, No Celery, No Expo, No XBRL. SHAP and Llama 3 REMOVED — replaced by graph-native evidence provenance. Two fraud extension types added: GST ITC Carousel and Bank Loan Evergreening. Graph explainability is the ONLY explainability mechanism.</w:t>
            </w:r>
          </w:p>
        </w:tc>
      </w:tr>
    </w:tbl>
    <w:p>
      <w:pPr>
        <w:spacing w:after="60" w:before="60"/>
      </w:pPr>
      <w:r>
        <w:t xml:space="preserve"/>
      </w:r>
    </w:p>
    <w:p>
      <w:r>
        <w:br w:type="page"/>
      </w:r>
    </w:p>
    <w:p>
      <w:pPr>
        <w:pStyle w:val="Heading1"/>
        <w:spacing w:after="160" w:before="320"/>
      </w:pPr>
      <w:r>
        <w:rPr>
          <w:rFonts w:ascii="Arial" w:cs="Arial" w:eastAsia="Arial" w:hAnsi="Arial"/>
          <w:b/>
          <w:bCs/>
          <w:color w:val="1F3864"/>
          <w:sz w:val="34"/>
          <w:szCs w:val="34"/>
        </w:rPr>
        <w:t xml:space="preserve">1. Problem Statement</w:t>
      </w:r>
    </w:p>
    <w:p>
      <w:pPr>
        <w:spacing w:after="60" w:before="60"/>
      </w:pPr>
      <w:r>
        <w:rPr>
          <w:rFonts w:ascii="Arial" w:cs="Arial" w:eastAsia="Arial" w:hAnsi="Arial"/>
          <w:b w:val="false"/>
          <w:bCs w:val="false"/>
          <w:sz w:val="18"/>
          <w:szCs w:val="18"/>
        </w:rPr>
        <w:t xml:space="preserve">Indian banks and NBFCs lost an estimated ₹25,000–40,000 crore to SME loan fraud in FY 2024–25. Over ₹58,772 crore in fake ITC fraud was detected by DGGI — a 140% year-on-year increase. Financial statement manipulation is the primary instrument: inflated revenue, fabricated assets, related-party fund diversion, and circular invoice networks.</w:t>
      </w:r>
    </w:p>
    <w:p>
      <w:pPr>
        <w:spacing w:after="60" w:before="60"/>
      </w:pPr>
      <w:r>
        <w:t xml:space="preserve"/>
      </w:r>
    </w:p>
    <w:p>
      <w:pPr>
        <w:spacing w:after="60" w:before="60"/>
      </w:pPr>
      <w:r>
        <w:rPr>
          <w:rFonts w:ascii="Arial" w:cs="Arial" w:eastAsia="Arial" w:hAnsi="Arial"/>
          <w:b w:val="false"/>
          <w:bCs w:val="false"/>
          <w:sz w:val="18"/>
          <w:szCs w:val="18"/>
        </w:rPr>
        <w:t xml:space="preserve">The core structural problem: listed companies have SEBI oversight, quarterly disclosures, and analyst scrutiny. SMEs have none of this. Their only mandatory disclosure is an annual ROC filing — often 6–18 months late, incomplete, or rubber-stamped by a CA who writes what the promoter instructs. Existing credit teams cannot cross-reference MCA21, CERSAI, GSTN, and the director-company ownership graph simultaneously. Sentinel-G does.</w:t>
      </w:r>
    </w:p>
    <w:p>
      <w:pPr>
        <w:spacing w:after="60" w:before="60"/>
      </w:pPr>
      <w:r>
        <w:t xml:space="preserve"/>
      </w:r>
    </w:p>
    <w:p>
      <w:pPr>
        <w:pStyle w:val="Heading2"/>
        <w:spacing w:after="120" w:before="240"/>
      </w:pPr>
      <w:r>
        <w:rPr>
          <w:rFonts w:ascii="Arial" w:cs="Arial" w:eastAsia="Arial" w:hAnsi="Arial"/>
          <w:b/>
          <w:bCs/>
          <w:color w:val="2E4A7A"/>
          <w:sz w:val="26"/>
          <w:szCs w:val="26"/>
        </w:rPr>
        <w:t xml:space="preserve">1.1 Three Fraud Types Covered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560"/>
        <w:gridCol w:w="3400"/>
      </w:tblGrid>
      <w:tr>
        <w:tc>
          <w:tcPr>
            <w:tcW w:type="dxa" w:w="2400"/>
            <w:tcBorders>
              <w:top w:val="single" w:color="1F3864" w:sz="2"/>
              <w:left w:val="single" w:color="1F3864" w:sz="2"/>
              <w:bottom w:val="single" w:color="1F3864" w:sz="2"/>
              <w:right w:val="single" w:color="1F3864" w:sz="2"/>
            </w:tcBorders>
            <w:shd w:fill="1F3864" w:val="clear"/>
            <w:tcMar>
              <w:top w:type="dxa" w:w="80"/>
              <w:left w:type="dxa" w:w="120"/>
              <w:bottom w:type="dxa" w:w="80"/>
              <w:right w:type="dxa" w:w="120"/>
            </w:tcMar>
          </w:tcPr>
          <w:p>
            <w:pPr>
              <w:jc w:val="center"/>
            </w:pPr>
            <w:r>
              <w:rPr>
                <w:rFonts w:ascii="Arial" w:cs="Arial" w:eastAsia="Arial" w:hAnsi="Arial"/>
                <w:b/>
                <w:bCs/>
                <w:color w:val="FFFFFF"/>
                <w:sz w:val="19"/>
                <w:szCs w:val="19"/>
              </w:rPr>
              <w:t xml:space="preserve">Fraud Type</w:t>
            </w:r>
          </w:p>
        </w:tc>
        <w:tc>
          <w:tcPr>
            <w:tcW w:type="dxa" w:w="3560"/>
            <w:tcBorders>
              <w:top w:val="single" w:color="1F3864" w:sz="2"/>
              <w:left w:val="single" w:color="1F3864" w:sz="2"/>
              <w:bottom w:val="single" w:color="1F3864" w:sz="2"/>
              <w:right w:val="single" w:color="1F3864" w:sz="2"/>
            </w:tcBorders>
            <w:shd w:fill="1F3864" w:val="clear"/>
            <w:tcMar>
              <w:top w:type="dxa" w:w="80"/>
              <w:left w:type="dxa" w:w="120"/>
              <w:bottom w:type="dxa" w:w="80"/>
              <w:right w:type="dxa" w:w="120"/>
            </w:tcMar>
          </w:tcPr>
          <w:p>
            <w:pPr>
              <w:jc w:val="center"/>
            </w:pPr>
            <w:r>
              <w:rPr>
                <w:rFonts w:ascii="Arial" w:cs="Arial" w:eastAsia="Arial" w:hAnsi="Arial"/>
                <w:b/>
                <w:bCs/>
                <w:color w:val="FFFFFF"/>
                <w:sz w:val="19"/>
                <w:szCs w:val="19"/>
              </w:rPr>
              <w:t xml:space="preserve">Mechanism</w:t>
            </w:r>
          </w:p>
        </w:tc>
        <w:tc>
          <w:tcPr>
            <w:tcW w:type="dxa" w:w="3400"/>
            <w:tcBorders>
              <w:top w:val="single" w:color="1F3864" w:sz="2"/>
              <w:left w:val="single" w:color="1F3864" w:sz="2"/>
              <w:bottom w:val="single" w:color="1F3864" w:sz="2"/>
              <w:right w:val="single" w:color="1F3864" w:sz="2"/>
            </w:tcBorders>
            <w:shd w:fill="1F3864" w:val="clear"/>
            <w:tcMar>
              <w:top w:type="dxa" w:w="80"/>
              <w:left w:type="dxa" w:w="120"/>
              <w:bottom w:type="dxa" w:w="80"/>
              <w:right w:type="dxa" w:w="120"/>
            </w:tcMar>
          </w:tcPr>
          <w:p>
            <w:pPr>
              <w:jc w:val="center"/>
            </w:pPr>
            <w:r>
              <w:rPr>
                <w:rFonts w:ascii="Arial" w:cs="Arial" w:eastAsia="Arial" w:hAnsi="Arial"/>
                <w:b/>
                <w:bCs/>
                <w:color w:val="FFFFFF"/>
                <w:sz w:val="19"/>
                <w:szCs w:val="19"/>
              </w:rPr>
              <w:t xml:space="preserve">Real-World Scale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SME Loan Fraud</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Fabricated financials, related-party diversion, hidden liabilities</w:t>
            </w:r>
          </w:p>
        </w:tc>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₹25,000–40,000 crore annual loss</w:t>
            </w:r>
          </w:p>
        </w:tc>
      </w:tr>
      <w:tr>
        <w:tc>
          <w:tcPr>
            <w:tcW w:type="dxa" w:w="24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color w:val="000000"/>
                <w:sz w:val="18"/>
                <w:szCs w:val="18"/>
              </w:rPr>
              <w:t xml:space="preserve">GST ITC Carousel</w:t>
            </w:r>
          </w:p>
        </w:tc>
        <w:tc>
          <w:tcPr>
            <w:tcW w:type="dxa" w:w="35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color w:val="000000"/>
                <w:sz w:val="18"/>
                <w:szCs w:val="18"/>
              </w:rPr>
              <w:t xml:space="preserve">Circular invoice chains generating fake Input Tax Credit</w:t>
            </w:r>
          </w:p>
        </w:tc>
        <w:tc>
          <w:tcPr>
            <w:tcW w:type="dxa" w:w="34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color w:val="000000"/>
                <w:sz w:val="18"/>
                <w:szCs w:val="18"/>
              </w:rPr>
              <w:t xml:space="preserve">₹58,772 crore detected FY2024-25 (DGGI)</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Bank Loan Evergreening</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Rolling bad loans via shell companies to hide NPAs</w:t>
            </w:r>
          </w:p>
        </w:tc>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DHFL ₹34,615 cr · Yes Bank ₹3,983 cr · PMC ₹6,500 cr</w:t>
            </w:r>
          </w:p>
        </w:tc>
      </w:tr>
    </w:tbl>
    <w:p>
      <w:pPr>
        <w:spacing w:after="60" w:before="60"/>
      </w:pPr>
      <w:r>
        <w:t xml:space="preserve"/>
      </w:r>
    </w:p>
    <w:p>
      <w:pPr>
        <w:pStyle w:val="Heading2"/>
        <w:spacing w:after="120" w:before="240"/>
      </w:pPr>
      <w:r>
        <w:rPr>
          <w:rFonts w:ascii="Arial" w:cs="Arial" w:eastAsia="Arial" w:hAnsi="Arial"/>
          <w:b/>
          <w:bCs/>
          <w:color w:val="2E4A7A"/>
          <w:sz w:val="26"/>
          <w:szCs w:val="26"/>
        </w:rPr>
        <w:t xml:space="preserve">1.2 Target Users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200"/>
        <w:gridCol w:w="4160"/>
      </w:tblGrid>
      <w:tr>
        <w:tc>
          <w:tcPr>
            <w:tcW w:type="dxa" w:w="2000"/>
            <w:tcBorders>
              <w:top w:val="single" w:color="1F3864" w:sz="2"/>
              <w:left w:val="single" w:color="1F3864" w:sz="2"/>
              <w:bottom w:val="single" w:color="1F3864" w:sz="2"/>
              <w:right w:val="single" w:color="1F3864" w:sz="2"/>
            </w:tcBorders>
            <w:shd w:fill="1F3864" w:val="clear"/>
            <w:tcMar>
              <w:top w:type="dxa" w:w="80"/>
              <w:left w:type="dxa" w:w="120"/>
              <w:bottom w:type="dxa" w:w="80"/>
              <w:right w:type="dxa" w:w="120"/>
            </w:tcMar>
          </w:tcPr>
          <w:p>
            <w:pPr>
              <w:jc w:val="center"/>
            </w:pPr>
            <w:r>
              <w:rPr>
                <w:rFonts w:ascii="Arial" w:cs="Arial" w:eastAsia="Arial" w:hAnsi="Arial"/>
                <w:b/>
                <w:bCs/>
                <w:color w:val="FFFFFF"/>
                <w:sz w:val="19"/>
                <w:szCs w:val="19"/>
              </w:rPr>
              <w:t xml:space="preserve">Persona</w:t>
            </w:r>
          </w:p>
        </w:tc>
        <w:tc>
          <w:tcPr>
            <w:tcW w:type="dxa" w:w="3200"/>
            <w:tcBorders>
              <w:top w:val="single" w:color="1F3864" w:sz="2"/>
              <w:left w:val="single" w:color="1F3864" w:sz="2"/>
              <w:bottom w:val="single" w:color="1F3864" w:sz="2"/>
              <w:right w:val="single" w:color="1F3864" w:sz="2"/>
            </w:tcBorders>
            <w:shd w:fill="1F3864" w:val="clear"/>
            <w:tcMar>
              <w:top w:type="dxa" w:w="80"/>
              <w:left w:type="dxa" w:w="120"/>
              <w:bottom w:type="dxa" w:w="80"/>
              <w:right w:type="dxa" w:w="120"/>
            </w:tcMar>
          </w:tcPr>
          <w:p>
            <w:pPr>
              <w:jc w:val="center"/>
            </w:pPr>
            <w:r>
              <w:rPr>
                <w:rFonts w:ascii="Arial" w:cs="Arial" w:eastAsia="Arial" w:hAnsi="Arial"/>
                <w:b/>
                <w:bCs/>
                <w:color w:val="FFFFFF"/>
                <w:sz w:val="19"/>
                <w:szCs w:val="19"/>
              </w:rPr>
              <w:t xml:space="preserve">Pain Point</w:t>
            </w:r>
          </w:p>
        </w:tc>
        <w:tc>
          <w:tcPr>
            <w:tcW w:type="dxa" w:w="4160"/>
            <w:tcBorders>
              <w:top w:val="single" w:color="1F3864" w:sz="2"/>
              <w:left w:val="single" w:color="1F3864" w:sz="2"/>
              <w:bottom w:val="single" w:color="1F3864" w:sz="2"/>
              <w:right w:val="single" w:color="1F3864" w:sz="2"/>
            </w:tcBorders>
            <w:shd w:fill="1F3864" w:val="clear"/>
            <w:tcMar>
              <w:top w:type="dxa" w:w="80"/>
              <w:left w:type="dxa" w:w="120"/>
              <w:bottom w:type="dxa" w:w="80"/>
              <w:right w:type="dxa" w:w="120"/>
            </w:tcMar>
          </w:tcPr>
          <w:p>
            <w:pPr>
              <w:jc w:val="center"/>
            </w:pPr>
            <w:r>
              <w:rPr>
                <w:rFonts w:ascii="Arial" w:cs="Arial" w:eastAsia="Arial" w:hAnsi="Arial"/>
                <w:b/>
                <w:bCs/>
                <w:color w:val="FFFFFF"/>
                <w:sz w:val="19"/>
                <w:szCs w:val="19"/>
              </w:rPr>
              <w:t xml:space="preserve">What Sentinel-G Gives Them</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NBFC Credit Officer</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Reviews 50 SME applications/month manually. Misses fabricated P&amp;Ls.</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Calibrated fraud risk score + DataConfidence % + full graph evidence chain. Minutes, not days.</w:t>
            </w:r>
          </w:p>
        </w:tc>
      </w:tr>
      <w:tr>
        <w:tc>
          <w:tcPr>
            <w:tcW w:type="dxa" w:w="20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color w:val="000000"/>
                <w:sz w:val="18"/>
                <w:szCs w:val="18"/>
              </w:rPr>
              <w:t xml:space="preserve">DGGI GST Investigator</w:t>
            </w:r>
          </w:p>
        </w:tc>
        <w:tc>
          <w:tcPr>
            <w:tcW w:type="dxa" w:w="32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color w:val="000000"/>
                <w:sz w:val="18"/>
                <w:szCs w:val="18"/>
              </w:rPr>
              <w:t xml:space="preserve">Identifies circular trading networks via spreadsheet cross-referencing.</w:t>
            </w:r>
          </w:p>
        </w:tc>
        <w:tc>
          <w:tcPr>
            <w:tcW w:type="dxa" w:w="41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color w:val="000000"/>
                <w:sz w:val="18"/>
                <w:szCs w:val="18"/>
              </w:rPr>
              <w:t xml:space="preserve">GDS SCC finds ITC carousel rings across thousands of GSTINs in milliseconds.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Corporate Forensic Auditor</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Commissioned post-fraud. Works from incomplete records.</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Multi-signal forensic report with typed evidence provenance chain — directly usable in legal filings.</w:t>
            </w:r>
          </w:p>
        </w:tc>
      </w:tr>
    </w:tbl>
    <w:p>
      <w:pPr>
        <w:spacing w:after="60" w:before="60"/>
      </w:pPr>
      <w:r>
        <w:t xml:space="preserve"/>
      </w:r>
    </w:p>
    <w:p>
      <w:r>
        <w:br w:type="page"/>
      </w:r>
    </w:p>
    <w:p>
      <w:pPr>
        <w:pStyle w:val="Heading1"/>
        <w:spacing w:after="160" w:before="320"/>
      </w:pPr>
      <w:r>
        <w:rPr>
          <w:rFonts w:ascii="Arial" w:cs="Arial" w:eastAsia="Arial" w:hAnsi="Arial"/>
          <w:b/>
          <w:bCs/>
          <w:color w:val="1F3864"/>
          <w:sz w:val="34"/>
          <w:szCs w:val="34"/>
        </w:rPr>
        <w:t xml:space="preserve">2. System Architecture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FF3CD" w:val="clear"/>
            <w:tcMar>
              <w:top w:type="dxa" w:w="80"/>
              <w:left w:type="dxa" w:w="120"/>
              <w:bottom w:type="dxa" w:w="80"/>
              <w:right w:type="dxa" w:w="120"/>
            </w:tcMar>
          </w:tcPr>
          <w:p>
            <w:r>
              <w:rPr>
                <w:rFonts w:ascii="Arial" w:cs="Arial" w:eastAsia="Arial" w:hAnsi="Arial"/>
                <w:sz w:val="17"/>
                <w:szCs w:val="17"/>
              </w:rPr>
              <w:t xml:space="preserve">Architecture constraints (non-negotiable): No PostgreSQL — Neo4j is the single data store. No Redis — caching via Neo4j node properties (last_scored_at). No Celery — asyncio.gather() handles parallelism. No Expo mobile app — web dashboard only. No XBRL — PDF parsing for SME scope. No SHAP — graph-native evidence provenance is the explainability layer. No Llama 3 — Gemini Flash for narrative generation only.</w:t>
            </w:r>
          </w:p>
        </w:tc>
      </w:tr>
    </w:tbl>
    <w:p>
      <w:pPr>
        <w:spacing w:after="60" w:before="60"/>
      </w:pPr>
      <w:r>
        <w:t xml:space="preserve"/>
      </w:r>
    </w:p>
    <w:p>
      <w:pPr>
        <w:pStyle w:val="Heading2"/>
        <w:spacing w:after="120" w:before="240"/>
      </w:pPr>
      <w:r>
        <w:rPr>
          <w:rFonts w:ascii="Arial" w:cs="Arial" w:eastAsia="Arial" w:hAnsi="Arial"/>
          <w:b/>
          <w:bCs/>
          <w:color w:val="2E4A7A"/>
          <w:sz w:val="26"/>
          <w:szCs w:val="26"/>
        </w:rPr>
        <w:t xml:space="preserve">2.1 Four-Layer Stack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200"/>
        <w:gridCol w:w="1800"/>
        <w:gridCol w:w="4160"/>
      </w:tblGrid>
      <w:tr>
        <w:tc>
          <w:tcPr>
            <w:tcW w:type="dxa" w:w="1200"/>
            <w:tcBorders>
              <w:top w:val="single" w:color="1F3864" w:sz="2"/>
              <w:left w:val="single" w:color="1F3864" w:sz="2"/>
              <w:bottom w:val="single" w:color="1F3864" w:sz="2"/>
              <w:right w:val="single" w:color="1F3864" w:sz="2"/>
            </w:tcBorders>
            <w:shd w:fill="1F3864" w:val="clear"/>
            <w:tcMar>
              <w:top w:type="dxa" w:w="80"/>
              <w:left w:type="dxa" w:w="120"/>
              <w:bottom w:type="dxa" w:w="80"/>
              <w:right w:type="dxa" w:w="120"/>
            </w:tcMar>
          </w:tcPr>
          <w:p>
            <w:pPr>
              <w:jc w:val="center"/>
            </w:pPr>
            <w:r>
              <w:rPr>
                <w:rFonts w:ascii="Arial" w:cs="Arial" w:eastAsia="Arial" w:hAnsi="Arial"/>
                <w:b/>
                <w:bCs/>
                <w:color w:val="FFFFFF"/>
                <w:sz w:val="19"/>
                <w:szCs w:val="19"/>
              </w:rPr>
              <w:t xml:space="preserve">Layer</w:t>
            </w:r>
          </w:p>
        </w:tc>
        <w:tc>
          <w:tcPr>
            <w:tcW w:type="dxa" w:w="2200"/>
            <w:tcBorders>
              <w:top w:val="single" w:color="1F3864" w:sz="2"/>
              <w:left w:val="single" w:color="1F3864" w:sz="2"/>
              <w:bottom w:val="single" w:color="1F3864" w:sz="2"/>
              <w:right w:val="single" w:color="1F3864" w:sz="2"/>
            </w:tcBorders>
            <w:shd w:fill="1F3864" w:val="clear"/>
            <w:tcMar>
              <w:top w:type="dxa" w:w="80"/>
              <w:left w:type="dxa" w:w="120"/>
              <w:bottom w:type="dxa" w:w="80"/>
              <w:right w:type="dxa" w:w="120"/>
            </w:tcMar>
          </w:tcPr>
          <w:p>
            <w:pPr>
              <w:jc w:val="center"/>
            </w:pPr>
            <w:r>
              <w:rPr>
                <w:rFonts w:ascii="Arial" w:cs="Arial" w:eastAsia="Arial" w:hAnsi="Arial"/>
                <w:b/>
                <w:bCs/>
                <w:color w:val="FFFFFF"/>
                <w:sz w:val="19"/>
                <w:szCs w:val="19"/>
              </w:rPr>
              <w:t xml:space="preserve">Technology</w:t>
            </w:r>
          </w:p>
        </w:tc>
        <w:tc>
          <w:tcPr>
            <w:tcW w:type="dxa" w:w="1800"/>
            <w:tcBorders>
              <w:top w:val="single" w:color="1F3864" w:sz="2"/>
              <w:left w:val="single" w:color="1F3864" w:sz="2"/>
              <w:bottom w:val="single" w:color="1F3864" w:sz="2"/>
              <w:right w:val="single" w:color="1F3864" w:sz="2"/>
            </w:tcBorders>
            <w:shd w:fill="1F3864" w:val="clear"/>
            <w:tcMar>
              <w:top w:type="dxa" w:w="80"/>
              <w:left w:type="dxa" w:w="120"/>
              <w:bottom w:type="dxa" w:w="80"/>
              <w:right w:type="dxa" w:w="120"/>
            </w:tcMar>
          </w:tcPr>
          <w:p>
            <w:pPr>
              <w:jc w:val="center"/>
            </w:pPr>
            <w:r>
              <w:rPr>
                <w:rFonts w:ascii="Arial" w:cs="Arial" w:eastAsia="Arial" w:hAnsi="Arial"/>
                <w:b/>
                <w:bCs/>
                <w:color w:val="FFFFFF"/>
                <w:sz w:val="19"/>
                <w:szCs w:val="19"/>
              </w:rPr>
              <w:t xml:space="preserve">Runs On</w:t>
            </w:r>
          </w:p>
        </w:tc>
        <w:tc>
          <w:tcPr>
            <w:tcW w:type="dxa" w:w="4160"/>
            <w:tcBorders>
              <w:top w:val="single" w:color="1F3864" w:sz="2"/>
              <w:left w:val="single" w:color="1F3864" w:sz="2"/>
              <w:bottom w:val="single" w:color="1F3864" w:sz="2"/>
              <w:right w:val="single" w:color="1F3864" w:sz="2"/>
            </w:tcBorders>
            <w:shd w:fill="1F3864" w:val="clear"/>
            <w:tcMar>
              <w:top w:type="dxa" w:w="80"/>
              <w:left w:type="dxa" w:w="120"/>
              <w:bottom w:type="dxa" w:w="80"/>
              <w:right w:type="dxa" w:w="120"/>
            </w:tcMar>
          </w:tcPr>
          <w:p>
            <w:pPr>
              <w:jc w:val="center"/>
            </w:pPr>
            <w:r>
              <w:rPr>
                <w:rFonts w:ascii="Arial" w:cs="Arial" w:eastAsia="Arial" w:hAnsi="Arial"/>
                <w:b/>
                <w:bCs/>
                <w:color w:val="FFFFFF"/>
                <w:sz w:val="19"/>
                <w:szCs w:val="19"/>
              </w:rPr>
              <w:t xml:space="preserve">Responsibility</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L1 — Ingestion</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MCA21 scraper · CERSAI scraper · BSE SME API · pdfplumber · camelot · pytesseract</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Fly.io cron</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Pull, parse, validate, normalise. Python validation before every Neo4j write. DataQualityError nodes on failure.</w:t>
            </w:r>
          </w:p>
        </w:tc>
      </w:tr>
      <w:tr>
        <w:tc>
          <w:tcPr>
            <w:tcW w:type="dxa" w:w="12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color w:val="000000"/>
                <w:sz w:val="18"/>
                <w:szCs w:val="18"/>
              </w:rPr>
              <w:t xml:space="preserve">L2 — Graph Store</w:t>
            </w:r>
          </w:p>
        </w:tc>
        <w:tc>
          <w:tcPr>
            <w:tcW w:type="dxa" w:w="22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color w:val="000000"/>
                <w:sz w:val="18"/>
                <w:szCs w:val="18"/>
              </w:rPr>
              <w:t xml:space="preserve">Neo4j 5.x Community + GDS · NetworkX fallback</w:t>
            </w:r>
          </w:p>
        </w:tc>
        <w:tc>
          <w:tcPr>
            <w:tcW w:type="dxa" w:w="18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color w:val="000000"/>
                <w:sz w:val="18"/>
                <w:szCs w:val="18"/>
              </w:rPr>
              <w:t xml:space="preserve">Railway Docker</w:t>
            </w:r>
          </w:p>
        </w:tc>
        <w:tc>
          <w:tcPr>
            <w:tcW w:type="dxa" w:w="41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color w:val="000000"/>
                <w:sz w:val="18"/>
                <w:szCs w:val="18"/>
              </w:rPr>
              <w:t xml:space="preserve">Single data store. All nodes, edges, fraud signals, audit logs, data quality errors, calibrated scores.</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L3 — Intelligence</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11 Rule Modules + 6 L1 Detectors + LightGBM OOF Meta-learner + Isotonic Calibration + Conformal Prediction</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Fly.io</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Deterministic rule scoring → ML ensemble → calibrated P(fraud) with prediction intervals. Graph evidence provenance chain.</w:t>
            </w:r>
          </w:p>
        </w:tc>
      </w:tr>
      <w:tr>
        <w:tc>
          <w:tcPr>
            <w:tcW w:type="dxa" w:w="12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color w:val="000000"/>
                <w:sz w:val="18"/>
                <w:szCs w:val="18"/>
              </w:rPr>
              <w:t xml:space="preserve">L4 — Interface</w:t>
            </w:r>
          </w:p>
        </w:tc>
        <w:tc>
          <w:tcPr>
            <w:tcW w:type="dxa" w:w="22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color w:val="000000"/>
                <w:sz w:val="18"/>
                <w:szCs w:val="18"/>
              </w:rPr>
              <w:t xml:space="preserve">FastAPI · React Vite · Gemini Flash (narrative only)</w:t>
            </w:r>
          </w:p>
        </w:tc>
        <w:tc>
          <w:tcPr>
            <w:tcW w:type="dxa" w:w="18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color w:val="000000"/>
                <w:sz w:val="18"/>
                <w:szCs w:val="18"/>
              </w:rPr>
              <w:t xml:space="preserve">Fly.io + Vercel</w:t>
            </w:r>
          </w:p>
        </w:tc>
        <w:tc>
          <w:tcPr>
            <w:tcW w:type="dxa" w:w="41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color w:val="000000"/>
                <w:sz w:val="18"/>
                <w:szCs w:val="18"/>
              </w:rPr>
              <w:t xml:space="preserve">REST API. Web dashboard. AI narrative from structured evidence — no LLM-generated numbers.</w:t>
            </w:r>
          </w:p>
        </w:tc>
      </w:tr>
    </w:tbl>
    <w:p>
      <w:pPr>
        <w:spacing w:after="60" w:before="60"/>
      </w:pPr>
      <w:r>
        <w:t xml:space="preserve"/>
      </w:r>
    </w:p>
    <w:p>
      <w:pPr>
        <w:pStyle w:val="Heading2"/>
        <w:spacing w:after="120" w:before="240"/>
      </w:pPr>
      <w:r>
        <w:rPr>
          <w:rFonts w:ascii="Arial" w:cs="Arial" w:eastAsia="Arial" w:hAnsi="Arial"/>
          <w:b/>
          <w:bCs/>
          <w:color w:val="2E4A7A"/>
          <w:sz w:val="26"/>
          <w:szCs w:val="26"/>
        </w:rPr>
        <w:t xml:space="preserve">2.2 Intelligence Engine — Two-Tier Architecture</w:t>
      </w:r>
    </w:p>
    <w:p>
      <w:pPr>
        <w:spacing w:after="60" w:before="60"/>
      </w:pPr>
      <w:r>
        <w:rPr>
          <w:rFonts w:ascii="Arial" w:cs="Arial" w:eastAsia="Arial" w:hAnsi="Arial"/>
          <w:b w:val="false"/>
          <w:bCs w:val="false"/>
          <w:sz w:val="18"/>
          <w:szCs w:val="18"/>
        </w:rPr>
        <w:t xml:space="preserve">The intelligence layer has two distinct tiers working in sequence. Tier 1 produces deterministic rule-based module scores. Tier 2 is an ML ensemble that learns from those scores. This separation is intentional: the rules catch what they were designed for, the ML ensemble learns the optimal combination, and the anomaly detectors catch what neither knows about.</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2400"/>
        <w:gridCol w:w="5560"/>
      </w:tblGrid>
      <w:tr>
        <w:tc>
          <w:tcPr>
            <w:tcW w:type="dxa" w:w="1400"/>
            <w:tcBorders>
              <w:top w:val="single" w:color="1F3864" w:sz="2"/>
              <w:left w:val="single" w:color="1F3864" w:sz="2"/>
              <w:bottom w:val="single" w:color="1F3864" w:sz="2"/>
              <w:right w:val="single" w:color="1F3864" w:sz="2"/>
            </w:tcBorders>
            <w:shd w:fill="1F3864" w:val="clear"/>
            <w:tcMar>
              <w:top w:type="dxa" w:w="80"/>
              <w:left w:type="dxa" w:w="120"/>
              <w:bottom w:type="dxa" w:w="80"/>
              <w:right w:type="dxa" w:w="120"/>
            </w:tcMar>
          </w:tcPr>
          <w:p>
            <w:pPr>
              <w:jc w:val="center"/>
            </w:pPr>
            <w:r>
              <w:rPr>
                <w:rFonts w:ascii="Arial" w:cs="Arial" w:eastAsia="Arial" w:hAnsi="Arial"/>
                <w:b/>
                <w:bCs/>
                <w:color w:val="FFFFFF"/>
                <w:sz w:val="19"/>
                <w:szCs w:val="19"/>
              </w:rPr>
              <w:t xml:space="preserve">Tier</w:t>
            </w:r>
          </w:p>
        </w:tc>
        <w:tc>
          <w:tcPr>
            <w:tcW w:type="dxa" w:w="2400"/>
            <w:tcBorders>
              <w:top w:val="single" w:color="1F3864" w:sz="2"/>
              <w:left w:val="single" w:color="1F3864" w:sz="2"/>
              <w:bottom w:val="single" w:color="1F3864" w:sz="2"/>
              <w:right w:val="single" w:color="1F3864" w:sz="2"/>
            </w:tcBorders>
            <w:shd w:fill="1F3864" w:val="clear"/>
            <w:tcMar>
              <w:top w:type="dxa" w:w="80"/>
              <w:left w:type="dxa" w:w="120"/>
              <w:bottom w:type="dxa" w:w="80"/>
              <w:right w:type="dxa" w:w="120"/>
            </w:tcMar>
          </w:tcPr>
          <w:p>
            <w:pPr>
              <w:jc w:val="center"/>
            </w:pPr>
            <w:r>
              <w:rPr>
                <w:rFonts w:ascii="Arial" w:cs="Arial" w:eastAsia="Arial" w:hAnsi="Arial"/>
                <w:b/>
                <w:bCs/>
                <w:color w:val="FFFFFF"/>
                <w:sz w:val="19"/>
                <w:szCs w:val="19"/>
              </w:rPr>
              <w:t xml:space="preserve">Components</w:t>
            </w:r>
          </w:p>
        </w:tc>
        <w:tc>
          <w:tcPr>
            <w:tcW w:type="dxa" w:w="5560"/>
            <w:tcBorders>
              <w:top w:val="single" w:color="1F3864" w:sz="2"/>
              <w:left w:val="single" w:color="1F3864" w:sz="2"/>
              <w:bottom w:val="single" w:color="1F3864" w:sz="2"/>
              <w:right w:val="single" w:color="1F3864" w:sz="2"/>
            </w:tcBorders>
            <w:shd w:fill="1F3864" w:val="clear"/>
            <w:tcMar>
              <w:top w:type="dxa" w:w="80"/>
              <w:left w:type="dxa" w:w="120"/>
              <w:bottom w:type="dxa" w:w="80"/>
              <w:right w:type="dxa" w:w="120"/>
            </w:tcMar>
          </w:tcPr>
          <w:p>
            <w:pPr>
              <w:jc w:val="center"/>
            </w:pPr>
            <w:r>
              <w:rPr>
                <w:rFonts w:ascii="Arial" w:cs="Arial" w:eastAsia="Arial" w:hAnsi="Arial"/>
                <w:b/>
                <w:bCs/>
                <w:color w:val="FFFFFF"/>
                <w:sz w:val="19"/>
                <w:szCs w:val="19"/>
              </w:rPr>
              <w:t xml:space="preserve">Description</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Tier 1
Rule Modules</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Modules 1–11
(11 signal sources)</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Deterministic Cypher queries and Python rules. Always produce a score 0–100. Never depend on training data. Catch known fraud patterns and structural violations regardless of training history.</w:t>
            </w:r>
          </w:p>
        </w:tc>
      </w:tr>
      <w:tr>
        <w:tc>
          <w:tcPr>
            <w:tcW w:type="dxa" w:w="14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color w:val="000000"/>
                <w:sz w:val="18"/>
                <w:szCs w:val="18"/>
              </w:rPr>
              <w:t xml:space="preserve">Tier 2
ML Ensemble</w:t>
            </w:r>
          </w:p>
        </w:tc>
        <w:tc>
          <w:tcPr>
            <w:tcW w:type="dxa" w:w="24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color w:val="000000"/>
                <w:sz w:val="18"/>
                <w:szCs w:val="18"/>
              </w:rPr>
              <w:t xml:space="preserve">D1–D6 detectors
F1a/F1b/F1c
meta-learner stack</w:t>
            </w:r>
          </w:p>
        </w:tc>
        <w:tc>
          <w:tcPr>
            <w:tcW w:type="dxa" w:w="55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color w:val="000000"/>
                <w:sz w:val="18"/>
                <w:szCs w:val="18"/>
              </w:rPr>
              <w:t xml:space="preserve">Six L1 detectors (D1–D6) each produce a fraud score. LightGBM OOF meta-learner (F1a) learns optimal combination. Isotonic regression (F1b) calibrates probabilities. Conformal prediction (F1c) adds uncertainty intervals.</w:t>
            </w:r>
          </w:p>
        </w:tc>
      </w:tr>
    </w:tbl>
    <w:p>
      <w:pPr>
        <w:spacing w:after="60" w:before="60"/>
      </w:pPr>
      <w:r>
        <w:t xml:space="preserve"/>
      </w:r>
    </w:p>
    <w:p>
      <w:r>
        <w:br w:type="page"/>
      </w:r>
    </w:p>
    <w:p>
      <w:pPr>
        <w:pStyle w:val="Heading1"/>
        <w:spacing w:after="160" w:before="320"/>
      </w:pPr>
      <w:r>
        <w:rPr>
          <w:rFonts w:ascii="Arial" w:cs="Arial" w:eastAsia="Arial" w:hAnsi="Arial"/>
          <w:b/>
          <w:bCs/>
          <w:color w:val="1F3864"/>
          <w:sz w:val="34"/>
          <w:szCs w:val="34"/>
        </w:rPr>
        <w:t xml:space="preserve">3. Neo4j Graph Schema — Complete</w:t>
      </w:r>
    </w:p>
    <w:p>
      <w:pPr>
        <w:pStyle w:val="Heading2"/>
        <w:spacing w:after="120" w:before="240"/>
      </w:pPr>
      <w:r>
        <w:rPr>
          <w:rFonts w:ascii="Arial" w:cs="Arial" w:eastAsia="Arial" w:hAnsi="Arial"/>
          <w:b/>
          <w:bCs/>
          <w:color w:val="2E4A7A"/>
          <w:sz w:val="26"/>
          <w:szCs w:val="26"/>
        </w:rPr>
        <w:t xml:space="preserve">3.1 Node Labels — Core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3600"/>
        <w:gridCol w:w="3960"/>
      </w:tblGrid>
      <w:tr>
        <w:tc>
          <w:tcPr>
            <w:tcW w:type="dxa" w:w="1800"/>
            <w:tcBorders>
              <w:top w:val="single" w:color="1F3864" w:sz="2"/>
              <w:left w:val="single" w:color="1F3864" w:sz="2"/>
              <w:bottom w:val="single" w:color="1F3864" w:sz="2"/>
              <w:right w:val="single" w:color="1F3864" w:sz="2"/>
            </w:tcBorders>
            <w:shd w:fill="1F3864" w:val="clear"/>
            <w:tcMar>
              <w:top w:type="dxa" w:w="80"/>
              <w:left w:type="dxa" w:w="120"/>
              <w:bottom w:type="dxa" w:w="80"/>
              <w:right w:type="dxa" w:w="120"/>
            </w:tcMar>
          </w:tcPr>
          <w:p>
            <w:pPr>
              <w:jc w:val="center"/>
            </w:pPr>
            <w:r>
              <w:rPr>
                <w:rFonts w:ascii="Arial" w:cs="Arial" w:eastAsia="Arial" w:hAnsi="Arial"/>
                <w:b/>
                <w:bCs/>
                <w:color w:val="FFFFFF"/>
                <w:sz w:val="19"/>
                <w:szCs w:val="19"/>
              </w:rPr>
              <w:t xml:space="preserve">Label</w:t>
            </w:r>
          </w:p>
        </w:tc>
        <w:tc>
          <w:tcPr>
            <w:tcW w:type="dxa" w:w="3600"/>
            <w:tcBorders>
              <w:top w:val="single" w:color="1F3864" w:sz="2"/>
              <w:left w:val="single" w:color="1F3864" w:sz="2"/>
              <w:bottom w:val="single" w:color="1F3864" w:sz="2"/>
              <w:right w:val="single" w:color="1F3864" w:sz="2"/>
            </w:tcBorders>
            <w:shd w:fill="1F3864" w:val="clear"/>
            <w:tcMar>
              <w:top w:type="dxa" w:w="80"/>
              <w:left w:type="dxa" w:w="120"/>
              <w:bottom w:type="dxa" w:w="80"/>
              <w:right w:type="dxa" w:w="120"/>
            </w:tcMar>
          </w:tcPr>
          <w:p>
            <w:pPr>
              <w:jc w:val="center"/>
            </w:pPr>
            <w:r>
              <w:rPr>
                <w:rFonts w:ascii="Arial" w:cs="Arial" w:eastAsia="Arial" w:hAnsi="Arial"/>
                <w:b/>
                <w:bCs/>
                <w:color w:val="FFFFFF"/>
                <w:sz w:val="19"/>
                <w:szCs w:val="19"/>
              </w:rPr>
              <w:t xml:space="preserve">Key Properties</w:t>
            </w:r>
          </w:p>
        </w:tc>
        <w:tc>
          <w:tcPr>
            <w:tcW w:type="dxa" w:w="3960"/>
            <w:tcBorders>
              <w:top w:val="single" w:color="1F3864" w:sz="2"/>
              <w:left w:val="single" w:color="1F3864" w:sz="2"/>
              <w:bottom w:val="single" w:color="1F3864" w:sz="2"/>
              <w:right w:val="single" w:color="1F3864" w:sz="2"/>
            </w:tcBorders>
            <w:shd w:fill="1F3864" w:val="clear"/>
            <w:tcMar>
              <w:top w:type="dxa" w:w="80"/>
              <w:left w:type="dxa" w:w="120"/>
              <w:bottom w:type="dxa" w:w="80"/>
              <w:right w:type="dxa" w:w="120"/>
            </w:tcMar>
          </w:tcPr>
          <w:p>
            <w:pPr>
              <w:jc w:val="center"/>
            </w:pPr>
            <w:r>
              <w:rPr>
                <w:rFonts w:ascii="Arial" w:cs="Arial" w:eastAsia="Arial" w:hAnsi="Arial"/>
                <w:b/>
                <w:bCs/>
                <w:color w:val="FFFFFF"/>
                <w:sz w:val="19"/>
                <w:szCs w:val="19"/>
              </w:rPr>
              <w:t xml:space="preserve">Purpose</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Company</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cin, name, gstin, nic_code, state, fraud_risk_score, p_fraud_calibrated, p_fraud_low, p_fraud_high, data_confidence, last_scored_at, employee_count_reported, incorporation_date</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Every registered company. Stores both rule score and calibrated ML probability with conformal interval.</w:t>
            </w:r>
          </w:p>
        </w:tc>
      </w:tr>
      <w:tr>
        <w:tc>
          <w:tcPr>
            <w:tcW w:type="dxa" w:w="18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color w:val="000000"/>
                <w:sz w:val="18"/>
                <w:szCs w:val="18"/>
              </w:rPr>
              <w:t xml:space="preserve">Director</w:t>
            </w:r>
          </w:p>
        </w:tc>
        <w:tc>
          <w:tcPr>
            <w:tcW w:type="dxa" w:w="36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color w:val="000000"/>
                <w:sz w:val="18"/>
                <w:szCs w:val="18"/>
              </w:rPr>
              <w:t xml:space="preserve">din, name, dob, is_disqualified, num_directorships, pagerank_score, betweenness_score, clustering_coeff, ego_density</w:t>
            </w:r>
          </w:p>
        </w:tc>
        <w:tc>
          <w:tcPr>
            <w:tcW w:type="dxa" w:w="39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color w:val="000000"/>
                <w:sz w:val="18"/>
                <w:szCs w:val="18"/>
              </w:rPr>
              <w:t xml:space="preserve">GDS-computed centrality scores stored as properties. Updated after each GDS run.</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FinancialStatement</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cin, year, all P&amp;L/BS/CF fields, audit_opinion_text, auditor_name, auditor_din, auditor_type, emphasis_count, going_concern_flag, adverse_flag, pdf_creation_software, pdf_metadata_anomaly, notes_word_count</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One node per company per year. PDF forensics metadata stored alongside financials.</w:t>
            </w:r>
          </w:p>
        </w:tc>
      </w:tr>
      <w:tr>
        <w:tc>
          <w:tcPr>
            <w:tcW w:type="dxa" w:w="18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color w:val="000000"/>
                <w:sz w:val="18"/>
                <w:szCs w:val="18"/>
              </w:rPr>
              <w:t xml:space="preserve">FraudSignal</w:t>
            </w:r>
          </w:p>
        </w:tc>
        <w:tc>
          <w:tcPr>
            <w:tcW w:type="dxa" w:w="36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color w:val="000000"/>
                <w:sz w:val="18"/>
                <w:szCs w:val="18"/>
              </w:rPr>
              <w:t xml:space="preserve">signal_id, signal_type, severity, score_contribution, evidence_string, module_name, created_at</w:t>
            </w:r>
          </w:p>
        </w:tc>
        <w:tc>
          <w:tcPr>
            <w:tcW w:type="dxa" w:w="39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color w:val="000000"/>
                <w:sz w:val="18"/>
                <w:szCs w:val="18"/>
              </w:rPr>
              <w:t xml:space="preserve">Every fraud flag as a node. Evidence provenance traverses TRIGGERED_BY edges from here. Replaces SHAP entirely.</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DataQualityError</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cin, year, error_type, field, expected_value, actual_value, timestamp</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Replaces PostgreSQL audit log. All validation failures stored in graph.</w:t>
            </w:r>
          </w:p>
        </w:tc>
      </w:tr>
      <w:tr>
        <w:tc>
          <w:tcPr>
            <w:tcW w:type="dxa" w:w="18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color w:val="000000"/>
                <w:sz w:val="18"/>
                <w:szCs w:val="18"/>
              </w:rPr>
              <w:t xml:space="preserve">SharedAttribute</w:t>
            </w:r>
          </w:p>
        </w:tc>
        <w:tc>
          <w:tcPr>
            <w:tcW w:type="dxa" w:w="36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color w:val="000000"/>
                <w:sz w:val="18"/>
                <w:szCs w:val="18"/>
              </w:rPr>
              <w:t xml:space="preserve">attribute_type, attribute_value, company_count</w:t>
            </w:r>
          </w:p>
        </w:tc>
        <w:tc>
          <w:tcPr>
            <w:tcW w:type="dxa" w:w="39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color w:val="000000"/>
                <w:sz w:val="18"/>
                <w:szCs w:val="18"/>
              </w:rPr>
              <w:t xml:space="preserve">Hypergraph modeling node. Shared CA firm, registered address, bank branch — reveals shell networks invisible to pairwise edges.</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IndustryBenchmark</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nic_code, year, metric, median, p25, p75, benford_applicable</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Built from BSE SME companies. Peer deviation module reads from here.</w:t>
            </w:r>
          </w:p>
        </w:tc>
      </w:tr>
      <w:tr>
        <w:tc>
          <w:tcPr>
            <w:tcW w:type="dxa" w:w="18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color w:val="000000"/>
                <w:sz w:val="18"/>
                <w:szCs w:val="18"/>
              </w:rPr>
              <w:t xml:space="preserve">NCLTProceeding</w:t>
            </w:r>
          </w:p>
        </w:tc>
        <w:tc>
          <w:tcPr>
            <w:tcW w:type="dxa" w:w="36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color w:val="000000"/>
                <w:sz w:val="18"/>
                <w:szCs w:val="18"/>
              </w:rPr>
              <w:t xml:space="preserve">cin, case_number, petition_type, filing_date, status, amount_claimed</w:t>
            </w:r>
          </w:p>
        </w:tc>
        <w:tc>
          <w:tcPr>
            <w:tcW w:type="dxa" w:w="39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color w:val="000000"/>
                <w:sz w:val="18"/>
                <w:szCs w:val="18"/>
              </w:rPr>
              <w:t xml:space="preserve">Scraped from NCLT cause list. Winding-up petitions, insolvency admissions.</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WilfulDefaulter</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cin, din, bank_name, amount, declared_date</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Cross-referenced from RBI and CIBIL wilful defaulter lists. Monthly refresh.</w:t>
            </w:r>
          </w:p>
        </w:tc>
      </w:tr>
    </w:tbl>
    <w:p>
      <w:pPr>
        <w:spacing w:after="60" w:before="60"/>
      </w:pPr>
      <w:r>
        <w:t xml:space="preserve"/>
      </w:r>
    </w:p>
    <w:p>
      <w:pPr>
        <w:pStyle w:val="Heading2"/>
        <w:spacing w:after="120" w:before="240"/>
      </w:pPr>
      <w:r>
        <w:rPr>
          <w:rFonts w:ascii="Arial" w:cs="Arial" w:eastAsia="Arial" w:hAnsi="Arial"/>
          <w:b/>
          <w:bCs/>
          <w:color w:val="2E4A7A"/>
          <w:sz w:val="26"/>
          <w:szCs w:val="26"/>
        </w:rPr>
        <w:t xml:space="preserve">3.2 Node Labels — Fraud Extension (ITC + Evergreening)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3600"/>
        <w:gridCol w:w="3960"/>
      </w:tblGrid>
      <w:tr>
        <w:tc>
          <w:tcPr>
            <w:tcW w:type="dxa" w:w="1800"/>
            <w:tcBorders>
              <w:top w:val="single" w:color="1F3864" w:sz="2"/>
              <w:left w:val="single" w:color="1F3864" w:sz="2"/>
              <w:bottom w:val="single" w:color="1F3864" w:sz="2"/>
              <w:right w:val="single" w:color="1F3864" w:sz="2"/>
            </w:tcBorders>
            <w:shd w:fill="2E4A7A" w:val="clear"/>
            <w:tcMar>
              <w:top w:type="dxa" w:w="80"/>
              <w:left w:type="dxa" w:w="120"/>
              <w:bottom w:type="dxa" w:w="80"/>
              <w:right w:type="dxa" w:w="120"/>
            </w:tcMar>
          </w:tcPr>
          <w:p>
            <w:pPr>
              <w:jc w:val="center"/>
            </w:pPr>
            <w:r>
              <w:rPr>
                <w:rFonts w:ascii="Arial" w:cs="Arial" w:eastAsia="Arial" w:hAnsi="Arial"/>
                <w:b/>
                <w:bCs/>
                <w:color w:val="FFFFFF"/>
                <w:sz w:val="19"/>
                <w:szCs w:val="19"/>
              </w:rPr>
              <w:t xml:space="preserve">Label</w:t>
            </w:r>
          </w:p>
        </w:tc>
        <w:tc>
          <w:tcPr>
            <w:tcW w:type="dxa" w:w="3600"/>
            <w:tcBorders>
              <w:top w:val="single" w:color="1F3864" w:sz="2"/>
              <w:left w:val="single" w:color="1F3864" w:sz="2"/>
              <w:bottom w:val="single" w:color="1F3864" w:sz="2"/>
              <w:right w:val="single" w:color="1F3864" w:sz="2"/>
            </w:tcBorders>
            <w:shd w:fill="2E4A7A" w:val="clear"/>
            <w:tcMar>
              <w:top w:type="dxa" w:w="80"/>
              <w:left w:type="dxa" w:w="120"/>
              <w:bottom w:type="dxa" w:w="80"/>
              <w:right w:type="dxa" w:w="120"/>
            </w:tcMar>
          </w:tcPr>
          <w:p>
            <w:pPr>
              <w:jc w:val="center"/>
            </w:pPr>
            <w:r>
              <w:rPr>
                <w:rFonts w:ascii="Arial" w:cs="Arial" w:eastAsia="Arial" w:hAnsi="Arial"/>
                <w:b/>
                <w:bCs/>
                <w:color w:val="FFFFFF"/>
                <w:sz w:val="19"/>
                <w:szCs w:val="19"/>
              </w:rPr>
              <w:t xml:space="preserve">Key Properties</w:t>
            </w:r>
          </w:p>
        </w:tc>
        <w:tc>
          <w:tcPr>
            <w:tcW w:type="dxa" w:w="3960"/>
            <w:tcBorders>
              <w:top w:val="single" w:color="1F3864" w:sz="2"/>
              <w:left w:val="single" w:color="1F3864" w:sz="2"/>
              <w:bottom w:val="single" w:color="1F3864" w:sz="2"/>
              <w:right w:val="single" w:color="1F3864" w:sz="2"/>
            </w:tcBorders>
            <w:shd w:fill="2E4A7A" w:val="clear"/>
            <w:tcMar>
              <w:top w:type="dxa" w:w="80"/>
              <w:left w:type="dxa" w:w="120"/>
              <w:bottom w:type="dxa" w:w="80"/>
              <w:right w:type="dxa" w:w="120"/>
            </w:tcMar>
          </w:tcPr>
          <w:p>
            <w:pPr>
              <w:jc w:val="center"/>
            </w:pPr>
            <w:r>
              <w:rPr>
                <w:rFonts w:ascii="Arial" w:cs="Arial" w:eastAsia="Arial" w:hAnsi="Arial"/>
                <w:b/>
                <w:bCs/>
                <w:color w:val="FFFFFF"/>
                <w:sz w:val="19"/>
                <w:szCs w:val="19"/>
              </w:rPr>
              <w:t xml:space="preserve">Extension</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GSTEntity</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gstin, pan, registration_date, cancellation_date, is_cancelled, taxpayer_type, aggregate_turnover, tax_paid_ytd</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ITC Carousel — one GSTIN per node. Linked to Company via HAS_GST_ENTITY.</w:t>
            </w:r>
          </w:p>
        </w:tc>
      </w:tr>
      <w:tr>
        <w:tc>
          <w:tcPr>
            <w:tcW w:type="dxa" w:w="18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color w:val="000000"/>
                <w:sz w:val="18"/>
                <w:szCs w:val="18"/>
              </w:rPr>
              <w:t xml:space="preserve">ITCClaim</w:t>
            </w:r>
          </w:p>
        </w:tc>
        <w:tc>
          <w:tcPr>
            <w:tcW w:type="dxa" w:w="36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color w:val="000000"/>
                <w:sz w:val="18"/>
                <w:szCs w:val="18"/>
              </w:rPr>
              <w:t xml:space="preserve">gstin, period, claimed_amount, eligible_amount, source_gstin</w:t>
            </w:r>
          </w:p>
        </w:tc>
        <w:tc>
          <w:tcPr>
            <w:tcW w:type="dxa" w:w="39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color w:val="000000"/>
                <w:sz w:val="18"/>
                <w:szCs w:val="18"/>
              </w:rPr>
              <w:t xml:space="preserve">ITC Carousel — one per GSTIN per period.</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MissingTrader</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gstin, total_itc_generated, tax_liability_paid, liability_gap, linked_ring_id</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ITC Carousel — written by Pattern 9.</w:t>
            </w:r>
          </w:p>
        </w:tc>
      </w:tr>
      <w:tr>
        <w:tc>
          <w:tcPr>
            <w:tcW w:type="dxa" w:w="18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color w:val="000000"/>
                <w:sz w:val="18"/>
                <w:szCs w:val="18"/>
              </w:rPr>
              <w:t xml:space="preserve">LoanDisbursement</w:t>
            </w:r>
          </w:p>
        </w:tc>
        <w:tc>
          <w:tcPr>
            <w:tcW w:type="dxa" w:w="36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color w:val="000000"/>
                <w:sz w:val="18"/>
                <w:szCs w:val="18"/>
              </w:rPr>
              <w:t xml:space="preserve">loan_id, cin, lender_name, disbursement_date, amount, loan_type, tenure_months</w:t>
            </w:r>
          </w:p>
        </w:tc>
        <w:tc>
          <w:tcPr>
            <w:tcW w:type="dxa" w:w="39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color w:val="000000"/>
                <w:sz w:val="18"/>
                <w:szCs w:val="18"/>
              </w:rPr>
              <w:t xml:space="preserve">Evergreening — from CERSAI charge + bank upload.</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LoanRepayment</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loan_id, cin, repayment_date, amount, source_account_ifsc, days_to_repayment</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Evergreening — derived from bank statement upload.</w:t>
            </w:r>
          </w:p>
        </w:tc>
      </w:tr>
      <w:tr>
        <w:tc>
          <w:tcPr>
            <w:tcW w:type="dxa" w:w="18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color w:val="000000"/>
                <w:sz w:val="18"/>
                <w:szCs w:val="18"/>
              </w:rPr>
              <w:t xml:space="preserve">EvergreeningCluster</w:t>
            </w:r>
          </w:p>
        </w:tc>
        <w:tc>
          <w:tcPr>
            <w:tcW w:type="dxa" w:w="36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color w:val="000000"/>
                <w:sz w:val="18"/>
                <w:szCs w:val="18"/>
              </w:rPr>
              <w:t xml:space="preserve">cluster_id, total_exposure, companies_involved, cycle_count, estimated_npa_concealed</w:t>
            </w:r>
          </w:p>
        </w:tc>
        <w:tc>
          <w:tcPr>
            <w:tcW w:type="dxa" w:w="39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color w:val="000000"/>
                <w:sz w:val="18"/>
                <w:szCs w:val="18"/>
              </w:rPr>
              <w:t xml:space="preserve">Evergreening — written on confirmed scheme.</w:t>
            </w:r>
          </w:p>
        </w:tc>
      </w:tr>
    </w:tbl>
    <w:p>
      <w:pPr>
        <w:spacing w:after="60" w:before="60"/>
      </w:pPr>
      <w:r>
        <w:t xml:space="preserve"/>
      </w:r>
    </w:p>
    <w:p>
      <w:pPr>
        <w:pStyle w:val="Heading2"/>
        <w:spacing w:after="120" w:before="240"/>
      </w:pPr>
      <w:r>
        <w:rPr>
          <w:rFonts w:ascii="Arial" w:cs="Arial" w:eastAsia="Arial" w:hAnsi="Arial"/>
          <w:b/>
          <w:bCs/>
          <w:color w:val="2E4A7A"/>
          <w:sz w:val="26"/>
          <w:szCs w:val="26"/>
        </w:rPr>
        <w:t xml:space="preserve">3.3 Relationship Types — Complete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400"/>
        <w:gridCol w:w="5160"/>
      </w:tblGrid>
      <w:tr>
        <w:tc>
          <w:tcPr>
            <w:tcW w:type="dxa" w:w="2800"/>
            <w:tcBorders>
              <w:top w:val="single" w:color="1F3864" w:sz="2"/>
              <w:left w:val="single" w:color="1F3864" w:sz="2"/>
              <w:bottom w:val="single" w:color="1F3864" w:sz="2"/>
              <w:right w:val="single" w:color="1F3864" w:sz="2"/>
            </w:tcBorders>
            <w:shd w:fill="1F3864" w:val="clear"/>
            <w:tcMar>
              <w:top w:type="dxa" w:w="80"/>
              <w:left w:type="dxa" w:w="120"/>
              <w:bottom w:type="dxa" w:w="80"/>
              <w:right w:type="dxa" w:w="120"/>
            </w:tcMar>
          </w:tcPr>
          <w:p>
            <w:pPr>
              <w:jc w:val="center"/>
            </w:pPr>
            <w:r>
              <w:rPr>
                <w:rFonts w:ascii="Arial" w:cs="Arial" w:eastAsia="Arial" w:hAnsi="Arial"/>
                <w:b/>
                <w:bCs/>
                <w:color w:val="FFFFFF"/>
                <w:sz w:val="19"/>
                <w:szCs w:val="19"/>
              </w:rPr>
              <w:t xml:space="preserve">Relationship + Properties</w:t>
            </w:r>
          </w:p>
        </w:tc>
        <w:tc>
          <w:tcPr>
            <w:tcW w:type="dxa" w:w="1400"/>
            <w:tcBorders>
              <w:top w:val="single" w:color="1F3864" w:sz="2"/>
              <w:left w:val="single" w:color="1F3864" w:sz="2"/>
              <w:bottom w:val="single" w:color="1F3864" w:sz="2"/>
              <w:right w:val="single" w:color="1F3864" w:sz="2"/>
            </w:tcBorders>
            <w:shd w:fill="1F3864" w:val="clear"/>
            <w:tcMar>
              <w:top w:type="dxa" w:w="80"/>
              <w:left w:type="dxa" w:w="120"/>
              <w:bottom w:type="dxa" w:w="80"/>
              <w:right w:type="dxa" w:w="120"/>
            </w:tcMar>
          </w:tcPr>
          <w:p>
            <w:pPr>
              <w:jc w:val="center"/>
            </w:pPr>
            <w:r>
              <w:rPr>
                <w:rFonts w:ascii="Arial" w:cs="Arial" w:eastAsia="Arial" w:hAnsi="Arial"/>
                <w:b/>
                <w:bCs/>
                <w:color w:val="FFFFFF"/>
                <w:sz w:val="19"/>
                <w:szCs w:val="19"/>
              </w:rPr>
              <w:t xml:space="preserve">Direction</w:t>
            </w:r>
          </w:p>
        </w:tc>
        <w:tc>
          <w:tcPr>
            <w:tcW w:type="dxa" w:w="5160"/>
            <w:tcBorders>
              <w:top w:val="single" w:color="1F3864" w:sz="2"/>
              <w:left w:val="single" w:color="1F3864" w:sz="2"/>
              <w:bottom w:val="single" w:color="1F3864" w:sz="2"/>
              <w:right w:val="single" w:color="1F3864" w:sz="2"/>
            </w:tcBorders>
            <w:shd w:fill="1F3864" w:val="clear"/>
            <w:tcMar>
              <w:top w:type="dxa" w:w="80"/>
              <w:left w:type="dxa" w:w="120"/>
              <w:bottom w:type="dxa" w:w="80"/>
              <w:right w:type="dxa" w:w="120"/>
            </w:tcMar>
          </w:tcPr>
          <w:p>
            <w:pPr>
              <w:jc w:val="center"/>
            </w:pPr>
            <w:r>
              <w:rPr>
                <w:rFonts w:ascii="Arial" w:cs="Arial" w:eastAsia="Arial" w:hAnsi="Arial"/>
                <w:b/>
                <w:bCs/>
                <w:color w:val="FFFFFF"/>
                <w:sz w:val="19"/>
                <w:szCs w:val="19"/>
              </w:rPr>
              <w:t xml:space="preserve">Purpose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IS_DIRECTOR_OF {from_date, to_date, designation, is_current}</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Dir→Co</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Current and historical board membership.</w:t>
            </w:r>
          </w:p>
        </w:tc>
      </w:tr>
      <w:tr>
        <w:tc>
          <w:tcPr>
            <w:tcW w:type="dxa" w:w="28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color w:val="000000"/>
                <w:sz w:val="18"/>
                <w:szCs w:val="18"/>
              </w:rPr>
              <w:t xml:space="preserve">IS_SHAREHOLDER_OF {percentage, as_of_date}</w:t>
            </w:r>
          </w:p>
        </w:tc>
        <w:tc>
          <w:tcPr>
            <w:tcW w:type="dxa" w:w="14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color w:val="000000"/>
                <w:sz w:val="18"/>
                <w:szCs w:val="18"/>
              </w:rPr>
              <w:t xml:space="preserve">Dir→Co</w:t>
            </w:r>
          </w:p>
        </w:tc>
        <w:tc>
          <w:tcPr>
            <w:tcW w:type="dxa" w:w="51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color w:val="000000"/>
                <w:sz w:val="18"/>
                <w:szCs w:val="18"/>
              </w:rPr>
              <w:t xml:space="preserve">Ownership stake.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HAS_COMMON_DIRECTOR {director_din}</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Co→Co</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Auto-generated during graph sync.</w:t>
            </w:r>
          </w:p>
        </w:tc>
      </w:tr>
      <w:tr>
        <w:tc>
          <w:tcPr>
            <w:tcW w:type="dxa" w:w="28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color w:val="000000"/>
                <w:sz w:val="18"/>
                <w:szCs w:val="18"/>
              </w:rPr>
              <w:t xml:space="preserve">TRANSACTS_WITH {year, amount, nature, risk_flag}</w:t>
            </w:r>
          </w:p>
        </w:tc>
        <w:tc>
          <w:tcPr>
            <w:tcW w:type="dxa" w:w="14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color w:val="000000"/>
                <w:sz w:val="18"/>
                <w:szCs w:val="18"/>
              </w:rPr>
              <w:t xml:space="preserve">Co→Co</w:t>
            </w:r>
          </w:p>
        </w:tc>
        <w:tc>
          <w:tcPr>
            <w:tcW w:type="dxa" w:w="51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color w:val="000000"/>
                <w:sz w:val="18"/>
                <w:szCs w:val="18"/>
              </w:rPr>
              <w:t xml:space="preserve">Related party transaction. SCC runs on this graph.</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HAS_FINANCIALS {year}</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Co→FS</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Links company to annual financial statement.</w:t>
            </w:r>
          </w:p>
        </w:tc>
      </w:tr>
      <w:tr>
        <w:tc>
          <w:tcPr>
            <w:tcW w:type="dxa" w:w="28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color w:val="000000"/>
                <w:sz w:val="18"/>
                <w:szCs w:val="18"/>
              </w:rPr>
              <w:t xml:space="preserve">HAS_FRAUD_SIGNAL {module, severity}</w:t>
            </w:r>
          </w:p>
        </w:tc>
        <w:tc>
          <w:tcPr>
            <w:tcW w:type="dxa" w:w="14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color w:val="000000"/>
                <w:sz w:val="18"/>
                <w:szCs w:val="18"/>
              </w:rPr>
              <w:t xml:space="preserve">FS→FraudSig</w:t>
            </w:r>
          </w:p>
        </w:tc>
        <w:tc>
          <w:tcPr>
            <w:tcW w:type="dxa" w:w="51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color w:val="000000"/>
                <w:sz w:val="18"/>
                <w:szCs w:val="18"/>
              </w:rPr>
              <w:t xml:space="preserve">Links financial statement to triggered fraud signals.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TRIGGERED_BY</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FraudSig→Node</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Evidence provenance edge. Links signal to exact data source.</w:t>
            </w:r>
          </w:p>
        </w:tc>
      </w:tr>
      <w:tr>
        <w:tc>
          <w:tcPr>
            <w:tcW w:type="dxa" w:w="28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color w:val="000000"/>
                <w:sz w:val="18"/>
                <w:szCs w:val="18"/>
              </w:rPr>
              <w:t xml:space="preserve">SHARES_ATTRIBUTE {attribute_type}</w:t>
            </w:r>
          </w:p>
        </w:tc>
        <w:tc>
          <w:tcPr>
            <w:tcW w:type="dxa" w:w="14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color w:val="000000"/>
                <w:sz w:val="18"/>
                <w:szCs w:val="18"/>
              </w:rPr>
              <w:t xml:space="preserve">Co→SharedAttr</w:t>
            </w:r>
          </w:p>
        </w:tc>
        <w:tc>
          <w:tcPr>
            <w:tcW w:type="dxa" w:w="51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color w:val="000000"/>
                <w:sz w:val="18"/>
                <w:szCs w:val="18"/>
              </w:rPr>
              <w:t xml:space="preserve">Hypergraph edge. Shared CA, address, bank branch.</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CONNECTED_TO_CRITICAL</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Co→Co</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Written by belief propagation on first-degree connections of CRITICAL entities.</w:t>
            </w:r>
          </w:p>
        </w:tc>
      </w:tr>
      <w:tr>
        <w:tc>
          <w:tcPr>
            <w:tcW w:type="dxa" w:w="28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color w:val="000000"/>
                <w:sz w:val="18"/>
                <w:szCs w:val="18"/>
              </w:rPr>
              <w:t xml:space="preserve">HAS_NCLT_PROCEEDING</w:t>
            </w:r>
          </w:p>
        </w:tc>
        <w:tc>
          <w:tcPr>
            <w:tcW w:type="dxa" w:w="14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color w:val="000000"/>
                <w:sz w:val="18"/>
                <w:szCs w:val="18"/>
              </w:rPr>
              <w:t xml:space="preserve">Co→NCLT</w:t>
            </w:r>
          </w:p>
        </w:tc>
        <w:tc>
          <w:tcPr>
            <w:tcW w:type="dxa" w:w="51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color w:val="000000"/>
                <w:sz w:val="18"/>
                <w:szCs w:val="18"/>
              </w:rPr>
              <w:t xml:space="preserve">Scraped NCLT proceedings.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CLAIMS_ITC_FROM {period, amount, invoice_count, risk_flag}</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GST→GST</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ITC Carousel — SCC runs on this graph.</w:t>
            </w:r>
          </w:p>
        </w:tc>
      </w:tr>
      <w:tr>
        <w:tc>
          <w:tcPr>
            <w:tcW w:type="dxa" w:w="28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color w:val="000000"/>
                <w:sz w:val="18"/>
                <w:szCs w:val="18"/>
              </w:rPr>
              <w:t xml:space="preserve">HAS_GST_ENTITY / IS_MISSING_TRADER / IN_CAROUSEL_RING</w:t>
            </w:r>
          </w:p>
        </w:tc>
        <w:tc>
          <w:tcPr>
            <w:tcW w:type="dxa" w:w="14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color w:val="000000"/>
                <w:sz w:val="18"/>
                <w:szCs w:val="18"/>
              </w:rPr>
              <w:t xml:space="preserve">Various</w:t>
            </w:r>
          </w:p>
        </w:tc>
        <w:tc>
          <w:tcPr>
            <w:tcW w:type="dxa" w:w="51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color w:val="000000"/>
                <w:sz w:val="18"/>
                <w:szCs w:val="18"/>
              </w:rPr>
              <w:t xml:space="preserve">ITC Carousel extension edges.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RECEIVED_LOAN / REPAID_LOAN / FUNDED_REPAYMENT_OF / IN_EVERGREENING_CLUSTER</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Various</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Evergreening extension edges. FUNDED_REPAYMENT_OF is the core detection edge.</w:t>
            </w:r>
          </w:p>
        </w:tc>
      </w:tr>
    </w:tbl>
    <w:p>
      <w:pPr>
        <w:spacing w:after="60" w:before="60"/>
      </w:pPr>
      <w:r>
        <w:t xml:space="preserve"/>
      </w:r>
    </w:p>
    <w:p>
      <w:r>
        <w:br w:type="page"/>
      </w:r>
    </w:p>
    <w:p>
      <w:pPr>
        <w:pStyle w:val="Heading1"/>
        <w:spacing w:after="160" w:before="320"/>
      </w:pPr>
      <w:r>
        <w:rPr>
          <w:rFonts w:ascii="Arial" w:cs="Arial" w:eastAsia="Arial" w:hAnsi="Arial"/>
          <w:b/>
          <w:bCs/>
          <w:color w:val="1F3864"/>
          <w:sz w:val="34"/>
          <w:szCs w:val="34"/>
        </w:rPr>
        <w:t xml:space="preserve">4. Tier 1 — Rule-Based Detection Modules (11 Signal Sources)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FF3CD" w:val="clear"/>
            <w:tcMar>
              <w:top w:type="dxa" w:w="80"/>
              <w:left w:type="dxa" w:w="120"/>
              <w:bottom w:type="dxa" w:w="80"/>
              <w:right w:type="dxa" w:w="120"/>
            </w:tcMar>
          </w:tcPr>
          <w:p>
            <w:r>
              <w:rPr>
                <w:rFonts w:ascii="Arial" w:cs="Arial" w:eastAsia="Arial" w:hAnsi="Arial"/>
                <w:sz w:val="17"/>
                <w:szCs w:val="17"/>
              </w:rPr>
              <w:t xml:space="preserve">These modules produce deterministic scores 0–100. They do not depend on training data. A disqualified director is always flagged. A circular trading ring is always flagged. They catch known patterns unconditionally and supply the feature inputs to the Tier 2 ML ensemble.</w:t>
            </w:r>
          </w:p>
        </w:tc>
      </w:tr>
    </w:tbl>
    <w:p>
      <w:pPr>
        <w:spacing w:after="60" w:before="60"/>
      </w:pPr>
      <w:r>
        <w:t xml:space="preserve"/>
      </w:r>
    </w:p>
    <w:p>
      <w:pPr>
        <w:pStyle w:val="Heading2"/>
        <w:spacing w:after="120" w:before="240"/>
      </w:pPr>
      <w:r>
        <w:rPr>
          <w:rFonts w:ascii="Arial" w:cs="Arial" w:eastAsia="Arial" w:hAnsi="Arial"/>
          <w:b/>
          <w:bCs/>
          <w:color w:val="2E4A7A"/>
          <w:sz w:val="26"/>
          <w:szCs w:val="26"/>
        </w:rPr>
        <w:t xml:space="preserve">4.1 Module 1 — Beneish M-Score</w:t>
      </w:r>
    </w:p>
    <w:p>
      <w:pPr>
        <w:spacing w:after="60" w:before="60"/>
      </w:pPr>
      <w:r>
        <w:rPr>
          <w:rFonts w:ascii="Arial" w:cs="Arial" w:eastAsia="Arial" w:hAnsi="Arial"/>
          <w:b w:val="false"/>
          <w:bCs w:val="false"/>
          <w:sz w:val="18"/>
          <w:szCs w:val="18"/>
        </w:rPr>
        <w:t xml:space="preserve">Eight financial ratios. M-Score &gt; −1.78 indicates earnings manipulation. Requires two consecutive years. Skip (weight → 0) with single-year data.</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1400"/>
        <w:gridCol w:w="3200"/>
        <w:gridCol w:w="3760"/>
      </w:tblGrid>
      <w:tr>
        <w:tc>
          <w:tcPr>
            <w:tcW w:type="dxa" w:w="1000"/>
            <w:tcBorders>
              <w:top w:val="single" w:color="1F3864" w:sz="2"/>
              <w:left w:val="single" w:color="1F3864" w:sz="2"/>
              <w:bottom w:val="single" w:color="1F3864" w:sz="2"/>
              <w:right w:val="single" w:color="1F3864" w:sz="2"/>
            </w:tcBorders>
            <w:shd w:fill="1F3864" w:val="clear"/>
            <w:tcMar>
              <w:top w:type="dxa" w:w="80"/>
              <w:left w:type="dxa" w:w="120"/>
              <w:bottom w:type="dxa" w:w="80"/>
              <w:right w:type="dxa" w:w="120"/>
            </w:tcMar>
          </w:tcPr>
          <w:p>
            <w:pPr>
              <w:jc w:val="center"/>
            </w:pPr>
            <w:r>
              <w:rPr>
                <w:rFonts w:ascii="Arial" w:cs="Arial" w:eastAsia="Arial" w:hAnsi="Arial"/>
                <w:b/>
                <w:bCs/>
                <w:color w:val="FFFFFF"/>
                <w:sz w:val="19"/>
                <w:szCs w:val="19"/>
              </w:rPr>
              <w:t xml:space="preserve">Ratio</w:t>
            </w:r>
          </w:p>
        </w:tc>
        <w:tc>
          <w:tcPr>
            <w:tcW w:type="dxa" w:w="1400"/>
            <w:tcBorders>
              <w:top w:val="single" w:color="1F3864" w:sz="2"/>
              <w:left w:val="single" w:color="1F3864" w:sz="2"/>
              <w:bottom w:val="single" w:color="1F3864" w:sz="2"/>
              <w:right w:val="single" w:color="1F3864" w:sz="2"/>
            </w:tcBorders>
            <w:shd w:fill="1F3864" w:val="clear"/>
            <w:tcMar>
              <w:top w:type="dxa" w:w="80"/>
              <w:left w:type="dxa" w:w="120"/>
              <w:bottom w:type="dxa" w:w="80"/>
              <w:right w:type="dxa" w:w="120"/>
            </w:tcMar>
          </w:tcPr>
          <w:p>
            <w:pPr>
              <w:jc w:val="center"/>
            </w:pPr>
            <w:r>
              <w:rPr>
                <w:rFonts w:ascii="Arial" w:cs="Arial" w:eastAsia="Arial" w:hAnsi="Arial"/>
                <w:b/>
                <w:bCs/>
                <w:color w:val="FFFFFF"/>
                <w:sz w:val="19"/>
                <w:szCs w:val="19"/>
              </w:rPr>
              <w:t xml:space="preserve">Threshold</w:t>
            </w:r>
          </w:p>
        </w:tc>
        <w:tc>
          <w:tcPr>
            <w:tcW w:type="dxa" w:w="3200"/>
            <w:tcBorders>
              <w:top w:val="single" w:color="1F3864" w:sz="2"/>
              <w:left w:val="single" w:color="1F3864" w:sz="2"/>
              <w:bottom w:val="single" w:color="1F3864" w:sz="2"/>
              <w:right w:val="single" w:color="1F3864" w:sz="2"/>
            </w:tcBorders>
            <w:shd w:fill="1F3864" w:val="clear"/>
            <w:tcMar>
              <w:top w:type="dxa" w:w="80"/>
              <w:left w:type="dxa" w:w="120"/>
              <w:bottom w:type="dxa" w:w="80"/>
              <w:right w:type="dxa" w:w="120"/>
            </w:tcMar>
          </w:tcPr>
          <w:p>
            <w:pPr>
              <w:jc w:val="center"/>
            </w:pPr>
            <w:r>
              <w:rPr>
                <w:rFonts w:ascii="Arial" w:cs="Arial" w:eastAsia="Arial" w:hAnsi="Arial"/>
                <w:b/>
                <w:bCs/>
                <w:color w:val="FFFFFF"/>
                <w:sz w:val="19"/>
                <w:szCs w:val="19"/>
              </w:rPr>
              <w:t xml:space="preserve">Measures</w:t>
            </w:r>
          </w:p>
        </w:tc>
        <w:tc>
          <w:tcPr>
            <w:tcW w:type="dxa" w:w="3760"/>
            <w:tcBorders>
              <w:top w:val="single" w:color="1F3864" w:sz="2"/>
              <w:left w:val="single" w:color="1F3864" w:sz="2"/>
              <w:bottom w:val="single" w:color="1F3864" w:sz="2"/>
              <w:right w:val="single" w:color="1F3864" w:sz="2"/>
            </w:tcBorders>
            <w:shd w:fill="1F3864" w:val="clear"/>
            <w:tcMar>
              <w:top w:type="dxa" w:w="80"/>
              <w:left w:type="dxa" w:w="120"/>
              <w:bottom w:type="dxa" w:w="80"/>
              <w:right w:type="dxa" w:w="120"/>
            </w:tcMar>
          </w:tcPr>
          <w:p>
            <w:pPr>
              <w:jc w:val="center"/>
            </w:pPr>
            <w:r>
              <w:rPr>
                <w:rFonts w:ascii="Arial" w:cs="Arial" w:eastAsia="Arial" w:hAnsi="Arial"/>
                <w:b/>
                <w:bCs/>
                <w:color w:val="FFFFFF"/>
                <w:sz w:val="19"/>
                <w:szCs w:val="19"/>
              </w:rPr>
              <w:t xml:space="preserve">Signal</w:t>
            </w:r>
          </w:p>
        </w:tc>
      </w:tr>
      <w:tr>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DSRI</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&gt;1.31</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Days Sales Receivable Index</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Receivables growing faster than revenue — fake sales never collected</w:t>
            </w:r>
          </w:p>
        </w:tc>
      </w:tr>
      <w:tr>
        <w:tc>
          <w:tcPr>
            <w:tcW w:type="dxa" w:w="10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color w:val="000000"/>
                <w:sz w:val="18"/>
                <w:szCs w:val="18"/>
              </w:rPr>
              <w:t xml:space="preserve">GMI</w:t>
            </w:r>
          </w:p>
        </w:tc>
        <w:tc>
          <w:tcPr>
            <w:tcW w:type="dxa" w:w="14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color w:val="000000"/>
                <w:sz w:val="18"/>
                <w:szCs w:val="18"/>
              </w:rPr>
              <w:t xml:space="preserve">&gt;1.00</w:t>
            </w:r>
          </w:p>
        </w:tc>
        <w:tc>
          <w:tcPr>
            <w:tcW w:type="dxa" w:w="32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color w:val="000000"/>
                <w:sz w:val="18"/>
                <w:szCs w:val="18"/>
              </w:rPr>
              <w:t xml:space="preserve">Gross Margin Index</w:t>
            </w:r>
          </w:p>
        </w:tc>
        <w:tc>
          <w:tcPr>
            <w:tcW w:type="dxa" w:w="37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color w:val="000000"/>
                <w:sz w:val="18"/>
                <w:szCs w:val="18"/>
              </w:rPr>
              <w:t xml:space="preserve">Deteriorating margins → manipulation incentive</w:t>
            </w:r>
          </w:p>
        </w:tc>
      </w:tr>
      <w:tr>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AQI</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&gt;1.25</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Asset Quality Index</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Capitalising operating expenses as assets</w:t>
            </w:r>
          </w:p>
        </w:tc>
      </w:tr>
      <w:tr>
        <w:tc>
          <w:tcPr>
            <w:tcW w:type="dxa" w:w="10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color w:val="000000"/>
                <w:sz w:val="18"/>
                <w:szCs w:val="18"/>
              </w:rPr>
              <w:t xml:space="preserve">SGI</w:t>
            </w:r>
          </w:p>
        </w:tc>
        <w:tc>
          <w:tcPr>
            <w:tcW w:type="dxa" w:w="14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color w:val="000000"/>
                <w:sz w:val="18"/>
                <w:szCs w:val="18"/>
              </w:rPr>
              <w:t xml:space="preserve">&gt;1.60</w:t>
            </w:r>
          </w:p>
        </w:tc>
        <w:tc>
          <w:tcPr>
            <w:tcW w:type="dxa" w:w="32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color w:val="000000"/>
                <w:sz w:val="18"/>
                <w:szCs w:val="18"/>
              </w:rPr>
              <w:t xml:space="preserve">Sales Growth Index</w:t>
            </w:r>
          </w:p>
        </w:tc>
        <w:tc>
          <w:tcPr>
            <w:tcW w:type="dxa" w:w="37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color w:val="000000"/>
                <w:sz w:val="18"/>
                <w:szCs w:val="18"/>
              </w:rPr>
              <w:t xml:space="preserve">Unsustainable growth creates fabrication pressure</w:t>
            </w:r>
          </w:p>
        </w:tc>
      </w:tr>
      <w:tr>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DEPI</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&lt;1.00</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Depreciation Index</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Reducing depreciation to inflate reported profit</w:t>
            </w:r>
          </w:p>
        </w:tc>
      </w:tr>
      <w:tr>
        <w:tc>
          <w:tcPr>
            <w:tcW w:type="dxa" w:w="10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color w:val="000000"/>
                <w:sz w:val="18"/>
                <w:szCs w:val="18"/>
              </w:rPr>
              <w:t xml:space="preserve">SGAI</w:t>
            </w:r>
          </w:p>
        </w:tc>
        <w:tc>
          <w:tcPr>
            <w:tcW w:type="dxa" w:w="14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color w:val="000000"/>
                <w:sz w:val="18"/>
                <w:szCs w:val="18"/>
              </w:rPr>
              <w:t xml:space="preserve">&gt;1.00</w:t>
            </w:r>
          </w:p>
        </w:tc>
        <w:tc>
          <w:tcPr>
            <w:tcW w:type="dxa" w:w="32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color w:val="000000"/>
                <w:sz w:val="18"/>
                <w:szCs w:val="18"/>
              </w:rPr>
              <w:t xml:space="preserve">SGA Expense Index</w:t>
            </w:r>
          </w:p>
        </w:tc>
        <w:tc>
          <w:tcPr>
            <w:tcW w:type="dxa" w:w="37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color w:val="000000"/>
                <w:sz w:val="18"/>
                <w:szCs w:val="18"/>
              </w:rPr>
              <w:t xml:space="preserve">SGA growing faster than revenue</w:t>
            </w:r>
          </w:p>
        </w:tc>
      </w:tr>
      <w:tr>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LVGI</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&gt;1.00</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Leverage Index</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Increasing debt raises covenant violation risk</w:t>
            </w:r>
          </w:p>
        </w:tc>
      </w:tr>
      <w:tr>
        <w:tc>
          <w:tcPr>
            <w:tcW w:type="dxa" w:w="10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color w:val="000000"/>
                <w:sz w:val="18"/>
                <w:szCs w:val="18"/>
              </w:rPr>
              <w:t xml:space="preserve">TATA</w:t>
            </w:r>
          </w:p>
        </w:tc>
        <w:tc>
          <w:tcPr>
            <w:tcW w:type="dxa" w:w="14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color w:val="000000"/>
                <w:sz w:val="18"/>
                <w:szCs w:val="18"/>
              </w:rPr>
              <w:t xml:space="preserve">High +ve</w:t>
            </w:r>
          </w:p>
        </w:tc>
        <w:tc>
          <w:tcPr>
            <w:tcW w:type="dxa" w:w="32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color w:val="000000"/>
                <w:sz w:val="18"/>
                <w:szCs w:val="18"/>
              </w:rPr>
              <w:t xml:space="preserve">Total Accruals to Total Assets</w:t>
            </w:r>
          </w:p>
        </w:tc>
        <w:tc>
          <w:tcPr>
            <w:tcW w:type="dxa" w:w="37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color w:val="000000"/>
                <w:sz w:val="18"/>
                <w:szCs w:val="18"/>
              </w:rPr>
              <w:t xml:space="preserve">Earnings not backed by cash</w:t>
            </w:r>
          </w:p>
        </w:tc>
      </w:tr>
    </w:tbl>
    <w:p>
      <w:pPr>
        <w:spacing w:after="60" w:before="60"/>
      </w:pPr>
      <w:r>
        <w:t xml:space="preserve"/>
      </w:r>
    </w:p>
    <w:p>
      <w:pPr>
        <w:pStyle w:val="Heading2"/>
        <w:spacing w:after="120" w:before="240"/>
      </w:pPr>
      <w:r>
        <w:rPr>
          <w:rFonts w:ascii="Arial" w:cs="Arial" w:eastAsia="Arial" w:hAnsi="Arial"/>
          <w:b/>
          <w:bCs/>
          <w:color w:val="2E4A7A"/>
          <w:sz w:val="26"/>
          <w:szCs w:val="26"/>
        </w:rPr>
        <w:t xml:space="preserve">4.2 Module 2 — Cross-Statement Consistency (7 Checks)</w:t>
      </w:r>
    </w:p>
    <w:p>
      <w:pPr>
        <w:spacing w:after="60" w:before="60"/>
      </w:pPr>
      <w:r>
        <w:rPr>
          <w:rFonts w:ascii="Arial" w:cs="Arial" w:eastAsia="Arial" w:hAnsi="Arial"/>
          <w:b w:val="false"/>
          <w:bCs w:val="false"/>
          <w:sz w:val="18"/>
          <w:szCs w:val="18"/>
        </w:rPr>
        <w:t xml:space="preserve">Evidence strings always cite specific numbers. Never: 'revenue appears inflated.' Always: 'Revenue per P&amp;L (₹12.4 cr) exceeds GST taxable turnover (₹8.2 cr) by 51.2% — above 5% tolerance.'</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360"/>
        <w:gridCol w:w="1400"/>
        <w:gridCol w:w="2200"/>
      </w:tblGrid>
      <w:tr>
        <w:tc>
          <w:tcPr>
            <w:tcW w:type="dxa" w:w="2400"/>
            <w:tcBorders>
              <w:top w:val="single" w:color="1F3864" w:sz="2"/>
              <w:left w:val="single" w:color="1F3864" w:sz="2"/>
              <w:bottom w:val="single" w:color="1F3864" w:sz="2"/>
              <w:right w:val="single" w:color="1F3864" w:sz="2"/>
            </w:tcBorders>
            <w:shd w:fill="1F3864" w:val="clear"/>
            <w:tcMar>
              <w:top w:type="dxa" w:w="80"/>
              <w:left w:type="dxa" w:w="120"/>
              <w:bottom w:type="dxa" w:w="80"/>
              <w:right w:type="dxa" w:w="120"/>
            </w:tcMar>
          </w:tcPr>
          <w:p>
            <w:pPr>
              <w:jc w:val="center"/>
            </w:pPr>
            <w:r>
              <w:rPr>
                <w:rFonts w:ascii="Arial" w:cs="Arial" w:eastAsia="Arial" w:hAnsi="Arial"/>
                <w:b/>
                <w:bCs/>
                <w:color w:val="FFFFFF"/>
                <w:sz w:val="19"/>
                <w:szCs w:val="19"/>
              </w:rPr>
              <w:t xml:space="preserve">Check</w:t>
            </w:r>
          </w:p>
        </w:tc>
        <w:tc>
          <w:tcPr>
            <w:tcW w:type="dxa" w:w="3360"/>
            <w:tcBorders>
              <w:top w:val="single" w:color="1F3864" w:sz="2"/>
              <w:left w:val="single" w:color="1F3864" w:sz="2"/>
              <w:bottom w:val="single" w:color="1F3864" w:sz="2"/>
              <w:right w:val="single" w:color="1F3864" w:sz="2"/>
            </w:tcBorders>
            <w:shd w:fill="1F3864" w:val="clear"/>
            <w:tcMar>
              <w:top w:type="dxa" w:w="80"/>
              <w:left w:type="dxa" w:w="120"/>
              <w:bottom w:type="dxa" w:w="80"/>
              <w:right w:type="dxa" w:w="120"/>
            </w:tcMar>
          </w:tcPr>
          <w:p>
            <w:pPr>
              <w:jc w:val="center"/>
            </w:pPr>
            <w:r>
              <w:rPr>
                <w:rFonts w:ascii="Arial" w:cs="Arial" w:eastAsia="Arial" w:hAnsi="Arial"/>
                <w:b/>
                <w:bCs/>
                <w:color w:val="FFFFFF"/>
                <w:sz w:val="19"/>
                <w:szCs w:val="19"/>
              </w:rPr>
              <w:t xml:space="preserve">Logic</w:t>
            </w:r>
          </w:p>
        </w:tc>
        <w:tc>
          <w:tcPr>
            <w:tcW w:type="dxa" w:w="1400"/>
            <w:tcBorders>
              <w:top w:val="single" w:color="1F3864" w:sz="2"/>
              <w:left w:val="single" w:color="1F3864" w:sz="2"/>
              <w:bottom w:val="single" w:color="1F3864" w:sz="2"/>
              <w:right w:val="single" w:color="1F3864" w:sz="2"/>
            </w:tcBorders>
            <w:shd w:fill="1F3864" w:val="clear"/>
            <w:tcMar>
              <w:top w:type="dxa" w:w="80"/>
              <w:left w:type="dxa" w:w="120"/>
              <w:bottom w:type="dxa" w:w="80"/>
              <w:right w:type="dxa" w:w="120"/>
            </w:tcMar>
          </w:tcPr>
          <w:p>
            <w:pPr>
              <w:jc w:val="center"/>
            </w:pPr>
            <w:r>
              <w:rPr>
                <w:rFonts w:ascii="Arial" w:cs="Arial" w:eastAsia="Arial" w:hAnsi="Arial"/>
                <w:b/>
                <w:bCs/>
                <w:color w:val="FFFFFF"/>
                <w:sz w:val="19"/>
                <w:szCs w:val="19"/>
              </w:rPr>
              <w:t xml:space="preserve">Severity</w:t>
            </w:r>
          </w:p>
        </w:tc>
        <w:tc>
          <w:tcPr>
            <w:tcW w:type="dxa" w:w="2200"/>
            <w:tcBorders>
              <w:top w:val="single" w:color="1F3864" w:sz="2"/>
              <w:left w:val="single" w:color="1F3864" w:sz="2"/>
              <w:bottom w:val="single" w:color="1F3864" w:sz="2"/>
              <w:right w:val="single" w:color="1F3864" w:sz="2"/>
            </w:tcBorders>
            <w:shd w:fill="1F3864" w:val="clear"/>
            <w:tcMar>
              <w:top w:type="dxa" w:w="80"/>
              <w:left w:type="dxa" w:w="120"/>
              <w:bottom w:type="dxa" w:w="80"/>
              <w:right w:type="dxa" w:w="120"/>
            </w:tcMar>
          </w:tcPr>
          <w:p>
            <w:pPr>
              <w:jc w:val="center"/>
            </w:pPr>
            <w:r>
              <w:rPr>
                <w:rFonts w:ascii="Arial" w:cs="Arial" w:eastAsia="Arial" w:hAnsi="Arial"/>
                <w:b/>
                <w:bCs/>
                <w:color w:val="FFFFFF"/>
                <w:sz w:val="19"/>
                <w:szCs w:val="19"/>
              </w:rPr>
              <w:t xml:space="preserve">Score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Revenue vs GST Turnover</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|P&amp;L Revenue − GST Turnover| / Revenue &gt; 5%</w:t>
            </w:r>
          </w:p>
        </w:tc>
        <w:tc>
          <w:tcPr>
            <w:tcW w:type="dxa" w:w="1400"/>
            <w:tcBorders>
              <w:top w:val="single" w:color="CCCCCC" w:sz="1"/>
              <w:left w:val="single" w:color="CCCCCC" w:sz="1"/>
              <w:bottom w:val="single" w:color="CCCCCC" w:sz="1"/>
              <w:right w:val="single" w:color="CCCCCC" w:sz="1"/>
            </w:tcBorders>
            <w:shd w:fill="F8D7DA" w:val="clear"/>
            <w:tcMar>
              <w:top w:type="dxa" w:w="80"/>
              <w:left w:type="dxa" w:w="120"/>
              <w:bottom w:type="dxa" w:w="80"/>
              <w:right w:type="dxa" w:w="120"/>
            </w:tcMar>
          </w:tcPr>
          <w:p>
            <w:r>
              <w:rPr>
                <w:rFonts w:ascii="Arial" w:cs="Arial" w:eastAsia="Arial" w:hAnsi="Arial"/>
                <w:b/>
                <w:bCs/>
                <w:color w:val="721C24"/>
                <w:sz w:val="18"/>
                <w:szCs w:val="18"/>
              </w:rPr>
              <w:t xml:space="preserve">CRITICAL</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+40</w:t>
            </w:r>
          </w:p>
        </w:tc>
      </w:tr>
      <w:tr>
        <w:tc>
          <w:tcPr>
            <w:tcW w:type="dxa" w:w="24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color w:val="000000"/>
                <w:sz w:val="18"/>
                <w:szCs w:val="18"/>
              </w:rPr>
              <w:t xml:space="preserve">Implied Interest Rate</w:t>
            </w:r>
          </w:p>
        </w:tc>
        <w:tc>
          <w:tcPr>
            <w:tcW w:type="dxa" w:w="33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color w:val="000000"/>
                <w:sz w:val="18"/>
                <w:szCs w:val="18"/>
              </w:rPr>
              <w:t xml:space="preserve">Finance Costs / Total Borrowings &lt; 8% or &gt; 24%</w:t>
            </w:r>
          </w:p>
        </w:tc>
        <w:tc>
          <w:tcPr>
            <w:tcW w:type="dxa" w:w="1400"/>
            <w:tcBorders>
              <w:top w:val="single" w:color="CCCCCC" w:sz="1"/>
              <w:left w:val="single" w:color="CCCCCC" w:sz="1"/>
              <w:bottom w:val="single" w:color="CCCCCC" w:sz="1"/>
              <w:right w:val="single" w:color="CCCCCC" w:sz="1"/>
            </w:tcBorders>
            <w:shd w:fill="FFF3CD" w:val="clear"/>
            <w:tcMar>
              <w:top w:type="dxa" w:w="80"/>
              <w:left w:type="dxa" w:w="120"/>
              <w:bottom w:type="dxa" w:w="80"/>
              <w:right w:type="dxa" w:w="120"/>
            </w:tcMar>
          </w:tcPr>
          <w:p>
            <w:r>
              <w:rPr>
                <w:rFonts w:ascii="Arial" w:cs="Arial" w:eastAsia="Arial" w:hAnsi="Arial"/>
                <w:b/>
                <w:bCs/>
                <w:color w:val="856404"/>
                <w:sz w:val="18"/>
                <w:szCs w:val="18"/>
              </w:rPr>
              <w:t xml:space="preserve">HIGH</w:t>
            </w:r>
          </w:p>
        </w:tc>
        <w:tc>
          <w:tcPr>
            <w:tcW w:type="dxa" w:w="22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color w:val="000000"/>
                <w:sz w:val="18"/>
                <w:szCs w:val="18"/>
              </w:rPr>
              <w:t xml:space="preserve">+25</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Cash Conversion Ratio</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Operating CF / Net Profit &lt; 0.5</w:t>
            </w:r>
          </w:p>
        </w:tc>
        <w:tc>
          <w:tcPr>
            <w:tcW w:type="dxa" w:w="1400"/>
            <w:tcBorders>
              <w:top w:val="single" w:color="CCCCCC" w:sz="1"/>
              <w:left w:val="single" w:color="CCCCCC" w:sz="1"/>
              <w:bottom w:val="single" w:color="CCCCCC" w:sz="1"/>
              <w:right w:val="single" w:color="CCCCCC" w:sz="1"/>
            </w:tcBorders>
            <w:shd w:fill="FFF3CD" w:val="clear"/>
            <w:tcMar>
              <w:top w:type="dxa" w:w="80"/>
              <w:left w:type="dxa" w:w="120"/>
              <w:bottom w:type="dxa" w:w="80"/>
              <w:right w:type="dxa" w:w="120"/>
            </w:tcMar>
          </w:tcPr>
          <w:p>
            <w:r>
              <w:rPr>
                <w:rFonts w:ascii="Arial" w:cs="Arial" w:eastAsia="Arial" w:hAnsi="Arial"/>
                <w:b/>
                <w:bCs/>
                <w:color w:val="856404"/>
                <w:sz w:val="18"/>
                <w:szCs w:val="18"/>
              </w:rPr>
              <w:t xml:space="preserve">HIGH</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+25</w:t>
            </w:r>
          </w:p>
        </w:tc>
      </w:tr>
      <w:tr>
        <w:tc>
          <w:tcPr>
            <w:tcW w:type="dxa" w:w="24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color w:val="000000"/>
                <w:sz w:val="18"/>
                <w:szCs w:val="18"/>
              </w:rPr>
              <w:t xml:space="preserve">Depreciation vs Asset Growth</w:t>
            </w:r>
          </w:p>
        </w:tc>
        <w:tc>
          <w:tcPr>
            <w:tcW w:type="dxa" w:w="33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color w:val="000000"/>
                <w:sz w:val="18"/>
                <w:szCs w:val="18"/>
              </w:rPr>
              <w:t xml:space="preserve">Assets grew &gt;20% YoY, depreciation grew &lt;50% proportionally</w:t>
            </w:r>
          </w:p>
        </w:tc>
        <w:tc>
          <w:tcPr>
            <w:tcW w:type="dxa" w:w="14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color w:val="000000"/>
                <w:sz w:val="18"/>
                <w:szCs w:val="18"/>
              </w:rPr>
              <w:t xml:space="preserve">MEDIUM</w:t>
            </w:r>
          </w:p>
        </w:tc>
        <w:tc>
          <w:tcPr>
            <w:tcW w:type="dxa" w:w="22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color w:val="000000"/>
                <w:sz w:val="18"/>
                <w:szCs w:val="18"/>
              </w:rPr>
              <w:t xml:space="preserve">+15</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CWIP Staleness</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CWIP &gt; 5% of assets for 3+ consecutive years</w:t>
            </w:r>
          </w:p>
        </w:tc>
        <w:tc>
          <w:tcPr>
            <w:tcW w:type="dxa" w:w="1400"/>
            <w:tcBorders>
              <w:top w:val="single" w:color="CCCCCC" w:sz="1"/>
              <w:left w:val="single" w:color="CCCCCC" w:sz="1"/>
              <w:bottom w:val="single" w:color="CCCCCC" w:sz="1"/>
              <w:right w:val="single" w:color="CCCCCC" w:sz="1"/>
            </w:tcBorders>
            <w:shd w:fill="FFF3CD" w:val="clear"/>
            <w:tcMar>
              <w:top w:type="dxa" w:w="80"/>
              <w:left w:type="dxa" w:w="120"/>
              <w:bottom w:type="dxa" w:w="80"/>
              <w:right w:type="dxa" w:w="120"/>
            </w:tcMar>
          </w:tcPr>
          <w:p>
            <w:r>
              <w:rPr>
                <w:rFonts w:ascii="Arial" w:cs="Arial" w:eastAsia="Arial" w:hAnsi="Arial"/>
                <w:b/>
                <w:bCs/>
                <w:color w:val="856404"/>
                <w:sz w:val="18"/>
                <w:szCs w:val="18"/>
              </w:rPr>
              <w:t xml:space="preserve">HIGH</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+25</w:t>
            </w:r>
          </w:p>
        </w:tc>
      </w:tr>
      <w:tr>
        <w:tc>
          <w:tcPr>
            <w:tcW w:type="dxa" w:w="24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color w:val="000000"/>
                <w:sz w:val="18"/>
                <w:szCs w:val="18"/>
              </w:rPr>
              <w:t xml:space="preserve">CERSAI Charges vs Debt</w:t>
            </w:r>
          </w:p>
        </w:tc>
        <w:tc>
          <w:tcPr>
            <w:tcW w:type="dxa" w:w="33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color w:val="000000"/>
                <w:sz w:val="18"/>
                <w:szCs w:val="18"/>
              </w:rPr>
              <w:t xml:space="preserve">Registered charges exceed reported debt by &gt;15%</w:t>
            </w:r>
          </w:p>
        </w:tc>
        <w:tc>
          <w:tcPr>
            <w:tcW w:type="dxa" w:w="1400"/>
            <w:tcBorders>
              <w:top w:val="single" w:color="CCCCCC" w:sz="1"/>
              <w:left w:val="single" w:color="CCCCCC" w:sz="1"/>
              <w:bottom w:val="single" w:color="CCCCCC" w:sz="1"/>
              <w:right w:val="single" w:color="CCCCCC" w:sz="1"/>
            </w:tcBorders>
            <w:shd w:fill="F8D7DA" w:val="clear"/>
            <w:tcMar>
              <w:top w:type="dxa" w:w="80"/>
              <w:left w:type="dxa" w:w="120"/>
              <w:bottom w:type="dxa" w:w="80"/>
              <w:right w:type="dxa" w:w="120"/>
            </w:tcMar>
          </w:tcPr>
          <w:p>
            <w:r>
              <w:rPr>
                <w:rFonts w:ascii="Arial" w:cs="Arial" w:eastAsia="Arial" w:hAnsi="Arial"/>
                <w:b/>
                <w:bCs/>
                <w:color w:val="721C24"/>
                <w:sz w:val="18"/>
                <w:szCs w:val="18"/>
              </w:rPr>
              <w:t xml:space="preserve">CRITICAL</w:t>
            </w:r>
          </w:p>
        </w:tc>
        <w:tc>
          <w:tcPr>
            <w:tcW w:type="dxa" w:w="22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color w:val="000000"/>
                <w:sz w:val="18"/>
                <w:szCs w:val="18"/>
              </w:rPr>
              <w:t xml:space="preserve">+40</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Bank Credits vs Revenue</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Bank total credits differ from revenue by &gt;20%</w:t>
            </w:r>
          </w:p>
        </w:tc>
        <w:tc>
          <w:tcPr>
            <w:tcW w:type="dxa" w:w="1400"/>
            <w:tcBorders>
              <w:top w:val="single" w:color="CCCCCC" w:sz="1"/>
              <w:left w:val="single" w:color="CCCCCC" w:sz="1"/>
              <w:bottom w:val="single" w:color="CCCCCC" w:sz="1"/>
              <w:right w:val="single" w:color="CCCCCC" w:sz="1"/>
            </w:tcBorders>
            <w:shd w:fill="FFF3CD" w:val="clear"/>
            <w:tcMar>
              <w:top w:type="dxa" w:w="80"/>
              <w:left w:type="dxa" w:w="120"/>
              <w:bottom w:type="dxa" w:w="80"/>
              <w:right w:type="dxa" w:w="120"/>
            </w:tcMar>
          </w:tcPr>
          <w:p>
            <w:r>
              <w:rPr>
                <w:rFonts w:ascii="Arial" w:cs="Arial" w:eastAsia="Arial" w:hAnsi="Arial"/>
                <w:b/>
                <w:bCs/>
                <w:color w:val="856404"/>
                <w:sz w:val="18"/>
                <w:szCs w:val="18"/>
              </w:rPr>
              <w:t xml:space="preserve">HIGH</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+25</w:t>
            </w:r>
          </w:p>
        </w:tc>
      </w:tr>
    </w:tbl>
    <w:p>
      <w:pPr>
        <w:spacing w:after="60" w:before="60"/>
      </w:pPr>
      <w:r>
        <w:t xml:space="preserve"/>
      </w:r>
    </w:p>
    <w:p>
      <w:pPr>
        <w:pStyle w:val="Heading2"/>
        <w:spacing w:after="120" w:before="240"/>
      </w:pPr>
      <w:r>
        <w:rPr>
          <w:rFonts w:ascii="Arial" w:cs="Arial" w:eastAsia="Arial" w:hAnsi="Arial"/>
          <w:b/>
          <w:bCs/>
          <w:color w:val="2E4A7A"/>
          <w:sz w:val="26"/>
          <w:szCs w:val="26"/>
        </w:rPr>
        <w:t xml:space="preserve">4.3 Module 3 — Benford's Law</w:t>
      </w:r>
    </w:p>
    <w:p>
      <w:pPr>
        <w:spacing w:after="60" w:before="60"/>
      </w:pPr>
      <w:r>
        <w:rPr>
          <w:rFonts w:ascii="Arial" w:cs="Arial" w:eastAsia="Arial" w:hAnsi="Arial"/>
          <w:b w:val="false"/>
          <w:bCs w:val="false"/>
          <w:sz w:val="18"/>
          <w:szCs w:val="18"/>
        </w:rPr>
        <w:t xml:space="preserve">Chi-square (p &lt; 0.05), Kolmogorov-Smirnov, and Nigrini MAD (&gt; 0.012 suspicious, &gt; 0.020 HIGH). Minimum 50 numbers. Disabled (weight redistributed) for fixed-price industries: NIC 46, 47, 19, 49, 55.</w:t>
      </w:r>
    </w:p>
    <w:p>
      <w:pPr>
        <w:spacing w:after="60" w:before="60"/>
      </w:pPr>
      <w:r>
        <w:t xml:space="preserve"/>
      </w:r>
    </w:p>
    <w:p>
      <w:pPr>
        <w:pStyle w:val="Heading2"/>
        <w:spacing w:after="120" w:before="240"/>
      </w:pPr>
      <w:r>
        <w:rPr>
          <w:rFonts w:ascii="Arial" w:cs="Arial" w:eastAsia="Arial" w:hAnsi="Arial"/>
          <w:b/>
          <w:bCs/>
          <w:color w:val="2E4A7A"/>
          <w:sz w:val="26"/>
          <w:szCs w:val="26"/>
        </w:rPr>
        <w:t xml:space="preserve">4.4 Module 4 — Neo4j Graph Pattern Detection (17 Patterns)</w:t>
      </w:r>
    </w:p>
    <w:p>
      <w:pPr>
        <w:spacing w:after="60" w:before="60"/>
      </w:pPr>
      <w:r>
        <w:rPr>
          <w:rFonts w:ascii="Arial" w:cs="Arial" w:eastAsia="Arial" w:hAnsi="Arial"/>
          <w:b w:val="false"/>
          <w:bCs w:val="false"/>
          <w:sz w:val="18"/>
          <w:szCs w:val="18"/>
        </w:rPr>
        <w:t xml:space="preserve">Seven core SME patterns + five ITC Carousel patterns + five Evergreening patterns. All run as Cypher queries. All write FraudSignal nodes on match.</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80"/>
        <w:gridCol w:w="2400"/>
        <w:gridCol w:w="3880"/>
        <w:gridCol w:w="2600"/>
      </w:tblGrid>
      <w:tr>
        <w:tc>
          <w:tcPr>
            <w:tcW w:type="dxa" w:w="480"/>
            <w:tcBorders>
              <w:top w:val="single" w:color="1F3864" w:sz="2"/>
              <w:left w:val="single" w:color="1F3864" w:sz="2"/>
              <w:bottom w:val="single" w:color="1F3864" w:sz="2"/>
              <w:right w:val="single" w:color="1F3864" w:sz="2"/>
            </w:tcBorders>
            <w:shd w:fill="1F3864" w:val="clear"/>
            <w:tcMar>
              <w:top w:type="dxa" w:w="80"/>
              <w:left w:type="dxa" w:w="120"/>
              <w:bottom w:type="dxa" w:w="80"/>
              <w:right w:type="dxa" w:w="120"/>
            </w:tcMar>
          </w:tcPr>
          <w:p>
            <w:pPr>
              <w:jc w:val="center"/>
            </w:pPr>
            <w:r>
              <w:rPr>
                <w:rFonts w:ascii="Arial" w:cs="Arial" w:eastAsia="Arial" w:hAnsi="Arial"/>
                <w:b/>
                <w:bCs/>
                <w:color w:val="FFFFFF"/>
                <w:sz w:val="19"/>
                <w:szCs w:val="19"/>
              </w:rPr>
              <w:t xml:space="preserve">P#</w:t>
            </w:r>
          </w:p>
        </w:tc>
        <w:tc>
          <w:tcPr>
            <w:tcW w:type="dxa" w:w="2400"/>
            <w:tcBorders>
              <w:top w:val="single" w:color="1F3864" w:sz="2"/>
              <w:left w:val="single" w:color="1F3864" w:sz="2"/>
              <w:bottom w:val="single" w:color="1F3864" w:sz="2"/>
              <w:right w:val="single" w:color="1F3864" w:sz="2"/>
            </w:tcBorders>
            <w:shd w:fill="1F3864" w:val="clear"/>
            <w:tcMar>
              <w:top w:type="dxa" w:w="80"/>
              <w:left w:type="dxa" w:w="120"/>
              <w:bottom w:type="dxa" w:w="80"/>
              <w:right w:type="dxa" w:w="120"/>
            </w:tcMar>
          </w:tcPr>
          <w:p>
            <w:pPr>
              <w:jc w:val="center"/>
            </w:pPr>
            <w:r>
              <w:rPr>
                <w:rFonts w:ascii="Arial" w:cs="Arial" w:eastAsia="Arial" w:hAnsi="Arial"/>
                <w:b/>
                <w:bCs/>
                <w:color w:val="FFFFFF"/>
                <w:sz w:val="19"/>
                <w:szCs w:val="19"/>
              </w:rPr>
              <w:t xml:space="preserve">Pattern</w:t>
            </w:r>
          </w:p>
        </w:tc>
        <w:tc>
          <w:tcPr>
            <w:tcW w:type="dxa" w:w="3880"/>
            <w:tcBorders>
              <w:top w:val="single" w:color="1F3864" w:sz="2"/>
              <w:left w:val="single" w:color="1F3864" w:sz="2"/>
              <w:bottom w:val="single" w:color="1F3864" w:sz="2"/>
              <w:right w:val="single" w:color="1F3864" w:sz="2"/>
            </w:tcBorders>
            <w:shd w:fill="1F3864" w:val="clear"/>
            <w:tcMar>
              <w:top w:type="dxa" w:w="80"/>
              <w:left w:type="dxa" w:w="120"/>
              <w:bottom w:type="dxa" w:w="80"/>
              <w:right w:type="dxa" w:w="120"/>
            </w:tcMar>
          </w:tcPr>
          <w:p>
            <w:pPr>
              <w:jc w:val="center"/>
            </w:pPr>
            <w:r>
              <w:rPr>
                <w:rFonts w:ascii="Arial" w:cs="Arial" w:eastAsia="Arial" w:hAnsi="Arial"/>
                <w:b/>
                <w:bCs/>
                <w:color w:val="FFFFFF"/>
                <w:sz w:val="19"/>
                <w:szCs w:val="19"/>
              </w:rPr>
              <w:t xml:space="preserve">Detection Logic</w:t>
            </w:r>
          </w:p>
        </w:tc>
        <w:tc>
          <w:tcPr>
            <w:tcW w:type="dxa" w:w="2600"/>
            <w:tcBorders>
              <w:top w:val="single" w:color="1F3864" w:sz="2"/>
              <w:left w:val="single" w:color="1F3864" w:sz="2"/>
              <w:bottom w:val="single" w:color="1F3864" w:sz="2"/>
              <w:right w:val="single" w:color="1F3864" w:sz="2"/>
            </w:tcBorders>
            <w:shd w:fill="1F3864" w:val="clear"/>
            <w:tcMar>
              <w:top w:type="dxa" w:w="80"/>
              <w:left w:type="dxa" w:w="120"/>
              <w:bottom w:type="dxa" w:w="80"/>
              <w:right w:type="dxa" w:w="120"/>
            </w:tcMar>
          </w:tcPr>
          <w:p>
            <w:pPr>
              <w:jc w:val="center"/>
            </w:pPr>
            <w:r>
              <w:rPr>
                <w:rFonts w:ascii="Arial" w:cs="Arial" w:eastAsia="Arial" w:hAnsi="Arial"/>
                <w:b/>
                <w:bCs/>
                <w:color w:val="FFFFFF"/>
                <w:sz w:val="19"/>
                <w:szCs w:val="19"/>
              </w:rPr>
              <w:t xml:space="preserve">Severity</w:t>
            </w:r>
          </w:p>
        </w:tc>
      </w:tr>
      <w:tr>
        <w:tc>
          <w:tcPr>
            <w:tcW w:type="dxa" w:w="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1</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Circular Trading (SCC)</w:t>
            </w:r>
          </w:p>
        </w:tc>
        <w:tc>
          <w:tcPr>
            <w:tcW w:type="dxa" w:w="3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GDS SCC on TRANSACTS_WITH. Any SCC &gt;2 nodes, value &gt;₹10L.</w:t>
            </w:r>
          </w:p>
        </w:tc>
        <w:tc>
          <w:tcPr>
            <w:tcW w:type="dxa" w:w="2600"/>
            <w:tcBorders>
              <w:top w:val="single" w:color="CCCCCC" w:sz="1"/>
              <w:left w:val="single" w:color="CCCCCC" w:sz="1"/>
              <w:bottom w:val="single" w:color="CCCCCC" w:sz="1"/>
              <w:right w:val="single" w:color="CCCCCC" w:sz="1"/>
            </w:tcBorders>
            <w:shd w:fill="F8D7DA" w:val="clear"/>
            <w:tcMar>
              <w:top w:type="dxa" w:w="80"/>
              <w:left w:type="dxa" w:w="120"/>
              <w:bottom w:type="dxa" w:w="80"/>
              <w:right w:type="dxa" w:w="120"/>
            </w:tcMar>
          </w:tcPr>
          <w:p>
            <w:r>
              <w:rPr>
                <w:rFonts w:ascii="Arial" w:cs="Arial" w:eastAsia="Arial" w:hAnsi="Arial"/>
                <w:b/>
                <w:bCs/>
                <w:color w:val="721C24"/>
                <w:sz w:val="18"/>
                <w:szCs w:val="18"/>
              </w:rPr>
              <w:t xml:space="preserve">CRITICAL</w:t>
            </w:r>
          </w:p>
        </w:tc>
      </w:tr>
      <w:tr>
        <w:tc>
          <w:tcPr>
            <w:tcW w:type="dxa" w:w="48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color w:val="000000"/>
                <w:sz w:val="18"/>
                <w:szCs w:val="18"/>
              </w:rPr>
              <w:t xml:space="preserve">2</w:t>
            </w:r>
          </w:p>
        </w:tc>
        <w:tc>
          <w:tcPr>
            <w:tcW w:type="dxa" w:w="24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color w:val="000000"/>
                <w:sz w:val="18"/>
                <w:szCs w:val="18"/>
              </w:rPr>
              <w:t xml:space="preserve">Related Party Director Overlap</w:t>
            </w:r>
          </w:p>
        </w:tc>
        <w:tc>
          <w:tcPr>
            <w:tcW w:type="dxa" w:w="388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color w:val="000000"/>
                <w:sz w:val="18"/>
                <w:szCs w:val="18"/>
              </w:rPr>
              <w:t xml:space="preserve">Director on board of significant counterparty. Value &gt;₹5L.</w:t>
            </w:r>
          </w:p>
        </w:tc>
        <w:tc>
          <w:tcPr>
            <w:tcW w:type="dxa" w:w="2600"/>
            <w:tcBorders>
              <w:top w:val="single" w:color="CCCCCC" w:sz="1"/>
              <w:left w:val="single" w:color="CCCCCC" w:sz="1"/>
              <w:bottom w:val="single" w:color="CCCCCC" w:sz="1"/>
              <w:right w:val="single" w:color="CCCCCC" w:sz="1"/>
            </w:tcBorders>
            <w:shd w:fill="FFF3CD" w:val="clear"/>
            <w:tcMar>
              <w:top w:type="dxa" w:w="80"/>
              <w:left w:type="dxa" w:w="120"/>
              <w:bottom w:type="dxa" w:w="80"/>
              <w:right w:type="dxa" w:w="120"/>
            </w:tcMar>
          </w:tcPr>
          <w:p>
            <w:r>
              <w:rPr>
                <w:rFonts w:ascii="Arial" w:cs="Arial" w:eastAsia="Arial" w:hAnsi="Arial"/>
                <w:b/>
                <w:bCs/>
                <w:color w:val="856404"/>
                <w:sz w:val="18"/>
                <w:szCs w:val="18"/>
              </w:rPr>
              <w:t xml:space="preserve">HIGH</w:t>
            </w:r>
          </w:p>
        </w:tc>
      </w:tr>
      <w:tr>
        <w:tc>
          <w:tcPr>
            <w:tcW w:type="dxa" w:w="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3</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Disqualified Director Active</w:t>
            </w:r>
          </w:p>
        </w:tc>
        <w:tc>
          <w:tcPr>
            <w:tcW w:type="dxa" w:w="3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Any match vs MCA disqualification list. Zero threshold.</w:t>
            </w:r>
          </w:p>
        </w:tc>
        <w:tc>
          <w:tcPr>
            <w:tcW w:type="dxa" w:w="2600"/>
            <w:tcBorders>
              <w:top w:val="single" w:color="CCCCCC" w:sz="1"/>
              <w:left w:val="single" w:color="CCCCCC" w:sz="1"/>
              <w:bottom w:val="single" w:color="CCCCCC" w:sz="1"/>
              <w:right w:val="single" w:color="CCCCCC" w:sz="1"/>
            </w:tcBorders>
            <w:shd w:fill="F8D7DA" w:val="clear"/>
            <w:tcMar>
              <w:top w:type="dxa" w:w="80"/>
              <w:left w:type="dxa" w:w="120"/>
              <w:bottom w:type="dxa" w:w="80"/>
              <w:right w:type="dxa" w:w="120"/>
            </w:tcMar>
          </w:tcPr>
          <w:p>
            <w:r>
              <w:rPr>
                <w:rFonts w:ascii="Arial" w:cs="Arial" w:eastAsia="Arial" w:hAnsi="Arial"/>
                <w:b/>
                <w:bCs/>
                <w:color w:val="721C24"/>
                <w:sz w:val="18"/>
                <w:szCs w:val="18"/>
              </w:rPr>
              <w:t xml:space="preserve">CRITICAL</w:t>
            </w:r>
          </w:p>
        </w:tc>
      </w:tr>
      <w:tr>
        <w:tc>
          <w:tcPr>
            <w:tcW w:type="dxa" w:w="48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color w:val="000000"/>
                <w:sz w:val="18"/>
                <w:szCs w:val="18"/>
              </w:rPr>
              <w:t xml:space="preserve">4</w:t>
            </w:r>
          </w:p>
        </w:tc>
        <w:tc>
          <w:tcPr>
            <w:tcW w:type="dxa" w:w="24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color w:val="000000"/>
                <w:sz w:val="18"/>
                <w:szCs w:val="18"/>
              </w:rPr>
              <w:t xml:space="preserve">Spider Web (High Board Count)</w:t>
            </w:r>
          </w:p>
        </w:tc>
        <w:tc>
          <w:tcPr>
            <w:tcW w:type="dxa" w:w="388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color w:val="000000"/>
                <w:sz w:val="18"/>
                <w:szCs w:val="18"/>
              </w:rPr>
              <w:t xml:space="preserve">&gt;10 directorships = MEDIUM. &gt;15 = HIGH.</w:t>
            </w:r>
          </w:p>
        </w:tc>
        <w:tc>
          <w:tcPr>
            <w:tcW w:type="dxa" w:w="2600"/>
            <w:tcBorders>
              <w:top w:val="single" w:color="CCCCCC" w:sz="1"/>
              <w:left w:val="single" w:color="CCCCCC" w:sz="1"/>
              <w:bottom w:val="single" w:color="CCCCCC" w:sz="1"/>
              <w:right w:val="single" w:color="CCCCCC" w:sz="1"/>
            </w:tcBorders>
            <w:shd w:fill="FFF3CD" w:val="clear"/>
            <w:tcMar>
              <w:top w:type="dxa" w:w="80"/>
              <w:left w:type="dxa" w:w="120"/>
              <w:bottom w:type="dxa" w:w="80"/>
              <w:right w:type="dxa" w:w="120"/>
            </w:tcMar>
          </w:tcPr>
          <w:p>
            <w:r>
              <w:rPr>
                <w:rFonts w:ascii="Arial" w:cs="Arial" w:eastAsia="Arial" w:hAnsi="Arial"/>
                <w:b/>
                <w:bCs/>
                <w:color w:val="856404"/>
                <w:sz w:val="18"/>
                <w:szCs w:val="18"/>
              </w:rPr>
              <w:t xml:space="preserve">MEDIUM/HIGH</w:t>
            </w:r>
          </w:p>
        </w:tc>
      </w:tr>
      <w:tr>
        <w:tc>
          <w:tcPr>
            <w:tcW w:type="dxa" w:w="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5</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Multi-Hop Related Party Chain</w:t>
            </w:r>
          </w:p>
        </w:tc>
        <w:tc>
          <w:tcPr>
            <w:tcW w:type="dxa" w:w="3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Promoter → Co A → Co B → Target. 2-hop obfuscation.</w:t>
            </w:r>
          </w:p>
        </w:tc>
        <w:tc>
          <w:tcPr>
            <w:tcW w:type="dxa" w:w="2600"/>
            <w:tcBorders>
              <w:top w:val="single" w:color="CCCCCC" w:sz="1"/>
              <w:left w:val="single" w:color="CCCCCC" w:sz="1"/>
              <w:bottom w:val="single" w:color="CCCCCC" w:sz="1"/>
              <w:right w:val="single" w:color="CCCCCC" w:sz="1"/>
            </w:tcBorders>
            <w:shd w:fill="FFF3CD" w:val="clear"/>
            <w:tcMar>
              <w:top w:type="dxa" w:w="80"/>
              <w:left w:type="dxa" w:w="120"/>
              <w:bottom w:type="dxa" w:w="80"/>
              <w:right w:type="dxa" w:w="120"/>
            </w:tcMar>
          </w:tcPr>
          <w:p>
            <w:r>
              <w:rPr>
                <w:rFonts w:ascii="Arial" w:cs="Arial" w:eastAsia="Arial" w:hAnsi="Arial"/>
                <w:b/>
                <w:bCs/>
                <w:color w:val="856404"/>
                <w:sz w:val="18"/>
                <w:szCs w:val="18"/>
              </w:rPr>
              <w:t xml:space="preserve">HIGH</w:t>
            </w:r>
          </w:p>
        </w:tc>
      </w:tr>
      <w:tr>
        <w:tc>
          <w:tcPr>
            <w:tcW w:type="dxa" w:w="48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color w:val="000000"/>
                <w:sz w:val="18"/>
                <w:szCs w:val="18"/>
              </w:rPr>
              <w:t xml:space="preserve">6</w:t>
            </w:r>
          </w:p>
        </w:tc>
        <w:tc>
          <w:tcPr>
            <w:tcW w:type="dxa" w:w="24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color w:val="000000"/>
                <w:sz w:val="18"/>
                <w:szCs w:val="18"/>
              </w:rPr>
              <w:t xml:space="preserve">Revenue Concentration in Related Party</w:t>
            </w:r>
          </w:p>
        </w:tc>
        <w:tc>
          <w:tcPr>
            <w:tcW w:type="dxa" w:w="388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color w:val="000000"/>
                <w:sz w:val="18"/>
                <w:szCs w:val="18"/>
              </w:rPr>
              <w:t xml:space="preserve">&gt;30% revenue from single counterparty sharing director.</w:t>
            </w:r>
          </w:p>
        </w:tc>
        <w:tc>
          <w:tcPr>
            <w:tcW w:type="dxa" w:w="2600"/>
            <w:tcBorders>
              <w:top w:val="single" w:color="CCCCCC" w:sz="1"/>
              <w:left w:val="single" w:color="CCCCCC" w:sz="1"/>
              <w:bottom w:val="single" w:color="CCCCCC" w:sz="1"/>
              <w:right w:val="single" w:color="CCCCCC" w:sz="1"/>
            </w:tcBorders>
            <w:shd w:fill="FFF3CD" w:val="clear"/>
            <w:tcMar>
              <w:top w:type="dxa" w:w="80"/>
              <w:left w:type="dxa" w:w="120"/>
              <w:bottom w:type="dxa" w:w="80"/>
              <w:right w:type="dxa" w:w="120"/>
            </w:tcMar>
          </w:tcPr>
          <w:p>
            <w:r>
              <w:rPr>
                <w:rFonts w:ascii="Arial" w:cs="Arial" w:eastAsia="Arial" w:hAnsi="Arial"/>
                <w:b/>
                <w:bCs/>
                <w:color w:val="856404"/>
                <w:sz w:val="18"/>
                <w:szCs w:val="18"/>
              </w:rPr>
              <w:t xml:space="preserve">HIGH</w:t>
            </w:r>
          </w:p>
        </w:tc>
      </w:tr>
      <w:tr>
        <w:tc>
          <w:tcPr>
            <w:tcW w:type="dxa" w:w="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7</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Entity Resolution (Jaccard/WCC)</w:t>
            </w:r>
          </w:p>
        </w:tc>
        <w:tc>
          <w:tcPr>
            <w:tcW w:type="dxa" w:w="3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WCC clusters companies sharing phone, address, PAN prefix, CA firm.</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MEDIUM</w:t>
            </w:r>
          </w:p>
        </w:tc>
      </w:tr>
      <w:tr>
        <w:tc>
          <w:tcPr>
            <w:tcW w:type="dxa" w:w="48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color w:val="000000"/>
                <w:sz w:val="18"/>
                <w:szCs w:val="18"/>
              </w:rPr>
              <w:t xml:space="preserve">8</w:t>
            </w:r>
          </w:p>
        </w:tc>
        <w:tc>
          <w:tcPr>
            <w:tcW w:type="dxa" w:w="24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color w:val="000000"/>
                <w:sz w:val="18"/>
                <w:szCs w:val="18"/>
              </w:rPr>
              <w:t xml:space="preserve">ITC Carousel Ring</w:t>
            </w:r>
          </w:p>
        </w:tc>
        <w:tc>
          <w:tcPr>
            <w:tcW w:type="dxa" w:w="388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color w:val="000000"/>
                <w:sz w:val="18"/>
                <w:szCs w:val="18"/>
              </w:rPr>
              <w:t xml:space="preserve">GDS SCC on CLAIMS_ITC_FROM. Any ring &gt;2 GSTINs, ITC &gt;₹10L.</w:t>
            </w:r>
          </w:p>
        </w:tc>
        <w:tc>
          <w:tcPr>
            <w:tcW w:type="dxa" w:w="2600"/>
            <w:tcBorders>
              <w:top w:val="single" w:color="CCCCCC" w:sz="1"/>
              <w:left w:val="single" w:color="CCCCCC" w:sz="1"/>
              <w:bottom w:val="single" w:color="CCCCCC" w:sz="1"/>
              <w:right w:val="single" w:color="CCCCCC" w:sz="1"/>
            </w:tcBorders>
            <w:shd w:fill="F8D7DA" w:val="clear"/>
            <w:tcMar>
              <w:top w:type="dxa" w:w="80"/>
              <w:left w:type="dxa" w:w="120"/>
              <w:bottom w:type="dxa" w:w="80"/>
              <w:right w:type="dxa" w:w="120"/>
            </w:tcMar>
          </w:tcPr>
          <w:p>
            <w:r>
              <w:rPr>
                <w:rFonts w:ascii="Arial" w:cs="Arial" w:eastAsia="Arial" w:hAnsi="Arial"/>
                <w:b/>
                <w:bCs/>
                <w:color w:val="721C24"/>
                <w:sz w:val="18"/>
                <w:szCs w:val="18"/>
              </w:rPr>
              <w:t xml:space="preserve">CRITICAL</w:t>
            </w:r>
          </w:p>
        </w:tc>
      </w:tr>
      <w:tr>
        <w:tc>
          <w:tcPr>
            <w:tcW w:type="dxa" w:w="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9</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Missing Trader Detection</w:t>
            </w:r>
          </w:p>
        </w:tc>
        <w:tc>
          <w:tcPr>
            <w:tcW w:type="dxa" w:w="3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tax_paid / itc_generated_for_others &lt; 0.05.</w:t>
            </w:r>
          </w:p>
        </w:tc>
        <w:tc>
          <w:tcPr>
            <w:tcW w:type="dxa" w:w="2600"/>
            <w:tcBorders>
              <w:top w:val="single" w:color="CCCCCC" w:sz="1"/>
              <w:left w:val="single" w:color="CCCCCC" w:sz="1"/>
              <w:bottom w:val="single" w:color="CCCCCC" w:sz="1"/>
              <w:right w:val="single" w:color="CCCCCC" w:sz="1"/>
            </w:tcBorders>
            <w:shd w:fill="F8D7DA" w:val="clear"/>
            <w:tcMar>
              <w:top w:type="dxa" w:w="80"/>
              <w:left w:type="dxa" w:w="120"/>
              <w:bottom w:type="dxa" w:w="80"/>
              <w:right w:type="dxa" w:w="120"/>
            </w:tcMar>
          </w:tcPr>
          <w:p>
            <w:r>
              <w:rPr>
                <w:rFonts w:ascii="Arial" w:cs="Arial" w:eastAsia="Arial" w:hAnsi="Arial"/>
                <w:b/>
                <w:bCs/>
                <w:color w:val="721C24"/>
                <w:sz w:val="18"/>
                <w:szCs w:val="18"/>
              </w:rPr>
              <w:t xml:space="preserve">CRITICAL</w:t>
            </w:r>
          </w:p>
        </w:tc>
      </w:tr>
      <w:tr>
        <w:tc>
          <w:tcPr>
            <w:tcW w:type="dxa" w:w="48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color w:val="000000"/>
                <w:sz w:val="18"/>
                <w:szCs w:val="18"/>
              </w:rPr>
              <w:t xml:space="preserve">10</w:t>
            </w:r>
          </w:p>
        </w:tc>
        <w:tc>
          <w:tcPr>
            <w:tcW w:type="dxa" w:w="24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color w:val="000000"/>
                <w:sz w:val="18"/>
                <w:szCs w:val="18"/>
              </w:rPr>
              <w:t xml:space="preserve">Cancelled GSTIN Still Claiming ITC</w:t>
            </w:r>
          </w:p>
        </w:tc>
        <w:tc>
          <w:tcPr>
            <w:tcW w:type="dxa" w:w="388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color w:val="000000"/>
                <w:sz w:val="18"/>
                <w:szCs w:val="18"/>
              </w:rPr>
              <w:t xml:space="preserve">Active CLAIMS_ITC_FROM where source.is_cancelled = true.</w:t>
            </w:r>
          </w:p>
        </w:tc>
        <w:tc>
          <w:tcPr>
            <w:tcW w:type="dxa" w:w="2600"/>
            <w:tcBorders>
              <w:top w:val="single" w:color="CCCCCC" w:sz="1"/>
              <w:left w:val="single" w:color="CCCCCC" w:sz="1"/>
              <w:bottom w:val="single" w:color="CCCCCC" w:sz="1"/>
              <w:right w:val="single" w:color="CCCCCC" w:sz="1"/>
            </w:tcBorders>
            <w:shd w:fill="F8D7DA" w:val="clear"/>
            <w:tcMar>
              <w:top w:type="dxa" w:w="80"/>
              <w:left w:type="dxa" w:w="120"/>
              <w:bottom w:type="dxa" w:w="80"/>
              <w:right w:type="dxa" w:w="120"/>
            </w:tcMar>
          </w:tcPr>
          <w:p>
            <w:r>
              <w:rPr>
                <w:rFonts w:ascii="Arial" w:cs="Arial" w:eastAsia="Arial" w:hAnsi="Arial"/>
                <w:b/>
                <w:bCs/>
                <w:color w:val="721C24"/>
                <w:sz w:val="18"/>
                <w:szCs w:val="18"/>
              </w:rPr>
              <w:t xml:space="preserve">CRITICAL</w:t>
            </w:r>
          </w:p>
        </w:tc>
      </w:tr>
      <w:tr>
        <w:tc>
          <w:tcPr>
            <w:tcW w:type="dxa" w:w="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11</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New GSTIN High ITC Generator</w:t>
            </w:r>
          </w:p>
        </w:tc>
        <w:tc>
          <w:tcPr>
            <w:tcW w:type="dxa" w:w="3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Registration &lt; 6 months AND total ITC generated &gt; ₹50L.</w:t>
            </w:r>
          </w:p>
        </w:tc>
        <w:tc>
          <w:tcPr>
            <w:tcW w:type="dxa" w:w="2600"/>
            <w:tcBorders>
              <w:top w:val="single" w:color="CCCCCC" w:sz="1"/>
              <w:left w:val="single" w:color="CCCCCC" w:sz="1"/>
              <w:bottom w:val="single" w:color="CCCCCC" w:sz="1"/>
              <w:right w:val="single" w:color="CCCCCC" w:sz="1"/>
            </w:tcBorders>
            <w:shd w:fill="FFF3CD" w:val="clear"/>
            <w:tcMar>
              <w:top w:type="dxa" w:w="80"/>
              <w:left w:type="dxa" w:w="120"/>
              <w:bottom w:type="dxa" w:w="80"/>
              <w:right w:type="dxa" w:w="120"/>
            </w:tcMar>
          </w:tcPr>
          <w:p>
            <w:r>
              <w:rPr>
                <w:rFonts w:ascii="Arial" w:cs="Arial" w:eastAsia="Arial" w:hAnsi="Arial"/>
                <w:b/>
                <w:bCs/>
                <w:color w:val="856404"/>
                <w:sz w:val="18"/>
                <w:szCs w:val="18"/>
              </w:rPr>
              <w:t xml:space="preserve">HIGH</w:t>
            </w:r>
          </w:p>
        </w:tc>
      </w:tr>
      <w:tr>
        <w:tc>
          <w:tcPr>
            <w:tcW w:type="dxa" w:w="48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color w:val="000000"/>
                <w:sz w:val="18"/>
                <w:szCs w:val="18"/>
              </w:rPr>
              <w:t xml:space="preserve">12</w:t>
            </w:r>
          </w:p>
        </w:tc>
        <w:tc>
          <w:tcPr>
            <w:tcW w:type="dxa" w:w="24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color w:val="000000"/>
                <w:sz w:val="18"/>
                <w:szCs w:val="18"/>
              </w:rPr>
              <w:t xml:space="preserve">Multi-Hop ITC Chain + Shared Director</w:t>
            </w:r>
          </w:p>
        </w:tc>
        <w:tc>
          <w:tcPr>
            <w:tcW w:type="dxa" w:w="388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color w:val="000000"/>
                <w:sz w:val="18"/>
                <w:szCs w:val="18"/>
              </w:rPr>
              <w:t xml:space="preserve">ITC chain depth 3–6 hops, originator shares director with claimant.</w:t>
            </w:r>
          </w:p>
        </w:tc>
        <w:tc>
          <w:tcPr>
            <w:tcW w:type="dxa" w:w="2600"/>
            <w:tcBorders>
              <w:top w:val="single" w:color="CCCCCC" w:sz="1"/>
              <w:left w:val="single" w:color="CCCCCC" w:sz="1"/>
              <w:bottom w:val="single" w:color="CCCCCC" w:sz="1"/>
              <w:right w:val="single" w:color="CCCCCC" w:sz="1"/>
            </w:tcBorders>
            <w:shd w:fill="F8D7DA" w:val="clear"/>
            <w:tcMar>
              <w:top w:type="dxa" w:w="80"/>
              <w:left w:type="dxa" w:w="120"/>
              <w:bottom w:type="dxa" w:w="80"/>
              <w:right w:type="dxa" w:w="120"/>
            </w:tcMar>
          </w:tcPr>
          <w:p>
            <w:r>
              <w:rPr>
                <w:rFonts w:ascii="Arial" w:cs="Arial" w:eastAsia="Arial" w:hAnsi="Arial"/>
                <w:b/>
                <w:bCs/>
                <w:color w:val="721C24"/>
                <w:sz w:val="18"/>
                <w:szCs w:val="18"/>
              </w:rPr>
              <w:t xml:space="preserve">CRITICAL</w:t>
            </w:r>
          </w:p>
        </w:tc>
      </w:tr>
      <w:tr>
        <w:tc>
          <w:tcPr>
            <w:tcW w:type="dxa" w:w="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13</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Round-Trip Repayment</w:t>
            </w:r>
          </w:p>
        </w:tc>
        <w:tc>
          <w:tcPr>
            <w:tcW w:type="dxa" w:w="3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Repayment by A, new loan to director-connected B within 30 days, amount within 15%.</w:t>
            </w:r>
          </w:p>
        </w:tc>
        <w:tc>
          <w:tcPr>
            <w:tcW w:type="dxa" w:w="2600"/>
            <w:tcBorders>
              <w:top w:val="single" w:color="CCCCCC" w:sz="1"/>
              <w:left w:val="single" w:color="CCCCCC" w:sz="1"/>
              <w:bottom w:val="single" w:color="CCCCCC" w:sz="1"/>
              <w:right w:val="single" w:color="CCCCCC" w:sz="1"/>
            </w:tcBorders>
            <w:shd w:fill="F8D7DA" w:val="clear"/>
            <w:tcMar>
              <w:top w:type="dxa" w:w="80"/>
              <w:left w:type="dxa" w:w="120"/>
              <w:bottom w:type="dxa" w:w="80"/>
              <w:right w:type="dxa" w:w="120"/>
            </w:tcMar>
          </w:tcPr>
          <w:p>
            <w:r>
              <w:rPr>
                <w:rFonts w:ascii="Arial" w:cs="Arial" w:eastAsia="Arial" w:hAnsi="Arial"/>
                <w:b/>
                <w:bCs/>
                <w:color w:val="721C24"/>
                <w:sz w:val="18"/>
                <w:szCs w:val="18"/>
              </w:rPr>
              <w:t xml:space="preserve">CRITICAL</w:t>
            </w:r>
          </w:p>
        </w:tc>
      </w:tr>
      <w:tr>
        <w:tc>
          <w:tcPr>
            <w:tcW w:type="dxa" w:w="48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color w:val="000000"/>
                <w:sz w:val="18"/>
                <w:szCs w:val="18"/>
              </w:rPr>
              <w:t xml:space="preserve">14</w:t>
            </w:r>
          </w:p>
        </w:tc>
        <w:tc>
          <w:tcPr>
            <w:tcW w:type="dxa" w:w="24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color w:val="000000"/>
                <w:sz w:val="18"/>
                <w:szCs w:val="18"/>
              </w:rPr>
              <w:t xml:space="preserve">Serial Short-Term Charge Cycling</w:t>
            </w:r>
          </w:p>
        </w:tc>
        <w:tc>
          <w:tcPr>
            <w:tcW w:type="dxa" w:w="388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color w:val="000000"/>
                <w:sz w:val="18"/>
                <w:szCs w:val="18"/>
              </w:rPr>
              <w:t xml:space="preserve">3+ charge create-satisfy cycles, same lender, gap &lt; 45 days.</w:t>
            </w:r>
          </w:p>
        </w:tc>
        <w:tc>
          <w:tcPr>
            <w:tcW w:type="dxa" w:w="2600"/>
            <w:tcBorders>
              <w:top w:val="single" w:color="CCCCCC" w:sz="1"/>
              <w:left w:val="single" w:color="CCCCCC" w:sz="1"/>
              <w:bottom w:val="single" w:color="CCCCCC" w:sz="1"/>
              <w:right w:val="single" w:color="CCCCCC" w:sz="1"/>
            </w:tcBorders>
            <w:shd w:fill="FFF3CD" w:val="clear"/>
            <w:tcMar>
              <w:top w:type="dxa" w:w="80"/>
              <w:left w:type="dxa" w:w="120"/>
              <w:bottom w:type="dxa" w:w="80"/>
              <w:right w:type="dxa" w:w="120"/>
            </w:tcMar>
          </w:tcPr>
          <w:p>
            <w:r>
              <w:rPr>
                <w:rFonts w:ascii="Arial" w:cs="Arial" w:eastAsia="Arial" w:hAnsi="Arial"/>
                <w:b/>
                <w:bCs/>
                <w:color w:val="856404"/>
                <w:sz w:val="18"/>
                <w:szCs w:val="18"/>
              </w:rPr>
              <w:t xml:space="preserve">HIGH→CRITICAL</w:t>
            </w:r>
          </w:p>
        </w:tc>
      </w:tr>
      <w:tr>
        <w:tc>
          <w:tcPr>
            <w:tcW w:type="dxa" w:w="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15</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Shell Conduit Detection</w:t>
            </w:r>
          </w:p>
        </w:tc>
        <w:tc>
          <w:tcPr>
            <w:tcW w:type="dxa" w:w="3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Shell (≤2 employees, &lt;24 months old) receives fresh loan, shares director with ultimate beneficiary.</w:t>
            </w:r>
          </w:p>
        </w:tc>
        <w:tc>
          <w:tcPr>
            <w:tcW w:type="dxa" w:w="2600"/>
            <w:tcBorders>
              <w:top w:val="single" w:color="CCCCCC" w:sz="1"/>
              <w:left w:val="single" w:color="CCCCCC" w:sz="1"/>
              <w:bottom w:val="single" w:color="CCCCCC" w:sz="1"/>
              <w:right w:val="single" w:color="CCCCCC" w:sz="1"/>
            </w:tcBorders>
            <w:shd w:fill="F8D7DA" w:val="clear"/>
            <w:tcMar>
              <w:top w:type="dxa" w:w="80"/>
              <w:left w:type="dxa" w:w="120"/>
              <w:bottom w:type="dxa" w:w="80"/>
              <w:right w:type="dxa" w:w="120"/>
            </w:tcMar>
          </w:tcPr>
          <w:p>
            <w:r>
              <w:rPr>
                <w:rFonts w:ascii="Arial" w:cs="Arial" w:eastAsia="Arial" w:hAnsi="Arial"/>
                <w:b/>
                <w:bCs/>
                <w:color w:val="721C24"/>
                <w:sz w:val="18"/>
                <w:szCs w:val="18"/>
              </w:rPr>
              <w:t xml:space="preserve">CRITICAL</w:t>
            </w:r>
          </w:p>
        </w:tc>
      </w:tr>
      <w:tr>
        <w:tc>
          <w:tcPr>
            <w:tcW w:type="dxa" w:w="48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color w:val="000000"/>
                <w:sz w:val="18"/>
                <w:szCs w:val="18"/>
              </w:rPr>
              <w:t xml:space="preserve">16</w:t>
            </w:r>
          </w:p>
        </w:tc>
        <w:tc>
          <w:tcPr>
            <w:tcW w:type="dxa" w:w="24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color w:val="000000"/>
                <w:sz w:val="18"/>
                <w:szCs w:val="18"/>
              </w:rPr>
              <w:t xml:space="preserve">NPA Vintage Mismatch</w:t>
            </w:r>
          </w:p>
        </w:tc>
        <w:tc>
          <w:tcPr>
            <w:tcW w:type="dxa" w:w="388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color w:val="000000"/>
                <w:sz w:val="18"/>
                <w:szCs w:val="18"/>
              </w:rPr>
              <w:t xml:space="preserve">Active CERSAI charge &gt;90 days, zero repayment events on record.</w:t>
            </w:r>
          </w:p>
        </w:tc>
        <w:tc>
          <w:tcPr>
            <w:tcW w:type="dxa" w:w="2600"/>
            <w:tcBorders>
              <w:top w:val="single" w:color="CCCCCC" w:sz="1"/>
              <w:left w:val="single" w:color="CCCCCC" w:sz="1"/>
              <w:bottom w:val="single" w:color="CCCCCC" w:sz="1"/>
              <w:right w:val="single" w:color="CCCCCC" w:sz="1"/>
            </w:tcBorders>
            <w:shd w:fill="FFF3CD" w:val="clear"/>
            <w:tcMar>
              <w:top w:type="dxa" w:w="80"/>
              <w:left w:type="dxa" w:w="120"/>
              <w:bottom w:type="dxa" w:w="80"/>
              <w:right w:type="dxa" w:w="120"/>
            </w:tcMar>
          </w:tcPr>
          <w:p>
            <w:r>
              <w:rPr>
                <w:rFonts w:ascii="Arial" w:cs="Arial" w:eastAsia="Arial" w:hAnsi="Arial"/>
                <w:b/>
                <w:bCs/>
                <w:color w:val="856404"/>
                <w:sz w:val="18"/>
                <w:szCs w:val="18"/>
              </w:rPr>
              <w:t xml:space="preserve">HIGH</w:t>
            </w:r>
          </w:p>
        </w:tc>
      </w:tr>
      <w:tr>
        <w:tc>
          <w:tcPr>
            <w:tcW w:type="dxa" w:w="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17</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Multi-Entity Exposure Concentration</w:t>
            </w:r>
          </w:p>
        </w:tc>
        <w:tc>
          <w:tcPr>
            <w:tcW w:type="dxa" w:w="3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Total director-connected group exposure to same lender &gt;₹10 cr.</w:t>
            </w:r>
          </w:p>
        </w:tc>
        <w:tc>
          <w:tcPr>
            <w:tcW w:type="dxa" w:w="2600"/>
            <w:tcBorders>
              <w:top w:val="single" w:color="CCCCCC" w:sz="1"/>
              <w:left w:val="single" w:color="CCCCCC" w:sz="1"/>
              <w:bottom w:val="single" w:color="CCCCCC" w:sz="1"/>
              <w:right w:val="single" w:color="CCCCCC" w:sz="1"/>
            </w:tcBorders>
            <w:shd w:fill="FFF3CD" w:val="clear"/>
            <w:tcMar>
              <w:top w:type="dxa" w:w="80"/>
              <w:left w:type="dxa" w:w="120"/>
              <w:bottom w:type="dxa" w:w="80"/>
              <w:right w:type="dxa" w:w="120"/>
            </w:tcMar>
          </w:tcPr>
          <w:p>
            <w:r>
              <w:rPr>
                <w:rFonts w:ascii="Arial" w:cs="Arial" w:eastAsia="Arial" w:hAnsi="Arial"/>
                <w:b/>
                <w:bCs/>
                <w:color w:val="856404"/>
                <w:sz w:val="18"/>
                <w:szCs w:val="18"/>
              </w:rPr>
              <w:t xml:space="preserve">HIGH</w:t>
            </w:r>
          </w:p>
        </w:tc>
      </w:tr>
    </w:tbl>
    <w:p>
      <w:pPr>
        <w:spacing w:after="60" w:before="60"/>
      </w:pPr>
      <w:r>
        <w:t xml:space="preserve"/>
      </w:r>
    </w:p>
    <w:p>
      <w:pPr>
        <w:pStyle w:val="Heading2"/>
        <w:spacing w:after="120" w:before="240"/>
      </w:pPr>
      <w:r>
        <w:rPr>
          <w:rFonts w:ascii="Arial" w:cs="Arial" w:eastAsia="Arial" w:hAnsi="Arial"/>
          <w:b/>
          <w:bCs/>
          <w:color w:val="2E4A7A"/>
          <w:sz w:val="26"/>
          <w:szCs w:val="26"/>
        </w:rPr>
        <w:t xml:space="preserve">4.5 Module 5 — Peer Deviation</w:t>
      </w:r>
    </w:p>
    <w:p>
      <w:pPr>
        <w:spacing w:after="60" w:before="60"/>
      </w:pPr>
      <w:r>
        <w:rPr>
          <w:rFonts w:ascii="Arial" w:cs="Arial" w:eastAsia="Arial" w:hAnsi="Arial"/>
          <w:b w:val="false"/>
          <w:bCs w:val="false"/>
          <w:sz w:val="18"/>
          <w:szCs w:val="18"/>
        </w:rPr>
        <w:t xml:space="preserve">Company key ratios vs BSE SME industry benchmarks (p25/median/p75 by NIC code). Z-score per metric. Score increases with number and magnitude of outlier ratios.</w:t>
      </w:r>
    </w:p>
    <w:p>
      <w:pPr>
        <w:spacing w:after="60" w:before="60"/>
      </w:pPr>
      <w:r>
        <w:t xml:space="preserve"/>
      </w:r>
    </w:p>
    <w:p>
      <w:pPr>
        <w:pStyle w:val="Heading2"/>
        <w:spacing w:after="120" w:before="240"/>
      </w:pPr>
      <w:r>
        <w:rPr>
          <w:rFonts w:ascii="Arial" w:cs="Arial" w:eastAsia="Arial" w:hAnsi="Arial"/>
          <w:b/>
          <w:bCs/>
          <w:color w:val="2E4A7A"/>
          <w:sz w:val="26"/>
          <w:szCs w:val="26"/>
        </w:rPr>
        <w:t xml:space="preserve">4.6 Module 6 — Temporal Behavioural Signals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840"/>
        <w:gridCol w:w="2400"/>
      </w:tblGrid>
      <w:tr>
        <w:tc>
          <w:tcPr>
            <w:tcW w:type="dxa" w:w="3120"/>
            <w:tcBorders>
              <w:top w:val="single" w:color="1F3864" w:sz="2"/>
              <w:left w:val="single" w:color="1F3864" w:sz="2"/>
              <w:bottom w:val="single" w:color="1F3864" w:sz="2"/>
              <w:right w:val="single" w:color="1F3864" w:sz="2"/>
            </w:tcBorders>
            <w:shd w:fill="1F3864" w:val="clear"/>
            <w:tcMar>
              <w:top w:type="dxa" w:w="80"/>
              <w:left w:type="dxa" w:w="120"/>
              <w:bottom w:type="dxa" w:w="80"/>
              <w:right w:type="dxa" w:w="120"/>
            </w:tcMar>
          </w:tcPr>
          <w:p>
            <w:pPr>
              <w:jc w:val="center"/>
            </w:pPr>
            <w:r>
              <w:rPr>
                <w:rFonts w:ascii="Arial" w:cs="Arial" w:eastAsia="Arial" w:hAnsi="Arial"/>
                <w:b/>
                <w:bCs/>
                <w:color w:val="FFFFFF"/>
                <w:sz w:val="19"/>
                <w:szCs w:val="19"/>
              </w:rPr>
              <w:t xml:space="preserve">Signal</w:t>
            </w:r>
          </w:p>
        </w:tc>
        <w:tc>
          <w:tcPr>
            <w:tcW w:type="dxa" w:w="3840"/>
            <w:tcBorders>
              <w:top w:val="single" w:color="1F3864" w:sz="2"/>
              <w:left w:val="single" w:color="1F3864" w:sz="2"/>
              <w:bottom w:val="single" w:color="1F3864" w:sz="2"/>
              <w:right w:val="single" w:color="1F3864" w:sz="2"/>
            </w:tcBorders>
            <w:shd w:fill="1F3864" w:val="clear"/>
            <w:tcMar>
              <w:top w:type="dxa" w:w="80"/>
              <w:left w:type="dxa" w:w="120"/>
              <w:bottom w:type="dxa" w:w="80"/>
              <w:right w:type="dxa" w:w="120"/>
            </w:tcMar>
          </w:tcPr>
          <w:p>
            <w:pPr>
              <w:jc w:val="center"/>
            </w:pPr>
            <w:r>
              <w:rPr>
                <w:rFonts w:ascii="Arial" w:cs="Arial" w:eastAsia="Arial" w:hAnsi="Arial"/>
                <w:b/>
                <w:bCs/>
                <w:color w:val="FFFFFF"/>
                <w:sz w:val="19"/>
                <w:szCs w:val="19"/>
              </w:rPr>
              <w:t xml:space="preserve">Logic</w:t>
            </w:r>
          </w:p>
        </w:tc>
        <w:tc>
          <w:tcPr>
            <w:tcW w:type="dxa" w:w="2400"/>
            <w:tcBorders>
              <w:top w:val="single" w:color="1F3864" w:sz="2"/>
              <w:left w:val="single" w:color="1F3864" w:sz="2"/>
              <w:bottom w:val="single" w:color="1F3864" w:sz="2"/>
              <w:right w:val="single" w:color="1F3864" w:sz="2"/>
            </w:tcBorders>
            <w:shd w:fill="1F3864" w:val="clear"/>
            <w:tcMar>
              <w:top w:type="dxa" w:w="80"/>
              <w:left w:type="dxa" w:w="120"/>
              <w:bottom w:type="dxa" w:w="80"/>
              <w:right w:type="dxa" w:w="120"/>
            </w:tcMar>
          </w:tcPr>
          <w:p>
            <w:pPr>
              <w:jc w:val="center"/>
            </w:pPr>
            <w:r>
              <w:rPr>
                <w:rFonts w:ascii="Arial" w:cs="Arial" w:eastAsia="Arial" w:hAnsi="Arial"/>
                <w:b/>
                <w:bCs/>
                <w:color w:val="FFFFFF"/>
                <w:sz w:val="19"/>
                <w:szCs w:val="19"/>
              </w:rPr>
              <w:t xml:space="preserve">Severity</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Director change pre-filing</w:t>
            </w:r>
          </w:p>
        </w:tc>
        <w:tc>
          <w:tcPr>
            <w:tcW w:type="dxa" w:w="38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Director exits within 90 days before large loan application.</w:t>
            </w:r>
          </w:p>
        </w:tc>
        <w:tc>
          <w:tcPr>
            <w:tcW w:type="dxa" w:w="2400"/>
            <w:tcBorders>
              <w:top w:val="single" w:color="CCCCCC" w:sz="1"/>
              <w:left w:val="single" w:color="CCCCCC" w:sz="1"/>
              <w:bottom w:val="single" w:color="CCCCCC" w:sz="1"/>
              <w:right w:val="single" w:color="CCCCCC" w:sz="1"/>
            </w:tcBorders>
            <w:shd w:fill="FFF3CD" w:val="clear"/>
            <w:tcMar>
              <w:top w:type="dxa" w:w="80"/>
              <w:left w:type="dxa" w:w="120"/>
              <w:bottom w:type="dxa" w:w="80"/>
              <w:right w:type="dxa" w:w="120"/>
            </w:tcMar>
          </w:tcPr>
          <w:p>
            <w:r>
              <w:rPr>
                <w:rFonts w:ascii="Arial" w:cs="Arial" w:eastAsia="Arial" w:hAnsi="Arial"/>
                <w:b/>
                <w:bCs/>
                <w:color w:val="856404"/>
                <w:sz w:val="18"/>
                <w:szCs w:val="18"/>
              </w:rPr>
              <w:t xml:space="preserve">HIGH</w:t>
            </w:r>
          </w:p>
        </w:tc>
      </w:tr>
      <w:tr>
        <w:tc>
          <w:tcPr>
            <w:tcW w:type="dxa" w:w="312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color w:val="000000"/>
                <w:sz w:val="18"/>
                <w:szCs w:val="18"/>
              </w:rPr>
              <w:t xml:space="preserve">Auditor change in most recent year</w:t>
            </w:r>
          </w:p>
        </w:tc>
        <w:tc>
          <w:tcPr>
            <w:tcW w:type="dxa" w:w="384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color w:val="000000"/>
                <w:sz w:val="18"/>
                <w:szCs w:val="18"/>
              </w:rPr>
              <w:t xml:space="preserve">Auditor name changes between year N-1 and year N.</w:t>
            </w:r>
          </w:p>
        </w:tc>
        <w:tc>
          <w:tcPr>
            <w:tcW w:type="dxa" w:w="2400"/>
            <w:tcBorders>
              <w:top w:val="single" w:color="CCCCCC" w:sz="1"/>
              <w:left w:val="single" w:color="CCCCCC" w:sz="1"/>
              <w:bottom w:val="single" w:color="CCCCCC" w:sz="1"/>
              <w:right w:val="single" w:color="CCCCCC" w:sz="1"/>
            </w:tcBorders>
            <w:shd w:fill="FFF3CD" w:val="clear"/>
            <w:tcMar>
              <w:top w:type="dxa" w:w="80"/>
              <w:left w:type="dxa" w:w="120"/>
              <w:bottom w:type="dxa" w:w="80"/>
              <w:right w:type="dxa" w:w="120"/>
            </w:tcMar>
          </w:tcPr>
          <w:p>
            <w:r>
              <w:rPr>
                <w:rFonts w:ascii="Arial" w:cs="Arial" w:eastAsia="Arial" w:hAnsi="Arial"/>
                <w:b/>
                <w:bCs/>
                <w:color w:val="856404"/>
                <w:sz w:val="18"/>
                <w:szCs w:val="18"/>
              </w:rPr>
              <w:t xml:space="preserve">HIGH</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Auditor is sole proprietor</w:t>
            </w:r>
          </w:p>
        </w:tc>
        <w:tc>
          <w:tcPr>
            <w:tcW w:type="dxa" w:w="38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Auditor firm = individual with no other listed clients.</w:t>
            </w:r>
          </w:p>
        </w:tc>
        <w:tc>
          <w:tcPr>
            <w:tcW w:type="dxa" w:w="2400"/>
            <w:tcBorders>
              <w:top w:val="single" w:color="CCCCCC" w:sz="1"/>
              <w:left w:val="single" w:color="CCCCCC" w:sz="1"/>
              <w:bottom w:val="single" w:color="CCCCCC" w:sz="1"/>
              <w:right w:val="single" w:color="CCCCCC" w:sz="1"/>
            </w:tcBorders>
            <w:shd w:fill="F8D7DA" w:val="clear"/>
            <w:tcMar>
              <w:top w:type="dxa" w:w="80"/>
              <w:left w:type="dxa" w:w="120"/>
              <w:bottom w:type="dxa" w:w="80"/>
              <w:right w:type="dxa" w:w="120"/>
            </w:tcMar>
          </w:tcPr>
          <w:p>
            <w:r>
              <w:rPr>
                <w:rFonts w:ascii="Arial" w:cs="Arial" w:eastAsia="Arial" w:hAnsi="Arial"/>
                <w:b/>
                <w:bCs/>
                <w:color w:val="721C24"/>
                <w:sz w:val="18"/>
                <w:szCs w:val="18"/>
              </w:rPr>
              <w:t xml:space="preserve">CRITICAL</w:t>
            </w:r>
          </w:p>
        </w:tc>
      </w:tr>
      <w:tr>
        <w:tc>
          <w:tcPr>
            <w:tcW w:type="dxa" w:w="312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color w:val="000000"/>
                <w:sz w:val="18"/>
                <w:szCs w:val="18"/>
              </w:rPr>
              <w:t xml:space="preserve">Filing delay + sudden improvement</w:t>
            </w:r>
          </w:p>
        </w:tc>
        <w:tc>
          <w:tcPr>
            <w:tcW w:type="dxa" w:w="384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color w:val="000000"/>
                <w:sz w:val="18"/>
                <w:szCs w:val="18"/>
              </w:rPr>
              <w:t xml:space="preserve">Late filing AND better financials than prior year.</w:t>
            </w:r>
          </w:p>
        </w:tc>
        <w:tc>
          <w:tcPr>
            <w:tcW w:type="dxa" w:w="2400"/>
            <w:tcBorders>
              <w:top w:val="single" w:color="CCCCCC" w:sz="1"/>
              <w:left w:val="single" w:color="CCCCCC" w:sz="1"/>
              <w:bottom w:val="single" w:color="CCCCCC" w:sz="1"/>
              <w:right w:val="single" w:color="CCCCCC" w:sz="1"/>
            </w:tcBorders>
            <w:shd w:fill="FFF3CD" w:val="clear"/>
            <w:tcMar>
              <w:top w:type="dxa" w:w="80"/>
              <w:left w:type="dxa" w:w="120"/>
              <w:bottom w:type="dxa" w:w="80"/>
              <w:right w:type="dxa" w:w="120"/>
            </w:tcMar>
          </w:tcPr>
          <w:p>
            <w:r>
              <w:rPr>
                <w:rFonts w:ascii="Arial" w:cs="Arial" w:eastAsia="Arial" w:hAnsi="Arial"/>
                <w:b/>
                <w:bCs/>
                <w:color w:val="856404"/>
                <w:sz w:val="18"/>
                <w:szCs w:val="18"/>
              </w:rPr>
              <w:t xml:space="preserve">HIGH</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Quarterly smoothing (CoV)</w:t>
            </w:r>
          </w:p>
        </w:tc>
        <w:tc>
          <w:tcPr>
            <w:tcW w:type="dxa" w:w="38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Revenue CoV across quarters &lt; 0.03 — unnaturally consistent.</w:t>
            </w:r>
          </w:p>
        </w:tc>
        <w:tc>
          <w:tcPr>
            <w:tcW w:type="dxa" w:w="2400"/>
            <w:tcBorders>
              <w:top w:val="single" w:color="CCCCCC" w:sz="1"/>
              <w:left w:val="single" w:color="CCCCCC" w:sz="1"/>
              <w:bottom w:val="single" w:color="CCCCCC" w:sz="1"/>
              <w:right w:val="single" w:color="CCCCCC" w:sz="1"/>
            </w:tcBorders>
            <w:shd w:fill="FFF3CD" w:val="clear"/>
            <w:tcMar>
              <w:top w:type="dxa" w:w="80"/>
              <w:left w:type="dxa" w:w="120"/>
              <w:bottom w:type="dxa" w:w="80"/>
              <w:right w:type="dxa" w:w="120"/>
            </w:tcMar>
          </w:tcPr>
          <w:p>
            <w:r>
              <w:rPr>
                <w:rFonts w:ascii="Arial" w:cs="Arial" w:eastAsia="Arial" w:hAnsi="Arial"/>
                <w:b/>
                <w:bCs/>
                <w:color w:val="856404"/>
                <w:sz w:val="18"/>
                <w:szCs w:val="18"/>
              </w:rPr>
              <w:t xml:space="preserve">HIGH</w:t>
            </w:r>
          </w:p>
        </w:tc>
      </w:tr>
      <w:tr>
        <w:tc>
          <w:tcPr>
            <w:tcW w:type="dxa" w:w="312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color w:val="000000"/>
                <w:sz w:val="18"/>
                <w:szCs w:val="18"/>
              </w:rPr>
              <w:t xml:space="preserve">Round-trip borrowing</w:t>
            </w:r>
          </w:p>
        </w:tc>
        <w:tc>
          <w:tcPr>
            <w:tcW w:type="dxa" w:w="384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color w:val="000000"/>
                <w:sz w:val="18"/>
                <w:szCs w:val="18"/>
              </w:rPr>
              <w:t xml:space="preserve">Charge created and satisfied &lt;6 months, repeated 2+ times.</w:t>
            </w:r>
          </w:p>
        </w:tc>
        <w:tc>
          <w:tcPr>
            <w:tcW w:type="dxa" w:w="2400"/>
            <w:tcBorders>
              <w:top w:val="single" w:color="CCCCCC" w:sz="1"/>
              <w:left w:val="single" w:color="CCCCCC" w:sz="1"/>
              <w:bottom w:val="single" w:color="CCCCCC" w:sz="1"/>
              <w:right w:val="single" w:color="CCCCCC" w:sz="1"/>
            </w:tcBorders>
            <w:shd w:fill="FFF3CD" w:val="clear"/>
            <w:tcMar>
              <w:top w:type="dxa" w:w="80"/>
              <w:left w:type="dxa" w:w="120"/>
              <w:bottom w:type="dxa" w:w="80"/>
              <w:right w:type="dxa" w:w="120"/>
            </w:tcMar>
          </w:tcPr>
          <w:p>
            <w:r>
              <w:rPr>
                <w:rFonts w:ascii="Arial" w:cs="Arial" w:eastAsia="Arial" w:hAnsi="Arial"/>
                <w:b/>
                <w:bCs/>
                <w:color w:val="856404"/>
                <w:sz w:val="18"/>
                <w:szCs w:val="18"/>
              </w:rPr>
              <w:t xml:space="preserve">HIGH</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Filing delay trend increasing</w:t>
            </w:r>
          </w:p>
        </w:tc>
        <w:tc>
          <w:tcPr>
            <w:tcW w:type="dxa" w:w="38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Each consecutive year filed later than previous.</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MEDIUM</w:t>
            </w:r>
          </w:p>
        </w:tc>
      </w:tr>
      <w:tr>
        <w:tc>
          <w:tcPr>
            <w:tcW w:type="dxa" w:w="312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color w:val="000000"/>
                <w:sz w:val="18"/>
                <w:szCs w:val="18"/>
              </w:rPr>
              <w:t xml:space="preserve">Accounting policy change post-bad-year</w:t>
            </w:r>
          </w:p>
        </w:tc>
        <w:tc>
          <w:tcPr>
            <w:tcW w:type="dxa" w:w="384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color w:val="000000"/>
                <w:sz w:val="18"/>
                <w:szCs w:val="18"/>
              </w:rPr>
              <w:t xml:space="preserve">Policy changes in notes to accounts after financially weak year.</w:t>
            </w:r>
          </w:p>
        </w:tc>
        <w:tc>
          <w:tcPr>
            <w:tcW w:type="dxa" w:w="24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color w:val="000000"/>
                <w:sz w:val="18"/>
                <w:szCs w:val="18"/>
              </w:rPr>
              <w:t xml:space="preserve">MEDIUM</w:t>
            </w:r>
          </w:p>
        </w:tc>
      </w:tr>
    </w:tbl>
    <w:p>
      <w:pPr>
        <w:spacing w:after="60" w:before="60"/>
      </w:pPr>
      <w:r>
        <w:t xml:space="preserve"/>
      </w:r>
    </w:p>
    <w:p>
      <w:pPr>
        <w:pStyle w:val="Heading2"/>
        <w:spacing w:after="120" w:before="240"/>
      </w:pPr>
      <w:r>
        <w:rPr>
          <w:rFonts w:ascii="Arial" w:cs="Arial" w:eastAsia="Arial" w:hAnsi="Arial"/>
          <w:b/>
          <w:bCs/>
          <w:color w:val="2E4A7A"/>
          <w:sz w:val="26"/>
          <w:szCs w:val="26"/>
        </w:rPr>
        <w:t xml:space="preserve">4.7 Module 7 — Auditor NLP</w:t>
      </w:r>
    </w:p>
    <w:p>
      <w:pPr>
        <w:spacing w:after="60" w:before="60"/>
      </w:pPr>
      <w:r>
        <w:rPr>
          <w:rFonts w:ascii="Arial" w:cs="Arial" w:eastAsia="Arial" w:hAnsi="Arial"/>
          <w:b w:val="false"/>
          <w:bCs w:val="false"/>
          <w:sz w:val="18"/>
          <w:szCs w:val="18"/>
        </w:rPr>
        <w:t xml:space="preserve">spaCy keyword extraction on audit opinion paragraph. Auditor network density analysis in Neo4j (same DIN signs &gt;50 SME filings in same district → flag all their clients).</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840"/>
        <w:gridCol w:w="2400"/>
      </w:tblGrid>
      <w:tr>
        <w:tc>
          <w:tcPr>
            <w:tcW w:type="dxa" w:w="3120"/>
            <w:tcBorders>
              <w:top w:val="single" w:color="1F3864" w:sz="2"/>
              <w:left w:val="single" w:color="1F3864" w:sz="2"/>
              <w:bottom w:val="single" w:color="1F3864" w:sz="2"/>
              <w:right w:val="single" w:color="1F3864" w:sz="2"/>
            </w:tcBorders>
            <w:shd w:fill="1F3864" w:val="clear"/>
            <w:tcMar>
              <w:top w:type="dxa" w:w="80"/>
              <w:left w:type="dxa" w:w="120"/>
              <w:bottom w:type="dxa" w:w="80"/>
              <w:right w:type="dxa" w:w="120"/>
            </w:tcMar>
          </w:tcPr>
          <w:p>
            <w:pPr>
              <w:jc w:val="center"/>
            </w:pPr>
            <w:r>
              <w:rPr>
                <w:rFonts w:ascii="Arial" w:cs="Arial" w:eastAsia="Arial" w:hAnsi="Arial"/>
                <w:b/>
                <w:bCs/>
                <w:color w:val="FFFFFF"/>
                <w:sz w:val="19"/>
                <w:szCs w:val="19"/>
              </w:rPr>
              <w:t xml:space="preserve">Signal</w:t>
            </w:r>
          </w:p>
        </w:tc>
        <w:tc>
          <w:tcPr>
            <w:tcW w:type="dxa" w:w="3840"/>
            <w:tcBorders>
              <w:top w:val="single" w:color="1F3864" w:sz="2"/>
              <w:left w:val="single" w:color="1F3864" w:sz="2"/>
              <w:bottom w:val="single" w:color="1F3864" w:sz="2"/>
              <w:right w:val="single" w:color="1F3864" w:sz="2"/>
            </w:tcBorders>
            <w:shd w:fill="1F3864" w:val="clear"/>
            <w:tcMar>
              <w:top w:type="dxa" w:w="80"/>
              <w:left w:type="dxa" w:w="120"/>
              <w:bottom w:type="dxa" w:w="80"/>
              <w:right w:type="dxa" w:w="120"/>
            </w:tcMar>
          </w:tcPr>
          <w:p>
            <w:pPr>
              <w:jc w:val="center"/>
            </w:pPr>
            <w:r>
              <w:rPr>
                <w:rFonts w:ascii="Arial" w:cs="Arial" w:eastAsia="Arial" w:hAnsi="Arial"/>
                <w:b/>
                <w:bCs/>
                <w:color w:val="FFFFFF"/>
                <w:sz w:val="19"/>
                <w:szCs w:val="19"/>
              </w:rPr>
              <w:t xml:space="preserve">Keywords</w:t>
            </w:r>
          </w:p>
        </w:tc>
        <w:tc>
          <w:tcPr>
            <w:tcW w:type="dxa" w:w="2400"/>
            <w:tcBorders>
              <w:top w:val="single" w:color="1F3864" w:sz="2"/>
              <w:left w:val="single" w:color="1F3864" w:sz="2"/>
              <w:bottom w:val="single" w:color="1F3864" w:sz="2"/>
              <w:right w:val="single" w:color="1F3864" w:sz="2"/>
            </w:tcBorders>
            <w:shd w:fill="1F3864" w:val="clear"/>
            <w:tcMar>
              <w:top w:type="dxa" w:w="80"/>
              <w:left w:type="dxa" w:w="120"/>
              <w:bottom w:type="dxa" w:w="80"/>
              <w:right w:type="dxa" w:w="120"/>
            </w:tcMar>
          </w:tcPr>
          <w:p>
            <w:pPr>
              <w:jc w:val="center"/>
            </w:pPr>
            <w:r>
              <w:rPr>
                <w:rFonts w:ascii="Arial" w:cs="Arial" w:eastAsia="Arial" w:hAnsi="Arial"/>
                <w:b/>
                <w:bCs/>
                <w:color w:val="FFFFFF"/>
                <w:sz w:val="19"/>
                <w:szCs w:val="19"/>
              </w:rPr>
              <w:t xml:space="preserve">Severity</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Going concern language</w:t>
            </w:r>
          </w:p>
        </w:tc>
        <w:tc>
          <w:tcPr>
            <w:tcW w:type="dxa" w:w="38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'going concern', 'material uncertainty', 'ability to continue'</w:t>
            </w:r>
          </w:p>
        </w:tc>
        <w:tc>
          <w:tcPr>
            <w:tcW w:type="dxa" w:w="2400"/>
            <w:tcBorders>
              <w:top w:val="single" w:color="CCCCCC" w:sz="1"/>
              <w:left w:val="single" w:color="CCCCCC" w:sz="1"/>
              <w:bottom w:val="single" w:color="CCCCCC" w:sz="1"/>
              <w:right w:val="single" w:color="CCCCCC" w:sz="1"/>
            </w:tcBorders>
            <w:shd w:fill="FFF3CD" w:val="clear"/>
            <w:tcMar>
              <w:top w:type="dxa" w:w="80"/>
              <w:left w:type="dxa" w:w="120"/>
              <w:bottom w:type="dxa" w:w="80"/>
              <w:right w:type="dxa" w:w="120"/>
            </w:tcMar>
          </w:tcPr>
          <w:p>
            <w:r>
              <w:rPr>
                <w:rFonts w:ascii="Arial" w:cs="Arial" w:eastAsia="Arial" w:hAnsi="Arial"/>
                <w:b/>
                <w:bCs/>
                <w:color w:val="856404"/>
                <w:sz w:val="18"/>
                <w:szCs w:val="18"/>
              </w:rPr>
              <w:t xml:space="preserve">HIGH</w:t>
            </w:r>
          </w:p>
        </w:tc>
      </w:tr>
      <w:tr>
        <w:tc>
          <w:tcPr>
            <w:tcW w:type="dxa" w:w="312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color w:val="000000"/>
                <w:sz w:val="18"/>
                <w:szCs w:val="18"/>
              </w:rPr>
              <w:t xml:space="preserve">Adverse opinion</w:t>
            </w:r>
          </w:p>
        </w:tc>
        <w:tc>
          <w:tcPr>
            <w:tcW w:type="dxa" w:w="384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color w:val="000000"/>
                <w:sz w:val="18"/>
                <w:szCs w:val="18"/>
              </w:rPr>
              <w:t xml:space="preserve">'adverse opinion', 'fraud', 'misappropriation'</w:t>
            </w:r>
          </w:p>
        </w:tc>
        <w:tc>
          <w:tcPr>
            <w:tcW w:type="dxa" w:w="2400"/>
            <w:tcBorders>
              <w:top w:val="single" w:color="CCCCCC" w:sz="1"/>
              <w:left w:val="single" w:color="CCCCCC" w:sz="1"/>
              <w:bottom w:val="single" w:color="CCCCCC" w:sz="1"/>
              <w:right w:val="single" w:color="CCCCCC" w:sz="1"/>
            </w:tcBorders>
            <w:shd w:fill="F8D7DA" w:val="clear"/>
            <w:tcMar>
              <w:top w:type="dxa" w:w="80"/>
              <w:left w:type="dxa" w:w="120"/>
              <w:bottom w:type="dxa" w:w="80"/>
              <w:right w:type="dxa" w:w="120"/>
            </w:tcMar>
          </w:tcPr>
          <w:p>
            <w:r>
              <w:rPr>
                <w:rFonts w:ascii="Arial" w:cs="Arial" w:eastAsia="Arial" w:hAnsi="Arial"/>
                <w:b/>
                <w:bCs/>
                <w:color w:val="721C24"/>
                <w:sz w:val="18"/>
                <w:szCs w:val="18"/>
              </w:rPr>
              <w:t xml:space="preserve">CRITICAL</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Emphasis of matter count</w:t>
            </w:r>
          </w:p>
        </w:tc>
        <w:tc>
          <w:tcPr>
            <w:tcW w:type="dxa" w:w="38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Each emphasis paragraph = one HIGH flag.</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MEDIUM per para</w:t>
            </w:r>
          </w:p>
        </w:tc>
      </w:tr>
      <w:tr>
        <w:tc>
          <w:tcPr>
            <w:tcW w:type="dxa" w:w="312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color w:val="000000"/>
                <w:sz w:val="18"/>
                <w:szCs w:val="18"/>
              </w:rPr>
              <w:t xml:space="preserve">Related party section vagueness</w:t>
            </w:r>
          </w:p>
        </w:tc>
        <w:tc>
          <w:tcPr>
            <w:tcW w:type="dxa" w:w="384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color w:val="000000"/>
                <w:sz w:val="18"/>
                <w:szCs w:val="18"/>
              </w:rPr>
              <w:t xml:space="preserve">Notes section blank or &lt; 50 words despite reported transactions.</w:t>
            </w:r>
          </w:p>
        </w:tc>
        <w:tc>
          <w:tcPr>
            <w:tcW w:type="dxa" w:w="2400"/>
            <w:tcBorders>
              <w:top w:val="single" w:color="CCCCCC" w:sz="1"/>
              <w:left w:val="single" w:color="CCCCCC" w:sz="1"/>
              <w:bottom w:val="single" w:color="CCCCCC" w:sz="1"/>
              <w:right w:val="single" w:color="CCCCCC" w:sz="1"/>
            </w:tcBorders>
            <w:shd w:fill="FFF3CD" w:val="clear"/>
            <w:tcMar>
              <w:top w:type="dxa" w:w="80"/>
              <w:left w:type="dxa" w:w="120"/>
              <w:bottom w:type="dxa" w:w="80"/>
              <w:right w:type="dxa" w:w="120"/>
            </w:tcMar>
          </w:tcPr>
          <w:p>
            <w:r>
              <w:rPr>
                <w:rFonts w:ascii="Arial" w:cs="Arial" w:eastAsia="Arial" w:hAnsi="Arial"/>
                <w:b/>
                <w:bCs/>
                <w:color w:val="856404"/>
                <w:sz w:val="18"/>
                <w:szCs w:val="18"/>
              </w:rPr>
              <w:t xml:space="preserve">HIGH</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Notes word count shrinking</w:t>
            </w:r>
          </w:p>
        </w:tc>
        <w:tc>
          <w:tcPr>
            <w:tcW w:type="dxa" w:w="38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Notes length decreasing YoY while company complexity increases.</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MEDIUM</w:t>
            </w:r>
          </w:p>
        </w:tc>
      </w:tr>
    </w:tbl>
    <w:p>
      <w:pPr>
        <w:spacing w:after="60" w:before="60"/>
      </w:pPr>
      <w:r>
        <w:t xml:space="preserve"/>
      </w:r>
    </w:p>
    <w:p>
      <w:pPr>
        <w:pStyle w:val="Heading2"/>
        <w:spacing w:after="120" w:before="240"/>
      </w:pPr>
      <w:r>
        <w:rPr>
          <w:rFonts w:ascii="Arial" w:cs="Arial" w:eastAsia="Arial" w:hAnsi="Arial"/>
          <w:b/>
          <w:bCs/>
          <w:color w:val="2E4A7A"/>
          <w:sz w:val="26"/>
          <w:szCs w:val="26"/>
        </w:rPr>
        <w:t xml:space="preserve">4.8 Module 8 — Document Forensics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840"/>
        <w:gridCol w:w="2400"/>
      </w:tblGrid>
      <w:tr>
        <w:tc>
          <w:tcPr>
            <w:tcW w:type="dxa" w:w="3120"/>
            <w:tcBorders>
              <w:top w:val="single" w:color="1F3864" w:sz="2"/>
              <w:left w:val="single" w:color="1F3864" w:sz="2"/>
              <w:bottom w:val="single" w:color="1F3864" w:sz="2"/>
              <w:right w:val="single" w:color="1F3864" w:sz="2"/>
            </w:tcBorders>
            <w:shd w:fill="1F3864" w:val="clear"/>
            <w:tcMar>
              <w:top w:type="dxa" w:w="80"/>
              <w:left w:type="dxa" w:w="120"/>
              <w:bottom w:type="dxa" w:w="80"/>
              <w:right w:type="dxa" w:w="120"/>
            </w:tcMar>
          </w:tcPr>
          <w:p>
            <w:pPr>
              <w:jc w:val="center"/>
            </w:pPr>
            <w:r>
              <w:rPr>
                <w:rFonts w:ascii="Arial" w:cs="Arial" w:eastAsia="Arial" w:hAnsi="Arial"/>
                <w:b/>
                <w:bCs/>
                <w:color w:val="FFFFFF"/>
                <w:sz w:val="19"/>
                <w:szCs w:val="19"/>
              </w:rPr>
              <w:t xml:space="preserve">Check</w:t>
            </w:r>
          </w:p>
        </w:tc>
        <w:tc>
          <w:tcPr>
            <w:tcW w:type="dxa" w:w="3840"/>
            <w:tcBorders>
              <w:top w:val="single" w:color="1F3864" w:sz="2"/>
              <w:left w:val="single" w:color="1F3864" w:sz="2"/>
              <w:bottom w:val="single" w:color="1F3864" w:sz="2"/>
              <w:right w:val="single" w:color="1F3864" w:sz="2"/>
            </w:tcBorders>
            <w:shd w:fill="1F3864" w:val="clear"/>
            <w:tcMar>
              <w:top w:type="dxa" w:w="80"/>
              <w:left w:type="dxa" w:w="120"/>
              <w:bottom w:type="dxa" w:w="80"/>
              <w:right w:type="dxa" w:w="120"/>
            </w:tcMar>
          </w:tcPr>
          <w:p>
            <w:pPr>
              <w:jc w:val="center"/>
            </w:pPr>
            <w:r>
              <w:rPr>
                <w:rFonts w:ascii="Arial" w:cs="Arial" w:eastAsia="Arial" w:hAnsi="Arial"/>
                <w:b/>
                <w:bCs/>
                <w:color w:val="FFFFFF"/>
                <w:sz w:val="19"/>
                <w:szCs w:val="19"/>
              </w:rPr>
              <w:t xml:space="preserve">Logic</w:t>
            </w:r>
          </w:p>
        </w:tc>
        <w:tc>
          <w:tcPr>
            <w:tcW w:type="dxa" w:w="2400"/>
            <w:tcBorders>
              <w:top w:val="single" w:color="1F3864" w:sz="2"/>
              <w:left w:val="single" w:color="1F3864" w:sz="2"/>
              <w:bottom w:val="single" w:color="1F3864" w:sz="2"/>
              <w:right w:val="single" w:color="1F3864" w:sz="2"/>
            </w:tcBorders>
            <w:shd w:fill="1F3864" w:val="clear"/>
            <w:tcMar>
              <w:top w:type="dxa" w:w="80"/>
              <w:left w:type="dxa" w:w="120"/>
              <w:bottom w:type="dxa" w:w="80"/>
              <w:right w:type="dxa" w:w="120"/>
            </w:tcMar>
          </w:tcPr>
          <w:p>
            <w:pPr>
              <w:jc w:val="center"/>
            </w:pPr>
            <w:r>
              <w:rPr>
                <w:rFonts w:ascii="Arial" w:cs="Arial" w:eastAsia="Arial" w:hAnsi="Arial"/>
                <w:b/>
                <w:bCs/>
                <w:color w:val="FFFFFF"/>
                <w:sz w:val="19"/>
                <w:szCs w:val="19"/>
              </w:rPr>
              <w:t xml:space="preserve">Severity</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PDF creation software</w:t>
            </w:r>
          </w:p>
        </w:tc>
        <w:tc>
          <w:tcPr>
            <w:tcW w:type="dxa" w:w="38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Producer = MS Word / Google Docs on a statutory filing.</w:t>
            </w:r>
          </w:p>
        </w:tc>
        <w:tc>
          <w:tcPr>
            <w:tcW w:type="dxa" w:w="2400"/>
            <w:tcBorders>
              <w:top w:val="single" w:color="CCCCCC" w:sz="1"/>
              <w:left w:val="single" w:color="CCCCCC" w:sz="1"/>
              <w:bottom w:val="single" w:color="CCCCCC" w:sz="1"/>
              <w:right w:val="single" w:color="CCCCCC" w:sz="1"/>
            </w:tcBorders>
            <w:shd w:fill="FFF3CD" w:val="clear"/>
            <w:tcMar>
              <w:top w:type="dxa" w:w="80"/>
              <w:left w:type="dxa" w:w="120"/>
              <w:bottom w:type="dxa" w:w="80"/>
              <w:right w:type="dxa" w:w="120"/>
            </w:tcMar>
          </w:tcPr>
          <w:p>
            <w:r>
              <w:rPr>
                <w:rFonts w:ascii="Arial" w:cs="Arial" w:eastAsia="Arial" w:hAnsi="Arial"/>
                <w:b/>
                <w:bCs/>
                <w:color w:val="856404"/>
                <w:sz w:val="18"/>
                <w:szCs w:val="18"/>
              </w:rPr>
              <w:t xml:space="preserve">HIGH</w:t>
            </w:r>
          </w:p>
        </w:tc>
      </w:tr>
      <w:tr>
        <w:tc>
          <w:tcPr>
            <w:tcW w:type="dxa" w:w="312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color w:val="000000"/>
                <w:sz w:val="18"/>
                <w:szCs w:val="18"/>
              </w:rPr>
              <w:t xml:space="preserve">Creation vs modification date gap</w:t>
            </w:r>
          </w:p>
        </w:tc>
        <w:tc>
          <w:tcPr>
            <w:tcW w:type="dxa" w:w="384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color w:val="000000"/>
                <w:sz w:val="18"/>
                <w:szCs w:val="18"/>
              </w:rPr>
              <w:t xml:space="preserve">CreationDate and ModDate differ &lt; 3 days on audit document.</w:t>
            </w:r>
          </w:p>
        </w:tc>
        <w:tc>
          <w:tcPr>
            <w:tcW w:type="dxa" w:w="2400"/>
            <w:tcBorders>
              <w:top w:val="single" w:color="CCCCCC" w:sz="1"/>
              <w:left w:val="single" w:color="CCCCCC" w:sz="1"/>
              <w:bottom w:val="single" w:color="CCCCCC" w:sz="1"/>
              <w:right w:val="single" w:color="CCCCCC" w:sz="1"/>
            </w:tcBorders>
            <w:shd w:fill="FFF3CD" w:val="clear"/>
            <w:tcMar>
              <w:top w:type="dxa" w:w="80"/>
              <w:left w:type="dxa" w:w="120"/>
              <w:bottom w:type="dxa" w:w="80"/>
              <w:right w:type="dxa" w:w="120"/>
            </w:tcMar>
          </w:tcPr>
          <w:p>
            <w:r>
              <w:rPr>
                <w:rFonts w:ascii="Arial" w:cs="Arial" w:eastAsia="Arial" w:hAnsi="Arial"/>
                <w:b/>
                <w:bCs/>
                <w:color w:val="856404"/>
                <w:sz w:val="18"/>
                <w:szCs w:val="18"/>
              </w:rPr>
              <w:t xml:space="preserve">HIGH</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Font inconsistency across pages</w:t>
            </w:r>
          </w:p>
        </w:tc>
        <w:tc>
          <w:tcPr>
            <w:tcW w:type="dxa" w:w="38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Different fonts detected across pages — spliced document.</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MEDIUM</w:t>
            </w:r>
          </w:p>
        </w:tc>
      </w:tr>
      <w:tr>
        <w:tc>
          <w:tcPr>
            <w:tcW w:type="dxa" w:w="312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color w:val="000000"/>
                <w:sz w:val="18"/>
                <w:szCs w:val="18"/>
              </w:rPr>
              <w:t xml:space="preserve">Image DPI inconsistency (scanned)</w:t>
            </w:r>
          </w:p>
        </w:tc>
        <w:tc>
          <w:tcPr>
            <w:tcW w:type="dxa" w:w="384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color w:val="000000"/>
                <w:sz w:val="18"/>
                <w:szCs w:val="18"/>
              </w:rPr>
              <w:t xml:space="preserve">Pages have inconsistent DPI — merged from different originals.</w:t>
            </w:r>
          </w:p>
        </w:tc>
        <w:tc>
          <w:tcPr>
            <w:tcW w:type="dxa" w:w="24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color w:val="000000"/>
                <w:sz w:val="18"/>
                <w:szCs w:val="18"/>
              </w:rPr>
              <w:t xml:space="preserve">MEDIUM</w:t>
            </w:r>
          </w:p>
        </w:tc>
      </w:tr>
    </w:tbl>
    <w:p>
      <w:pPr>
        <w:spacing w:after="60" w:before="60"/>
      </w:pPr>
      <w:r>
        <w:t xml:space="preserve"/>
      </w:r>
    </w:p>
    <w:p>
      <w:pPr>
        <w:pStyle w:val="Heading2"/>
        <w:spacing w:after="120" w:before="240"/>
      </w:pPr>
      <w:r>
        <w:rPr>
          <w:rFonts w:ascii="Arial" w:cs="Arial" w:eastAsia="Arial" w:hAnsi="Arial"/>
          <w:b/>
          <w:bCs/>
          <w:color w:val="2E4A7A"/>
          <w:sz w:val="26"/>
          <w:szCs w:val="26"/>
        </w:rPr>
        <w:t xml:space="preserve">4.9 Module 9 — NCLT / DRT / Wilful Defaulter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840"/>
        <w:gridCol w:w="2400"/>
      </w:tblGrid>
      <w:tr>
        <w:tc>
          <w:tcPr>
            <w:tcW w:type="dxa" w:w="3120"/>
            <w:tcBorders>
              <w:top w:val="single" w:color="1F3864" w:sz="2"/>
              <w:left w:val="single" w:color="1F3864" w:sz="2"/>
              <w:bottom w:val="single" w:color="1F3864" w:sz="2"/>
              <w:right w:val="single" w:color="1F3864" w:sz="2"/>
            </w:tcBorders>
            <w:shd w:fill="1F3864" w:val="clear"/>
            <w:tcMar>
              <w:top w:type="dxa" w:w="80"/>
              <w:left w:type="dxa" w:w="120"/>
              <w:bottom w:type="dxa" w:w="80"/>
              <w:right w:type="dxa" w:w="120"/>
            </w:tcMar>
          </w:tcPr>
          <w:p>
            <w:pPr>
              <w:jc w:val="center"/>
            </w:pPr>
            <w:r>
              <w:rPr>
                <w:rFonts w:ascii="Arial" w:cs="Arial" w:eastAsia="Arial" w:hAnsi="Arial"/>
                <w:b/>
                <w:bCs/>
                <w:color w:val="FFFFFF"/>
                <w:sz w:val="19"/>
                <w:szCs w:val="19"/>
              </w:rPr>
              <w:t xml:space="preserve">Signal</w:t>
            </w:r>
          </w:p>
        </w:tc>
        <w:tc>
          <w:tcPr>
            <w:tcW w:type="dxa" w:w="3840"/>
            <w:tcBorders>
              <w:top w:val="single" w:color="1F3864" w:sz="2"/>
              <w:left w:val="single" w:color="1F3864" w:sz="2"/>
              <w:bottom w:val="single" w:color="1F3864" w:sz="2"/>
              <w:right w:val="single" w:color="1F3864" w:sz="2"/>
            </w:tcBorders>
            <w:shd w:fill="1F3864" w:val="clear"/>
            <w:tcMar>
              <w:top w:type="dxa" w:w="80"/>
              <w:left w:type="dxa" w:w="120"/>
              <w:bottom w:type="dxa" w:w="80"/>
              <w:right w:type="dxa" w:w="120"/>
            </w:tcMar>
          </w:tcPr>
          <w:p>
            <w:pPr>
              <w:jc w:val="center"/>
            </w:pPr>
            <w:r>
              <w:rPr>
                <w:rFonts w:ascii="Arial" w:cs="Arial" w:eastAsia="Arial" w:hAnsi="Arial"/>
                <w:b/>
                <w:bCs/>
                <w:color w:val="FFFFFF"/>
                <w:sz w:val="19"/>
                <w:szCs w:val="19"/>
              </w:rPr>
              <w:t xml:space="preserve">Source</w:t>
            </w:r>
          </w:p>
        </w:tc>
        <w:tc>
          <w:tcPr>
            <w:tcW w:type="dxa" w:w="2400"/>
            <w:tcBorders>
              <w:top w:val="single" w:color="1F3864" w:sz="2"/>
              <w:left w:val="single" w:color="1F3864" w:sz="2"/>
              <w:bottom w:val="single" w:color="1F3864" w:sz="2"/>
              <w:right w:val="single" w:color="1F3864" w:sz="2"/>
            </w:tcBorders>
            <w:shd w:fill="1F3864" w:val="clear"/>
            <w:tcMar>
              <w:top w:type="dxa" w:w="80"/>
              <w:left w:type="dxa" w:w="120"/>
              <w:bottom w:type="dxa" w:w="80"/>
              <w:right w:type="dxa" w:w="120"/>
            </w:tcMar>
          </w:tcPr>
          <w:p>
            <w:pPr>
              <w:jc w:val="center"/>
            </w:pPr>
            <w:r>
              <w:rPr>
                <w:rFonts w:ascii="Arial" w:cs="Arial" w:eastAsia="Arial" w:hAnsi="Arial"/>
                <w:b/>
                <w:bCs/>
                <w:color w:val="FFFFFF"/>
                <w:sz w:val="19"/>
                <w:szCs w:val="19"/>
              </w:rPr>
              <w:t xml:space="preserve">Severity</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Admitted CIRP insolvency</w:t>
            </w:r>
          </w:p>
        </w:tc>
        <w:tc>
          <w:tcPr>
            <w:tcW w:type="dxa" w:w="38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NCLT — CIN in admitted CIRP cases</w:t>
            </w:r>
          </w:p>
        </w:tc>
        <w:tc>
          <w:tcPr>
            <w:tcW w:type="dxa" w:w="2400"/>
            <w:tcBorders>
              <w:top w:val="single" w:color="CCCCCC" w:sz="1"/>
              <w:left w:val="single" w:color="CCCCCC" w:sz="1"/>
              <w:bottom w:val="single" w:color="CCCCCC" w:sz="1"/>
              <w:right w:val="single" w:color="CCCCCC" w:sz="1"/>
            </w:tcBorders>
            <w:shd w:fill="F8D7DA" w:val="clear"/>
            <w:tcMar>
              <w:top w:type="dxa" w:w="80"/>
              <w:left w:type="dxa" w:w="120"/>
              <w:bottom w:type="dxa" w:w="80"/>
              <w:right w:type="dxa" w:w="120"/>
            </w:tcMar>
          </w:tcPr>
          <w:p>
            <w:r>
              <w:rPr>
                <w:rFonts w:ascii="Arial" w:cs="Arial" w:eastAsia="Arial" w:hAnsi="Arial"/>
                <w:b/>
                <w:bCs/>
                <w:color w:val="721C24"/>
                <w:sz w:val="18"/>
                <w:szCs w:val="18"/>
              </w:rPr>
              <w:t xml:space="preserve">CRITICAL — Force min score 75</w:t>
            </w:r>
          </w:p>
        </w:tc>
      </w:tr>
      <w:tr>
        <w:tc>
          <w:tcPr>
            <w:tcW w:type="dxa" w:w="312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color w:val="000000"/>
                <w:sz w:val="18"/>
                <w:szCs w:val="18"/>
              </w:rPr>
              <w:t xml:space="preserve">Winding-up petition filed</w:t>
            </w:r>
          </w:p>
        </w:tc>
        <w:tc>
          <w:tcPr>
            <w:tcW w:type="dxa" w:w="384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color w:val="000000"/>
                <w:sz w:val="18"/>
                <w:szCs w:val="18"/>
              </w:rPr>
              <w:t xml:space="preserve">NCLT — winding-up petition, company as respondent</w:t>
            </w:r>
          </w:p>
        </w:tc>
        <w:tc>
          <w:tcPr>
            <w:tcW w:type="dxa" w:w="2400"/>
            <w:tcBorders>
              <w:top w:val="single" w:color="CCCCCC" w:sz="1"/>
              <w:left w:val="single" w:color="CCCCCC" w:sz="1"/>
              <w:bottom w:val="single" w:color="CCCCCC" w:sz="1"/>
              <w:right w:val="single" w:color="CCCCCC" w:sz="1"/>
            </w:tcBorders>
            <w:shd w:fill="FFF3CD" w:val="clear"/>
            <w:tcMar>
              <w:top w:type="dxa" w:w="80"/>
              <w:left w:type="dxa" w:w="120"/>
              <w:bottom w:type="dxa" w:w="80"/>
              <w:right w:type="dxa" w:w="120"/>
            </w:tcMar>
          </w:tcPr>
          <w:p>
            <w:r>
              <w:rPr>
                <w:rFonts w:ascii="Arial" w:cs="Arial" w:eastAsia="Arial" w:hAnsi="Arial"/>
                <w:b/>
                <w:bCs/>
                <w:color w:val="856404"/>
                <w:sz w:val="18"/>
                <w:szCs w:val="18"/>
              </w:rPr>
              <w:t xml:space="preserve">HIGH</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Wilful defaulter declared</w:t>
            </w:r>
          </w:p>
        </w:tc>
        <w:tc>
          <w:tcPr>
            <w:tcW w:type="dxa" w:w="38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RBI + CIBIL wilful defaulter lists</w:t>
            </w:r>
          </w:p>
        </w:tc>
        <w:tc>
          <w:tcPr>
            <w:tcW w:type="dxa" w:w="2400"/>
            <w:tcBorders>
              <w:top w:val="single" w:color="CCCCCC" w:sz="1"/>
              <w:left w:val="single" w:color="CCCCCC" w:sz="1"/>
              <w:bottom w:val="single" w:color="CCCCCC" w:sz="1"/>
              <w:right w:val="single" w:color="CCCCCC" w:sz="1"/>
            </w:tcBorders>
            <w:shd w:fill="F8D7DA" w:val="clear"/>
            <w:tcMar>
              <w:top w:type="dxa" w:w="80"/>
              <w:left w:type="dxa" w:w="120"/>
              <w:bottom w:type="dxa" w:w="80"/>
              <w:right w:type="dxa" w:w="120"/>
            </w:tcMar>
          </w:tcPr>
          <w:p>
            <w:r>
              <w:rPr>
                <w:rFonts w:ascii="Arial" w:cs="Arial" w:eastAsia="Arial" w:hAnsi="Arial"/>
                <w:b/>
                <w:bCs/>
                <w:color w:val="721C24"/>
                <w:sz w:val="18"/>
                <w:szCs w:val="18"/>
              </w:rPr>
              <w:t xml:space="preserve">CRITICAL — Force min score 75</w:t>
            </w:r>
          </w:p>
        </w:tc>
      </w:tr>
      <w:tr>
        <w:tc>
          <w:tcPr>
            <w:tcW w:type="dxa" w:w="312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color w:val="000000"/>
                <w:sz w:val="18"/>
                <w:szCs w:val="18"/>
              </w:rPr>
              <w:t xml:space="preserve">DRT case filed</w:t>
            </w:r>
          </w:p>
        </w:tc>
        <w:tc>
          <w:tcPr>
            <w:tcW w:type="dxa" w:w="384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color w:val="000000"/>
                <w:sz w:val="18"/>
                <w:szCs w:val="18"/>
              </w:rPr>
              <w:t xml:space="preserve">Debt Recovery Tribunal — company as defendant</w:t>
            </w:r>
          </w:p>
        </w:tc>
        <w:tc>
          <w:tcPr>
            <w:tcW w:type="dxa" w:w="2400"/>
            <w:tcBorders>
              <w:top w:val="single" w:color="CCCCCC" w:sz="1"/>
              <w:left w:val="single" w:color="CCCCCC" w:sz="1"/>
              <w:bottom w:val="single" w:color="CCCCCC" w:sz="1"/>
              <w:right w:val="single" w:color="CCCCCC" w:sz="1"/>
            </w:tcBorders>
            <w:shd w:fill="FFF3CD" w:val="clear"/>
            <w:tcMar>
              <w:top w:type="dxa" w:w="80"/>
              <w:left w:type="dxa" w:w="120"/>
              <w:bottom w:type="dxa" w:w="80"/>
              <w:right w:type="dxa" w:w="120"/>
            </w:tcMar>
          </w:tcPr>
          <w:p>
            <w:r>
              <w:rPr>
                <w:rFonts w:ascii="Arial" w:cs="Arial" w:eastAsia="Arial" w:hAnsi="Arial"/>
                <w:b/>
                <w:bCs/>
                <w:color w:val="856404"/>
                <w:sz w:val="18"/>
                <w:szCs w:val="18"/>
              </w:rPr>
              <w:t xml:space="preserve">HIGH</w:t>
            </w:r>
          </w:p>
        </w:tc>
      </w:tr>
    </w:tbl>
    <w:p>
      <w:pPr>
        <w:spacing w:after="60" w:before="60"/>
      </w:pPr>
      <w:r>
        <w:t xml:space="preserve"/>
      </w:r>
    </w:p>
    <w:p>
      <w:pPr>
        <w:pStyle w:val="Heading2"/>
        <w:spacing w:after="120" w:before="240"/>
      </w:pPr>
      <w:r>
        <w:rPr>
          <w:rFonts w:ascii="Arial" w:cs="Arial" w:eastAsia="Arial" w:hAnsi="Arial"/>
          <w:b/>
          <w:bCs/>
          <w:color w:val="2E4A7A"/>
          <w:sz w:val="26"/>
          <w:szCs w:val="26"/>
        </w:rPr>
        <w:t xml:space="preserve">4.10 Module 10 — Hypergraph Shell Network Detection</w:t>
      </w:r>
    </w:p>
    <w:p>
      <w:pPr>
        <w:spacing w:after="60" w:before="60"/>
      </w:pPr>
      <w:r>
        <w:rPr>
          <w:rFonts w:ascii="Arial" w:cs="Arial" w:eastAsia="Arial" w:hAnsi="Arial"/>
          <w:b w:val="false"/>
          <w:bCs w:val="false"/>
          <w:sz w:val="18"/>
          <w:szCs w:val="18"/>
        </w:rPr>
        <w:t xml:space="preserve">SharedAttribute intermediate nodes model relationships across multiple companies simultaneously — revealing shell networks invisible to pairwise edges. No Neo4j hypergraph extension needed.</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4160"/>
        <w:gridCol w:w="2400"/>
      </w:tblGrid>
      <w:tr>
        <w:tc>
          <w:tcPr>
            <w:tcW w:type="dxa" w:w="2800"/>
            <w:tcBorders>
              <w:top w:val="single" w:color="1F3864" w:sz="2"/>
              <w:left w:val="single" w:color="1F3864" w:sz="2"/>
              <w:bottom w:val="single" w:color="1F3864" w:sz="2"/>
              <w:right w:val="single" w:color="1F3864" w:sz="2"/>
            </w:tcBorders>
            <w:shd w:fill="1F3864" w:val="clear"/>
            <w:tcMar>
              <w:top w:type="dxa" w:w="80"/>
              <w:left w:type="dxa" w:w="120"/>
              <w:bottom w:type="dxa" w:w="80"/>
              <w:right w:type="dxa" w:w="120"/>
            </w:tcMar>
          </w:tcPr>
          <w:p>
            <w:pPr>
              <w:jc w:val="center"/>
            </w:pPr>
            <w:r>
              <w:rPr>
                <w:rFonts w:ascii="Arial" w:cs="Arial" w:eastAsia="Arial" w:hAnsi="Arial"/>
                <w:b/>
                <w:bCs/>
                <w:color w:val="FFFFFF"/>
                <w:sz w:val="19"/>
                <w:szCs w:val="19"/>
              </w:rPr>
              <w:t xml:space="preserve">Shared Attribute</w:t>
            </w:r>
          </w:p>
        </w:tc>
        <w:tc>
          <w:tcPr>
            <w:tcW w:type="dxa" w:w="4160"/>
            <w:tcBorders>
              <w:top w:val="single" w:color="1F3864" w:sz="2"/>
              <w:left w:val="single" w:color="1F3864" w:sz="2"/>
              <w:bottom w:val="single" w:color="1F3864" w:sz="2"/>
              <w:right w:val="single" w:color="1F3864" w:sz="2"/>
            </w:tcBorders>
            <w:shd w:fill="1F3864" w:val="clear"/>
            <w:tcMar>
              <w:top w:type="dxa" w:w="80"/>
              <w:left w:type="dxa" w:w="120"/>
              <w:bottom w:type="dxa" w:w="80"/>
              <w:right w:type="dxa" w:w="120"/>
            </w:tcMar>
          </w:tcPr>
          <w:p>
            <w:pPr>
              <w:jc w:val="center"/>
            </w:pPr>
            <w:r>
              <w:rPr>
                <w:rFonts w:ascii="Arial" w:cs="Arial" w:eastAsia="Arial" w:hAnsi="Arial"/>
                <w:b/>
                <w:bCs/>
                <w:color w:val="FFFFFF"/>
                <w:sz w:val="19"/>
                <w:szCs w:val="19"/>
              </w:rPr>
              <w:t xml:space="preserve">Threshold</w:t>
            </w:r>
          </w:p>
        </w:tc>
        <w:tc>
          <w:tcPr>
            <w:tcW w:type="dxa" w:w="2400"/>
            <w:tcBorders>
              <w:top w:val="single" w:color="1F3864" w:sz="2"/>
              <w:left w:val="single" w:color="1F3864" w:sz="2"/>
              <w:bottom w:val="single" w:color="1F3864" w:sz="2"/>
              <w:right w:val="single" w:color="1F3864" w:sz="2"/>
            </w:tcBorders>
            <w:shd w:fill="1F3864" w:val="clear"/>
            <w:tcMar>
              <w:top w:type="dxa" w:w="80"/>
              <w:left w:type="dxa" w:w="120"/>
              <w:bottom w:type="dxa" w:w="80"/>
              <w:right w:type="dxa" w:w="120"/>
            </w:tcMar>
          </w:tcPr>
          <w:p>
            <w:pPr>
              <w:jc w:val="center"/>
            </w:pPr>
            <w:r>
              <w:rPr>
                <w:rFonts w:ascii="Arial" w:cs="Arial" w:eastAsia="Arial" w:hAnsi="Arial"/>
                <w:b/>
                <w:bCs/>
                <w:color w:val="FFFFFF"/>
                <w:sz w:val="19"/>
                <w:szCs w:val="19"/>
              </w:rPr>
              <w:t xml:space="preserve">Severity</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Registered address</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&gt;5 companies share identical registered address.</w:t>
            </w:r>
          </w:p>
        </w:tc>
        <w:tc>
          <w:tcPr>
            <w:tcW w:type="dxa" w:w="2400"/>
            <w:tcBorders>
              <w:top w:val="single" w:color="CCCCCC" w:sz="1"/>
              <w:left w:val="single" w:color="CCCCCC" w:sz="1"/>
              <w:bottom w:val="single" w:color="CCCCCC" w:sz="1"/>
              <w:right w:val="single" w:color="CCCCCC" w:sz="1"/>
            </w:tcBorders>
            <w:shd w:fill="FFF3CD" w:val="clear"/>
            <w:tcMar>
              <w:top w:type="dxa" w:w="80"/>
              <w:left w:type="dxa" w:w="120"/>
              <w:bottom w:type="dxa" w:w="80"/>
              <w:right w:type="dxa" w:w="120"/>
            </w:tcMar>
          </w:tcPr>
          <w:p>
            <w:r>
              <w:rPr>
                <w:rFonts w:ascii="Arial" w:cs="Arial" w:eastAsia="Arial" w:hAnsi="Arial"/>
                <w:b/>
                <w:bCs/>
                <w:color w:val="856404"/>
                <w:sz w:val="18"/>
                <w:szCs w:val="18"/>
              </w:rPr>
              <w:t xml:space="preserve">HIGH</w:t>
            </w:r>
          </w:p>
        </w:tc>
      </w:tr>
      <w:tr>
        <w:tc>
          <w:tcPr>
            <w:tcW w:type="dxa" w:w="28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color w:val="000000"/>
                <w:sz w:val="18"/>
                <w:szCs w:val="18"/>
              </w:rPr>
              <w:t xml:space="preserve">CA firm (auditor DIN)</w:t>
            </w:r>
          </w:p>
        </w:tc>
        <w:tc>
          <w:tcPr>
            <w:tcW w:type="dxa" w:w="41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color w:val="000000"/>
                <w:sz w:val="18"/>
                <w:szCs w:val="18"/>
              </w:rPr>
              <w:t xml:space="preserve">&gt;50 companies share same CA DIN in same district.</w:t>
            </w:r>
          </w:p>
        </w:tc>
        <w:tc>
          <w:tcPr>
            <w:tcW w:type="dxa" w:w="24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color w:val="000000"/>
                <w:sz w:val="18"/>
                <w:szCs w:val="18"/>
              </w:rPr>
              <w:t xml:space="preserve">MEDIUM — escalates with co-occurring signals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Bank branch (IFSC)</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&gt;10 related companies share same IFSC.</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MEDIUM</w:t>
            </w:r>
          </w:p>
        </w:tc>
      </w:tr>
      <w:tr>
        <w:tc>
          <w:tcPr>
            <w:tcW w:type="dxa" w:w="28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color w:val="000000"/>
                <w:sz w:val="18"/>
                <w:szCs w:val="18"/>
              </w:rPr>
              <w:t xml:space="preserve">Phone prefix cluster</w:t>
            </w:r>
          </w:p>
        </w:tc>
        <w:tc>
          <w:tcPr>
            <w:tcW w:type="dxa" w:w="41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color w:val="000000"/>
                <w:sz w:val="18"/>
                <w:szCs w:val="18"/>
              </w:rPr>
              <w:t xml:space="preserve">Companies sharing first 8 digits of registered contact.</w:t>
            </w:r>
          </w:p>
        </w:tc>
        <w:tc>
          <w:tcPr>
            <w:tcW w:type="dxa" w:w="24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color w:val="000000"/>
                <w:sz w:val="18"/>
                <w:szCs w:val="18"/>
              </w:rPr>
              <w:t xml:space="preserve">LOW — elevates other signals</w:t>
            </w:r>
          </w:p>
        </w:tc>
      </w:tr>
    </w:tbl>
    <w:p>
      <w:pPr>
        <w:spacing w:after="60" w:before="60"/>
      </w:pPr>
      <w:r>
        <w:t xml:space="preserve"/>
      </w:r>
    </w:p>
    <w:p>
      <w:pPr>
        <w:pStyle w:val="Heading2"/>
        <w:spacing w:after="120" w:before="240"/>
      </w:pPr>
      <w:r>
        <w:rPr>
          <w:rFonts w:ascii="Arial" w:cs="Arial" w:eastAsia="Arial" w:hAnsi="Arial"/>
          <w:b/>
          <w:bCs/>
          <w:color w:val="2E4A7A"/>
          <w:sz w:val="26"/>
          <w:szCs w:val="26"/>
        </w:rPr>
        <w:t xml:space="preserve">4.11 Module 11 — Anomaly Detection (Two Layers)</w:t>
      </w:r>
    </w:p>
    <w:p>
      <w:pPr>
        <w:spacing w:after="60" w:before="60"/>
      </w:pPr>
      <w:r>
        <w:rPr>
          <w:rFonts w:ascii="Arial" w:cs="Arial" w:eastAsia="Arial" w:hAnsi="Arial"/>
          <w:b w:val="false"/>
          <w:bCs w:val="false"/>
          <w:sz w:val="18"/>
          <w:szCs w:val="18"/>
        </w:rPr>
        <w:t xml:space="preserve">Two complementary unsupervised detectors. Neither requires fraud labels. Both catch novel fraud structures the trained ML ensemble has never seen.</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400"/>
        <w:gridCol w:w="4960"/>
      </w:tblGrid>
      <w:tr>
        <w:tc>
          <w:tcPr>
            <w:tcW w:type="dxa" w:w="2000"/>
            <w:tcBorders>
              <w:top w:val="single" w:color="1F3864" w:sz="2"/>
              <w:left w:val="single" w:color="1F3864" w:sz="2"/>
              <w:bottom w:val="single" w:color="1F3864" w:sz="2"/>
              <w:right w:val="single" w:color="1F3864" w:sz="2"/>
            </w:tcBorders>
            <w:shd w:fill="1F3864" w:val="clear"/>
            <w:tcMar>
              <w:top w:type="dxa" w:w="80"/>
              <w:left w:type="dxa" w:w="120"/>
              <w:bottom w:type="dxa" w:w="80"/>
              <w:right w:type="dxa" w:w="120"/>
            </w:tcMar>
          </w:tcPr>
          <w:p>
            <w:pPr>
              <w:jc w:val="center"/>
            </w:pPr>
            <w:r>
              <w:rPr>
                <w:rFonts w:ascii="Arial" w:cs="Arial" w:eastAsia="Arial" w:hAnsi="Arial"/>
                <w:b/>
                <w:bCs/>
                <w:color w:val="FFFFFF"/>
                <w:sz w:val="19"/>
                <w:szCs w:val="19"/>
              </w:rPr>
              <w:t xml:space="preserve">Detector</w:t>
            </w:r>
          </w:p>
        </w:tc>
        <w:tc>
          <w:tcPr>
            <w:tcW w:type="dxa" w:w="2400"/>
            <w:tcBorders>
              <w:top w:val="single" w:color="1F3864" w:sz="2"/>
              <w:left w:val="single" w:color="1F3864" w:sz="2"/>
              <w:bottom w:val="single" w:color="1F3864" w:sz="2"/>
              <w:right w:val="single" w:color="1F3864" w:sz="2"/>
            </w:tcBorders>
            <w:shd w:fill="1F3864" w:val="clear"/>
            <w:tcMar>
              <w:top w:type="dxa" w:w="80"/>
              <w:left w:type="dxa" w:w="120"/>
              <w:bottom w:type="dxa" w:w="80"/>
              <w:right w:type="dxa" w:w="120"/>
            </w:tcMar>
          </w:tcPr>
          <w:p>
            <w:pPr>
              <w:jc w:val="center"/>
            </w:pPr>
            <w:r>
              <w:rPr>
                <w:rFonts w:ascii="Arial" w:cs="Arial" w:eastAsia="Arial" w:hAnsi="Arial"/>
                <w:b/>
                <w:bCs/>
                <w:color w:val="FFFFFF"/>
                <w:sz w:val="19"/>
                <w:szCs w:val="19"/>
              </w:rPr>
              <w:t xml:space="preserve">Input Features</w:t>
            </w:r>
          </w:p>
        </w:tc>
        <w:tc>
          <w:tcPr>
            <w:tcW w:type="dxa" w:w="4960"/>
            <w:tcBorders>
              <w:top w:val="single" w:color="1F3864" w:sz="2"/>
              <w:left w:val="single" w:color="1F3864" w:sz="2"/>
              <w:bottom w:val="single" w:color="1F3864" w:sz="2"/>
              <w:right w:val="single" w:color="1F3864" w:sz="2"/>
            </w:tcBorders>
            <w:shd w:fill="1F3864" w:val="clear"/>
            <w:tcMar>
              <w:top w:type="dxa" w:w="80"/>
              <w:left w:type="dxa" w:w="120"/>
              <w:bottom w:type="dxa" w:w="80"/>
              <w:right w:type="dxa" w:w="120"/>
            </w:tcMar>
          </w:tcPr>
          <w:p>
            <w:pPr>
              <w:jc w:val="center"/>
            </w:pPr>
            <w:r>
              <w:rPr>
                <w:rFonts w:ascii="Arial" w:cs="Arial" w:eastAsia="Arial" w:hAnsi="Arial"/>
                <w:b/>
                <w:bCs/>
                <w:color w:val="FFFFFF"/>
                <w:sz w:val="19"/>
                <w:szCs w:val="19"/>
              </w:rPr>
              <w:t xml:space="preserve">How It Works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Isolation Forest</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20 financial ratio features</w:t>
            </w:r>
          </w:p>
        </w:tc>
        <w:tc>
          <w:tcPr>
            <w:tcW w:type="dxa" w:w="4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Learns what 'normal' financial ratios look like from clean BSE companies. Anomaly score &lt; −0.1 = NOVEL_PATTERN flag. 3 hours to implement. scikit-learn already in stack.</w:t>
            </w:r>
          </w:p>
        </w:tc>
      </w:tr>
      <w:tr>
        <w:tc>
          <w:tcPr>
            <w:tcW w:type="dxa" w:w="20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color w:val="000000"/>
                <w:sz w:val="18"/>
                <w:szCs w:val="18"/>
              </w:rPr>
              <w:t xml:space="preserve">LOF on Graph Features</w:t>
            </w:r>
          </w:p>
        </w:tc>
        <w:tc>
          <w:tcPr>
            <w:tcW w:type="dxa" w:w="24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color w:val="000000"/>
                <w:sz w:val="18"/>
                <w:szCs w:val="18"/>
              </w:rPr>
              <w:t xml:space="preserve">7 graph features: PageRank, betweenness, clustering coeff., director count, counterparty age, degree, ego-density</w:t>
            </w:r>
          </w:p>
        </w:tc>
        <w:tc>
          <w:tcPr>
            <w:tcW w:type="dxa" w:w="49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color w:val="000000"/>
                <w:sz w:val="18"/>
                <w:szCs w:val="18"/>
              </w:rPr>
              <w:t xml:space="preserve">Local Outlier Factor on graph topology features. Catches companies with unusual graph neighbourhoods even when financials look clean. n_neighbors=20. sklearn.neighbors.LocalOutlierFactor. One afternoon to implement.</w:t>
            </w:r>
          </w:p>
        </w:tc>
      </w:tr>
    </w:tbl>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FF3CD" w:val="clear"/>
            <w:tcMar>
              <w:top w:type="dxa" w:w="80"/>
              <w:left w:type="dxa" w:w="120"/>
              <w:bottom w:type="dxa" w:w="80"/>
              <w:right w:type="dxa" w:w="120"/>
            </w:tcMar>
          </w:tcPr>
          <w:p>
            <w:r>
              <w:rPr>
                <w:rFonts w:ascii="Arial" w:cs="Arial" w:eastAsia="Arial" w:hAnsi="Arial"/>
                <w:sz w:val="17"/>
                <w:szCs w:val="17"/>
              </w:rPr>
              <w:t xml:space="preserve">Why two anomaly detectors on different feature spaces: Isolation Forest sees suspicious numbers. LOF sees suspicious graph structure. A sophisticated fraud with clean-looking financials but an anomalous director network will pass Isolation Forest and fail LOF. Both are needed.</w:t>
            </w:r>
          </w:p>
        </w:tc>
      </w:tr>
    </w:tbl>
    <w:p>
      <w:pPr>
        <w:spacing w:after="60" w:before="60"/>
      </w:pPr>
      <w:r>
        <w:t xml:space="preserve"/>
      </w:r>
    </w:p>
    <w:p>
      <w:r>
        <w:br w:type="page"/>
      </w:r>
    </w:p>
    <w:p>
      <w:pPr>
        <w:pStyle w:val="Heading1"/>
        <w:spacing w:after="160" w:before="320"/>
      </w:pPr>
      <w:r>
        <w:rPr>
          <w:rFonts w:ascii="Arial" w:cs="Arial" w:eastAsia="Arial" w:hAnsi="Arial"/>
          <w:b/>
          <w:bCs/>
          <w:color w:val="1F3864"/>
          <w:sz w:val="34"/>
          <w:szCs w:val="34"/>
        </w:rPr>
        <w:t xml:space="preserve">5. Tier 2 — ML Ensemble (from Architecture Doc)</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FF3CD" w:val="clear"/>
            <w:tcMar>
              <w:top w:type="dxa" w:w="80"/>
              <w:left w:type="dxa" w:w="120"/>
              <w:bottom w:type="dxa" w:w="80"/>
              <w:right w:type="dxa" w:w="120"/>
            </w:tcMar>
          </w:tcPr>
          <w:p>
            <w:r>
              <w:rPr>
                <w:rFonts w:ascii="Arial" w:cs="Arial" w:eastAsia="Arial" w:hAnsi="Arial"/>
                <w:sz w:val="17"/>
                <w:szCs w:val="17"/>
              </w:rPr>
              <w:t xml:space="preserve">This section preserves the full architecture from the uploaded document (Jeikarthikpandi) with one change: SHAP and Llama 3 are removed. Explainability is handled entirely by graph-native evidence provenance (Section 6). GNNExplainer is kept for TGN subgraph visualisation only — it does not replace graph evidence provenance as the primary explainability mechanism.</w:t>
            </w:r>
          </w:p>
        </w:tc>
      </w:tr>
    </w:tbl>
    <w:p>
      <w:pPr>
        <w:spacing w:after="60" w:before="60"/>
      </w:pPr>
      <w:r>
        <w:t xml:space="preserve"/>
      </w:r>
    </w:p>
    <w:p>
      <w:pPr>
        <w:pStyle w:val="Heading2"/>
        <w:spacing w:after="120" w:before="240"/>
      </w:pPr>
      <w:r>
        <w:rPr>
          <w:rFonts w:ascii="Arial" w:cs="Arial" w:eastAsia="Arial" w:hAnsi="Arial"/>
          <w:b/>
          <w:bCs/>
          <w:color w:val="2E4A7A"/>
          <w:sz w:val="26"/>
          <w:szCs w:val="26"/>
        </w:rPr>
        <w:t xml:space="preserve">5.1 Six L1 Detectors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80"/>
        <w:gridCol w:w="1600"/>
        <w:gridCol w:w="1200"/>
        <w:gridCol w:w="6080"/>
      </w:tblGrid>
      <w:tr>
        <w:tc>
          <w:tcPr>
            <w:tcW w:type="dxa" w:w="480"/>
            <w:tcBorders>
              <w:top w:val="single" w:color="1F3864" w:sz="2"/>
              <w:left w:val="single" w:color="1F3864" w:sz="2"/>
              <w:bottom w:val="single" w:color="1F3864" w:sz="2"/>
              <w:right w:val="single" w:color="1F3864" w:sz="2"/>
            </w:tcBorders>
            <w:shd w:fill="1F3864" w:val="clear"/>
            <w:tcMar>
              <w:top w:type="dxa" w:w="80"/>
              <w:left w:type="dxa" w:w="120"/>
              <w:bottom w:type="dxa" w:w="80"/>
              <w:right w:type="dxa" w:w="120"/>
            </w:tcMar>
          </w:tcPr>
          <w:p>
            <w:pPr>
              <w:jc w:val="center"/>
            </w:pPr>
            <w:r>
              <w:rPr>
                <w:rFonts w:ascii="Arial" w:cs="Arial" w:eastAsia="Arial" w:hAnsi="Arial"/>
                <w:b/>
                <w:bCs/>
                <w:color w:val="FFFFFF"/>
                <w:sz w:val="19"/>
                <w:szCs w:val="19"/>
              </w:rPr>
              <w:t xml:space="preserve">ID</w:t>
            </w:r>
          </w:p>
        </w:tc>
        <w:tc>
          <w:tcPr>
            <w:tcW w:type="dxa" w:w="1600"/>
            <w:tcBorders>
              <w:top w:val="single" w:color="1F3864" w:sz="2"/>
              <w:left w:val="single" w:color="1F3864" w:sz="2"/>
              <w:bottom w:val="single" w:color="1F3864" w:sz="2"/>
              <w:right w:val="single" w:color="1F3864" w:sz="2"/>
            </w:tcBorders>
            <w:shd w:fill="1F3864" w:val="clear"/>
            <w:tcMar>
              <w:top w:type="dxa" w:w="80"/>
              <w:left w:type="dxa" w:w="120"/>
              <w:bottom w:type="dxa" w:w="80"/>
              <w:right w:type="dxa" w:w="120"/>
            </w:tcMar>
          </w:tcPr>
          <w:p>
            <w:pPr>
              <w:jc w:val="center"/>
            </w:pPr>
            <w:r>
              <w:rPr>
                <w:rFonts w:ascii="Arial" w:cs="Arial" w:eastAsia="Arial" w:hAnsi="Arial"/>
                <w:b/>
                <w:bCs/>
                <w:color w:val="FFFFFF"/>
                <w:sz w:val="19"/>
                <w:szCs w:val="19"/>
              </w:rPr>
              <w:t xml:space="preserve">Detector</w:t>
            </w:r>
          </w:p>
        </w:tc>
        <w:tc>
          <w:tcPr>
            <w:tcW w:type="dxa" w:w="1200"/>
            <w:tcBorders>
              <w:top w:val="single" w:color="1F3864" w:sz="2"/>
              <w:left w:val="single" w:color="1F3864" w:sz="2"/>
              <w:bottom w:val="single" w:color="1F3864" w:sz="2"/>
              <w:right w:val="single" w:color="1F3864" w:sz="2"/>
            </w:tcBorders>
            <w:shd w:fill="1F3864" w:val="clear"/>
            <w:tcMar>
              <w:top w:type="dxa" w:w="80"/>
              <w:left w:type="dxa" w:w="120"/>
              <w:bottom w:type="dxa" w:w="80"/>
              <w:right w:type="dxa" w:w="120"/>
            </w:tcMar>
          </w:tcPr>
          <w:p>
            <w:pPr>
              <w:jc w:val="center"/>
            </w:pPr>
            <w:r>
              <w:rPr>
                <w:rFonts w:ascii="Arial" w:cs="Arial" w:eastAsia="Arial" w:hAnsi="Arial"/>
                <w:b/>
                <w:bCs/>
                <w:color w:val="FFFFFF"/>
                <w:sz w:val="19"/>
                <w:szCs w:val="19"/>
              </w:rPr>
              <w:t xml:space="preserve">Status</w:t>
            </w:r>
          </w:p>
        </w:tc>
        <w:tc>
          <w:tcPr>
            <w:tcW w:type="dxa" w:w="6080"/>
            <w:tcBorders>
              <w:top w:val="single" w:color="1F3864" w:sz="2"/>
              <w:left w:val="single" w:color="1F3864" w:sz="2"/>
              <w:bottom w:val="single" w:color="1F3864" w:sz="2"/>
              <w:right w:val="single" w:color="1F3864" w:sz="2"/>
            </w:tcBorders>
            <w:shd w:fill="1F3864" w:val="clear"/>
            <w:tcMar>
              <w:top w:type="dxa" w:w="80"/>
              <w:left w:type="dxa" w:w="120"/>
              <w:bottom w:type="dxa" w:w="80"/>
              <w:right w:type="dxa" w:w="120"/>
            </w:tcMar>
          </w:tcPr>
          <w:p>
            <w:pPr>
              <w:jc w:val="center"/>
            </w:pPr>
            <w:r>
              <w:rPr>
                <w:rFonts w:ascii="Arial" w:cs="Arial" w:eastAsia="Arial" w:hAnsi="Arial"/>
                <w:b/>
                <w:bCs/>
                <w:color w:val="FFFFFF"/>
                <w:sz w:val="19"/>
                <w:szCs w:val="19"/>
              </w:rPr>
              <w:t xml:space="preserve">Description</w:t>
            </w:r>
          </w:p>
        </w:tc>
      </w:tr>
      <w:tr>
        <w:tc>
          <w:tcPr>
            <w:tcW w:type="dxa" w:w="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D1</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CatBoost (tabular, supervised)</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EXISTS — tune</w:t>
            </w:r>
          </w:p>
        </w:tc>
        <w:tc>
          <w:tcPr>
            <w:tcW w:type="dxa" w:w="6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Supervised tabular classifier on financial features. Tune hyperparameters for OOF format. No rebuild required.</w:t>
            </w:r>
          </w:p>
        </w:tc>
      </w:tr>
      <w:tr>
        <w:tc>
          <w:tcPr>
            <w:tcW w:type="dxa" w:w="48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color w:val="000000"/>
                <w:sz w:val="18"/>
                <w:szCs w:val="18"/>
              </w:rPr>
              <w:t xml:space="preserve">D2</w:t>
            </w:r>
          </w:p>
        </w:tc>
        <w:tc>
          <w:tcPr>
            <w:tcW w:type="dxa" w:w="16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color w:val="000000"/>
                <w:sz w:val="18"/>
                <w:szCs w:val="18"/>
              </w:rPr>
              <w:t xml:space="preserve">β-VAE (tabular, unsupervised)</w:t>
            </w:r>
          </w:p>
        </w:tc>
        <w:tc>
          <w:tcPr>
            <w:tcW w:type="dxa" w:w="12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color w:val="000000"/>
                <w:sz w:val="18"/>
                <w:szCs w:val="18"/>
              </w:rPr>
              <w:t xml:space="preserve">EXISTS — adapt</w:t>
            </w:r>
          </w:p>
        </w:tc>
        <w:tc>
          <w:tcPr>
            <w:tcW w:type="dxa" w:w="608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color w:val="000000"/>
                <w:sz w:val="18"/>
                <w:szCs w:val="18"/>
              </w:rPr>
              <w:t xml:space="preserve">Already outputs reconstruction error. Normalize to [0,1] for L2 input. Unsupervised — catches distribution shifts in financial features.</w:t>
            </w:r>
          </w:p>
        </w:tc>
      </w:tr>
      <w:tr>
        <w:tc>
          <w:tcPr>
            <w:tcW w:type="dxa" w:w="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D3</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TGN — Temporal Graph Network</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REPLACE static GCN</w:t>
            </w:r>
          </w:p>
        </w:tc>
        <w:tc>
          <w:tcPr>
            <w:tcW w:type="dxa" w:w="6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Replace current static GCN with TGN (PyTorch Geometric tgn_attn). 2-layer, memory_dim=64, embedding_dim=64. Handles temporal evolution of director-company graph. Inductive inference via mean-aggregation fallback for unseen entities.</w:t>
            </w:r>
          </w:p>
        </w:tc>
      </w:tr>
      <w:tr>
        <w:tc>
          <w:tcPr>
            <w:tcW w:type="dxa" w:w="48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color w:val="000000"/>
                <w:sz w:val="18"/>
                <w:szCs w:val="18"/>
              </w:rPr>
              <w:t xml:space="preserve">D4</w:t>
            </w:r>
          </w:p>
        </w:tc>
        <w:tc>
          <w:tcPr>
            <w:tcW w:type="dxa" w:w="16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color w:val="000000"/>
                <w:sz w:val="18"/>
                <w:szCs w:val="18"/>
              </w:rPr>
              <w:t xml:space="preserve">LOF on Graph Features</w:t>
            </w:r>
          </w:p>
        </w:tc>
        <w:tc>
          <w:tcPr>
            <w:tcW w:type="dxa" w:w="12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color w:val="000000"/>
                <w:sz w:val="18"/>
                <w:szCs w:val="18"/>
              </w:rPr>
              <w:t xml:space="preserve">NEW — Module 11</w:t>
            </w:r>
          </w:p>
        </w:tc>
        <w:tc>
          <w:tcPr>
            <w:tcW w:type="dxa" w:w="608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color w:val="000000"/>
                <w:sz w:val="18"/>
                <w:szCs w:val="18"/>
              </w:rPr>
              <w:t xml:space="preserve">Already specified in Module 11. sklearn LOF, n_neighbors=20. Normalise output to [0,1]. Feeds score into L2 input vector.</w:t>
            </w:r>
          </w:p>
        </w:tc>
      </w:tr>
      <w:tr>
        <w:tc>
          <w:tcPr>
            <w:tcW w:type="dxa" w:w="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D5</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Mamba SSM (sequence, supervised)</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NEW — build</w:t>
            </w:r>
          </w:p>
        </w:tc>
        <w:tc>
          <w:tcPr>
            <w:tcW w:type="dxa" w:w="6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Transaction sequence input: (amount, counterparty_type, gst_status, timestamp_delta). Pad/truncate to max_len=128. 2-layer Mamba, state_dim=64. Fallback: TCN if CUDA unavailable.</w:t>
            </w:r>
          </w:p>
        </w:tc>
      </w:tr>
      <w:tr>
        <w:tc>
          <w:tcPr>
            <w:tcW w:type="dxa" w:w="48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color w:val="000000"/>
                <w:sz w:val="18"/>
                <w:szCs w:val="18"/>
              </w:rPr>
              <w:t xml:space="preserve">D6</w:t>
            </w:r>
          </w:p>
        </w:tc>
        <w:tc>
          <w:tcPr>
            <w:tcW w:type="dxa" w:w="16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color w:val="000000"/>
                <w:sz w:val="18"/>
                <w:szCs w:val="18"/>
              </w:rPr>
              <w:t xml:space="preserve">Combined Autoencoder (tabular+graph)</w:t>
            </w:r>
          </w:p>
        </w:tc>
        <w:tc>
          <w:tcPr>
            <w:tcW w:type="dxa" w:w="12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color w:val="000000"/>
                <w:sz w:val="18"/>
                <w:szCs w:val="18"/>
              </w:rPr>
              <w:t xml:space="preserve">NEW — build</w:t>
            </w:r>
          </w:p>
        </w:tc>
        <w:tc>
          <w:tcPr>
            <w:tcW w:type="dxa" w:w="608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color w:val="000000"/>
                <w:sz w:val="18"/>
                <w:szCs w:val="18"/>
              </w:rPr>
              <w:t xml:space="preserve">Concatenate [20 financial features, 7 graph features] = 27-dim. Normalize each group to [0,1] independently. Encoder [27→64→32→16], mirrored decoder. ReLU, BatchNorm, dropout=0.2. Reconstruction error → [0,1] via 99th percentile normalization.</w:t>
            </w:r>
          </w:p>
        </w:tc>
      </w:tr>
    </w:tbl>
    <w:p>
      <w:pPr>
        <w:spacing w:after="60" w:before="60"/>
      </w:pPr>
      <w:r>
        <w:t xml:space="preserve"/>
      </w:r>
    </w:p>
    <w:p>
      <w:pPr>
        <w:pStyle w:val="Heading2"/>
        <w:spacing w:after="120" w:before="240"/>
      </w:pPr>
      <w:r>
        <w:rPr>
          <w:rFonts w:ascii="Arial" w:cs="Arial" w:eastAsia="Arial" w:hAnsi="Arial"/>
          <w:b/>
          <w:bCs/>
          <w:color w:val="2E4A7A"/>
          <w:sz w:val="26"/>
          <w:szCs w:val="26"/>
        </w:rPr>
        <w:t xml:space="preserve">5.2 Meta-Learner Stack (F1a / F1b / F1c)</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2000"/>
        <w:gridCol w:w="6560"/>
      </w:tblGrid>
      <w:tr>
        <w:tc>
          <w:tcPr>
            <w:tcW w:type="dxa" w:w="800"/>
            <w:tcBorders>
              <w:top w:val="single" w:color="1F3864" w:sz="2"/>
              <w:left w:val="single" w:color="1F3864" w:sz="2"/>
              <w:bottom w:val="single" w:color="1F3864" w:sz="2"/>
              <w:right w:val="single" w:color="1F3864" w:sz="2"/>
            </w:tcBorders>
            <w:shd w:fill="1F3864" w:val="clear"/>
            <w:tcMar>
              <w:top w:type="dxa" w:w="80"/>
              <w:left w:type="dxa" w:w="120"/>
              <w:bottom w:type="dxa" w:w="80"/>
              <w:right w:type="dxa" w:w="120"/>
            </w:tcMar>
          </w:tcPr>
          <w:p>
            <w:pPr>
              <w:jc w:val="center"/>
            </w:pPr>
            <w:r>
              <w:rPr>
                <w:rFonts w:ascii="Arial" w:cs="Arial" w:eastAsia="Arial" w:hAnsi="Arial"/>
                <w:b/>
                <w:bCs/>
                <w:color w:val="FFFFFF"/>
                <w:sz w:val="19"/>
                <w:szCs w:val="19"/>
              </w:rPr>
              <w:t xml:space="preserve">ID</w:t>
            </w:r>
          </w:p>
        </w:tc>
        <w:tc>
          <w:tcPr>
            <w:tcW w:type="dxa" w:w="2000"/>
            <w:tcBorders>
              <w:top w:val="single" w:color="1F3864" w:sz="2"/>
              <w:left w:val="single" w:color="1F3864" w:sz="2"/>
              <w:bottom w:val="single" w:color="1F3864" w:sz="2"/>
              <w:right w:val="single" w:color="1F3864" w:sz="2"/>
            </w:tcBorders>
            <w:shd w:fill="1F3864" w:val="clear"/>
            <w:tcMar>
              <w:top w:type="dxa" w:w="80"/>
              <w:left w:type="dxa" w:w="120"/>
              <w:bottom w:type="dxa" w:w="80"/>
              <w:right w:type="dxa" w:w="120"/>
            </w:tcMar>
          </w:tcPr>
          <w:p>
            <w:pPr>
              <w:jc w:val="center"/>
            </w:pPr>
            <w:r>
              <w:rPr>
                <w:rFonts w:ascii="Arial" w:cs="Arial" w:eastAsia="Arial" w:hAnsi="Arial"/>
                <w:b/>
                <w:bCs/>
                <w:color w:val="FFFFFF"/>
                <w:sz w:val="19"/>
                <w:szCs w:val="19"/>
              </w:rPr>
              <w:t xml:space="preserve">Component</w:t>
            </w:r>
          </w:p>
        </w:tc>
        <w:tc>
          <w:tcPr>
            <w:tcW w:type="dxa" w:w="6560"/>
            <w:tcBorders>
              <w:top w:val="single" w:color="1F3864" w:sz="2"/>
              <w:left w:val="single" w:color="1F3864" w:sz="2"/>
              <w:bottom w:val="single" w:color="1F3864" w:sz="2"/>
              <w:right w:val="single" w:color="1F3864" w:sz="2"/>
            </w:tcBorders>
            <w:shd w:fill="1F3864" w:val="clear"/>
            <w:tcMar>
              <w:top w:type="dxa" w:w="80"/>
              <w:left w:type="dxa" w:w="120"/>
              <w:bottom w:type="dxa" w:w="80"/>
              <w:right w:type="dxa" w:w="120"/>
            </w:tcMar>
          </w:tcPr>
          <w:p>
            <w:pPr>
              <w:jc w:val="center"/>
            </w:pPr>
            <w:r>
              <w:rPr>
                <w:rFonts w:ascii="Arial" w:cs="Arial" w:eastAsia="Arial" w:hAnsi="Arial"/>
                <w:b/>
                <w:bCs/>
                <w:color w:val="FFFFFF"/>
                <w:sz w:val="19"/>
                <w:szCs w:val="19"/>
              </w:rPr>
              <w:t xml:space="preserve">Description</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F1a</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LightGBM OOF Meta-learner</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Replaces the deprecated static formula (S = 0.4·GNN + 0.2·VAE + ...) entirely. K=5 OOF folds — each L2 training sample's prediction is always made by a model that never saw that sample's label. Learns optimal detector weights from data. Native LightGBM SHAP support retained for internal meta-learner debugging only — not surfaced to users.</w:t>
            </w:r>
          </w:p>
        </w:tc>
      </w:tr>
      <w:tr>
        <w:tc>
          <w:tcPr>
            <w:tcW w:type="dxa" w:w="8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color w:val="000000"/>
                <w:sz w:val="18"/>
                <w:szCs w:val="18"/>
              </w:rPr>
              <w:t xml:space="preserve">F1b</w:t>
            </w:r>
          </w:p>
        </w:tc>
        <w:tc>
          <w:tcPr>
            <w:tcW w:type="dxa" w:w="20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color w:val="000000"/>
                <w:sz w:val="18"/>
                <w:szCs w:val="18"/>
              </w:rPr>
              <w:t xml:space="preserve">Isotonic Regression Calibration</w:t>
            </w:r>
          </w:p>
        </w:tc>
        <w:tc>
          <w:tcPr>
            <w:tcW w:type="dxa" w:w="65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color w:val="000000"/>
                <w:sz w:val="18"/>
                <w:szCs w:val="18"/>
              </w:rPr>
              <w:t xml:space="preserve">sklearn.isotonic.IsotonicRegression fit on a separate 15% hold-out (not OOF data — prevents leakage). Converts LightGBM raw scores to calibrated P(fraud) probabilities. Validated via reliability diagram: P(fraud)=0.8 should correspond to ~80% actual fraud rate.</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F1c</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Conformal Prediction (MAPIE)</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MapieClassifier wraps calibrated predictor. Output: P(fraud) + [P_low, P_high] at alpha=0.10. Guarantees 90% conformal coverage — the prediction interval contains the true label in ≥90% of test cases. pip install mapie.</w:t>
            </w:r>
          </w:p>
        </w:tc>
      </w:tr>
    </w:tbl>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F3864" w:sz="2"/>
              <w:left w:val="single" w:color="1F3864" w:sz="2"/>
              <w:bottom w:val="single" w:color="1F3864" w:sz="2"/>
              <w:right w:val="single" w:color="1F3864" w:sz="2"/>
            </w:tcBorders>
            <w:shd w:fill="F8D7DA" w:val="clear"/>
            <w:tcMar>
              <w:top w:type="dxa" w:w="80"/>
              <w:left w:type="dxa" w:w="120"/>
              <w:bottom w:type="dxa" w:w="80"/>
              <w:right w:type="dxa" w:w="120"/>
            </w:tcMar>
          </w:tcPr>
          <w:p>
            <w:r>
              <w:rPr>
                <w:rFonts w:ascii="Arial" w:cs="Arial" w:eastAsia="Arial" w:hAnsi="Arial"/>
                <w:b/>
                <w:bCs/>
                <w:color w:val="721C24"/>
                <w:sz w:val="17"/>
                <w:szCs w:val="17"/>
              </w:rPr>
              <w:t xml:space="preserve">Static formula (S = 0.4·GNN + 0.2·VAE + ...) is fully deprecated. All weighted aggregation now handled by F1a LightGBM trained on OOF data. The old static weights are not used anywhere in the system.</w:t>
            </w:r>
          </w:p>
        </w:tc>
      </w:tr>
    </w:tbl>
    <w:p>
      <w:pPr>
        <w:spacing w:after="60" w:before="60"/>
      </w:pPr>
      <w:r>
        <w:t xml:space="preserve"/>
      </w:r>
    </w:p>
    <w:p>
      <w:pPr>
        <w:pStyle w:val="Heading2"/>
        <w:spacing w:after="120" w:before="240"/>
      </w:pPr>
      <w:r>
        <w:rPr>
          <w:rFonts w:ascii="Arial" w:cs="Arial" w:eastAsia="Arial" w:hAnsi="Arial"/>
          <w:b/>
          <w:bCs/>
          <w:color w:val="2E4A7A"/>
          <w:sz w:val="26"/>
          <w:szCs w:val="26"/>
        </w:rPr>
        <w:t xml:space="preserve">5.3 Graph Feature Extraction Pipeline (L0.5)</w:t>
      </w:r>
    </w:p>
    <w:p>
      <w:pPr>
        <w:spacing w:after="60" w:before="60"/>
      </w:pPr>
      <w:r>
        <w:rPr>
          <w:rFonts w:ascii="Arial" w:cs="Arial" w:eastAsia="Arial" w:hAnsi="Arial"/>
          <w:b w:val="false"/>
          <w:bCs w:val="false"/>
          <w:sz w:val="18"/>
          <w:szCs w:val="18"/>
        </w:rPr>
        <w:t xml:space="preserve">Prerequisite for D3 (TGN) and D4 (LOF). Compute per entity using NetworkX. Cache as feature matrix. 1 day of build.</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160"/>
        <w:gridCol w:w="3400"/>
      </w:tblGrid>
      <w:tr>
        <w:tc>
          <w:tcPr>
            <w:tcW w:type="dxa" w:w="2800"/>
            <w:tcBorders>
              <w:top w:val="single" w:color="1F3864" w:sz="2"/>
              <w:left w:val="single" w:color="1F3864" w:sz="2"/>
              <w:bottom w:val="single" w:color="1F3864" w:sz="2"/>
              <w:right w:val="single" w:color="1F3864" w:sz="2"/>
            </w:tcBorders>
            <w:shd w:fill="1F3864" w:val="clear"/>
            <w:tcMar>
              <w:top w:type="dxa" w:w="80"/>
              <w:left w:type="dxa" w:w="120"/>
              <w:bottom w:type="dxa" w:w="80"/>
              <w:right w:type="dxa" w:w="120"/>
            </w:tcMar>
          </w:tcPr>
          <w:p>
            <w:pPr>
              <w:jc w:val="center"/>
            </w:pPr>
            <w:r>
              <w:rPr>
                <w:rFonts w:ascii="Arial" w:cs="Arial" w:eastAsia="Arial" w:hAnsi="Arial"/>
                <w:b/>
                <w:bCs/>
                <w:color w:val="FFFFFF"/>
                <w:sz w:val="19"/>
                <w:szCs w:val="19"/>
              </w:rPr>
              <w:t xml:space="preserve">Feature</w:t>
            </w:r>
          </w:p>
        </w:tc>
        <w:tc>
          <w:tcPr>
            <w:tcW w:type="dxa" w:w="3160"/>
            <w:tcBorders>
              <w:top w:val="single" w:color="1F3864" w:sz="2"/>
              <w:left w:val="single" w:color="1F3864" w:sz="2"/>
              <w:bottom w:val="single" w:color="1F3864" w:sz="2"/>
              <w:right w:val="single" w:color="1F3864" w:sz="2"/>
            </w:tcBorders>
            <w:shd w:fill="1F3864" w:val="clear"/>
            <w:tcMar>
              <w:top w:type="dxa" w:w="80"/>
              <w:left w:type="dxa" w:w="120"/>
              <w:bottom w:type="dxa" w:w="80"/>
              <w:right w:type="dxa" w:w="120"/>
            </w:tcMar>
          </w:tcPr>
          <w:p>
            <w:pPr>
              <w:jc w:val="center"/>
            </w:pPr>
            <w:r>
              <w:rPr>
                <w:rFonts w:ascii="Arial" w:cs="Arial" w:eastAsia="Arial" w:hAnsi="Arial"/>
                <w:b/>
                <w:bCs/>
                <w:color w:val="FFFFFF"/>
                <w:sz w:val="19"/>
                <w:szCs w:val="19"/>
              </w:rPr>
              <w:t xml:space="preserve">Algorithm</w:t>
            </w:r>
          </w:p>
        </w:tc>
        <w:tc>
          <w:tcPr>
            <w:tcW w:type="dxa" w:w="3400"/>
            <w:tcBorders>
              <w:top w:val="single" w:color="1F3864" w:sz="2"/>
              <w:left w:val="single" w:color="1F3864" w:sz="2"/>
              <w:bottom w:val="single" w:color="1F3864" w:sz="2"/>
              <w:right w:val="single" w:color="1F3864" w:sz="2"/>
            </w:tcBorders>
            <w:shd w:fill="1F3864" w:val="clear"/>
            <w:tcMar>
              <w:top w:type="dxa" w:w="80"/>
              <w:left w:type="dxa" w:w="120"/>
              <w:bottom w:type="dxa" w:w="80"/>
              <w:right w:type="dxa" w:w="120"/>
            </w:tcMar>
          </w:tcPr>
          <w:p>
            <w:pPr>
              <w:jc w:val="center"/>
            </w:pPr>
            <w:r>
              <w:rPr>
                <w:rFonts w:ascii="Arial" w:cs="Arial" w:eastAsia="Arial" w:hAnsi="Arial"/>
                <w:b/>
                <w:bCs/>
                <w:color w:val="FFFFFF"/>
                <w:sz w:val="19"/>
                <w:szCs w:val="19"/>
              </w:rPr>
              <w:t xml:space="preserve">Signal</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PageRank score</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nx.pagerank(G)</w:t>
            </w:r>
          </w:p>
        </w:tc>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High centrality in fraud network</w:t>
            </w:r>
          </w:p>
        </w:tc>
      </w:tr>
      <w:tr>
        <w:tc>
          <w:tcPr>
            <w:tcW w:type="dxa" w:w="28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color w:val="000000"/>
                <w:sz w:val="18"/>
                <w:szCs w:val="18"/>
              </w:rPr>
              <w:t xml:space="preserve">Betweenness centrality</w:t>
            </w:r>
          </w:p>
        </w:tc>
        <w:tc>
          <w:tcPr>
            <w:tcW w:type="dxa" w:w="31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color w:val="000000"/>
                <w:sz w:val="18"/>
                <w:szCs w:val="18"/>
              </w:rPr>
              <w:t xml:space="preserve">nx.betweenness_centrality(G)</w:t>
            </w:r>
          </w:p>
        </w:tc>
        <w:tc>
          <w:tcPr>
            <w:tcW w:type="dxa" w:w="34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color w:val="000000"/>
                <w:sz w:val="18"/>
                <w:szCs w:val="18"/>
              </w:rPr>
              <w:t xml:space="preserve">Bridge directors between shell clusters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Clustering coefficient</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nx.clustering(G)</w:t>
            </w:r>
          </w:p>
        </w:tc>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Dense local clusters = shell network</w:t>
            </w:r>
          </w:p>
        </w:tc>
      </w:tr>
      <w:tr>
        <w:tc>
          <w:tcPr>
            <w:tcW w:type="dxa" w:w="28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color w:val="000000"/>
                <w:sz w:val="18"/>
                <w:szCs w:val="18"/>
              </w:rPr>
              <w:t xml:space="preserve">Director count (degree)</w:t>
            </w:r>
          </w:p>
        </w:tc>
        <w:tc>
          <w:tcPr>
            <w:tcW w:type="dxa" w:w="31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color w:val="000000"/>
                <w:sz w:val="18"/>
                <w:szCs w:val="18"/>
              </w:rPr>
              <w:t xml:space="preserve">G.degree(node)</w:t>
            </w:r>
          </w:p>
        </w:tc>
        <w:tc>
          <w:tcPr>
            <w:tcW w:type="dxa" w:w="34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color w:val="000000"/>
                <w:sz w:val="18"/>
                <w:szCs w:val="18"/>
              </w:rPr>
              <w:t xml:space="preserve">&gt;10 directorships = front man signal</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Counterparty incorporation age (median)</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Median age of TRANSACTS_WITH targets</w:t>
            </w:r>
          </w:p>
        </w:tc>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Paying large sums to recently incorporated entities</w:t>
            </w:r>
          </w:p>
        </w:tc>
      </w:tr>
      <w:tr>
        <w:tc>
          <w:tcPr>
            <w:tcW w:type="dxa" w:w="28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color w:val="000000"/>
                <w:sz w:val="18"/>
                <w:szCs w:val="18"/>
              </w:rPr>
              <w:t xml:space="preserve">Node degree</w:t>
            </w:r>
          </w:p>
        </w:tc>
        <w:tc>
          <w:tcPr>
            <w:tcW w:type="dxa" w:w="31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color w:val="000000"/>
                <w:sz w:val="18"/>
                <w:szCs w:val="18"/>
              </w:rPr>
              <w:t xml:space="preserve">G.degree(node)</w:t>
            </w:r>
          </w:p>
        </w:tc>
        <w:tc>
          <w:tcPr>
            <w:tcW w:type="dxa" w:w="34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color w:val="000000"/>
                <w:sz w:val="18"/>
                <w:szCs w:val="18"/>
              </w:rPr>
              <w:t xml:space="preserve">High connectivity = hub in fraud network</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Ego-network density</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nx.density(nx.ego_graph(G, node))</w:t>
            </w:r>
          </w:p>
        </w:tc>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Unusually dense local subgraph = shell cluster</w:t>
            </w:r>
          </w:p>
        </w:tc>
      </w:tr>
    </w:tbl>
    <w:p>
      <w:pPr>
        <w:spacing w:after="60" w:before="60"/>
      </w:pPr>
      <w:r>
        <w:t xml:space="preserve"/>
      </w:r>
    </w:p>
    <w:p>
      <w:pPr>
        <w:pStyle w:val="Heading2"/>
        <w:spacing w:after="120" w:before="240"/>
      </w:pPr>
      <w:r>
        <w:rPr>
          <w:rFonts w:ascii="Arial" w:cs="Arial" w:eastAsia="Arial" w:hAnsi="Arial"/>
          <w:b/>
          <w:bCs/>
          <w:color w:val="2E4A7A"/>
          <w:sz w:val="26"/>
          <w:szCs w:val="26"/>
        </w:rPr>
        <w:t xml:space="preserve">5.4 Explainability — GNNExplainer (TGN Only)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F3864" w:sz="2"/>
              <w:left w:val="single" w:color="1F3864" w:sz="2"/>
              <w:bottom w:val="single" w:color="1F3864" w:sz="2"/>
              <w:right w:val="single" w:color="1F3864" w:sz="2"/>
            </w:tcBorders>
            <w:shd w:fill="F8D7DA" w:val="clear"/>
            <w:tcMar>
              <w:top w:type="dxa" w:w="80"/>
              <w:left w:type="dxa" w:w="120"/>
              <w:bottom w:type="dxa" w:w="80"/>
              <w:right w:type="dxa" w:w="120"/>
            </w:tcMar>
          </w:tcPr>
          <w:p>
            <w:r>
              <w:rPr>
                <w:rFonts w:ascii="Arial" w:cs="Arial" w:eastAsia="Arial" w:hAnsi="Arial"/>
                <w:b/>
                <w:bCs/>
                <w:color w:val="721C24"/>
                <w:sz w:val="17"/>
                <w:szCs w:val="17"/>
              </w:rPr>
              <w:t xml:space="preserve">SHAP removed from user-facing output. Llama 3 removed entirely. Graph-native evidence provenance (Section 6) is the primary explainability mechanism. GNNExplainer is retained for a single purpose: visualising the TGN subgraph that contributed to D3's score. It is an engineering diagnostic and a demo visualisation — not the explanation shown to credit officers or forensic auditors.</w:t>
            </w:r>
          </w:p>
        </w:tc>
      </w:tr>
    </w:tbl>
    <w:p>
      <w:pPr>
        <w:spacing w:after="60" w:before="60"/>
      </w:pPr>
      <w:r>
        <w:t xml:space="preserve"/>
      </w:r>
    </w:p>
    <w:p>
      <w:pPr>
        <w:spacing w:after="60" w:before="60"/>
      </w:pPr>
      <w:r>
        <w:rPr>
          <w:rFonts w:ascii="Arial" w:cs="Arial" w:eastAsia="Arial" w:hAnsi="Arial"/>
          <w:b w:val="false"/>
          <w:bCs w:val="false"/>
          <w:sz w:val="18"/>
          <w:szCs w:val="18"/>
        </w:rPr>
        <w:t xml:space="preserve">GNNExplainer: torch_geometric.explain.GNNExplainer. Wire to TGN output. Produces edge_mask and node_mask per prediction. Visualise with networkx/matplotlib. Output shown in Graph Explorer as 'TGN Attention Subgraph' — clearly labelled as ML model attention, distinct from the evidence provenance chain.</w:t>
      </w:r>
    </w:p>
    <w:p>
      <w:pPr>
        <w:spacing w:after="60" w:before="60"/>
      </w:pPr>
      <w:r>
        <w:t xml:space="preserve"/>
      </w:r>
    </w:p>
    <w:p>
      <w:pPr>
        <w:pStyle w:val="Heading2"/>
        <w:spacing w:after="120" w:before="240"/>
      </w:pPr>
      <w:r>
        <w:rPr>
          <w:rFonts w:ascii="Arial" w:cs="Arial" w:eastAsia="Arial" w:hAnsi="Arial"/>
          <w:b/>
          <w:bCs/>
          <w:color w:val="2E4A7A"/>
          <w:sz w:val="26"/>
          <w:szCs w:val="26"/>
        </w:rPr>
        <w:t xml:space="preserve">5.5 Narrative Generation — Gemini Flash (Replaces Llama 3)</w:t>
      </w:r>
    </w:p>
    <w:p>
      <w:pPr>
        <w:spacing w:after="60" w:before="60"/>
      </w:pPr>
      <w:r>
        <w:rPr>
          <w:rFonts w:ascii="Arial" w:cs="Arial" w:eastAsia="Arial" w:hAnsi="Arial"/>
          <w:b w:val="false"/>
          <w:bCs w:val="false"/>
          <w:sz w:val="18"/>
          <w:szCs w:val="18"/>
        </w:rPr>
        <w:t xml:space="preserve">Gemini Flash (Google AI Studio free tier, 60 req/min) generates the 300–500 word report narrative. Structured prompt receives the full evidence JSON. Post-generation template substitution injects all numerical values — the LLM never generates numbers. This replaces Llama 3 entirely. Same structured prompt approach, zero local GPU requirement.</w:t>
      </w:r>
    </w:p>
    <w:p>
      <w:pPr>
        <w:spacing w:after="60" w:before="60"/>
      </w:pPr>
      <w:r>
        <w:t xml:space="preserve"/>
      </w:r>
    </w:p>
    <w:p>
      <w:r>
        <w:br w:type="page"/>
      </w:r>
    </w:p>
    <w:p>
      <w:pPr>
        <w:pStyle w:val="Heading1"/>
        <w:spacing w:after="160" w:before="320"/>
      </w:pPr>
      <w:r>
        <w:rPr>
          <w:rFonts w:ascii="Arial" w:cs="Arial" w:eastAsia="Arial" w:hAnsi="Arial"/>
          <w:b/>
          <w:bCs/>
          <w:color w:val="1F3864"/>
          <w:sz w:val="34"/>
          <w:szCs w:val="34"/>
        </w:rPr>
        <w:t xml:space="preserve">6. Graph-Native Evidence Provenance — Primary Explainability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FF3CD" w:val="clear"/>
            <w:tcMar>
              <w:top w:type="dxa" w:w="80"/>
              <w:left w:type="dxa" w:w="120"/>
              <w:bottom w:type="dxa" w:w="80"/>
              <w:right w:type="dxa" w:w="120"/>
            </w:tcMar>
          </w:tcPr>
          <w:p>
            <w:r>
              <w:rPr>
                <w:rFonts w:ascii="Arial" w:cs="Arial" w:eastAsia="Arial" w:hAnsi="Arial"/>
                <w:sz w:val="17"/>
                <w:szCs w:val="17"/>
              </w:rPr>
              <w:t xml:space="preserve">This is the only explainability mechanism shown to end users (credit officers, forensic auditors, DGGI investigators). Every finding traces to an exact data point in the graph via typed edges. Not a black box — a data citation that holds up in court.</w:t>
            </w:r>
          </w:p>
        </w:tc>
      </w:tr>
    </w:tbl>
    <w:p>
      <w:pPr>
        <w:spacing w:after="60" w:before="60"/>
      </w:pPr>
      <w:r>
        <w:t xml:space="preserve"/>
      </w:r>
    </w:p>
    <w:p>
      <w:pPr>
        <w:pStyle w:val="Heading2"/>
        <w:spacing w:after="120" w:before="240"/>
      </w:pPr>
      <w:r>
        <w:rPr>
          <w:rFonts w:ascii="Arial" w:cs="Arial" w:eastAsia="Arial" w:hAnsi="Arial"/>
          <w:b/>
          <w:bCs/>
          <w:color w:val="2E4A7A"/>
          <w:sz w:val="26"/>
          <w:szCs w:val="26"/>
        </w:rPr>
        <w:t xml:space="preserve">6.1 How It Works</w:t>
      </w:r>
    </w:p>
    <w:p>
      <w:pPr>
        <w:pStyle w:val="ListParagraph"/>
        <w:numPr>
          <w:ilvl w:val="0"/>
          <w:numId w:val="2"/>
        </w:numPr>
        <w:spacing w:after="40" w:before="40"/>
      </w:pPr>
      <w:r>
        <w:rPr>
          <w:rFonts w:ascii="Arial" w:cs="Arial" w:eastAsia="Arial" w:hAnsi="Arial"/>
          <w:sz w:val="18"/>
          <w:szCs w:val="18"/>
        </w:rPr>
        <w:t xml:space="preserve">Every fraud flag creates a FraudSignal node in Neo4j with properties: signal_type, severity, score_contribution, evidence_string (always contains specific numbers), module_name.</w:t>
      </w:r>
    </w:p>
    <w:p>
      <w:pPr>
        <w:pStyle w:val="ListParagraph"/>
        <w:numPr>
          <w:ilvl w:val="0"/>
          <w:numId w:val="2"/>
        </w:numPr>
        <w:spacing w:after="40" w:before="40"/>
      </w:pPr>
      <w:r>
        <w:rPr>
          <w:rFonts w:ascii="Arial" w:cs="Arial" w:eastAsia="Arial" w:hAnsi="Arial"/>
          <w:sz w:val="18"/>
          <w:szCs w:val="18"/>
        </w:rPr>
        <w:t xml:space="preserve">Every FraudSignal has TRIGGERED_BY edges pointing to the exact RelatedPartyTransaction, FinancialStatement, Charge, GSTEntity, or LoanDisbursement that caused it.</w:t>
      </w:r>
    </w:p>
    <w:p>
      <w:pPr>
        <w:pStyle w:val="ListParagraph"/>
        <w:numPr>
          <w:ilvl w:val="0"/>
          <w:numId w:val="2"/>
        </w:numPr>
        <w:spacing w:after="40" w:before="40"/>
      </w:pPr>
      <w:r>
        <w:rPr>
          <w:rFonts w:ascii="Arial" w:cs="Arial" w:eastAsia="Arial" w:hAnsi="Arial"/>
          <w:sz w:val="18"/>
          <w:szCs w:val="18"/>
        </w:rPr>
        <w:t xml:space="preserve">The 'explanation' is a Cypher traversal: given a Company CIN, return all FraudSignal nodes with their full TRIGGERED_BY chain.</w:t>
      </w:r>
    </w:p>
    <w:p>
      <w:pPr>
        <w:pStyle w:val="ListParagraph"/>
        <w:numPr>
          <w:ilvl w:val="0"/>
          <w:numId w:val="2"/>
        </w:numPr>
        <w:spacing w:after="40" w:before="40"/>
      </w:pPr>
      <w:r>
        <w:rPr>
          <w:rFonts w:ascii="Arial" w:cs="Arial" w:eastAsia="Arial" w:hAnsi="Arial"/>
          <w:sz w:val="18"/>
          <w:szCs w:val="18"/>
        </w:rPr>
        <w:t xml:space="preserve">Frontend renders this as a visual evidence chain in the Graph Explorer. Each FraudSignal node shows: what fired, what triggered it, and the exact numbers.</w:t>
      </w:r>
    </w:p>
    <w:p>
      <w:pPr>
        <w:pStyle w:val="ListParagraph"/>
        <w:numPr>
          <w:ilvl w:val="0"/>
          <w:numId w:val="2"/>
        </w:numPr>
        <w:spacing w:after="40" w:before="40"/>
      </w:pPr>
      <w:r>
        <w:rPr>
          <w:rFonts w:ascii="Arial" w:cs="Arial" w:eastAsia="Arial" w:hAnsi="Arial"/>
          <w:sz w:val="18"/>
          <w:szCs w:val="18"/>
        </w:rPr>
        <w:t xml:space="preserve">Belief propagation: when a company scores CRITICAL, a Cypher traversal writes CONNECTED_TO_CRITICAL edges to all first-degree connections. Their reports note the connection.</w:t>
      </w:r>
    </w:p>
    <w:p>
      <w:pPr>
        <w:spacing w:after="60" w:before="60"/>
      </w:pPr>
      <w:r>
        <w:t xml:space="preserve"/>
      </w:r>
    </w:p>
    <w:p>
      <w:pPr>
        <w:pStyle w:val="Heading2"/>
        <w:spacing w:after="120" w:before="240"/>
      </w:pPr>
      <w:r>
        <w:rPr>
          <w:rFonts w:ascii="Arial" w:cs="Arial" w:eastAsia="Arial" w:hAnsi="Arial"/>
          <w:b/>
          <w:bCs/>
          <w:color w:val="2E4A7A"/>
          <w:sz w:val="26"/>
          <w:szCs w:val="26"/>
        </w:rPr>
        <w:t xml:space="preserve">6.2 Evidence Provenance vs SHAP — Why This Is Better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1F3864" w:sz="2"/>
              <w:left w:val="single" w:color="1F3864" w:sz="2"/>
              <w:bottom w:val="single" w:color="1F3864" w:sz="2"/>
              <w:right w:val="single" w:color="1F3864" w:sz="2"/>
            </w:tcBorders>
            <w:shd w:fill="1F3864" w:val="clear"/>
            <w:tcMar>
              <w:top w:type="dxa" w:w="80"/>
              <w:left w:type="dxa" w:w="120"/>
              <w:bottom w:type="dxa" w:w="80"/>
              <w:right w:type="dxa" w:w="120"/>
            </w:tcMar>
          </w:tcPr>
          <w:p>
            <w:pPr>
              <w:jc w:val="center"/>
            </w:pPr>
            <w:r>
              <w:rPr>
                <w:rFonts w:ascii="Arial" w:cs="Arial" w:eastAsia="Arial" w:hAnsi="Arial"/>
                <w:b/>
                <w:bCs/>
                <w:color w:val="FFFFFF"/>
                <w:sz w:val="19"/>
                <w:szCs w:val="19"/>
              </w:rPr>
              <w:t xml:space="preserve">SHAP (Removed)</w:t>
            </w:r>
          </w:p>
        </w:tc>
        <w:tc>
          <w:tcPr>
            <w:tcW w:type="dxa" w:w="4680"/>
            <w:tcBorders>
              <w:top w:val="single" w:color="1F3864" w:sz="2"/>
              <w:left w:val="single" w:color="1F3864" w:sz="2"/>
              <w:bottom w:val="single" w:color="1F3864" w:sz="2"/>
              <w:right w:val="single" w:color="1F3864" w:sz="2"/>
            </w:tcBorders>
            <w:shd w:fill="1F3864" w:val="clear"/>
            <w:tcMar>
              <w:top w:type="dxa" w:w="80"/>
              <w:left w:type="dxa" w:w="120"/>
              <w:bottom w:type="dxa" w:w="80"/>
              <w:right w:type="dxa" w:w="120"/>
            </w:tcMar>
          </w:tcPr>
          <w:p>
            <w:pPr>
              <w:jc w:val="center"/>
            </w:pPr>
            <w:r>
              <w:rPr>
                <w:rFonts w:ascii="Arial" w:cs="Arial" w:eastAsia="Arial" w:hAnsi="Arial"/>
                <w:b/>
                <w:bCs/>
                <w:color w:val="FFFFFF"/>
                <w:sz w:val="19"/>
                <w:szCs w:val="19"/>
              </w:rPr>
              <w:t xml:space="preserve">Graph Evidence Provenance (Used)</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'Module 3 contributed 28% of score'</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'Benford MAD 0.031 on FY2017 P&amp;L line items — above 0.020 threshold'</w:t>
            </w:r>
          </w:p>
        </w:tc>
      </w:tr>
      <w:tr>
        <w:tc>
          <w:tcPr>
            <w:tcW w:type="dxa" w:w="468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color w:val="000000"/>
                <w:sz w:val="18"/>
                <w:szCs w:val="18"/>
              </w:rPr>
              <w:t xml:space="preserve">Bar chart of feature importances</w:t>
            </w:r>
          </w:p>
        </w:tc>
        <w:tc>
          <w:tcPr>
            <w:tcW w:type="dxa" w:w="468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color w:val="000000"/>
                <w:sz w:val="18"/>
                <w:szCs w:val="18"/>
              </w:rPr>
              <w:t xml:space="preserve">Visual graph traversal: FraudSignal → TRIGGERED_BY → FinancialStatement → year/company</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Weights are global model averages</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Every explanation is case-specific and data-specific</w:t>
            </w:r>
          </w:p>
        </w:tc>
      </w:tr>
      <w:tr>
        <w:tc>
          <w:tcPr>
            <w:tcW w:type="dxa" w:w="468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color w:val="000000"/>
                <w:sz w:val="18"/>
                <w:szCs w:val="18"/>
              </w:rPr>
              <w:t xml:space="preserve">Cannot be cited in a legal document</w:t>
            </w:r>
          </w:p>
        </w:tc>
        <w:tc>
          <w:tcPr>
            <w:tcW w:type="dxa" w:w="468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color w:val="000000"/>
                <w:sz w:val="18"/>
                <w:szCs w:val="18"/>
              </w:rPr>
              <w:t xml:space="preserve">Every number is a database citation — directly auditable</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Requires SHAP library + TreeExplainer</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A single Cypher query — no additional dependencies</w:t>
            </w:r>
          </w:p>
        </w:tc>
      </w:tr>
    </w:tbl>
    <w:p>
      <w:pPr>
        <w:spacing w:after="60" w:before="60"/>
      </w:pPr>
      <w:r>
        <w:t xml:space="preserve"/>
      </w:r>
    </w:p>
    <w:p>
      <w:pPr>
        <w:pStyle w:val="Heading2"/>
        <w:spacing w:after="120" w:before="240"/>
      </w:pPr>
      <w:r>
        <w:rPr>
          <w:rFonts w:ascii="Arial" w:cs="Arial" w:eastAsia="Arial" w:hAnsi="Arial"/>
          <w:b/>
          <w:bCs/>
          <w:color w:val="2E4A7A"/>
          <w:sz w:val="26"/>
          <w:szCs w:val="26"/>
        </w:rPr>
        <w:t xml:space="preserve">6.3 Provenance Cypher Query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E1E2E" w:val="clear"/>
            <w:tcMar>
              <w:top w:type="dxa" w:w="80"/>
              <w:left w:type="dxa" w:w="120"/>
              <w:bottom w:type="dxa" w:w="80"/>
              <w:right w:type="dxa" w:w="120"/>
            </w:tcMar>
          </w:tcPr>
          <w:p>
            <w:r>
              <w:rPr>
                <w:rFonts w:ascii="Courier New" w:cs="Courier New" w:eastAsia="Courier New" w:hAnsi="Courier New"/>
                <w:color w:val="A6E3A1"/>
                <w:sz w:val="16"/>
                <w:szCs w:val="16"/>
              </w:rPr>
              <w:t xml:space="preserve">MATCH (co:Company {cin: $cin})</w:t>
            </w:r>
          </w:p>
          <w:p>
            <w:r>
              <w:rPr>
                <w:rFonts w:ascii="Courier New" w:cs="Courier New" w:eastAsia="Courier New" w:hAnsi="Courier New"/>
                <w:color w:val="A6E3A1"/>
                <w:sz w:val="16"/>
                <w:szCs w:val="16"/>
              </w:rPr>
              <w:t xml:space="preserve">MATCH (co)-[:HAS_FINANCIALS]-&gt;(fs:FinancialStatement)</w:t>
            </w:r>
          </w:p>
          <w:p>
            <w:r>
              <w:rPr>
                <w:rFonts w:ascii="Courier New" w:cs="Courier New" w:eastAsia="Courier New" w:hAnsi="Courier New"/>
                <w:color w:val="A6E3A1"/>
                <w:sz w:val="16"/>
                <w:szCs w:val="16"/>
              </w:rPr>
              <w:t xml:space="preserve">MATCH (fs)-[:HAS_FRAUD_SIGNAL]-&gt;(sig:FraudSignal)</w:t>
            </w:r>
          </w:p>
          <w:p>
            <w:r>
              <w:rPr>
                <w:rFonts w:ascii="Courier New" w:cs="Courier New" w:eastAsia="Courier New" w:hAnsi="Courier New"/>
                <w:color w:val="A6E3A1"/>
                <w:sz w:val="16"/>
                <w:szCs w:val="16"/>
              </w:rPr>
              <w:t xml:space="preserve">OPTIONAL MATCH (sig)-[:TRIGGERED_BY]-&gt;(evidence)</w:t>
            </w:r>
          </w:p>
          <w:p>
            <w:r>
              <w:rPr>
                <w:rFonts w:ascii="Courier New" w:cs="Courier New" w:eastAsia="Courier New" w:hAnsi="Courier New"/>
                <w:color w:val="A6E3A1"/>
                <w:sz w:val="16"/>
                <w:szCs w:val="16"/>
              </w:rPr>
              <w:t xml:space="preserve">RETURN sig.signal_type, sig.severity, sig.evidence_string,</w:t>
            </w:r>
          </w:p>
          <w:p>
            <w:r>
              <w:rPr>
                <w:rFonts w:ascii="Courier New" w:cs="Courier New" w:eastAsia="Courier New" w:hAnsi="Courier New"/>
                <w:color w:val="A6E3A1"/>
                <w:sz w:val="16"/>
                <w:szCs w:val="16"/>
              </w:rPr>
              <w:t xml:space="preserve">  sig.module_name, sig.score_contribution,</w:t>
            </w:r>
          </w:p>
          <w:p>
            <w:r>
              <w:rPr>
                <w:rFonts w:ascii="Courier New" w:cs="Courier New" w:eastAsia="Courier New" w:hAnsi="Courier New"/>
                <w:color w:val="A6E3A1"/>
                <w:sz w:val="16"/>
                <w:szCs w:val="16"/>
              </w:rPr>
              <w:t xml:space="preserve">  labels(evidence) AS evidence_type,</w:t>
            </w:r>
          </w:p>
          <w:p>
            <w:r>
              <w:rPr>
                <w:rFonts w:ascii="Courier New" w:cs="Courier New" w:eastAsia="Courier New" w:hAnsi="Courier New"/>
                <w:color w:val="A6E3A1"/>
                <w:sz w:val="16"/>
                <w:szCs w:val="16"/>
              </w:rPr>
              <w:t xml:space="preserve">  evidence.cin AS evidence_cin,</w:t>
            </w:r>
          </w:p>
          <w:p>
            <w:r>
              <w:rPr>
                <w:rFonts w:ascii="Courier New" w:cs="Courier New" w:eastAsia="Courier New" w:hAnsi="Courier New"/>
                <w:color w:val="A6E3A1"/>
                <w:sz w:val="16"/>
                <w:szCs w:val="16"/>
              </w:rPr>
              <w:t xml:space="preserve">  evidence.year AS evidence_year</w:t>
            </w:r>
          </w:p>
          <w:p>
            <w:r>
              <w:rPr>
                <w:rFonts w:ascii="Courier New" w:cs="Courier New" w:eastAsia="Courier New" w:hAnsi="Courier New"/>
                <w:color w:val="A6E3A1"/>
                <w:sz w:val="16"/>
                <w:szCs w:val="16"/>
              </w:rPr>
              <w:t xml:space="preserve">ORDER BY sig.score_contribution DESC</w:t>
            </w:r>
          </w:p>
        </w:tc>
      </w:tr>
    </w:tbl>
    <w:p>
      <w:pPr>
        <w:spacing w:after="60" w:before="60"/>
      </w:pPr>
      <w:r>
        <w:t xml:space="preserve"/>
      </w:r>
    </w:p>
    <w:p>
      <w:r>
        <w:br w:type="page"/>
      </w:r>
    </w:p>
    <w:p>
      <w:pPr>
        <w:pStyle w:val="Heading1"/>
        <w:spacing w:after="160" w:before="320"/>
      </w:pPr>
      <w:r>
        <w:rPr>
          <w:rFonts w:ascii="Arial" w:cs="Arial" w:eastAsia="Arial" w:hAnsi="Arial"/>
          <w:b/>
          <w:bCs/>
          <w:color w:val="1F3864"/>
          <w:sz w:val="34"/>
          <w:szCs w:val="34"/>
        </w:rPr>
        <w:t xml:space="preserve">7. Risk Scoring Architecture</w:t>
      </w:r>
    </w:p>
    <w:p>
      <w:pPr>
        <w:pStyle w:val="Heading2"/>
        <w:spacing w:after="120" w:before="240"/>
      </w:pPr>
      <w:r>
        <w:rPr>
          <w:rFonts w:ascii="Arial" w:cs="Arial" w:eastAsia="Arial" w:hAnsi="Arial"/>
          <w:b/>
          <w:bCs/>
          <w:color w:val="2E4A7A"/>
          <w:sz w:val="26"/>
          <w:szCs w:val="26"/>
        </w:rPr>
        <w:t xml:space="preserve">7.1 Two-Score Output — Always</w:t>
      </w:r>
    </w:p>
    <w:p>
      <w:pPr>
        <w:spacing w:after="60" w:before="60"/>
      </w:pPr>
      <w:r>
        <w:rPr>
          <w:rFonts w:ascii="Arial" w:cs="Arial" w:eastAsia="Arial" w:hAnsi="Arial"/>
          <w:b w:val="false"/>
          <w:bCs w:val="false"/>
          <w:sz w:val="18"/>
          <w:szCs w:val="18"/>
        </w:rPr>
        <w:t xml:space="preserve">Every analysis returns exactly two scores. Never output FraudRiskScore without DataConfidence. Never output DataConfidence without FraudRiskScore.</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2400"/>
        <w:gridCol w:w="3840"/>
      </w:tblGrid>
      <w:tr>
        <w:tc>
          <w:tcPr>
            <w:tcW w:type="dxa" w:w="3120"/>
            <w:tcBorders>
              <w:top w:val="single" w:color="1F3864" w:sz="2"/>
              <w:left w:val="single" w:color="1F3864" w:sz="2"/>
              <w:bottom w:val="single" w:color="1F3864" w:sz="2"/>
              <w:right w:val="single" w:color="1F3864" w:sz="2"/>
            </w:tcBorders>
            <w:shd w:fill="1F3864" w:val="clear"/>
            <w:tcMar>
              <w:top w:type="dxa" w:w="80"/>
              <w:left w:type="dxa" w:w="120"/>
              <w:bottom w:type="dxa" w:w="80"/>
              <w:right w:type="dxa" w:w="120"/>
            </w:tcMar>
          </w:tcPr>
          <w:p>
            <w:pPr>
              <w:jc w:val="center"/>
            </w:pPr>
            <w:r>
              <w:rPr>
                <w:rFonts w:ascii="Arial" w:cs="Arial" w:eastAsia="Arial" w:hAnsi="Arial"/>
                <w:b/>
                <w:bCs/>
                <w:color w:val="FFFFFF"/>
                <w:sz w:val="19"/>
                <w:szCs w:val="19"/>
              </w:rPr>
              <w:t xml:space="preserve">Data Available</w:t>
            </w:r>
          </w:p>
        </w:tc>
        <w:tc>
          <w:tcPr>
            <w:tcW w:type="dxa" w:w="2400"/>
            <w:tcBorders>
              <w:top w:val="single" w:color="1F3864" w:sz="2"/>
              <w:left w:val="single" w:color="1F3864" w:sz="2"/>
              <w:bottom w:val="single" w:color="1F3864" w:sz="2"/>
              <w:right w:val="single" w:color="1F3864" w:sz="2"/>
            </w:tcBorders>
            <w:shd w:fill="1F3864" w:val="clear"/>
            <w:tcMar>
              <w:top w:type="dxa" w:w="80"/>
              <w:left w:type="dxa" w:w="120"/>
              <w:bottom w:type="dxa" w:w="80"/>
              <w:right w:type="dxa" w:w="120"/>
            </w:tcMar>
          </w:tcPr>
          <w:p>
            <w:pPr>
              <w:jc w:val="center"/>
            </w:pPr>
            <w:r>
              <w:rPr>
                <w:rFonts w:ascii="Arial" w:cs="Arial" w:eastAsia="Arial" w:hAnsi="Arial"/>
                <w:b/>
                <w:bCs/>
                <w:color w:val="FFFFFF"/>
                <w:sz w:val="19"/>
                <w:szCs w:val="19"/>
              </w:rPr>
              <w:t xml:space="preserve">DataConfidence</w:t>
            </w:r>
          </w:p>
        </w:tc>
        <w:tc>
          <w:tcPr>
            <w:tcW w:type="dxa" w:w="3840"/>
            <w:tcBorders>
              <w:top w:val="single" w:color="1F3864" w:sz="2"/>
              <w:left w:val="single" w:color="1F3864" w:sz="2"/>
              <w:bottom w:val="single" w:color="1F3864" w:sz="2"/>
              <w:right w:val="single" w:color="1F3864" w:sz="2"/>
            </w:tcBorders>
            <w:shd w:fill="1F3864" w:val="clear"/>
            <w:tcMar>
              <w:top w:type="dxa" w:w="80"/>
              <w:left w:type="dxa" w:w="120"/>
              <w:bottom w:type="dxa" w:w="80"/>
              <w:right w:type="dxa" w:w="120"/>
            </w:tcMar>
          </w:tcPr>
          <w:p>
            <w:pPr>
              <w:jc w:val="center"/>
            </w:pPr>
            <w:r>
              <w:rPr>
                <w:rFonts w:ascii="Arial" w:cs="Arial" w:eastAsia="Arial" w:hAnsi="Arial"/>
                <w:b/>
                <w:bCs/>
                <w:color w:val="FFFFFF"/>
                <w:sz w:val="19"/>
                <w:szCs w:val="19"/>
              </w:rPr>
              <w:t xml:space="preserve">Analysis Mode</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MCA master only — no financials</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25%</w:t>
            </w:r>
          </w:p>
        </w:tc>
        <w:tc>
          <w:tcPr>
            <w:tcW w:type="dxa" w:w="38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Graph-only analysis</w:t>
            </w:r>
          </w:p>
        </w:tc>
      </w:tr>
      <w:tr>
        <w:tc>
          <w:tcPr>
            <w:tcW w:type="dxa" w:w="312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color w:val="000000"/>
                <w:sz w:val="18"/>
                <w:szCs w:val="18"/>
              </w:rPr>
              <w:t xml:space="preserve">MCA + 1 year financials</w:t>
            </w:r>
          </w:p>
        </w:tc>
        <w:tc>
          <w:tcPr>
            <w:tcW w:type="dxa" w:w="24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color w:val="000000"/>
                <w:sz w:val="18"/>
                <w:szCs w:val="18"/>
              </w:rPr>
              <w:t xml:space="preserve">45%</w:t>
            </w:r>
          </w:p>
        </w:tc>
        <w:tc>
          <w:tcPr>
            <w:tcW w:type="dxa" w:w="384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color w:val="000000"/>
                <w:sz w:val="18"/>
                <w:szCs w:val="18"/>
              </w:rPr>
              <w:t xml:space="preserve">Partial — no Beneish</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MCA + 2+ years financials</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65%</w:t>
            </w:r>
          </w:p>
        </w:tc>
        <w:tc>
          <w:tcPr>
            <w:tcW w:type="dxa" w:w="38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Full minus uploads</w:t>
            </w:r>
          </w:p>
        </w:tc>
      </w:tr>
      <w:tr>
        <w:tc>
          <w:tcPr>
            <w:tcW w:type="dxa" w:w="312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color w:val="000000"/>
                <w:sz w:val="18"/>
                <w:szCs w:val="18"/>
              </w:rPr>
              <w:t xml:space="preserve">Above + GST upload</w:t>
            </w:r>
          </w:p>
        </w:tc>
        <w:tc>
          <w:tcPr>
            <w:tcW w:type="dxa" w:w="24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color w:val="000000"/>
                <w:sz w:val="18"/>
                <w:szCs w:val="18"/>
              </w:rPr>
              <w:t xml:space="preserve">80%</w:t>
            </w:r>
          </w:p>
        </w:tc>
        <w:tc>
          <w:tcPr>
            <w:tcW w:type="dxa" w:w="384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color w:val="000000"/>
                <w:sz w:val="18"/>
                <w:szCs w:val="18"/>
              </w:rPr>
              <w:t xml:space="preserve">Full analysis</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Above + bank statements</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92%</w:t>
            </w:r>
          </w:p>
        </w:tc>
        <w:tc>
          <w:tcPr>
            <w:tcW w:type="dxa" w:w="38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Full + bank cross-check + evergreening patterns</w:t>
            </w:r>
          </w:p>
        </w:tc>
      </w:tr>
    </w:tbl>
    <w:p>
      <w:pPr>
        <w:spacing w:after="60" w:before="60"/>
      </w:pPr>
      <w:r>
        <w:t xml:space="preserve"/>
      </w:r>
    </w:p>
    <w:p>
      <w:pPr>
        <w:pStyle w:val="Heading2"/>
        <w:spacing w:after="120" w:before="240"/>
      </w:pPr>
      <w:r>
        <w:rPr>
          <w:rFonts w:ascii="Arial" w:cs="Arial" w:eastAsia="Arial" w:hAnsi="Arial"/>
          <w:b/>
          <w:bCs/>
          <w:color w:val="2E4A7A"/>
          <w:sz w:val="26"/>
          <w:szCs w:val="26"/>
        </w:rPr>
        <w:t xml:space="preserve">7.2 Final Score Composition</w:t>
      </w:r>
    </w:p>
    <w:p>
      <w:pPr>
        <w:spacing w:after="60" w:before="60"/>
      </w:pPr>
      <w:r>
        <w:rPr>
          <w:rFonts w:ascii="Arial" w:cs="Arial" w:eastAsia="Arial" w:hAnsi="Arial"/>
          <w:b w:val="false"/>
          <w:bCs w:val="false"/>
          <w:sz w:val="18"/>
          <w:szCs w:val="18"/>
        </w:rPr>
        <w:t xml:space="preserve">The final output combines both tiers. Rule modules supply the feature input to the ML ensemble. The ML ensemble produces calibrated P(fraud) with prediction intervals. Both are shown to users.</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c>
          <w:tcPr>
            <w:tcW w:type="dxa" w:w="3600"/>
            <w:tcBorders>
              <w:top w:val="single" w:color="1F3864" w:sz="2"/>
              <w:left w:val="single" w:color="1F3864" w:sz="2"/>
              <w:bottom w:val="single" w:color="1F3864" w:sz="2"/>
              <w:right w:val="single" w:color="1F3864" w:sz="2"/>
            </w:tcBorders>
            <w:shd w:fill="1F3864" w:val="clear"/>
            <w:tcMar>
              <w:top w:type="dxa" w:w="80"/>
              <w:left w:type="dxa" w:w="120"/>
              <w:bottom w:type="dxa" w:w="80"/>
              <w:right w:type="dxa" w:w="120"/>
            </w:tcMar>
          </w:tcPr>
          <w:p>
            <w:pPr>
              <w:jc w:val="center"/>
            </w:pPr>
            <w:r>
              <w:rPr>
                <w:rFonts w:ascii="Arial" w:cs="Arial" w:eastAsia="Arial" w:hAnsi="Arial"/>
                <w:b/>
                <w:bCs/>
                <w:color w:val="FFFFFF"/>
                <w:sz w:val="19"/>
                <w:szCs w:val="19"/>
              </w:rPr>
              <w:t xml:space="preserve">Output Field</w:t>
            </w:r>
          </w:p>
        </w:tc>
        <w:tc>
          <w:tcPr>
            <w:tcW w:type="dxa" w:w="5760"/>
            <w:tcBorders>
              <w:top w:val="single" w:color="1F3864" w:sz="2"/>
              <w:left w:val="single" w:color="1F3864" w:sz="2"/>
              <w:bottom w:val="single" w:color="1F3864" w:sz="2"/>
              <w:right w:val="single" w:color="1F3864" w:sz="2"/>
            </w:tcBorders>
            <w:shd w:fill="1F3864" w:val="clear"/>
            <w:tcMar>
              <w:top w:type="dxa" w:w="80"/>
              <w:left w:type="dxa" w:w="120"/>
              <w:bottom w:type="dxa" w:w="80"/>
              <w:right w:type="dxa" w:w="120"/>
            </w:tcMar>
          </w:tcPr>
          <w:p>
            <w:pPr>
              <w:jc w:val="center"/>
            </w:pPr>
            <w:r>
              <w:rPr>
                <w:rFonts w:ascii="Arial" w:cs="Arial" w:eastAsia="Arial" w:hAnsi="Arial"/>
                <w:b/>
                <w:bCs/>
                <w:color w:val="FFFFFF"/>
                <w:sz w:val="19"/>
                <w:szCs w:val="19"/>
              </w:rPr>
              <w:t xml:space="preserve">Description</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fraud_risk_score (0–100)</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Tier 1 rule-based aggregate. Weighted by module weights. Override rules apply.</w:t>
            </w:r>
          </w:p>
        </w:tc>
      </w:tr>
      <w:tr>
        <w:tc>
          <w:tcPr>
            <w:tcW w:type="dxa" w:w="36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color w:val="000000"/>
                <w:sz w:val="18"/>
                <w:szCs w:val="18"/>
              </w:rPr>
              <w:t xml:space="preserve">risk_band</w:t>
            </w:r>
          </w:p>
        </w:tc>
        <w:tc>
          <w:tcPr>
            <w:tcW w:type="dxa" w:w="57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color w:val="000000"/>
                <w:sz w:val="18"/>
                <w:szCs w:val="18"/>
              </w:rPr>
              <w:t xml:space="preserve">LOW / MEDIUM / HIGH / CRITICAL derived from fraud_risk_score.</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p_fraud_calibrated</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Tier 2 calibrated probability from F1b isotonic regression. Range [0,1].</w:t>
            </w:r>
          </w:p>
        </w:tc>
      </w:tr>
      <w:tr>
        <w:tc>
          <w:tcPr>
            <w:tcW w:type="dxa" w:w="36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color w:val="000000"/>
                <w:sz w:val="18"/>
                <w:szCs w:val="18"/>
              </w:rPr>
              <w:t xml:space="preserve">p_fraud_interval [low, high]</w:t>
            </w:r>
          </w:p>
        </w:tc>
        <w:tc>
          <w:tcPr>
            <w:tcW w:type="dxa" w:w="57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color w:val="000000"/>
                <w:sz w:val="18"/>
                <w:szCs w:val="18"/>
              </w:rPr>
              <w:t xml:space="preserve">F1c conformal prediction interval at alpha=0.10. 90% coverage guaranteed.</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data_confidence (%)</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DataCompletenessScore based on which data sources are present.</w:t>
            </w:r>
          </w:p>
        </w:tc>
      </w:tr>
      <w:tr>
        <w:tc>
          <w:tcPr>
            <w:tcW w:type="dxa" w:w="36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color w:val="000000"/>
                <w:sz w:val="18"/>
                <w:szCs w:val="18"/>
              </w:rPr>
              <w:t xml:space="preserve">ensemble_disagreement_flag</w:t>
            </w:r>
          </w:p>
        </w:tc>
        <w:tc>
          <w:tcPr>
            <w:tcW w:type="dxa" w:w="57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color w:val="000000"/>
                <w:sz w:val="18"/>
                <w:szCs w:val="18"/>
              </w:rPr>
              <w:t xml:space="preserve">True when any two L1 detector scores diverge &gt; 30 pts. Triggers 'Conflicting Signals — Manual Review Required' warning.</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evidence_chain</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Array of FraudSignal objects with TRIGGERED_BY provenance. Source of all explanation.</w:t>
            </w:r>
          </w:p>
        </w:tc>
      </w:tr>
    </w:tbl>
    <w:p>
      <w:pPr>
        <w:spacing w:after="60" w:before="60"/>
      </w:pPr>
      <w:r>
        <w:t xml:space="preserve"/>
      </w:r>
    </w:p>
    <w:p>
      <w:pPr>
        <w:pStyle w:val="Heading2"/>
        <w:spacing w:after="120" w:before="240"/>
      </w:pPr>
      <w:r>
        <w:rPr>
          <w:rFonts w:ascii="Arial" w:cs="Arial" w:eastAsia="Arial" w:hAnsi="Arial"/>
          <w:b/>
          <w:bCs/>
          <w:color w:val="2E4A7A"/>
          <w:sz w:val="26"/>
          <w:szCs w:val="26"/>
        </w:rPr>
        <w:t xml:space="preserve">7.3 Override Rules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F3864" w:sz="2"/>
              <w:left w:val="single" w:color="1F3864" w:sz="2"/>
              <w:bottom w:val="single" w:color="1F3864" w:sz="2"/>
              <w:right w:val="single" w:color="1F3864" w:sz="2"/>
            </w:tcBorders>
            <w:shd w:fill="F8D7DA" w:val="clear"/>
            <w:tcMar>
              <w:top w:type="dxa" w:w="80"/>
              <w:left w:type="dxa" w:w="120"/>
              <w:bottom w:type="dxa" w:w="80"/>
              <w:right w:type="dxa" w:w="120"/>
            </w:tcMar>
          </w:tcPr>
          <w:p>
            <w:r>
              <w:rPr>
                <w:rFonts w:ascii="Arial" w:cs="Arial" w:eastAsia="Arial" w:hAnsi="Arial"/>
                <w:b/>
                <w:bCs/>
                <w:color w:val="721C24"/>
                <w:sz w:val="17"/>
                <w:szCs w:val="17"/>
              </w:rPr>
              <w:t xml:space="preserve">Any CRITICAL flag forces final fraud_risk_score to minimum 60 (HIGH band). NCLT insolvency admission, wilful defaulter match, or disqualified active director cannot be averaged away by clean scores elsewhere. NCLT and wilful defaulter matches force minimum score 75 (CRITICAL band).</w:t>
            </w:r>
          </w:p>
        </w:tc>
      </w:tr>
    </w:tbl>
    <w:p>
      <w:pPr>
        <w:spacing w:after="60" w:before="60"/>
      </w:pPr>
      <w:r>
        <w:t xml:space="preserve"/>
      </w:r>
    </w:p>
    <w:p>
      <w:pPr>
        <w:pStyle w:val="Heading2"/>
        <w:spacing w:after="120" w:before="240"/>
      </w:pPr>
      <w:r>
        <w:rPr>
          <w:rFonts w:ascii="Arial" w:cs="Arial" w:eastAsia="Arial" w:hAnsi="Arial"/>
          <w:b/>
          <w:bCs/>
          <w:color w:val="2E4A7A"/>
          <w:sz w:val="26"/>
          <w:szCs w:val="26"/>
        </w:rPr>
        <w:t xml:space="preserve">7.4 Risk Bands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1800"/>
        <w:gridCol w:w="6000"/>
      </w:tblGrid>
      <w:tr>
        <w:tc>
          <w:tcPr>
            <w:tcW w:type="dxa" w:w="1560"/>
            <w:tcBorders>
              <w:top w:val="single" w:color="1F3864" w:sz="2"/>
              <w:left w:val="single" w:color="1F3864" w:sz="2"/>
              <w:bottom w:val="single" w:color="1F3864" w:sz="2"/>
              <w:right w:val="single" w:color="1F3864" w:sz="2"/>
            </w:tcBorders>
            <w:shd w:fill="1F3864" w:val="clear"/>
            <w:tcMar>
              <w:top w:type="dxa" w:w="80"/>
              <w:left w:type="dxa" w:w="120"/>
              <w:bottom w:type="dxa" w:w="80"/>
              <w:right w:type="dxa" w:w="120"/>
            </w:tcMar>
          </w:tcPr>
          <w:p>
            <w:pPr>
              <w:jc w:val="center"/>
            </w:pPr>
            <w:r>
              <w:rPr>
                <w:rFonts w:ascii="Arial" w:cs="Arial" w:eastAsia="Arial" w:hAnsi="Arial"/>
                <w:b/>
                <w:bCs/>
                <w:color w:val="FFFFFF"/>
                <w:sz w:val="19"/>
                <w:szCs w:val="19"/>
              </w:rPr>
              <w:t xml:space="preserve">Score</w:t>
            </w:r>
          </w:p>
        </w:tc>
        <w:tc>
          <w:tcPr>
            <w:tcW w:type="dxa" w:w="1800"/>
            <w:tcBorders>
              <w:top w:val="single" w:color="1F3864" w:sz="2"/>
              <w:left w:val="single" w:color="1F3864" w:sz="2"/>
              <w:bottom w:val="single" w:color="1F3864" w:sz="2"/>
              <w:right w:val="single" w:color="1F3864" w:sz="2"/>
            </w:tcBorders>
            <w:shd w:fill="1F3864" w:val="clear"/>
            <w:tcMar>
              <w:top w:type="dxa" w:w="80"/>
              <w:left w:type="dxa" w:w="120"/>
              <w:bottom w:type="dxa" w:w="80"/>
              <w:right w:type="dxa" w:w="120"/>
            </w:tcMar>
          </w:tcPr>
          <w:p>
            <w:pPr>
              <w:jc w:val="center"/>
            </w:pPr>
            <w:r>
              <w:rPr>
                <w:rFonts w:ascii="Arial" w:cs="Arial" w:eastAsia="Arial" w:hAnsi="Arial"/>
                <w:b/>
                <w:bCs/>
                <w:color w:val="FFFFFF"/>
                <w:sz w:val="19"/>
                <w:szCs w:val="19"/>
              </w:rPr>
              <w:t xml:space="preserve">Band</w:t>
            </w:r>
          </w:p>
        </w:tc>
        <w:tc>
          <w:tcPr>
            <w:tcW w:type="dxa" w:w="6000"/>
            <w:tcBorders>
              <w:top w:val="single" w:color="1F3864" w:sz="2"/>
              <w:left w:val="single" w:color="1F3864" w:sz="2"/>
              <w:bottom w:val="single" w:color="1F3864" w:sz="2"/>
              <w:right w:val="single" w:color="1F3864" w:sz="2"/>
            </w:tcBorders>
            <w:shd w:fill="1F3864" w:val="clear"/>
            <w:tcMar>
              <w:top w:type="dxa" w:w="80"/>
              <w:left w:type="dxa" w:w="120"/>
              <w:bottom w:type="dxa" w:w="80"/>
              <w:right w:type="dxa" w:w="120"/>
            </w:tcMar>
          </w:tcPr>
          <w:p>
            <w:pPr>
              <w:jc w:val="center"/>
            </w:pPr>
            <w:r>
              <w:rPr>
                <w:rFonts w:ascii="Arial" w:cs="Arial" w:eastAsia="Arial" w:hAnsi="Arial"/>
                <w:b/>
                <w:bCs/>
                <w:color w:val="FFFFFF"/>
                <w:sz w:val="19"/>
                <w:szCs w:val="19"/>
              </w:rPr>
              <w:t xml:space="preserve">Recommended Action</w:t>
            </w:r>
          </w:p>
        </w:tc>
      </w:tr>
      <w:tr>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75–100</w:t>
            </w:r>
          </w:p>
        </w:tc>
        <w:tc>
          <w:tcPr>
            <w:tcW w:type="dxa" w:w="1800"/>
            <w:tcBorders>
              <w:top w:val="single" w:color="CCCCCC" w:sz="1"/>
              <w:left w:val="single" w:color="CCCCCC" w:sz="1"/>
              <w:bottom w:val="single" w:color="CCCCCC" w:sz="1"/>
              <w:right w:val="single" w:color="CCCCCC" w:sz="1"/>
            </w:tcBorders>
            <w:shd w:fill="F8D7DA" w:val="clear"/>
            <w:tcMar>
              <w:top w:type="dxa" w:w="80"/>
              <w:left w:type="dxa" w:w="120"/>
              <w:bottom w:type="dxa" w:w="80"/>
              <w:right w:type="dxa" w:w="120"/>
            </w:tcMar>
          </w:tcPr>
          <w:p>
            <w:r>
              <w:rPr>
                <w:rFonts w:ascii="Arial" w:cs="Arial" w:eastAsia="Arial" w:hAnsi="Arial"/>
                <w:b/>
                <w:bCs/>
                <w:color w:val="721C24"/>
                <w:sz w:val="18"/>
                <w:szCs w:val="18"/>
              </w:rPr>
              <w:t xml:space="preserve">CRITICAL</w:t>
            </w:r>
          </w:p>
        </w:tc>
        <w:tc>
          <w:tcPr>
            <w:tcW w:type="dxa" w:w="6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Do not proceed. Refer for forensic audit immediately. Do not disclose this report to the applicant.</w:t>
            </w:r>
          </w:p>
        </w:tc>
      </w:tr>
      <w:tr>
        <w:tc>
          <w:tcPr>
            <w:tcW w:type="dxa" w:w="15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color w:val="000000"/>
                <w:sz w:val="18"/>
                <w:szCs w:val="18"/>
              </w:rPr>
              <w:t xml:space="preserve">55–74</w:t>
            </w:r>
          </w:p>
        </w:tc>
        <w:tc>
          <w:tcPr>
            <w:tcW w:type="dxa" w:w="1800"/>
            <w:tcBorders>
              <w:top w:val="single" w:color="CCCCCC" w:sz="1"/>
              <w:left w:val="single" w:color="CCCCCC" w:sz="1"/>
              <w:bottom w:val="single" w:color="CCCCCC" w:sz="1"/>
              <w:right w:val="single" w:color="CCCCCC" w:sz="1"/>
            </w:tcBorders>
            <w:shd w:fill="FFF3CD" w:val="clear"/>
            <w:tcMar>
              <w:top w:type="dxa" w:w="80"/>
              <w:left w:type="dxa" w:w="120"/>
              <w:bottom w:type="dxa" w:w="80"/>
              <w:right w:type="dxa" w:w="120"/>
            </w:tcMar>
          </w:tcPr>
          <w:p>
            <w:r>
              <w:rPr>
                <w:rFonts w:ascii="Arial" w:cs="Arial" w:eastAsia="Arial" w:hAnsi="Arial"/>
                <w:b/>
                <w:bCs/>
                <w:color w:val="856404"/>
                <w:sz w:val="18"/>
                <w:szCs w:val="18"/>
              </w:rPr>
              <w:t xml:space="preserve">HIGH</w:t>
            </w:r>
          </w:p>
        </w:tc>
        <w:tc>
          <w:tcPr>
            <w:tcW w:type="dxa" w:w="60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color w:val="000000"/>
                <w:sz w:val="18"/>
                <w:szCs w:val="18"/>
              </w:rPr>
              <w:t xml:space="preserve">Hold application. Request original audited statements. Conduct field verification.</w:t>
            </w:r>
          </w:p>
        </w:tc>
      </w:tr>
      <w:tr>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35–54</w:t>
            </w:r>
          </w:p>
        </w:tc>
        <w:tc>
          <w:tcPr>
            <w:tcW w:type="dxa" w:w="1800"/>
            <w:tcBorders>
              <w:top w:val="single" w:color="CCCCCC" w:sz="1"/>
              <w:left w:val="single" w:color="CCCCCC" w:sz="1"/>
              <w:bottom w:val="single" w:color="CCCCCC" w:sz="1"/>
              <w:right w:val="single" w:color="CCCCCC" w:sz="1"/>
            </w:tcBorders>
            <w:shd w:fill="FFF9E6" w:val="clear"/>
            <w:tcMar>
              <w:top w:type="dxa" w:w="80"/>
              <w:left w:type="dxa" w:w="120"/>
              <w:bottom w:type="dxa" w:w="80"/>
              <w:right w:type="dxa" w:w="120"/>
            </w:tcMar>
          </w:tcPr>
          <w:p>
            <w:r>
              <w:rPr>
                <w:rFonts w:ascii="Arial" w:cs="Arial" w:eastAsia="Arial" w:hAnsi="Arial"/>
                <w:b w:val="false"/>
                <w:bCs w:val="false"/>
                <w:color w:val="000000"/>
                <w:sz w:val="18"/>
                <w:szCs w:val="18"/>
              </w:rPr>
              <w:t xml:space="preserve">MEDIUM</w:t>
            </w:r>
          </w:p>
        </w:tc>
        <w:tc>
          <w:tcPr>
            <w:tcW w:type="dxa" w:w="6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Enhanced due diligence. Request GST returns and bank statements.</w:t>
            </w:r>
          </w:p>
        </w:tc>
      </w:tr>
      <w:tr>
        <w:tc>
          <w:tcPr>
            <w:tcW w:type="dxa" w:w="15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color w:val="000000"/>
                <w:sz w:val="18"/>
                <w:szCs w:val="18"/>
              </w:rPr>
              <w:t xml:space="preserve">0–34</w:t>
            </w:r>
          </w:p>
        </w:tc>
        <w:tc>
          <w:tcPr>
            <w:tcW w:type="dxa" w:w="1800"/>
            <w:tcBorders>
              <w:top w:val="single" w:color="CCCCCC" w:sz="1"/>
              <w:left w:val="single" w:color="CCCCCC" w:sz="1"/>
              <w:bottom w:val="single" w:color="CCCCCC" w:sz="1"/>
              <w:right w:val="single" w:color="CCCCCC" w:sz="1"/>
            </w:tcBorders>
            <w:shd w:fill="D4EDDA" w:val="clear"/>
            <w:tcMar>
              <w:top w:type="dxa" w:w="80"/>
              <w:left w:type="dxa" w:w="120"/>
              <w:bottom w:type="dxa" w:w="80"/>
              <w:right w:type="dxa" w:w="120"/>
            </w:tcMar>
          </w:tcPr>
          <w:p>
            <w:r>
              <w:rPr>
                <w:rFonts w:ascii="Arial" w:cs="Arial" w:eastAsia="Arial" w:hAnsi="Arial"/>
                <w:b w:val="false"/>
                <w:bCs w:val="false"/>
                <w:color w:val="000000"/>
                <w:sz w:val="18"/>
                <w:szCs w:val="18"/>
              </w:rPr>
              <w:t xml:space="preserve">LOW</w:t>
            </w:r>
          </w:p>
        </w:tc>
        <w:tc>
          <w:tcPr>
            <w:tcW w:type="dxa" w:w="60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color w:val="000000"/>
                <w:sz w:val="18"/>
                <w:szCs w:val="18"/>
              </w:rPr>
              <w:t xml:space="preserve">Standard processing.</w:t>
            </w:r>
          </w:p>
        </w:tc>
      </w:tr>
    </w:tbl>
    <w:p>
      <w:pPr>
        <w:spacing w:after="60" w:before="60"/>
      </w:pPr>
      <w:r>
        <w:t xml:space="preserve"/>
      </w:r>
    </w:p>
    <w:p>
      <w:r>
        <w:br w:type="page"/>
      </w:r>
    </w:p>
    <w:p>
      <w:pPr>
        <w:pStyle w:val="Heading1"/>
        <w:spacing w:after="160" w:before="320"/>
      </w:pPr>
      <w:r>
        <w:rPr>
          <w:rFonts w:ascii="Arial" w:cs="Arial" w:eastAsia="Arial" w:hAnsi="Arial"/>
          <w:b/>
          <w:bCs/>
          <w:color w:val="1F3864"/>
          <w:sz w:val="34"/>
          <w:szCs w:val="34"/>
        </w:rPr>
        <w:t xml:space="preserve">8. Feature Engineering — 36 Features (Final Clean List)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FF3CD" w:val="clear"/>
            <w:tcMar>
              <w:top w:type="dxa" w:w="80"/>
              <w:left w:type="dxa" w:w="120"/>
              <w:bottom w:type="dxa" w:w="80"/>
              <w:right w:type="dxa" w:w="120"/>
            </w:tcMar>
          </w:tcPr>
          <w:p>
            <w:r>
              <w:rPr>
                <w:rFonts w:ascii="Arial" w:cs="Arial" w:eastAsia="Arial" w:hAnsi="Arial"/>
                <w:sz w:val="17"/>
                <w:szCs w:val="17"/>
              </w:rPr>
              <w:t xml:space="preserve">All 36 features are publicly available, feasible within 30 days, and meaningfully additive to detection performance. Removed: EPFO direct API (restricted), electricity/DISCOM (not programmatically accessible), GST invoice-level features (GSP required), bank branch concentration (not public), UPI/NEFT data (not public), job postings (no public API), trademark filings (low SME prevalence), deferred tax consistency (data unreliable), page count complexity (too weak), footnote density (parsing hard, weak signal).</w:t>
            </w:r>
          </w:p>
        </w:tc>
      </w:tr>
    </w:tbl>
    <w:p>
      <w:pPr>
        <w:spacing w:after="60" w:before="60"/>
      </w:pPr>
      <w:r>
        <w:t xml:space="preserve"/>
      </w:r>
    </w:p>
    <w:p>
      <w:pPr>
        <w:pStyle w:val="Heading2"/>
        <w:spacing w:after="120" w:before="240"/>
      </w:pPr>
      <w:r>
        <w:rPr>
          <w:rFonts w:ascii="Arial" w:cs="Arial" w:eastAsia="Arial" w:hAnsi="Arial"/>
          <w:b/>
          <w:bCs/>
          <w:color w:val="2E4A7A"/>
          <w:sz w:val="26"/>
          <w:szCs w:val="26"/>
        </w:rPr>
        <w:t xml:space="preserve">8.1 Financial Ratio Features (9)</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3760"/>
        <w:gridCol w:w="2000"/>
      </w:tblGrid>
      <w:tr>
        <w:tc>
          <w:tcPr>
            <w:tcW w:type="dxa" w:w="3600"/>
            <w:tcBorders>
              <w:top w:val="single" w:color="1F3864" w:sz="2"/>
              <w:left w:val="single" w:color="1F3864" w:sz="2"/>
              <w:bottom w:val="single" w:color="1F3864" w:sz="2"/>
              <w:right w:val="single" w:color="1F3864" w:sz="2"/>
            </w:tcBorders>
            <w:shd w:fill="1F3864" w:val="clear"/>
            <w:tcMar>
              <w:top w:type="dxa" w:w="80"/>
              <w:left w:type="dxa" w:w="120"/>
              <w:bottom w:type="dxa" w:w="80"/>
              <w:right w:type="dxa" w:w="120"/>
            </w:tcMar>
          </w:tcPr>
          <w:p>
            <w:pPr>
              <w:jc w:val="center"/>
            </w:pPr>
            <w:r>
              <w:rPr>
                <w:rFonts w:ascii="Arial" w:cs="Arial" w:eastAsia="Arial" w:hAnsi="Arial"/>
                <w:b/>
                <w:bCs/>
                <w:color w:val="FFFFFF"/>
                <w:sz w:val="19"/>
                <w:szCs w:val="19"/>
              </w:rPr>
              <w:t xml:space="preserve">Feature</w:t>
            </w:r>
          </w:p>
        </w:tc>
        <w:tc>
          <w:tcPr>
            <w:tcW w:type="dxa" w:w="3760"/>
            <w:tcBorders>
              <w:top w:val="single" w:color="1F3864" w:sz="2"/>
              <w:left w:val="single" w:color="1F3864" w:sz="2"/>
              <w:bottom w:val="single" w:color="1F3864" w:sz="2"/>
              <w:right w:val="single" w:color="1F3864" w:sz="2"/>
            </w:tcBorders>
            <w:shd w:fill="1F3864" w:val="clear"/>
            <w:tcMar>
              <w:top w:type="dxa" w:w="80"/>
              <w:left w:type="dxa" w:w="120"/>
              <w:bottom w:type="dxa" w:w="80"/>
              <w:right w:type="dxa" w:w="120"/>
            </w:tcMar>
          </w:tcPr>
          <w:p>
            <w:pPr>
              <w:jc w:val="center"/>
            </w:pPr>
            <w:r>
              <w:rPr>
                <w:rFonts w:ascii="Arial" w:cs="Arial" w:eastAsia="Arial" w:hAnsi="Arial"/>
                <w:b/>
                <w:bCs/>
                <w:color w:val="FFFFFF"/>
                <w:sz w:val="19"/>
                <w:szCs w:val="19"/>
              </w:rPr>
              <w:t xml:space="preserve">Signal</w:t>
            </w:r>
          </w:p>
        </w:tc>
        <w:tc>
          <w:tcPr>
            <w:tcW w:type="dxa" w:w="2000"/>
            <w:tcBorders>
              <w:top w:val="single" w:color="1F3864" w:sz="2"/>
              <w:left w:val="single" w:color="1F3864" w:sz="2"/>
              <w:bottom w:val="single" w:color="1F3864" w:sz="2"/>
              <w:right w:val="single" w:color="1F3864" w:sz="2"/>
            </w:tcBorders>
            <w:shd w:fill="1F3864" w:val="clear"/>
            <w:tcMar>
              <w:top w:type="dxa" w:w="80"/>
              <w:left w:type="dxa" w:w="120"/>
              <w:bottom w:type="dxa" w:w="80"/>
              <w:right w:type="dxa" w:w="120"/>
            </w:tcMar>
          </w:tcPr>
          <w:p>
            <w:pPr>
              <w:jc w:val="center"/>
            </w:pPr>
            <w:r>
              <w:rPr>
                <w:rFonts w:ascii="Arial" w:cs="Arial" w:eastAsia="Arial" w:hAnsi="Arial"/>
                <w:b/>
                <w:bCs/>
                <w:color w:val="FFFFFF"/>
                <w:sz w:val="19"/>
                <w:szCs w:val="19"/>
              </w:rPr>
              <w:t xml:space="preserve">Source</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Revenue / reported employee count (MCA)</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Implausible revenue-per-head vs peers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MCA AOC-4</w:t>
            </w:r>
          </w:p>
        </w:tc>
      </w:tr>
      <w:tr>
        <w:tc>
          <w:tcPr>
            <w:tcW w:type="dxa" w:w="36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color w:val="000000"/>
                <w:sz w:val="18"/>
                <w:szCs w:val="18"/>
              </w:rPr>
              <w:t xml:space="preserve">Cash conversion cycle trend (3yr)</w:t>
            </w:r>
          </w:p>
        </w:tc>
        <w:tc>
          <w:tcPr>
            <w:tcW w:type="dxa" w:w="37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color w:val="000000"/>
                <w:sz w:val="18"/>
                <w:szCs w:val="18"/>
              </w:rPr>
              <w:t xml:space="preserve">Deteriorating CCC = liquidity manipulation</w:t>
            </w:r>
          </w:p>
        </w:tc>
        <w:tc>
          <w:tcPr>
            <w:tcW w:type="dxa" w:w="20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color w:val="000000"/>
                <w:sz w:val="18"/>
                <w:szCs w:val="18"/>
              </w:rPr>
              <w:t xml:space="preserve">P&amp;L + BS</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Debt/EBITDA trajectory</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Rapid leverage increase before default</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P&amp;L + BS</w:t>
            </w:r>
          </w:p>
        </w:tc>
      </w:tr>
      <w:tr>
        <w:tc>
          <w:tcPr>
            <w:tcW w:type="dxa" w:w="36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color w:val="000000"/>
                <w:sz w:val="18"/>
                <w:szCs w:val="18"/>
              </w:rPr>
              <w:t xml:space="preserve">Interest coverage ratio YoY delta</w:t>
            </w:r>
          </w:p>
        </w:tc>
        <w:tc>
          <w:tcPr>
            <w:tcW w:type="dxa" w:w="37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color w:val="000000"/>
                <w:sz w:val="18"/>
                <w:szCs w:val="18"/>
              </w:rPr>
              <w:t xml:space="preserve">Sudden collapse = hidden debt</w:t>
            </w:r>
          </w:p>
        </w:tc>
        <w:tc>
          <w:tcPr>
            <w:tcW w:type="dxa" w:w="20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color w:val="000000"/>
                <w:sz w:val="18"/>
                <w:szCs w:val="18"/>
              </w:rPr>
              <w:t xml:space="preserve">P&amp;L</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Contingent liability ratio</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Off-balance-sheet exposure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Notes to accounts</w:t>
            </w:r>
          </w:p>
        </w:tc>
      </w:tr>
      <w:tr>
        <w:tc>
          <w:tcPr>
            <w:tcW w:type="dxa" w:w="36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color w:val="000000"/>
                <w:sz w:val="18"/>
                <w:szCs w:val="18"/>
              </w:rPr>
              <w:t xml:space="preserve">Related party revenue %</w:t>
            </w:r>
          </w:p>
        </w:tc>
        <w:tc>
          <w:tcPr>
            <w:tcW w:type="dxa" w:w="37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color w:val="000000"/>
                <w:sz w:val="18"/>
                <w:szCs w:val="18"/>
              </w:rPr>
              <w:t xml:space="preserve">&gt;40% = structural dependency / round-trip revenue</w:t>
            </w:r>
          </w:p>
        </w:tc>
        <w:tc>
          <w:tcPr>
            <w:tcW w:type="dxa" w:w="20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color w:val="000000"/>
                <w:sz w:val="18"/>
                <w:szCs w:val="18"/>
              </w:rPr>
              <w:t xml:space="preserve">Notes to accounts</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Working capital to revenue ratio</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Abnormal buildup = channel stuffing</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BS + P&amp;L</w:t>
            </w:r>
          </w:p>
        </w:tc>
      </w:tr>
      <w:tr>
        <w:tc>
          <w:tcPr>
            <w:tcW w:type="dxa" w:w="36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color w:val="000000"/>
                <w:sz w:val="18"/>
                <w:szCs w:val="18"/>
              </w:rPr>
              <w:t xml:space="preserve">Revenue growth vs peer deviation</w:t>
            </w:r>
          </w:p>
        </w:tc>
        <w:tc>
          <w:tcPr>
            <w:tcW w:type="dxa" w:w="37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color w:val="000000"/>
                <w:sz w:val="18"/>
                <w:szCs w:val="18"/>
              </w:rPr>
              <w:t xml:space="preserve">Outlier growth in stagnant sector</w:t>
            </w:r>
          </w:p>
        </w:tc>
        <w:tc>
          <w:tcPr>
            <w:tcW w:type="dxa" w:w="20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color w:val="000000"/>
                <w:sz w:val="18"/>
                <w:szCs w:val="18"/>
              </w:rPr>
              <w:t xml:space="preserve">BSE benchmark</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Employee cost growth vs revenue growth</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Revenue growing, employee costs flat = fabricated revenue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P&amp;L multi-year</w:t>
            </w:r>
          </w:p>
        </w:tc>
      </w:tr>
    </w:tbl>
    <w:p>
      <w:pPr>
        <w:spacing w:after="60" w:before="60"/>
      </w:pPr>
      <w:r>
        <w:t xml:space="preserve"/>
      </w:r>
    </w:p>
    <w:p>
      <w:pPr>
        <w:pStyle w:val="Heading2"/>
        <w:spacing w:after="120" w:before="240"/>
      </w:pPr>
      <w:r>
        <w:rPr>
          <w:rFonts w:ascii="Arial" w:cs="Arial" w:eastAsia="Arial" w:hAnsi="Arial"/>
          <w:b/>
          <w:bCs/>
          <w:color w:val="2E4A7A"/>
          <w:sz w:val="26"/>
          <w:szCs w:val="26"/>
        </w:rPr>
        <w:t xml:space="preserve">8.2 Graph Features (9)</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3760"/>
        <w:gridCol w:w="2000"/>
      </w:tblGrid>
      <w:tr>
        <w:tc>
          <w:tcPr>
            <w:tcW w:type="dxa" w:w="3600"/>
            <w:tcBorders>
              <w:top w:val="single" w:color="1F3864" w:sz="2"/>
              <w:left w:val="single" w:color="1F3864" w:sz="2"/>
              <w:bottom w:val="single" w:color="1F3864" w:sz="2"/>
              <w:right w:val="single" w:color="1F3864" w:sz="2"/>
            </w:tcBorders>
            <w:shd w:fill="1F3864" w:val="clear"/>
            <w:tcMar>
              <w:top w:type="dxa" w:w="80"/>
              <w:left w:type="dxa" w:w="120"/>
              <w:bottom w:type="dxa" w:w="80"/>
              <w:right w:type="dxa" w:w="120"/>
            </w:tcMar>
          </w:tcPr>
          <w:p>
            <w:pPr>
              <w:jc w:val="center"/>
            </w:pPr>
            <w:r>
              <w:rPr>
                <w:rFonts w:ascii="Arial" w:cs="Arial" w:eastAsia="Arial" w:hAnsi="Arial"/>
                <w:b/>
                <w:bCs/>
                <w:color w:val="FFFFFF"/>
                <w:sz w:val="19"/>
                <w:szCs w:val="19"/>
              </w:rPr>
              <w:t xml:space="preserve">Feature</w:t>
            </w:r>
          </w:p>
        </w:tc>
        <w:tc>
          <w:tcPr>
            <w:tcW w:type="dxa" w:w="3760"/>
            <w:tcBorders>
              <w:top w:val="single" w:color="1F3864" w:sz="2"/>
              <w:left w:val="single" w:color="1F3864" w:sz="2"/>
              <w:bottom w:val="single" w:color="1F3864" w:sz="2"/>
              <w:right w:val="single" w:color="1F3864" w:sz="2"/>
            </w:tcBorders>
            <w:shd w:fill="1F3864" w:val="clear"/>
            <w:tcMar>
              <w:top w:type="dxa" w:w="80"/>
              <w:left w:type="dxa" w:w="120"/>
              <w:bottom w:type="dxa" w:w="80"/>
              <w:right w:type="dxa" w:w="120"/>
            </w:tcMar>
          </w:tcPr>
          <w:p>
            <w:pPr>
              <w:jc w:val="center"/>
            </w:pPr>
            <w:r>
              <w:rPr>
                <w:rFonts w:ascii="Arial" w:cs="Arial" w:eastAsia="Arial" w:hAnsi="Arial"/>
                <w:b/>
                <w:bCs/>
                <w:color w:val="FFFFFF"/>
                <w:sz w:val="19"/>
                <w:szCs w:val="19"/>
              </w:rPr>
              <w:t xml:space="preserve">Signal</w:t>
            </w:r>
          </w:p>
        </w:tc>
        <w:tc>
          <w:tcPr>
            <w:tcW w:type="dxa" w:w="2000"/>
            <w:tcBorders>
              <w:top w:val="single" w:color="1F3864" w:sz="2"/>
              <w:left w:val="single" w:color="1F3864" w:sz="2"/>
              <w:bottom w:val="single" w:color="1F3864" w:sz="2"/>
              <w:right w:val="single" w:color="1F3864" w:sz="2"/>
            </w:tcBorders>
            <w:shd w:fill="1F3864" w:val="clear"/>
            <w:tcMar>
              <w:top w:type="dxa" w:w="80"/>
              <w:left w:type="dxa" w:w="120"/>
              <w:bottom w:type="dxa" w:w="80"/>
              <w:right w:type="dxa" w:w="120"/>
            </w:tcMar>
          </w:tcPr>
          <w:p>
            <w:pPr>
              <w:jc w:val="center"/>
            </w:pPr>
            <w:r>
              <w:rPr>
                <w:rFonts w:ascii="Arial" w:cs="Arial" w:eastAsia="Arial" w:hAnsi="Arial"/>
                <w:b/>
                <w:bCs/>
                <w:color w:val="FFFFFF"/>
                <w:sz w:val="19"/>
                <w:szCs w:val="19"/>
              </w:rPr>
              <w:t xml:space="preserve">Algorithm</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Director PageRank score</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High centrality in fraud network</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GDS PageRank</w:t>
            </w:r>
          </w:p>
        </w:tc>
      </w:tr>
      <w:tr>
        <w:tc>
          <w:tcPr>
            <w:tcW w:type="dxa" w:w="36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color w:val="000000"/>
                <w:sz w:val="18"/>
                <w:szCs w:val="18"/>
              </w:rPr>
              <w:t xml:space="preserve">Director betweenness centrality</w:t>
            </w:r>
          </w:p>
        </w:tc>
        <w:tc>
          <w:tcPr>
            <w:tcW w:type="dxa" w:w="37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color w:val="000000"/>
                <w:sz w:val="18"/>
                <w:szCs w:val="18"/>
              </w:rPr>
              <w:t xml:space="preserve">Bridge directors between shell clusters</w:t>
            </w:r>
          </w:p>
        </w:tc>
        <w:tc>
          <w:tcPr>
            <w:tcW w:type="dxa" w:w="20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color w:val="000000"/>
                <w:sz w:val="18"/>
                <w:szCs w:val="18"/>
              </w:rPr>
              <w:t xml:space="preserve">GDS Betweenness</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Community detection cluster size (WCC)</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Abnormally large connected components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GDS WCC</w:t>
            </w:r>
          </w:p>
        </w:tc>
      </w:tr>
      <w:tr>
        <w:tc>
          <w:tcPr>
            <w:tcW w:type="dxa" w:w="36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color w:val="000000"/>
                <w:sz w:val="18"/>
                <w:szCs w:val="18"/>
              </w:rPr>
              <w:t xml:space="preserve">Director board count</w:t>
            </w:r>
          </w:p>
        </w:tc>
        <w:tc>
          <w:tcPr>
            <w:tcW w:type="dxa" w:w="37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color w:val="000000"/>
                <w:sz w:val="18"/>
                <w:szCs w:val="18"/>
              </w:rPr>
              <w:t xml:space="preserve">&gt;10 boards = professional front man</w:t>
            </w:r>
          </w:p>
        </w:tc>
        <w:tc>
          <w:tcPr>
            <w:tcW w:type="dxa" w:w="20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color w:val="000000"/>
                <w:sz w:val="18"/>
                <w:szCs w:val="18"/>
              </w:rPr>
              <w:t xml:space="preserve">Cypher count</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Company age at first large charge</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Young companies taking large debt</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MCA dates</w:t>
            </w:r>
          </w:p>
        </w:tc>
      </w:tr>
      <w:tr>
        <w:tc>
          <w:tcPr>
            <w:tcW w:type="dxa" w:w="36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color w:val="000000"/>
                <w:sz w:val="18"/>
                <w:szCs w:val="18"/>
              </w:rPr>
              <w:t xml:space="preserve">Shared CA firm network density</w:t>
            </w:r>
          </w:p>
        </w:tc>
        <w:tc>
          <w:tcPr>
            <w:tcW w:type="dxa" w:w="37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color w:val="000000"/>
                <w:sz w:val="18"/>
                <w:szCs w:val="18"/>
              </w:rPr>
              <w:t xml:space="preserve">One CA signing 200+ SME audits in district</w:t>
            </w:r>
          </w:p>
        </w:tc>
        <w:tc>
          <w:tcPr>
            <w:tcW w:type="dxa" w:w="20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color w:val="000000"/>
                <w:sz w:val="18"/>
                <w:szCs w:val="18"/>
              </w:rPr>
              <w:t xml:space="preserve">SharedAttribute node</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Registered address occupancy count</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One address, 50 companies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SharedAttribute node</w:t>
            </w:r>
          </w:p>
        </w:tc>
      </w:tr>
      <w:tr>
        <w:tc>
          <w:tcPr>
            <w:tcW w:type="dxa" w:w="36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color w:val="000000"/>
                <w:sz w:val="18"/>
                <w:szCs w:val="18"/>
              </w:rPr>
              <w:t xml:space="preserve">Director entry/exit velocity</w:t>
            </w:r>
          </w:p>
        </w:tc>
        <w:tc>
          <w:tcPr>
            <w:tcW w:type="dxa" w:w="37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color w:val="000000"/>
                <w:sz w:val="18"/>
                <w:szCs w:val="18"/>
              </w:rPr>
              <w:t xml:space="preserve">Rapid churn = distancing before default</w:t>
            </w:r>
          </w:p>
        </w:tc>
        <w:tc>
          <w:tcPr>
            <w:tcW w:type="dxa" w:w="20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color w:val="000000"/>
                <w:sz w:val="18"/>
                <w:szCs w:val="18"/>
              </w:rPr>
              <w:t xml:space="preserve">IS_DIRECTOR_OF dates</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Counterparty incorporation age at transaction</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Large payments to recently incorporated entities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MCA + TRANSACTS_WITH</w:t>
            </w:r>
          </w:p>
        </w:tc>
      </w:tr>
    </w:tbl>
    <w:p>
      <w:pPr>
        <w:spacing w:after="60" w:before="60"/>
      </w:pPr>
      <w:r>
        <w:t xml:space="preserve"/>
      </w:r>
    </w:p>
    <w:p>
      <w:pPr>
        <w:pStyle w:val="Heading2"/>
        <w:spacing w:after="120" w:before="240"/>
      </w:pPr>
      <w:r>
        <w:rPr>
          <w:rFonts w:ascii="Arial" w:cs="Arial" w:eastAsia="Arial" w:hAnsi="Arial"/>
          <w:b/>
          <w:bCs/>
          <w:color w:val="2E4A7A"/>
          <w:sz w:val="26"/>
          <w:szCs w:val="26"/>
        </w:rPr>
        <w:t xml:space="preserve">8.3 Temporal Features (10)</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3760"/>
        <w:gridCol w:w="2000"/>
      </w:tblGrid>
      <w:tr>
        <w:tc>
          <w:tcPr>
            <w:tcW w:type="dxa" w:w="3600"/>
            <w:tcBorders>
              <w:top w:val="single" w:color="1F3864" w:sz="2"/>
              <w:left w:val="single" w:color="1F3864" w:sz="2"/>
              <w:bottom w:val="single" w:color="1F3864" w:sz="2"/>
              <w:right w:val="single" w:color="1F3864" w:sz="2"/>
            </w:tcBorders>
            <w:shd w:fill="1F3864" w:val="clear"/>
            <w:tcMar>
              <w:top w:type="dxa" w:w="80"/>
              <w:left w:type="dxa" w:w="120"/>
              <w:bottom w:type="dxa" w:w="80"/>
              <w:right w:type="dxa" w:w="120"/>
            </w:tcMar>
          </w:tcPr>
          <w:p>
            <w:pPr>
              <w:jc w:val="center"/>
            </w:pPr>
            <w:r>
              <w:rPr>
                <w:rFonts w:ascii="Arial" w:cs="Arial" w:eastAsia="Arial" w:hAnsi="Arial"/>
                <w:b/>
                <w:bCs/>
                <w:color w:val="FFFFFF"/>
                <w:sz w:val="19"/>
                <w:szCs w:val="19"/>
              </w:rPr>
              <w:t xml:space="preserve">Feature</w:t>
            </w:r>
          </w:p>
        </w:tc>
        <w:tc>
          <w:tcPr>
            <w:tcW w:type="dxa" w:w="3760"/>
            <w:tcBorders>
              <w:top w:val="single" w:color="1F3864" w:sz="2"/>
              <w:left w:val="single" w:color="1F3864" w:sz="2"/>
              <w:bottom w:val="single" w:color="1F3864" w:sz="2"/>
              <w:right w:val="single" w:color="1F3864" w:sz="2"/>
            </w:tcBorders>
            <w:shd w:fill="1F3864" w:val="clear"/>
            <w:tcMar>
              <w:top w:type="dxa" w:w="80"/>
              <w:left w:type="dxa" w:w="120"/>
              <w:bottom w:type="dxa" w:w="80"/>
              <w:right w:type="dxa" w:w="120"/>
            </w:tcMar>
          </w:tcPr>
          <w:p>
            <w:pPr>
              <w:jc w:val="center"/>
            </w:pPr>
            <w:r>
              <w:rPr>
                <w:rFonts w:ascii="Arial" w:cs="Arial" w:eastAsia="Arial" w:hAnsi="Arial"/>
                <w:b/>
                <w:bCs/>
                <w:color w:val="FFFFFF"/>
                <w:sz w:val="19"/>
                <w:szCs w:val="19"/>
              </w:rPr>
              <w:t xml:space="preserve">Signal</w:t>
            </w:r>
          </w:p>
        </w:tc>
        <w:tc>
          <w:tcPr>
            <w:tcW w:type="dxa" w:w="2000"/>
            <w:tcBorders>
              <w:top w:val="single" w:color="1F3864" w:sz="2"/>
              <w:left w:val="single" w:color="1F3864" w:sz="2"/>
              <w:bottom w:val="single" w:color="1F3864" w:sz="2"/>
              <w:right w:val="single" w:color="1F3864" w:sz="2"/>
            </w:tcBorders>
            <w:shd w:fill="1F3864" w:val="clear"/>
            <w:tcMar>
              <w:top w:type="dxa" w:w="80"/>
              <w:left w:type="dxa" w:w="120"/>
              <w:bottom w:type="dxa" w:w="80"/>
              <w:right w:type="dxa" w:w="120"/>
            </w:tcMar>
          </w:tcPr>
          <w:p>
            <w:pPr>
              <w:jc w:val="center"/>
            </w:pPr>
            <w:r>
              <w:rPr>
                <w:rFonts w:ascii="Arial" w:cs="Arial" w:eastAsia="Arial" w:hAnsi="Arial"/>
                <w:b/>
                <w:bCs/>
                <w:color w:val="FFFFFF"/>
                <w:sz w:val="19"/>
                <w:szCs w:val="19"/>
              </w:rPr>
              <w:t xml:space="preserve">Source</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Filing delay trend</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Getting later each year = compliance deterioration</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MCA filing dates</w:t>
            </w:r>
          </w:p>
        </w:tc>
      </w:tr>
      <w:tr>
        <w:tc>
          <w:tcPr>
            <w:tcW w:type="dxa" w:w="36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color w:val="000000"/>
                <w:sz w:val="18"/>
                <w:szCs w:val="18"/>
              </w:rPr>
              <w:t xml:space="preserve">Quarterly revenue smoothness (CoV)</w:t>
            </w:r>
          </w:p>
        </w:tc>
        <w:tc>
          <w:tcPr>
            <w:tcW w:type="dxa" w:w="37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color w:val="000000"/>
                <w:sz w:val="18"/>
                <w:szCs w:val="18"/>
              </w:rPr>
              <w:t xml:space="preserve">CoV &lt; 0.03 = unnaturally consistent = fabricated</w:t>
            </w:r>
          </w:p>
        </w:tc>
        <w:tc>
          <w:tcPr>
            <w:tcW w:type="dxa" w:w="20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color w:val="000000"/>
                <w:sz w:val="18"/>
                <w:szCs w:val="18"/>
              </w:rPr>
              <w:t xml:space="preserve">Quarterly filings</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Auditor tenure length</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&lt; 2 years repeatedly = opinion shopping</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MGT-7</w:t>
            </w:r>
          </w:p>
        </w:tc>
      </w:tr>
      <w:tr>
        <w:tc>
          <w:tcPr>
            <w:tcW w:type="dxa" w:w="36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color w:val="000000"/>
                <w:sz w:val="18"/>
                <w:szCs w:val="18"/>
              </w:rPr>
              <w:t xml:space="preserve">Director average tenure</w:t>
            </w:r>
          </w:p>
        </w:tc>
        <w:tc>
          <w:tcPr>
            <w:tcW w:type="dxa" w:w="37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color w:val="000000"/>
                <w:sz w:val="18"/>
                <w:szCs w:val="18"/>
              </w:rPr>
              <w:t xml:space="preserve">Short average tenure = distancing pattern</w:t>
            </w:r>
          </w:p>
        </w:tc>
        <w:tc>
          <w:tcPr>
            <w:tcW w:type="dxa" w:w="20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color w:val="000000"/>
                <w:sz w:val="18"/>
                <w:szCs w:val="18"/>
              </w:rPr>
              <w:t xml:space="preserve">IS_DIRECTOR_OF dates</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Charge creation-to-satisfaction gap</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&lt; 6 months repeatedly = round-trip borrowing</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CERSAI dates</w:t>
            </w:r>
          </w:p>
        </w:tc>
      </w:tr>
      <w:tr>
        <w:tc>
          <w:tcPr>
            <w:tcW w:type="dxa" w:w="36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color w:val="000000"/>
                <w:sz w:val="18"/>
                <w:szCs w:val="18"/>
              </w:rPr>
              <w:t xml:space="preserve">Filing delay + sudden score improvement</w:t>
            </w:r>
          </w:p>
        </w:tc>
        <w:tc>
          <w:tcPr>
            <w:tcW w:type="dxa" w:w="37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color w:val="000000"/>
                <w:sz w:val="18"/>
                <w:szCs w:val="18"/>
              </w:rPr>
              <w:t xml:space="preserve">Late filing with better numbers = retroactive manipulation</w:t>
            </w:r>
          </w:p>
        </w:tc>
        <w:tc>
          <w:tcPr>
            <w:tcW w:type="dxa" w:w="20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color w:val="000000"/>
                <w:sz w:val="18"/>
                <w:szCs w:val="18"/>
              </w:rPr>
              <w:t xml:space="preserve">MCA dates + financials</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Accounting policy change frequency</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Changes after bad years = retrospective manipulation</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Notes NLP</w:t>
            </w:r>
          </w:p>
        </w:tc>
      </w:tr>
      <w:tr>
        <w:tc>
          <w:tcPr>
            <w:tcW w:type="dxa" w:w="36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color w:val="000000"/>
                <w:sz w:val="18"/>
                <w:szCs w:val="18"/>
              </w:rPr>
              <w:t xml:space="preserve">Revenue growth vs employee cost growth gap</w:t>
            </w:r>
          </w:p>
        </w:tc>
        <w:tc>
          <w:tcPr>
            <w:tcW w:type="dxa" w:w="37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color w:val="000000"/>
                <w:sz w:val="18"/>
                <w:szCs w:val="18"/>
              </w:rPr>
              <w:t xml:space="preserve">Revenue growing, costs flat over years</w:t>
            </w:r>
          </w:p>
        </w:tc>
        <w:tc>
          <w:tcPr>
            <w:tcW w:type="dxa" w:w="20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color w:val="000000"/>
                <w:sz w:val="18"/>
                <w:szCs w:val="18"/>
              </w:rPr>
              <w:t xml:space="preserve">P&amp;L multi-year</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GST filing regularity score</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Gaps in monthly GSTR-3B = cash flow stress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Upload / aggregate</w:t>
            </w:r>
          </w:p>
        </w:tc>
      </w:tr>
      <w:tr>
        <w:tc>
          <w:tcPr>
            <w:tcW w:type="dxa" w:w="36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color w:val="000000"/>
                <w:sz w:val="18"/>
                <w:szCs w:val="18"/>
              </w:rPr>
              <w:t xml:space="preserve">Pre-filing balance sheet cash spike</w:t>
            </w:r>
          </w:p>
        </w:tc>
        <w:tc>
          <w:tcPr>
            <w:tcW w:type="dxa" w:w="37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color w:val="000000"/>
                <w:sz w:val="18"/>
                <w:szCs w:val="18"/>
              </w:rPr>
              <w:t xml:space="preserve">Cash influx right before BS date then reversal</w:t>
            </w:r>
          </w:p>
        </w:tc>
        <w:tc>
          <w:tcPr>
            <w:tcW w:type="dxa" w:w="20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color w:val="000000"/>
                <w:sz w:val="18"/>
                <w:szCs w:val="18"/>
              </w:rPr>
              <w:t xml:space="preserve">BS + bank upload</w:t>
            </w:r>
          </w:p>
        </w:tc>
      </w:tr>
    </w:tbl>
    <w:p>
      <w:pPr>
        <w:spacing w:after="60" w:before="60"/>
      </w:pPr>
      <w:r>
        <w:t xml:space="preserve"/>
      </w:r>
    </w:p>
    <w:p>
      <w:pPr>
        <w:pStyle w:val="Heading2"/>
        <w:spacing w:after="120" w:before="240"/>
      </w:pPr>
      <w:r>
        <w:rPr>
          <w:rFonts w:ascii="Arial" w:cs="Arial" w:eastAsia="Arial" w:hAnsi="Arial"/>
          <w:b/>
          <w:bCs/>
          <w:color w:val="2E4A7A"/>
          <w:sz w:val="26"/>
          <w:szCs w:val="26"/>
        </w:rPr>
        <w:t xml:space="preserve">8.4 Document / NLP Features (6)</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3760"/>
        <w:gridCol w:w="2000"/>
      </w:tblGrid>
      <w:tr>
        <w:tc>
          <w:tcPr>
            <w:tcW w:type="dxa" w:w="3600"/>
            <w:tcBorders>
              <w:top w:val="single" w:color="1F3864" w:sz="2"/>
              <w:left w:val="single" w:color="1F3864" w:sz="2"/>
              <w:bottom w:val="single" w:color="1F3864" w:sz="2"/>
              <w:right w:val="single" w:color="1F3864" w:sz="2"/>
            </w:tcBorders>
            <w:shd w:fill="1F3864" w:val="clear"/>
            <w:tcMar>
              <w:top w:type="dxa" w:w="80"/>
              <w:left w:type="dxa" w:w="120"/>
              <w:bottom w:type="dxa" w:w="80"/>
              <w:right w:type="dxa" w:w="120"/>
            </w:tcMar>
          </w:tcPr>
          <w:p>
            <w:pPr>
              <w:jc w:val="center"/>
            </w:pPr>
            <w:r>
              <w:rPr>
                <w:rFonts w:ascii="Arial" w:cs="Arial" w:eastAsia="Arial" w:hAnsi="Arial"/>
                <w:b/>
                <w:bCs/>
                <w:color w:val="FFFFFF"/>
                <w:sz w:val="19"/>
                <w:szCs w:val="19"/>
              </w:rPr>
              <w:t xml:space="preserve">Feature</w:t>
            </w:r>
          </w:p>
        </w:tc>
        <w:tc>
          <w:tcPr>
            <w:tcW w:type="dxa" w:w="3760"/>
            <w:tcBorders>
              <w:top w:val="single" w:color="1F3864" w:sz="2"/>
              <w:left w:val="single" w:color="1F3864" w:sz="2"/>
              <w:bottom w:val="single" w:color="1F3864" w:sz="2"/>
              <w:right w:val="single" w:color="1F3864" w:sz="2"/>
            </w:tcBorders>
            <w:shd w:fill="1F3864" w:val="clear"/>
            <w:tcMar>
              <w:top w:type="dxa" w:w="80"/>
              <w:left w:type="dxa" w:w="120"/>
              <w:bottom w:type="dxa" w:w="80"/>
              <w:right w:type="dxa" w:w="120"/>
            </w:tcMar>
          </w:tcPr>
          <w:p>
            <w:pPr>
              <w:jc w:val="center"/>
            </w:pPr>
            <w:r>
              <w:rPr>
                <w:rFonts w:ascii="Arial" w:cs="Arial" w:eastAsia="Arial" w:hAnsi="Arial"/>
                <w:b/>
                <w:bCs/>
                <w:color w:val="FFFFFF"/>
                <w:sz w:val="19"/>
                <w:szCs w:val="19"/>
              </w:rPr>
              <w:t xml:space="preserve">Signal</w:t>
            </w:r>
          </w:p>
        </w:tc>
        <w:tc>
          <w:tcPr>
            <w:tcW w:type="dxa" w:w="2000"/>
            <w:tcBorders>
              <w:top w:val="single" w:color="1F3864" w:sz="2"/>
              <w:left w:val="single" w:color="1F3864" w:sz="2"/>
              <w:bottom w:val="single" w:color="1F3864" w:sz="2"/>
              <w:right w:val="single" w:color="1F3864" w:sz="2"/>
            </w:tcBorders>
            <w:shd w:fill="1F3864" w:val="clear"/>
            <w:tcMar>
              <w:top w:type="dxa" w:w="80"/>
              <w:left w:type="dxa" w:w="120"/>
              <w:bottom w:type="dxa" w:w="80"/>
              <w:right w:type="dxa" w:w="120"/>
            </w:tcMar>
          </w:tcPr>
          <w:p>
            <w:pPr>
              <w:jc w:val="center"/>
            </w:pPr>
            <w:r>
              <w:rPr>
                <w:rFonts w:ascii="Arial" w:cs="Arial" w:eastAsia="Arial" w:hAnsi="Arial"/>
                <w:b/>
                <w:bCs/>
                <w:color w:val="FFFFFF"/>
                <w:sz w:val="19"/>
                <w:szCs w:val="19"/>
              </w:rPr>
              <w:t xml:space="preserve">Tool</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Audit opinion sentiment score</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Going concern / adverse opinion language severity</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spaCy keyword</w:t>
            </w:r>
          </w:p>
        </w:tc>
      </w:tr>
      <w:tr>
        <w:tc>
          <w:tcPr>
            <w:tcW w:type="dxa" w:w="36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color w:val="000000"/>
                <w:sz w:val="18"/>
                <w:szCs w:val="18"/>
              </w:rPr>
              <w:t xml:space="preserve">Related party disclosure specificity</w:t>
            </w:r>
          </w:p>
        </w:tc>
        <w:tc>
          <w:tcPr>
            <w:tcW w:type="dxa" w:w="37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color w:val="000000"/>
                <w:sz w:val="18"/>
                <w:szCs w:val="18"/>
              </w:rPr>
              <w:t xml:space="preserve">Vague = hiding transaction details</w:t>
            </w:r>
          </w:p>
        </w:tc>
        <w:tc>
          <w:tcPr>
            <w:tcW w:type="dxa" w:w="20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color w:val="000000"/>
                <w:sz w:val="18"/>
                <w:szCs w:val="18"/>
              </w:rPr>
              <w:t xml:space="preserve">spaCy NLP</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Notes to accounts length trend</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Getting shorter = hiding information</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pdfplumber word count</w:t>
            </w:r>
          </w:p>
        </w:tc>
      </w:tr>
      <w:tr>
        <w:tc>
          <w:tcPr>
            <w:tcW w:type="dxa" w:w="36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color w:val="000000"/>
                <w:sz w:val="18"/>
                <w:szCs w:val="18"/>
              </w:rPr>
              <w:t xml:space="preserve">Auditor emphasis of matter count</w:t>
            </w:r>
          </w:p>
        </w:tc>
        <w:tc>
          <w:tcPr>
            <w:tcW w:type="dxa" w:w="37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color w:val="000000"/>
                <w:sz w:val="18"/>
                <w:szCs w:val="18"/>
              </w:rPr>
              <w:t xml:space="preserve">Each paragraph = one flag</w:t>
            </w:r>
          </w:p>
        </w:tc>
        <w:tc>
          <w:tcPr>
            <w:tcW w:type="dxa" w:w="20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color w:val="000000"/>
                <w:sz w:val="18"/>
                <w:szCs w:val="18"/>
              </w:rPr>
              <w:t xml:space="preserve">spaCy keyword</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PDF creation software</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Word/GDocs on statutory filing = suspicious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pdfplumber metadata</w:t>
            </w:r>
          </w:p>
        </w:tc>
      </w:tr>
      <w:tr>
        <w:tc>
          <w:tcPr>
            <w:tcW w:type="dxa" w:w="36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color w:val="000000"/>
                <w:sz w:val="18"/>
                <w:szCs w:val="18"/>
              </w:rPr>
              <w:t xml:space="preserve">PDF modification date anomaly</w:t>
            </w:r>
          </w:p>
        </w:tc>
        <w:tc>
          <w:tcPr>
            <w:tcW w:type="dxa" w:w="37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color w:val="000000"/>
                <w:sz w:val="18"/>
                <w:szCs w:val="18"/>
              </w:rPr>
              <w:t xml:space="preserve">Creation/Mod gap &lt; 3 days on audit document</w:t>
            </w:r>
          </w:p>
        </w:tc>
        <w:tc>
          <w:tcPr>
            <w:tcW w:type="dxa" w:w="20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color w:val="000000"/>
                <w:sz w:val="18"/>
                <w:szCs w:val="18"/>
              </w:rPr>
              <w:t xml:space="preserve">pdfplumber metadata</w:t>
            </w:r>
          </w:p>
        </w:tc>
      </w:tr>
    </w:tbl>
    <w:p>
      <w:pPr>
        <w:spacing w:after="60" w:before="60"/>
      </w:pPr>
      <w:r>
        <w:t xml:space="preserve"/>
      </w:r>
    </w:p>
    <w:p>
      <w:pPr>
        <w:pStyle w:val="Heading2"/>
        <w:spacing w:after="120" w:before="240"/>
      </w:pPr>
      <w:r>
        <w:rPr>
          <w:rFonts w:ascii="Arial" w:cs="Arial" w:eastAsia="Arial" w:hAnsi="Arial"/>
          <w:b/>
          <w:bCs/>
          <w:color w:val="2E4A7A"/>
          <w:sz w:val="26"/>
          <w:szCs w:val="26"/>
        </w:rPr>
        <w:t xml:space="preserve">8.5 Additional Data Features (2)</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3760"/>
        <w:gridCol w:w="2000"/>
      </w:tblGrid>
      <w:tr>
        <w:tc>
          <w:tcPr>
            <w:tcW w:type="dxa" w:w="3600"/>
            <w:tcBorders>
              <w:top w:val="single" w:color="1F3864" w:sz="2"/>
              <w:left w:val="single" w:color="1F3864" w:sz="2"/>
              <w:bottom w:val="single" w:color="1F3864" w:sz="2"/>
              <w:right w:val="single" w:color="1F3864" w:sz="2"/>
            </w:tcBorders>
            <w:shd w:fill="1F3864" w:val="clear"/>
            <w:tcMar>
              <w:top w:type="dxa" w:w="80"/>
              <w:left w:type="dxa" w:w="120"/>
              <w:bottom w:type="dxa" w:w="80"/>
              <w:right w:type="dxa" w:w="120"/>
            </w:tcMar>
          </w:tcPr>
          <w:p>
            <w:pPr>
              <w:jc w:val="center"/>
            </w:pPr>
            <w:r>
              <w:rPr>
                <w:rFonts w:ascii="Arial" w:cs="Arial" w:eastAsia="Arial" w:hAnsi="Arial"/>
                <w:b/>
                <w:bCs/>
                <w:color w:val="FFFFFF"/>
                <w:sz w:val="19"/>
                <w:szCs w:val="19"/>
              </w:rPr>
              <w:t xml:space="preserve">Feature</w:t>
            </w:r>
          </w:p>
        </w:tc>
        <w:tc>
          <w:tcPr>
            <w:tcW w:type="dxa" w:w="3760"/>
            <w:tcBorders>
              <w:top w:val="single" w:color="1F3864" w:sz="2"/>
              <w:left w:val="single" w:color="1F3864" w:sz="2"/>
              <w:bottom w:val="single" w:color="1F3864" w:sz="2"/>
              <w:right w:val="single" w:color="1F3864" w:sz="2"/>
            </w:tcBorders>
            <w:shd w:fill="1F3864" w:val="clear"/>
            <w:tcMar>
              <w:top w:type="dxa" w:w="80"/>
              <w:left w:type="dxa" w:w="120"/>
              <w:bottom w:type="dxa" w:w="80"/>
              <w:right w:type="dxa" w:w="120"/>
            </w:tcMar>
          </w:tcPr>
          <w:p>
            <w:pPr>
              <w:jc w:val="center"/>
            </w:pPr>
            <w:r>
              <w:rPr>
                <w:rFonts w:ascii="Arial" w:cs="Arial" w:eastAsia="Arial" w:hAnsi="Arial"/>
                <w:b/>
                <w:bCs/>
                <w:color w:val="FFFFFF"/>
                <w:sz w:val="19"/>
                <w:szCs w:val="19"/>
              </w:rPr>
              <w:t xml:space="preserve">Signal</w:t>
            </w:r>
          </w:p>
        </w:tc>
        <w:tc>
          <w:tcPr>
            <w:tcW w:type="dxa" w:w="2000"/>
            <w:tcBorders>
              <w:top w:val="single" w:color="1F3864" w:sz="2"/>
              <w:left w:val="single" w:color="1F3864" w:sz="2"/>
              <w:bottom w:val="single" w:color="1F3864" w:sz="2"/>
              <w:right w:val="single" w:color="1F3864" w:sz="2"/>
            </w:tcBorders>
            <w:shd w:fill="1F3864" w:val="clear"/>
            <w:tcMar>
              <w:top w:type="dxa" w:w="80"/>
              <w:left w:type="dxa" w:w="120"/>
              <w:bottom w:type="dxa" w:w="80"/>
              <w:right w:type="dxa" w:w="120"/>
            </w:tcMar>
          </w:tcPr>
          <w:p>
            <w:pPr>
              <w:jc w:val="center"/>
            </w:pPr>
            <w:r>
              <w:rPr>
                <w:rFonts w:ascii="Arial" w:cs="Arial" w:eastAsia="Arial" w:hAnsi="Arial"/>
                <w:b/>
                <w:bCs/>
                <w:color w:val="FFFFFF"/>
                <w:sz w:val="19"/>
                <w:szCs w:val="19"/>
              </w:rPr>
              <w:t xml:space="preserve">Source</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NCLT/DRT proceeding existence</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Active insolvency or debt recovery proceeding</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NCLT scraper</w:t>
            </w:r>
          </w:p>
        </w:tc>
      </w:tr>
      <w:tr>
        <w:tc>
          <w:tcPr>
            <w:tcW w:type="dxa" w:w="36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color w:val="000000"/>
                <w:sz w:val="18"/>
                <w:szCs w:val="18"/>
              </w:rPr>
              <w:t xml:space="preserve">Wilful defaulter match (CIN or promoter DIN)</w:t>
            </w:r>
          </w:p>
        </w:tc>
        <w:tc>
          <w:tcPr>
            <w:tcW w:type="dxa" w:w="37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color w:val="000000"/>
                <w:sz w:val="18"/>
                <w:szCs w:val="18"/>
              </w:rPr>
              <w:t xml:space="preserve">Declared wilful defaulter</w:t>
            </w:r>
          </w:p>
        </w:tc>
        <w:tc>
          <w:tcPr>
            <w:tcW w:type="dxa" w:w="20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color w:val="000000"/>
                <w:sz w:val="18"/>
                <w:szCs w:val="18"/>
              </w:rPr>
              <w:t xml:space="preserve">RBI + CIBIL</w:t>
            </w:r>
          </w:p>
        </w:tc>
      </w:tr>
    </w:tbl>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FF3CD" w:val="clear"/>
            <w:tcMar>
              <w:top w:type="dxa" w:w="80"/>
              <w:left w:type="dxa" w:w="120"/>
              <w:bottom w:type="dxa" w:w="80"/>
              <w:right w:type="dxa" w:w="120"/>
            </w:tcMar>
          </w:tcPr>
          <w:p>
            <w:r>
              <w:rPr>
                <w:rFonts w:ascii="Arial" w:cs="Arial" w:eastAsia="Arial" w:hAnsi="Arial"/>
                <w:sz w:val="17"/>
                <w:szCs w:val="17"/>
              </w:rPr>
              <w:t xml:space="preserve">E-way bill: company-level data requires GSP licence. District/sector-level aggregate from GSTN public statistics used as contextual benchmark signal only — not a direct company-level feature. MCA employee count is public and used in Section 8.1. EPFO direct API is restricted — not used.</w:t>
            </w:r>
          </w:p>
        </w:tc>
      </w:tr>
    </w:tbl>
    <w:p>
      <w:pPr>
        <w:spacing w:after="60" w:before="60"/>
      </w:pPr>
      <w:r>
        <w:t xml:space="preserve"/>
      </w:r>
    </w:p>
    <w:p>
      <w:r>
        <w:br w:type="page"/>
      </w:r>
    </w:p>
    <w:p>
      <w:pPr>
        <w:pStyle w:val="Heading1"/>
        <w:spacing w:after="160" w:before="320"/>
      </w:pPr>
      <w:r>
        <w:rPr>
          <w:rFonts w:ascii="Arial" w:cs="Arial" w:eastAsia="Arial" w:hAnsi="Arial"/>
          <w:b/>
          <w:bCs/>
          <w:color w:val="1F3864"/>
          <w:sz w:val="34"/>
          <w:szCs w:val="34"/>
        </w:rPr>
        <w:t xml:space="preserve">9. ML Engine Build Plan — 4 Phases (from Architecture Doc)</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FF3CD" w:val="clear"/>
            <w:tcMar>
              <w:top w:type="dxa" w:w="80"/>
              <w:left w:type="dxa" w:w="120"/>
              <w:bottom w:type="dxa" w:w="80"/>
              <w:right w:type="dxa" w:w="120"/>
            </w:tcMar>
          </w:tcPr>
          <w:p>
            <w:r>
              <w:rPr>
                <w:rFonts w:ascii="Arial" w:cs="Arial" w:eastAsia="Arial" w:hAnsi="Arial"/>
                <w:sz w:val="17"/>
                <w:szCs w:val="17"/>
              </w:rPr>
              <w:t xml:space="preserve">This is the ML-specific build plan from the uploaded architecture document. It runs in parallel with the main 30-day build plan. Phases 1–4 map approximately to Weeks 1–4 of the overall plan.</w:t>
            </w:r>
          </w:p>
        </w:tc>
      </w:tr>
    </w:tbl>
    <w:p>
      <w:pPr>
        <w:spacing w:after="60" w:before="60"/>
      </w:pPr>
      <w:r>
        <w:t xml:space="preserve"/>
      </w:r>
    </w:p>
    <w:p>
      <w:pPr>
        <w:pStyle w:val="Heading2"/>
        <w:spacing w:after="120" w:before="240"/>
      </w:pPr>
      <w:r>
        <w:rPr>
          <w:rFonts w:ascii="Arial" w:cs="Arial" w:eastAsia="Arial" w:hAnsi="Arial"/>
          <w:b/>
          <w:bCs/>
          <w:color w:val="2E4A7A"/>
          <w:sz w:val="26"/>
          <w:szCs w:val="26"/>
        </w:rPr>
        <w:t xml:space="preserve">Phase 1 — Foundation (Days 1–5)</w:t>
      </w:r>
    </w:p>
    <w:p>
      <w:pPr>
        <w:spacing w:after="60" w:before="60"/>
      </w:pPr>
      <w:r>
        <w:rPr>
          <w:rFonts w:ascii="Arial" w:cs="Arial" w:eastAsia="Arial" w:hAnsi="Arial"/>
          <w:b w:val="false"/>
          <w:bCs w:val="false"/>
          <w:sz w:val="18"/>
          <w:szCs w:val="18"/>
        </w:rPr>
        <w:t xml:space="preserve">Goal: graph feature extraction working, LOF integrated, LightGBM meta-learner replacing static formula, calibration pipeline live.</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1200"/>
        <w:gridCol w:w="4560"/>
        <w:gridCol w:w="2800"/>
      </w:tblGrid>
      <w:tr>
        <w:tc>
          <w:tcPr>
            <w:tcW w:type="dxa" w:w="800"/>
            <w:tcBorders>
              <w:top w:val="single" w:color="1F3864" w:sz="2"/>
              <w:left w:val="single" w:color="1F3864" w:sz="2"/>
              <w:bottom w:val="single" w:color="1F3864" w:sz="2"/>
              <w:right w:val="single" w:color="1F3864" w:sz="2"/>
            </w:tcBorders>
            <w:shd w:fill="1F3864" w:val="clear"/>
            <w:tcMar>
              <w:top w:type="dxa" w:w="80"/>
              <w:left w:type="dxa" w:w="120"/>
              <w:bottom w:type="dxa" w:w="80"/>
              <w:right w:type="dxa" w:w="120"/>
            </w:tcMar>
          </w:tcPr>
          <w:p>
            <w:pPr>
              <w:jc w:val="center"/>
            </w:pPr>
            <w:r>
              <w:rPr>
                <w:rFonts w:ascii="Arial" w:cs="Arial" w:eastAsia="Arial" w:hAnsi="Arial"/>
                <w:b/>
                <w:bCs/>
                <w:color w:val="FFFFFF"/>
                <w:sz w:val="19"/>
                <w:szCs w:val="19"/>
              </w:rPr>
              <w:t xml:space="preserve">Task</w:t>
            </w:r>
          </w:p>
        </w:tc>
        <w:tc>
          <w:tcPr>
            <w:tcW w:type="dxa" w:w="1200"/>
            <w:tcBorders>
              <w:top w:val="single" w:color="1F3864" w:sz="2"/>
              <w:left w:val="single" w:color="1F3864" w:sz="2"/>
              <w:bottom w:val="single" w:color="1F3864" w:sz="2"/>
              <w:right w:val="single" w:color="1F3864" w:sz="2"/>
            </w:tcBorders>
            <w:shd w:fill="1F3864" w:val="clear"/>
            <w:tcMar>
              <w:top w:type="dxa" w:w="80"/>
              <w:left w:type="dxa" w:w="120"/>
              <w:bottom w:type="dxa" w:w="80"/>
              <w:right w:type="dxa" w:w="120"/>
            </w:tcMar>
          </w:tcPr>
          <w:p>
            <w:pPr>
              <w:jc w:val="center"/>
            </w:pPr>
            <w:r>
              <w:rPr>
                <w:rFonts w:ascii="Arial" w:cs="Arial" w:eastAsia="Arial" w:hAnsi="Arial"/>
                <w:b/>
                <w:bCs/>
                <w:color w:val="FFFFFF"/>
                <w:sz w:val="19"/>
                <w:szCs w:val="19"/>
              </w:rPr>
              <w:t xml:space="preserve">Component</w:t>
            </w:r>
          </w:p>
        </w:tc>
        <w:tc>
          <w:tcPr>
            <w:tcW w:type="dxa" w:w="4560"/>
            <w:tcBorders>
              <w:top w:val="single" w:color="1F3864" w:sz="2"/>
              <w:left w:val="single" w:color="1F3864" w:sz="2"/>
              <w:bottom w:val="single" w:color="1F3864" w:sz="2"/>
              <w:right w:val="single" w:color="1F3864" w:sz="2"/>
            </w:tcBorders>
            <w:shd w:fill="1F3864" w:val="clear"/>
            <w:tcMar>
              <w:top w:type="dxa" w:w="80"/>
              <w:left w:type="dxa" w:w="120"/>
              <w:bottom w:type="dxa" w:w="80"/>
              <w:right w:type="dxa" w:w="120"/>
            </w:tcMar>
          </w:tcPr>
          <w:p>
            <w:pPr>
              <w:jc w:val="center"/>
            </w:pPr>
            <w:r>
              <w:rPr>
                <w:rFonts w:ascii="Arial" w:cs="Arial" w:eastAsia="Arial" w:hAnsi="Arial"/>
                <w:b/>
                <w:bCs/>
                <w:color w:val="FFFFFF"/>
                <w:sz w:val="19"/>
                <w:szCs w:val="19"/>
              </w:rPr>
              <w:t xml:space="preserve">Detail</w:t>
            </w:r>
          </w:p>
        </w:tc>
        <w:tc>
          <w:tcPr>
            <w:tcW w:type="dxa" w:w="2800"/>
            <w:tcBorders>
              <w:top w:val="single" w:color="1F3864" w:sz="2"/>
              <w:left w:val="single" w:color="1F3864" w:sz="2"/>
              <w:bottom w:val="single" w:color="1F3864" w:sz="2"/>
              <w:right w:val="single" w:color="1F3864" w:sz="2"/>
            </w:tcBorders>
            <w:shd w:fill="1F3864" w:val="clear"/>
            <w:tcMar>
              <w:top w:type="dxa" w:w="80"/>
              <w:left w:type="dxa" w:w="120"/>
              <w:bottom w:type="dxa" w:w="80"/>
              <w:right w:type="dxa" w:w="120"/>
            </w:tcMar>
          </w:tcPr>
          <w:p>
            <w:pPr>
              <w:jc w:val="center"/>
            </w:pPr>
            <w:r>
              <w:rPr>
                <w:rFonts w:ascii="Arial" w:cs="Arial" w:eastAsia="Arial" w:hAnsi="Arial"/>
                <w:b/>
                <w:bCs/>
                <w:color w:val="FFFFFF"/>
                <w:sz w:val="19"/>
                <w:szCs w:val="19"/>
              </w:rPr>
              <w:t xml:space="preserve">Done When</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P1-1</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L0.5</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NetworkX graph feature extraction. 7 features per entity. Cache as feature matrix.</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Feature matrix built for all 200 pre-cached companies.</w:t>
            </w:r>
          </w:p>
        </w:tc>
      </w:tr>
      <w:tr>
        <w:tc>
          <w:tcPr>
            <w:tcW w:type="dxa" w:w="8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color w:val="000000"/>
                <w:sz w:val="18"/>
                <w:szCs w:val="18"/>
              </w:rPr>
              <w:t xml:space="preserve">P1-2</w:t>
            </w:r>
          </w:p>
        </w:tc>
        <w:tc>
          <w:tcPr>
            <w:tcW w:type="dxa" w:w="12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color w:val="000000"/>
                <w:sz w:val="18"/>
                <w:szCs w:val="18"/>
              </w:rPr>
              <w:t xml:space="preserve">D4 LOF</w:t>
            </w:r>
          </w:p>
        </w:tc>
        <w:tc>
          <w:tcPr>
            <w:tcW w:type="dxa" w:w="45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color w:val="000000"/>
                <w:sz w:val="18"/>
                <w:szCs w:val="18"/>
              </w:rPr>
              <w:t xml:space="preserve">sklearn LOF, n_neighbors=20, StandardScaler. Normalize output to [0,1]. Slot into L2 input.</w:t>
            </w:r>
          </w:p>
        </w:tc>
        <w:tc>
          <w:tcPr>
            <w:tcW w:type="dxa" w:w="28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color w:val="000000"/>
                <w:sz w:val="18"/>
                <w:szCs w:val="18"/>
              </w:rPr>
              <w:t xml:space="preserve">LOF scores for 200 companies without error.</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P1-3</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OOF Pipeline</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K=5 fold loop. D1 + D2 + D4 OOF predictions into single matrix.</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OOF matrix assembled. No label leakage.</w:t>
            </w:r>
          </w:p>
        </w:tc>
      </w:tr>
      <w:tr>
        <w:tc>
          <w:tcPr>
            <w:tcW w:type="dxa" w:w="8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color w:val="000000"/>
                <w:sz w:val="18"/>
                <w:szCs w:val="18"/>
              </w:rPr>
              <w:t xml:space="preserve">P1-4</w:t>
            </w:r>
          </w:p>
        </w:tc>
        <w:tc>
          <w:tcPr>
            <w:tcW w:type="dxa" w:w="12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color w:val="000000"/>
                <w:sz w:val="18"/>
                <w:szCs w:val="18"/>
              </w:rPr>
              <w:t xml:space="preserve">F1a LightGBM</w:t>
            </w:r>
          </w:p>
        </w:tc>
        <w:tc>
          <w:tcPr>
            <w:tcW w:type="dxa" w:w="45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color w:val="000000"/>
                <w:sz w:val="18"/>
                <w:szCs w:val="18"/>
              </w:rPr>
              <w:t xml:space="preserve">Fit LightGBM on OOF matrix. Replace static formula entirely.</w:t>
            </w:r>
          </w:p>
        </w:tc>
        <w:tc>
          <w:tcPr>
            <w:tcW w:type="dxa" w:w="28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color w:val="000000"/>
                <w:sz w:val="18"/>
                <w:szCs w:val="18"/>
              </w:rPr>
              <w:t xml:space="preserve">AUC on held-out test set &gt; static formula AUC.</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P1-5</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F1b Isotonic</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15% separate hold-out. IsotonicRegression. Reliability diagram verification.</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Reliability diagram shows correct calibration.</w:t>
            </w:r>
          </w:p>
        </w:tc>
      </w:tr>
      <w:tr>
        <w:tc>
          <w:tcPr>
            <w:tcW w:type="dxa" w:w="8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color w:val="000000"/>
                <w:sz w:val="18"/>
                <w:szCs w:val="18"/>
              </w:rPr>
              <w:t xml:space="preserve">P1-6</w:t>
            </w:r>
          </w:p>
        </w:tc>
        <w:tc>
          <w:tcPr>
            <w:tcW w:type="dxa" w:w="12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color w:val="000000"/>
                <w:sz w:val="18"/>
                <w:szCs w:val="18"/>
              </w:rPr>
              <w:t xml:space="preserve">F1c MAPIE</w:t>
            </w:r>
          </w:p>
        </w:tc>
        <w:tc>
          <w:tcPr>
            <w:tcW w:type="dxa" w:w="45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color w:val="000000"/>
                <w:sz w:val="18"/>
                <w:szCs w:val="18"/>
              </w:rPr>
              <w:t xml:space="preserve">MapieClassifier. Output: P(fraud) + [P_low, P_high] at alpha=0.10.</w:t>
            </w:r>
          </w:p>
        </w:tc>
        <w:tc>
          <w:tcPr>
            <w:tcW w:type="dxa" w:w="28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color w:val="000000"/>
                <w:sz w:val="18"/>
                <w:szCs w:val="18"/>
              </w:rPr>
              <w:t xml:space="preserve">Conformal intervals produced for all test samples.</w:t>
            </w:r>
          </w:p>
        </w:tc>
      </w:tr>
    </w:tbl>
    <w:p>
      <w:pPr>
        <w:spacing w:after="60" w:before="60"/>
      </w:pPr>
      <w:r>
        <w:t xml:space="preserve"/>
      </w:r>
    </w:p>
    <w:p>
      <w:pPr>
        <w:pStyle w:val="Heading2"/>
        <w:spacing w:after="120" w:before="240"/>
      </w:pPr>
      <w:r>
        <w:rPr>
          <w:rFonts w:ascii="Arial" w:cs="Arial" w:eastAsia="Arial" w:hAnsi="Arial"/>
          <w:b/>
          <w:bCs/>
          <w:color w:val="2E4A7A"/>
          <w:sz w:val="26"/>
          <w:szCs w:val="26"/>
        </w:rPr>
        <w:t xml:space="preserve">Phase 2 — Graph Upgrade (Days 6–9)</w:t>
      </w:r>
    </w:p>
    <w:p>
      <w:pPr>
        <w:spacing w:after="60" w:before="60"/>
      </w:pPr>
      <w:r>
        <w:rPr>
          <w:rFonts w:ascii="Arial" w:cs="Arial" w:eastAsia="Arial" w:hAnsi="Arial"/>
          <w:b w:val="false"/>
          <w:bCs w:val="false"/>
          <w:sz w:val="18"/>
          <w:szCs w:val="18"/>
        </w:rPr>
        <w:t xml:space="preserve">Goal: replace static GCN with TGN, add GNNExplainer for TGN subgraph visualisation.</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1200"/>
        <w:gridCol w:w="4560"/>
        <w:gridCol w:w="2800"/>
      </w:tblGrid>
      <w:tr>
        <w:tc>
          <w:tcPr>
            <w:tcW w:type="dxa" w:w="800"/>
            <w:tcBorders>
              <w:top w:val="single" w:color="1F3864" w:sz="2"/>
              <w:left w:val="single" w:color="1F3864" w:sz="2"/>
              <w:bottom w:val="single" w:color="1F3864" w:sz="2"/>
              <w:right w:val="single" w:color="1F3864" w:sz="2"/>
            </w:tcBorders>
            <w:shd w:fill="1F3864" w:val="clear"/>
            <w:tcMar>
              <w:top w:type="dxa" w:w="80"/>
              <w:left w:type="dxa" w:w="120"/>
              <w:bottom w:type="dxa" w:w="80"/>
              <w:right w:type="dxa" w:w="120"/>
            </w:tcMar>
          </w:tcPr>
          <w:p>
            <w:pPr>
              <w:jc w:val="center"/>
            </w:pPr>
            <w:r>
              <w:rPr>
                <w:rFonts w:ascii="Arial" w:cs="Arial" w:eastAsia="Arial" w:hAnsi="Arial"/>
                <w:b/>
                <w:bCs/>
                <w:color w:val="FFFFFF"/>
                <w:sz w:val="19"/>
                <w:szCs w:val="19"/>
              </w:rPr>
              <w:t xml:space="preserve">Task</w:t>
            </w:r>
          </w:p>
        </w:tc>
        <w:tc>
          <w:tcPr>
            <w:tcW w:type="dxa" w:w="1200"/>
            <w:tcBorders>
              <w:top w:val="single" w:color="1F3864" w:sz="2"/>
              <w:left w:val="single" w:color="1F3864" w:sz="2"/>
              <w:bottom w:val="single" w:color="1F3864" w:sz="2"/>
              <w:right w:val="single" w:color="1F3864" w:sz="2"/>
            </w:tcBorders>
            <w:shd w:fill="1F3864" w:val="clear"/>
            <w:tcMar>
              <w:top w:type="dxa" w:w="80"/>
              <w:left w:type="dxa" w:w="120"/>
              <w:bottom w:type="dxa" w:w="80"/>
              <w:right w:type="dxa" w:w="120"/>
            </w:tcMar>
          </w:tcPr>
          <w:p>
            <w:pPr>
              <w:jc w:val="center"/>
            </w:pPr>
            <w:r>
              <w:rPr>
                <w:rFonts w:ascii="Arial" w:cs="Arial" w:eastAsia="Arial" w:hAnsi="Arial"/>
                <w:b/>
                <w:bCs/>
                <w:color w:val="FFFFFF"/>
                <w:sz w:val="19"/>
                <w:szCs w:val="19"/>
              </w:rPr>
              <w:t xml:space="preserve">Component</w:t>
            </w:r>
          </w:p>
        </w:tc>
        <w:tc>
          <w:tcPr>
            <w:tcW w:type="dxa" w:w="4560"/>
            <w:tcBorders>
              <w:top w:val="single" w:color="1F3864" w:sz="2"/>
              <w:left w:val="single" w:color="1F3864" w:sz="2"/>
              <w:bottom w:val="single" w:color="1F3864" w:sz="2"/>
              <w:right w:val="single" w:color="1F3864" w:sz="2"/>
            </w:tcBorders>
            <w:shd w:fill="1F3864" w:val="clear"/>
            <w:tcMar>
              <w:top w:type="dxa" w:w="80"/>
              <w:left w:type="dxa" w:w="120"/>
              <w:bottom w:type="dxa" w:w="80"/>
              <w:right w:type="dxa" w:w="120"/>
            </w:tcMar>
          </w:tcPr>
          <w:p>
            <w:pPr>
              <w:jc w:val="center"/>
            </w:pPr>
            <w:r>
              <w:rPr>
                <w:rFonts w:ascii="Arial" w:cs="Arial" w:eastAsia="Arial" w:hAnsi="Arial"/>
                <w:b/>
                <w:bCs/>
                <w:color w:val="FFFFFF"/>
                <w:sz w:val="19"/>
                <w:szCs w:val="19"/>
              </w:rPr>
              <w:t xml:space="preserve">Detail</w:t>
            </w:r>
          </w:p>
        </w:tc>
        <w:tc>
          <w:tcPr>
            <w:tcW w:type="dxa" w:w="2800"/>
            <w:tcBorders>
              <w:top w:val="single" w:color="1F3864" w:sz="2"/>
              <w:left w:val="single" w:color="1F3864" w:sz="2"/>
              <w:bottom w:val="single" w:color="1F3864" w:sz="2"/>
              <w:right w:val="single" w:color="1F3864" w:sz="2"/>
            </w:tcBorders>
            <w:shd w:fill="1F3864" w:val="clear"/>
            <w:tcMar>
              <w:top w:type="dxa" w:w="80"/>
              <w:left w:type="dxa" w:w="120"/>
              <w:bottom w:type="dxa" w:w="80"/>
              <w:right w:type="dxa" w:w="120"/>
            </w:tcMar>
          </w:tcPr>
          <w:p>
            <w:pPr>
              <w:jc w:val="center"/>
            </w:pPr>
            <w:r>
              <w:rPr>
                <w:rFonts w:ascii="Arial" w:cs="Arial" w:eastAsia="Arial" w:hAnsi="Arial"/>
                <w:b/>
                <w:bCs/>
                <w:color w:val="FFFFFF"/>
                <w:sz w:val="19"/>
                <w:szCs w:val="19"/>
              </w:rPr>
              <w:t xml:space="preserve">Done When</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P2-1</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D3 TGN build</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torch_geometric.nn.models.TGNMemory + GraphAttentionEmbedding. 2-layer, memory_dim=64, embedding_dim=64. Edge pruning: drop weight &lt; 0.05.</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TGN trains without error on transaction graph.</w:t>
            </w:r>
          </w:p>
        </w:tc>
      </w:tr>
      <w:tr>
        <w:tc>
          <w:tcPr>
            <w:tcW w:type="dxa" w:w="8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color w:val="000000"/>
                <w:sz w:val="18"/>
                <w:szCs w:val="18"/>
              </w:rPr>
              <w:t xml:space="preserve">P2-2</w:t>
            </w:r>
          </w:p>
        </w:tc>
        <w:tc>
          <w:tcPr>
            <w:tcW w:type="dxa" w:w="12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color w:val="000000"/>
                <w:sz w:val="18"/>
                <w:szCs w:val="18"/>
              </w:rPr>
              <w:t xml:space="preserve">D3 data pipeline</w:t>
            </w:r>
          </w:p>
        </w:tc>
        <w:tc>
          <w:tcPr>
            <w:tcW w:type="dxa" w:w="45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color w:val="000000"/>
                <w:sz w:val="18"/>
                <w:szCs w:val="18"/>
              </w:rPr>
              <w:t xml:space="preserve">TemporalData loader. Handle new-entity inductive inference via mean-aggregation fallback.</w:t>
            </w:r>
          </w:p>
        </w:tc>
        <w:tc>
          <w:tcPr>
            <w:tcW w:type="dxa" w:w="28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color w:val="000000"/>
                <w:sz w:val="18"/>
                <w:szCs w:val="18"/>
              </w:rPr>
              <w:t xml:space="preserve">Inductive test: hold out 10% entities. AUC should not drop &gt;2pp.</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P2-3</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OOF retrain</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Add D3 OOF scores + 64-dim TGN embedding (PCA→32) to L2 feature vector. Retrain F1a.</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D3 added. Old static GCN scores removed.</w:t>
            </w:r>
          </w:p>
        </w:tc>
      </w:tr>
      <w:tr>
        <w:tc>
          <w:tcPr>
            <w:tcW w:type="dxa" w:w="8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color w:val="000000"/>
                <w:sz w:val="18"/>
                <w:szCs w:val="18"/>
              </w:rPr>
              <w:t xml:space="preserve">P2-4</w:t>
            </w:r>
          </w:p>
        </w:tc>
        <w:tc>
          <w:tcPr>
            <w:tcW w:type="dxa" w:w="12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color w:val="000000"/>
                <w:sz w:val="18"/>
                <w:szCs w:val="18"/>
              </w:rPr>
              <w:t xml:space="preserve">E2 GNNExplainer</w:t>
            </w:r>
          </w:p>
        </w:tc>
        <w:tc>
          <w:tcPr>
            <w:tcW w:type="dxa" w:w="45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color w:val="000000"/>
                <w:sz w:val="18"/>
                <w:szCs w:val="18"/>
              </w:rPr>
              <w:t xml:space="preserve">torch_geometric.explain.GNNExplainer wired to TGN. Edge and node masks per prediction. Visualise as 'TGN Attention Subgraph' — clearly distinct from evidence provenance.</w:t>
            </w:r>
          </w:p>
        </w:tc>
        <w:tc>
          <w:tcPr>
            <w:tcW w:type="dxa" w:w="28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color w:val="000000"/>
                <w:sz w:val="18"/>
                <w:szCs w:val="18"/>
              </w:rPr>
              <w:t xml:space="preserve">Non-uniform edge masks produced for IL&amp;FS.</w:t>
            </w:r>
          </w:p>
        </w:tc>
      </w:tr>
    </w:tbl>
    <w:p>
      <w:pPr>
        <w:spacing w:after="60" w:before="60"/>
      </w:pPr>
      <w:r>
        <w:t xml:space="preserve"/>
      </w:r>
    </w:p>
    <w:p>
      <w:pPr>
        <w:pStyle w:val="Heading2"/>
        <w:spacing w:after="120" w:before="240"/>
      </w:pPr>
      <w:r>
        <w:rPr>
          <w:rFonts w:ascii="Arial" w:cs="Arial" w:eastAsia="Arial" w:hAnsi="Arial"/>
          <w:b/>
          <w:bCs/>
          <w:color w:val="2E4A7A"/>
          <w:sz w:val="26"/>
          <w:szCs w:val="26"/>
        </w:rPr>
        <w:t xml:space="preserve">Phase 3 — New Streams (Days 10–15)</w:t>
      </w:r>
    </w:p>
    <w:p>
      <w:pPr>
        <w:spacing w:after="60" w:before="60"/>
      </w:pPr>
      <w:r>
        <w:rPr>
          <w:rFonts w:ascii="Arial" w:cs="Arial" w:eastAsia="Arial" w:hAnsi="Arial"/>
          <w:b w:val="false"/>
          <w:bCs w:val="false"/>
          <w:sz w:val="18"/>
          <w:szCs w:val="18"/>
        </w:rPr>
        <w:t xml:space="preserve">Goal: Mamba SSM sequence stream and Combined Autoencoder. All 6 detectors feeding OOF meta-learner.</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1200"/>
        <w:gridCol w:w="4560"/>
        <w:gridCol w:w="2800"/>
      </w:tblGrid>
      <w:tr>
        <w:tc>
          <w:tcPr>
            <w:tcW w:type="dxa" w:w="800"/>
            <w:tcBorders>
              <w:top w:val="single" w:color="1F3864" w:sz="2"/>
              <w:left w:val="single" w:color="1F3864" w:sz="2"/>
              <w:bottom w:val="single" w:color="1F3864" w:sz="2"/>
              <w:right w:val="single" w:color="1F3864" w:sz="2"/>
            </w:tcBorders>
            <w:shd w:fill="1F3864" w:val="clear"/>
            <w:tcMar>
              <w:top w:type="dxa" w:w="80"/>
              <w:left w:type="dxa" w:w="120"/>
              <w:bottom w:type="dxa" w:w="80"/>
              <w:right w:type="dxa" w:w="120"/>
            </w:tcMar>
          </w:tcPr>
          <w:p>
            <w:pPr>
              <w:jc w:val="center"/>
            </w:pPr>
            <w:r>
              <w:rPr>
                <w:rFonts w:ascii="Arial" w:cs="Arial" w:eastAsia="Arial" w:hAnsi="Arial"/>
                <w:b/>
                <w:bCs/>
                <w:color w:val="FFFFFF"/>
                <w:sz w:val="19"/>
                <w:szCs w:val="19"/>
              </w:rPr>
              <w:t xml:space="preserve">Task</w:t>
            </w:r>
          </w:p>
        </w:tc>
        <w:tc>
          <w:tcPr>
            <w:tcW w:type="dxa" w:w="1200"/>
            <w:tcBorders>
              <w:top w:val="single" w:color="1F3864" w:sz="2"/>
              <w:left w:val="single" w:color="1F3864" w:sz="2"/>
              <w:bottom w:val="single" w:color="1F3864" w:sz="2"/>
              <w:right w:val="single" w:color="1F3864" w:sz="2"/>
            </w:tcBorders>
            <w:shd w:fill="1F3864" w:val="clear"/>
            <w:tcMar>
              <w:top w:type="dxa" w:w="80"/>
              <w:left w:type="dxa" w:w="120"/>
              <w:bottom w:type="dxa" w:w="80"/>
              <w:right w:type="dxa" w:w="120"/>
            </w:tcMar>
          </w:tcPr>
          <w:p>
            <w:pPr>
              <w:jc w:val="center"/>
            </w:pPr>
            <w:r>
              <w:rPr>
                <w:rFonts w:ascii="Arial" w:cs="Arial" w:eastAsia="Arial" w:hAnsi="Arial"/>
                <w:b/>
                <w:bCs/>
                <w:color w:val="FFFFFF"/>
                <w:sz w:val="19"/>
                <w:szCs w:val="19"/>
              </w:rPr>
              <w:t xml:space="preserve">Component</w:t>
            </w:r>
          </w:p>
        </w:tc>
        <w:tc>
          <w:tcPr>
            <w:tcW w:type="dxa" w:w="4560"/>
            <w:tcBorders>
              <w:top w:val="single" w:color="1F3864" w:sz="2"/>
              <w:left w:val="single" w:color="1F3864" w:sz="2"/>
              <w:bottom w:val="single" w:color="1F3864" w:sz="2"/>
              <w:right w:val="single" w:color="1F3864" w:sz="2"/>
            </w:tcBorders>
            <w:shd w:fill="1F3864" w:val="clear"/>
            <w:tcMar>
              <w:top w:type="dxa" w:w="80"/>
              <w:left w:type="dxa" w:w="120"/>
              <w:bottom w:type="dxa" w:w="80"/>
              <w:right w:type="dxa" w:w="120"/>
            </w:tcMar>
          </w:tcPr>
          <w:p>
            <w:pPr>
              <w:jc w:val="center"/>
            </w:pPr>
            <w:r>
              <w:rPr>
                <w:rFonts w:ascii="Arial" w:cs="Arial" w:eastAsia="Arial" w:hAnsi="Arial"/>
                <w:b/>
                <w:bCs/>
                <w:color w:val="FFFFFF"/>
                <w:sz w:val="19"/>
                <w:szCs w:val="19"/>
              </w:rPr>
              <w:t xml:space="preserve">Detail</w:t>
            </w:r>
          </w:p>
        </w:tc>
        <w:tc>
          <w:tcPr>
            <w:tcW w:type="dxa" w:w="2800"/>
            <w:tcBorders>
              <w:top w:val="single" w:color="1F3864" w:sz="2"/>
              <w:left w:val="single" w:color="1F3864" w:sz="2"/>
              <w:bottom w:val="single" w:color="1F3864" w:sz="2"/>
              <w:right w:val="single" w:color="1F3864" w:sz="2"/>
            </w:tcBorders>
            <w:shd w:fill="1F3864" w:val="clear"/>
            <w:tcMar>
              <w:top w:type="dxa" w:w="80"/>
              <w:left w:type="dxa" w:w="120"/>
              <w:bottom w:type="dxa" w:w="80"/>
              <w:right w:type="dxa" w:w="120"/>
            </w:tcMar>
          </w:tcPr>
          <w:p>
            <w:pPr>
              <w:jc w:val="center"/>
            </w:pPr>
            <w:r>
              <w:rPr>
                <w:rFonts w:ascii="Arial" w:cs="Arial" w:eastAsia="Arial" w:hAnsi="Arial"/>
                <w:b/>
                <w:bCs/>
                <w:color w:val="FFFFFF"/>
                <w:sz w:val="19"/>
                <w:szCs w:val="19"/>
              </w:rPr>
              <w:t xml:space="preserve">Done When</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P3-1</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D5 data pipeline</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Sequence: (amount, counterparty_type, gst_status, timestamp_delta). Pad/truncate to max_len=128. DataLoader.</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DataLoader produces batches without error.</w:t>
            </w:r>
          </w:p>
        </w:tc>
      </w:tr>
      <w:tr>
        <w:tc>
          <w:tcPr>
            <w:tcW w:type="dxa" w:w="8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color w:val="000000"/>
                <w:sz w:val="18"/>
                <w:szCs w:val="18"/>
              </w:rPr>
              <w:t xml:space="preserve">P3-2</w:t>
            </w:r>
          </w:p>
        </w:tc>
        <w:tc>
          <w:tcPr>
            <w:tcW w:type="dxa" w:w="12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color w:val="000000"/>
                <w:sz w:val="18"/>
                <w:szCs w:val="18"/>
              </w:rPr>
              <w:t xml:space="preserve">D5 Mamba SSM</w:t>
            </w:r>
          </w:p>
        </w:tc>
        <w:tc>
          <w:tcPr>
            <w:tcW w:type="dxa" w:w="45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color w:val="000000"/>
                <w:sz w:val="18"/>
                <w:szCs w:val="18"/>
              </w:rPr>
              <w:t xml:space="preserve">pip install mamba-ssm. 2-layer, state_dim=64, expand=2, dropout=0.2. TCN fallback (kernel=3, 4 layers, 64 filters) if CUDA unavailable.</w:t>
            </w:r>
          </w:p>
        </w:tc>
        <w:tc>
          <w:tcPr>
            <w:tcW w:type="dxa" w:w="28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color w:val="000000"/>
                <w:sz w:val="18"/>
                <w:szCs w:val="18"/>
              </w:rPr>
              <w:t xml:space="preserve">Mamba or TCN trains and produces fraud scores.</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P3-3</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D6 AE data prep</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Concat [20 financial, 7 graph] = 27-dim. Normalize each group to [0,1] independently before concat.</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27-dim clean-only training loader ready.</w:t>
            </w:r>
          </w:p>
        </w:tc>
      </w:tr>
      <w:tr>
        <w:tc>
          <w:tcPr>
            <w:tcW w:type="dxa" w:w="8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color w:val="000000"/>
                <w:sz w:val="18"/>
                <w:szCs w:val="18"/>
              </w:rPr>
              <w:t xml:space="preserve">P3-4</w:t>
            </w:r>
          </w:p>
        </w:tc>
        <w:tc>
          <w:tcPr>
            <w:tcW w:type="dxa" w:w="12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color w:val="000000"/>
                <w:sz w:val="18"/>
                <w:szCs w:val="18"/>
              </w:rPr>
              <w:t xml:space="preserve">D6 Combined AE</w:t>
            </w:r>
          </w:p>
        </w:tc>
        <w:tc>
          <w:tcPr>
            <w:tcW w:type="dxa" w:w="45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color w:val="000000"/>
                <w:sz w:val="18"/>
                <w:szCs w:val="18"/>
              </w:rPr>
              <w:t xml:space="preserve">Encoder [27→64→32→16], mirrored decoder. ReLU, BatchNorm, dropout=0.2. Adam lr=1e-3, 50 epochs, early stop. Recon error → [0,1] via 99th pct normalization.</w:t>
            </w:r>
          </w:p>
        </w:tc>
        <w:tc>
          <w:tcPr>
            <w:tcW w:type="dxa" w:w="28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color w:val="000000"/>
                <w:sz w:val="18"/>
                <w:szCs w:val="18"/>
              </w:rPr>
              <w:t xml:space="preserve">Reconstruction error produces higher scores for known fraud cases.</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P3-5</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Full OOF retrain</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Add D5 + D6 OOF scores. Full 6-detector matrix. Retrain F1a, refit F1b, rewrap F1c.</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6-detector OOF AUC &gt; 5-detector AUC.</w:t>
            </w:r>
          </w:p>
        </w:tc>
      </w:tr>
    </w:tbl>
    <w:p>
      <w:pPr>
        <w:spacing w:after="60" w:before="60"/>
      </w:pPr>
      <w:r>
        <w:t xml:space="preserve"/>
      </w:r>
    </w:p>
    <w:p>
      <w:pPr>
        <w:pStyle w:val="Heading2"/>
        <w:spacing w:after="120" w:before="240"/>
      </w:pPr>
      <w:r>
        <w:rPr>
          <w:rFonts w:ascii="Arial" w:cs="Arial" w:eastAsia="Arial" w:hAnsi="Arial"/>
          <w:b/>
          <w:bCs/>
          <w:color w:val="2E4A7A"/>
          <w:sz w:val="26"/>
          <w:szCs w:val="26"/>
        </w:rPr>
        <w:t xml:space="preserve">Phase 4 — Integration and Output (Days 16–20)</w:t>
      </w:r>
    </w:p>
    <w:p>
      <w:pPr>
        <w:spacing w:after="60" w:before="60"/>
      </w:pPr>
      <w:r>
        <w:rPr>
          <w:rFonts w:ascii="Arial" w:cs="Arial" w:eastAsia="Arial" w:hAnsi="Arial"/>
          <w:b w:val="false"/>
          <w:bCs w:val="false"/>
          <w:sz w:val="18"/>
          <w:szCs w:val="18"/>
        </w:rPr>
        <w:t xml:space="preserve">Goal: full pipeline verified. All benchmarks passing. Gemini Flash narrative live.</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1200"/>
        <w:gridCol w:w="4560"/>
        <w:gridCol w:w="2800"/>
      </w:tblGrid>
      <w:tr>
        <w:tc>
          <w:tcPr>
            <w:tcW w:type="dxa" w:w="800"/>
            <w:tcBorders>
              <w:top w:val="single" w:color="1F3864" w:sz="2"/>
              <w:left w:val="single" w:color="1F3864" w:sz="2"/>
              <w:bottom w:val="single" w:color="1F3864" w:sz="2"/>
              <w:right w:val="single" w:color="1F3864" w:sz="2"/>
            </w:tcBorders>
            <w:shd w:fill="1F3864" w:val="clear"/>
            <w:tcMar>
              <w:top w:type="dxa" w:w="80"/>
              <w:left w:type="dxa" w:w="120"/>
              <w:bottom w:type="dxa" w:w="80"/>
              <w:right w:type="dxa" w:w="120"/>
            </w:tcMar>
          </w:tcPr>
          <w:p>
            <w:pPr>
              <w:jc w:val="center"/>
            </w:pPr>
            <w:r>
              <w:rPr>
                <w:rFonts w:ascii="Arial" w:cs="Arial" w:eastAsia="Arial" w:hAnsi="Arial"/>
                <w:b/>
                <w:bCs/>
                <w:color w:val="FFFFFF"/>
                <w:sz w:val="19"/>
                <w:szCs w:val="19"/>
              </w:rPr>
              <w:t xml:space="preserve">Task</w:t>
            </w:r>
          </w:p>
        </w:tc>
        <w:tc>
          <w:tcPr>
            <w:tcW w:type="dxa" w:w="1200"/>
            <w:tcBorders>
              <w:top w:val="single" w:color="1F3864" w:sz="2"/>
              <w:left w:val="single" w:color="1F3864" w:sz="2"/>
              <w:bottom w:val="single" w:color="1F3864" w:sz="2"/>
              <w:right w:val="single" w:color="1F3864" w:sz="2"/>
            </w:tcBorders>
            <w:shd w:fill="1F3864" w:val="clear"/>
            <w:tcMar>
              <w:top w:type="dxa" w:w="80"/>
              <w:left w:type="dxa" w:w="120"/>
              <w:bottom w:type="dxa" w:w="80"/>
              <w:right w:type="dxa" w:w="120"/>
            </w:tcMar>
          </w:tcPr>
          <w:p>
            <w:pPr>
              <w:jc w:val="center"/>
            </w:pPr>
            <w:r>
              <w:rPr>
                <w:rFonts w:ascii="Arial" w:cs="Arial" w:eastAsia="Arial" w:hAnsi="Arial"/>
                <w:b/>
                <w:bCs/>
                <w:color w:val="FFFFFF"/>
                <w:sz w:val="19"/>
                <w:szCs w:val="19"/>
              </w:rPr>
              <w:t xml:space="preserve">Component</w:t>
            </w:r>
          </w:p>
        </w:tc>
        <w:tc>
          <w:tcPr>
            <w:tcW w:type="dxa" w:w="4560"/>
            <w:tcBorders>
              <w:top w:val="single" w:color="1F3864" w:sz="2"/>
              <w:left w:val="single" w:color="1F3864" w:sz="2"/>
              <w:bottom w:val="single" w:color="1F3864" w:sz="2"/>
              <w:right w:val="single" w:color="1F3864" w:sz="2"/>
            </w:tcBorders>
            <w:shd w:fill="1F3864" w:val="clear"/>
            <w:tcMar>
              <w:top w:type="dxa" w:w="80"/>
              <w:left w:type="dxa" w:w="120"/>
              <w:bottom w:type="dxa" w:w="80"/>
              <w:right w:type="dxa" w:w="120"/>
            </w:tcMar>
          </w:tcPr>
          <w:p>
            <w:pPr>
              <w:jc w:val="center"/>
            </w:pPr>
            <w:r>
              <w:rPr>
                <w:rFonts w:ascii="Arial" w:cs="Arial" w:eastAsia="Arial" w:hAnsi="Arial"/>
                <w:b/>
                <w:bCs/>
                <w:color w:val="FFFFFF"/>
                <w:sz w:val="19"/>
                <w:szCs w:val="19"/>
              </w:rPr>
              <w:t xml:space="preserve">Detail</w:t>
            </w:r>
          </w:p>
        </w:tc>
        <w:tc>
          <w:tcPr>
            <w:tcW w:type="dxa" w:w="2800"/>
            <w:tcBorders>
              <w:top w:val="single" w:color="1F3864" w:sz="2"/>
              <w:left w:val="single" w:color="1F3864" w:sz="2"/>
              <w:bottom w:val="single" w:color="1F3864" w:sz="2"/>
              <w:right w:val="single" w:color="1F3864" w:sz="2"/>
            </w:tcBorders>
            <w:shd w:fill="1F3864" w:val="clear"/>
            <w:tcMar>
              <w:top w:type="dxa" w:w="80"/>
              <w:left w:type="dxa" w:w="120"/>
              <w:bottom w:type="dxa" w:w="80"/>
              <w:right w:type="dxa" w:w="120"/>
            </w:tcMar>
          </w:tcPr>
          <w:p>
            <w:pPr>
              <w:jc w:val="center"/>
            </w:pPr>
            <w:r>
              <w:rPr>
                <w:rFonts w:ascii="Arial" w:cs="Arial" w:eastAsia="Arial" w:hAnsi="Arial"/>
                <w:b/>
                <w:bCs/>
                <w:color w:val="FFFFFF"/>
                <w:sz w:val="19"/>
                <w:szCs w:val="19"/>
              </w:rPr>
              <w:t xml:space="preserve">Done When</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P4-1</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Narrative update</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Gemini Flash prompt updated: calibrated P(fraud) + interval, top-3 signal module names, GNNExplainer subgraph summary (edge list + amounts). NO SHAP attributions. NO Llama 3.</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Narrative for IL&amp;FS includes P(fraud), interval, and module names. Zero LLM-generated numbers.</w:t>
            </w:r>
          </w:p>
        </w:tc>
      </w:tr>
      <w:tr>
        <w:tc>
          <w:tcPr>
            <w:tcW w:type="dxa" w:w="8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color w:val="000000"/>
                <w:sz w:val="18"/>
                <w:szCs w:val="18"/>
              </w:rPr>
              <w:t xml:space="preserve">P4-2</w:t>
            </w:r>
          </w:p>
        </w:tc>
        <w:tc>
          <w:tcPr>
            <w:tcW w:type="dxa" w:w="12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color w:val="000000"/>
                <w:sz w:val="18"/>
                <w:szCs w:val="18"/>
              </w:rPr>
              <w:t xml:space="preserve">E2E integration test</w:t>
            </w:r>
          </w:p>
        </w:tc>
        <w:tc>
          <w:tcPr>
            <w:tcW w:type="dxa" w:w="45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color w:val="000000"/>
                <w:sz w:val="18"/>
                <w:szCs w:val="18"/>
              </w:rPr>
              <w:t xml:space="preserve">Full pipeline on 1,000-report test set. Assert: AUC &gt; 0.96, F1 &gt; 0.90, inference &lt; 2s/report on 16GB RAM.</w:t>
            </w:r>
          </w:p>
        </w:tc>
        <w:tc>
          <w:tcPr>
            <w:tcW w:type="dxa" w:w="28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color w:val="000000"/>
                <w:sz w:val="18"/>
                <w:szCs w:val="18"/>
              </w:rPr>
              <w:t xml:space="preserve">All three assertions pass.</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P4-3</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Benchmark</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Compare vs baseline: F1, AUC, precision, recall, inference time. Reliability diagram.</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Improvement documented with numbers.</w:t>
            </w:r>
          </w:p>
        </w:tc>
      </w:tr>
      <w:tr>
        <w:tc>
          <w:tcPr>
            <w:tcW w:type="dxa" w:w="8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color w:val="000000"/>
                <w:sz w:val="18"/>
                <w:szCs w:val="18"/>
              </w:rPr>
              <w:t xml:space="preserve">P4-4</w:t>
            </w:r>
          </w:p>
        </w:tc>
        <w:tc>
          <w:tcPr>
            <w:tcW w:type="dxa" w:w="12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color w:val="000000"/>
                <w:sz w:val="18"/>
                <w:szCs w:val="18"/>
              </w:rPr>
              <w:t xml:space="preserve">Missing-modality stress test</w:t>
            </w:r>
          </w:p>
        </w:tc>
        <w:tc>
          <w:tcPr>
            <w:tcW w:type="dxa" w:w="45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color w:val="000000"/>
                <w:sz w:val="18"/>
                <w:szCs w:val="18"/>
              </w:rPr>
              <w:t xml:space="preserve">Re-run with (a) no sequence data (b) no graph data. Verify F1 stays above 0.85. mean imputation + stream_missing flag.</w:t>
            </w:r>
          </w:p>
        </w:tc>
        <w:tc>
          <w:tcPr>
            <w:tcW w:type="dxa" w:w="28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color w:val="000000"/>
                <w:sz w:val="18"/>
                <w:szCs w:val="18"/>
              </w:rPr>
              <w:t xml:space="preserve">F1 ≥ 0.85 in both degraded conditions.</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P4-5</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Conformal audit</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Verify 90% conformal intervals contain true label ≥90% of test cases. If not, refit MAPIE on larger calibration set.</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Empirical coverage ≥ 90% confirmed.</w:t>
            </w:r>
          </w:p>
        </w:tc>
      </w:tr>
    </w:tbl>
    <w:p>
      <w:pPr>
        <w:spacing w:after="60" w:before="60"/>
      </w:pPr>
      <w:r>
        <w:t xml:space="preserve"/>
      </w:r>
    </w:p>
    <w:p>
      <w:pPr>
        <w:pStyle w:val="Heading2"/>
        <w:spacing w:after="120" w:before="240"/>
      </w:pPr>
      <w:r>
        <w:rPr>
          <w:rFonts w:ascii="Arial" w:cs="Arial" w:eastAsia="Arial" w:hAnsi="Arial"/>
          <w:b/>
          <w:bCs/>
          <w:color w:val="2E4A7A"/>
          <w:sz w:val="26"/>
          <w:szCs w:val="26"/>
        </w:rPr>
        <w:t xml:space="preserve">9.1 Phase 4 Milestones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1400"/>
        <w:gridCol w:w="4560"/>
        <w:gridCol w:w="2600"/>
      </w:tblGrid>
      <w:tr>
        <w:tc>
          <w:tcPr>
            <w:tcW w:type="dxa" w:w="800"/>
            <w:tcBorders>
              <w:top w:val="single" w:color="1F3864" w:sz="2"/>
              <w:left w:val="single" w:color="1F3864" w:sz="2"/>
              <w:bottom w:val="single" w:color="1F3864" w:sz="2"/>
              <w:right w:val="single" w:color="1F3864" w:sz="2"/>
            </w:tcBorders>
            <w:shd w:fill="1F3864" w:val="clear"/>
            <w:tcMar>
              <w:top w:type="dxa" w:w="80"/>
              <w:left w:type="dxa" w:w="120"/>
              <w:bottom w:type="dxa" w:w="80"/>
              <w:right w:type="dxa" w:w="120"/>
            </w:tcMar>
          </w:tcPr>
          <w:p>
            <w:pPr>
              <w:jc w:val="center"/>
            </w:pPr>
            <w:r>
              <w:rPr>
                <w:rFonts w:ascii="Arial" w:cs="Arial" w:eastAsia="Arial" w:hAnsi="Arial"/>
                <w:b/>
                <w:bCs/>
                <w:color w:val="FFFFFF"/>
                <w:sz w:val="19"/>
                <w:szCs w:val="19"/>
              </w:rPr>
              <w:t xml:space="preserve">M#</w:t>
            </w:r>
          </w:p>
        </w:tc>
        <w:tc>
          <w:tcPr>
            <w:tcW w:type="dxa" w:w="1400"/>
            <w:tcBorders>
              <w:top w:val="single" w:color="1F3864" w:sz="2"/>
              <w:left w:val="single" w:color="1F3864" w:sz="2"/>
              <w:bottom w:val="single" w:color="1F3864" w:sz="2"/>
              <w:right w:val="single" w:color="1F3864" w:sz="2"/>
            </w:tcBorders>
            <w:shd w:fill="1F3864" w:val="clear"/>
            <w:tcMar>
              <w:top w:type="dxa" w:w="80"/>
              <w:left w:type="dxa" w:w="120"/>
              <w:bottom w:type="dxa" w:w="80"/>
              <w:right w:type="dxa" w:w="120"/>
            </w:tcMar>
          </w:tcPr>
          <w:p>
            <w:pPr>
              <w:jc w:val="center"/>
            </w:pPr>
            <w:r>
              <w:rPr>
                <w:rFonts w:ascii="Arial" w:cs="Arial" w:eastAsia="Arial" w:hAnsi="Arial"/>
                <w:b/>
                <w:bCs/>
                <w:color w:val="FFFFFF"/>
                <w:sz w:val="19"/>
                <w:szCs w:val="19"/>
              </w:rPr>
              <w:t xml:space="preserve">End of</w:t>
            </w:r>
          </w:p>
        </w:tc>
        <w:tc>
          <w:tcPr>
            <w:tcW w:type="dxa" w:w="4560"/>
            <w:tcBorders>
              <w:top w:val="single" w:color="1F3864" w:sz="2"/>
              <w:left w:val="single" w:color="1F3864" w:sz="2"/>
              <w:bottom w:val="single" w:color="1F3864" w:sz="2"/>
              <w:right w:val="single" w:color="1F3864" w:sz="2"/>
            </w:tcBorders>
            <w:shd w:fill="1F3864" w:val="clear"/>
            <w:tcMar>
              <w:top w:type="dxa" w:w="80"/>
              <w:left w:type="dxa" w:w="120"/>
              <w:bottom w:type="dxa" w:w="80"/>
              <w:right w:type="dxa" w:w="120"/>
            </w:tcMar>
          </w:tcPr>
          <w:p>
            <w:pPr>
              <w:jc w:val="center"/>
            </w:pPr>
            <w:r>
              <w:rPr>
                <w:rFonts w:ascii="Arial" w:cs="Arial" w:eastAsia="Arial" w:hAnsi="Arial"/>
                <w:b/>
                <w:bCs/>
                <w:color w:val="FFFFFF"/>
                <w:sz w:val="19"/>
                <w:szCs w:val="19"/>
              </w:rPr>
              <w:t xml:space="preserve">Success Criteria</w:t>
            </w:r>
          </w:p>
        </w:tc>
        <w:tc>
          <w:tcPr>
            <w:tcW w:type="dxa" w:w="2600"/>
            <w:tcBorders>
              <w:top w:val="single" w:color="1F3864" w:sz="2"/>
              <w:left w:val="single" w:color="1F3864" w:sz="2"/>
              <w:bottom w:val="single" w:color="1F3864" w:sz="2"/>
              <w:right w:val="single" w:color="1F3864" w:sz="2"/>
            </w:tcBorders>
            <w:shd w:fill="1F3864" w:val="clear"/>
            <w:tcMar>
              <w:top w:type="dxa" w:w="80"/>
              <w:left w:type="dxa" w:w="120"/>
              <w:bottom w:type="dxa" w:w="80"/>
              <w:right w:type="dxa" w:w="120"/>
            </w:tcMar>
          </w:tcPr>
          <w:p>
            <w:pPr>
              <w:jc w:val="center"/>
            </w:pPr>
            <w:r>
              <w:rPr>
                <w:rFonts w:ascii="Arial" w:cs="Arial" w:eastAsia="Arial" w:hAnsi="Arial"/>
                <w:b/>
                <w:bCs/>
                <w:color w:val="FFFFFF"/>
                <w:sz w:val="19"/>
                <w:szCs w:val="19"/>
              </w:rPr>
              <w:t xml:space="preserve">Test</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M1</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Phase 1 (Day 5)</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Static formula replaced. Calibrated P(fraud) verified. Reliability diagram correct.</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sklearn calibration_curve: mean predicted ≈ mean actual across bins.</w:t>
            </w:r>
          </w:p>
        </w:tc>
      </w:tr>
      <w:tr>
        <w:tc>
          <w:tcPr>
            <w:tcW w:type="dxa" w:w="8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color w:val="000000"/>
                <w:sz w:val="18"/>
                <w:szCs w:val="18"/>
              </w:rPr>
              <w:t xml:space="preserve">M2</w:t>
            </w:r>
          </w:p>
        </w:tc>
        <w:tc>
          <w:tcPr>
            <w:tcW w:type="dxa" w:w="14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color w:val="000000"/>
                <w:sz w:val="18"/>
                <w:szCs w:val="18"/>
              </w:rPr>
              <w:t xml:space="preserve">Phase 2 (Day 9)</w:t>
            </w:r>
          </w:p>
        </w:tc>
        <w:tc>
          <w:tcPr>
            <w:tcW w:type="dxa" w:w="45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color w:val="000000"/>
                <w:sz w:val="18"/>
                <w:szCs w:val="18"/>
              </w:rPr>
              <w:t xml:space="preserve">TGN AUC ≥ 0.93 on graph test set. GNNExplainer non-trivial edge masks.</w:t>
            </w:r>
          </w:p>
        </w:tc>
        <w:tc>
          <w:tcPr>
            <w:tcW w:type="dxa" w:w="26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color w:val="000000"/>
                <w:sz w:val="18"/>
                <w:szCs w:val="18"/>
              </w:rPr>
              <w:t xml:space="preserve">Inductive test: AUC should not drop &gt; 2pp on unseen entities.</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M3</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Phase 3 (Day 15)</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All 6 L1 detectors feeding OOF meta-learner. Each new detector adds signal.</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6-detector OOF AUC &gt; 5-detector AUC.</w:t>
            </w:r>
          </w:p>
        </w:tc>
      </w:tr>
      <w:tr>
        <w:tc>
          <w:tcPr>
            <w:tcW w:type="dxa" w:w="8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color w:val="000000"/>
                <w:sz w:val="18"/>
                <w:szCs w:val="18"/>
              </w:rPr>
              <w:t xml:space="preserve">M4</w:t>
            </w:r>
          </w:p>
        </w:tc>
        <w:tc>
          <w:tcPr>
            <w:tcW w:type="dxa" w:w="14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color w:val="000000"/>
                <w:sz w:val="18"/>
                <w:szCs w:val="18"/>
              </w:rPr>
              <w:t xml:space="preserve">Phase 4 (Day 20)</w:t>
            </w:r>
          </w:p>
        </w:tc>
        <w:tc>
          <w:tcPr>
            <w:tcW w:type="dxa" w:w="45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color w:val="000000"/>
                <w:sz w:val="18"/>
                <w:szCs w:val="18"/>
              </w:rPr>
              <w:t xml:space="preserve">Full pipeline: AUC ≥ 0.96, F1 ≥ 0.91, inference &lt; 2s/report, conformal 90% coverage verified.</w:t>
            </w:r>
          </w:p>
        </w:tc>
        <w:tc>
          <w:tcPr>
            <w:tcW w:type="dxa" w:w="26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color w:val="000000"/>
                <w:sz w:val="18"/>
                <w:szCs w:val="18"/>
              </w:rPr>
              <w:t xml:space="preserve">Missing-modality: F1 ≥ 0.85 with sequence absent. Conformal audit ≥ 90%.</w:t>
            </w:r>
          </w:p>
        </w:tc>
      </w:tr>
    </w:tbl>
    <w:p>
      <w:pPr>
        <w:spacing w:after="60" w:before="60"/>
      </w:pPr>
      <w:r>
        <w:t xml:space="preserve"/>
      </w:r>
    </w:p>
    <w:p>
      <w:r>
        <w:br w:type="page"/>
      </w:r>
    </w:p>
    <w:p>
      <w:pPr>
        <w:pStyle w:val="Heading1"/>
        <w:spacing w:after="160" w:before="320"/>
      </w:pPr>
      <w:r>
        <w:rPr>
          <w:rFonts w:ascii="Arial" w:cs="Arial" w:eastAsia="Arial" w:hAnsi="Arial"/>
          <w:b/>
          <w:bCs/>
          <w:color w:val="1F3864"/>
          <w:sz w:val="34"/>
          <w:szCs w:val="34"/>
        </w:rPr>
        <w:t xml:space="preserve">10. 30-Day Overall Build Plan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FF3CD" w:val="clear"/>
            <w:tcMar>
              <w:top w:type="dxa" w:w="80"/>
              <w:left w:type="dxa" w:w="120"/>
              <w:bottom w:type="dxa" w:w="80"/>
              <w:right w:type="dxa" w:w="120"/>
            </w:tcMar>
          </w:tcPr>
          <w:p>
            <w:r>
              <w:rPr>
                <w:rFonts w:ascii="Arial" w:cs="Arial" w:eastAsia="Arial" w:hAnsi="Arial"/>
                <w:sz w:val="17"/>
                <w:szCs w:val="17"/>
              </w:rPr>
              <w:t xml:space="preserve">The ML Phase plan (Section 9) runs in parallel with this overall plan. ML phases 1–4 map to Weeks 1–4 respectively. Expo mobile app removed — Days 22–23 reallocated to additional detection modules and ML integration.</w:t>
            </w:r>
          </w:p>
        </w:tc>
      </w:tr>
    </w:tbl>
    <w:p>
      <w:pPr>
        <w:spacing w:after="60" w:before="60"/>
      </w:pPr>
      <w:r>
        <w:t xml:space="preserve"/>
      </w:r>
    </w:p>
    <w:p>
      <w:pPr>
        <w:pStyle w:val="Heading2"/>
        <w:spacing w:after="120" w:before="240"/>
      </w:pPr>
      <w:r>
        <w:rPr>
          <w:rFonts w:ascii="Arial" w:cs="Arial" w:eastAsia="Arial" w:hAnsi="Arial"/>
          <w:b/>
          <w:bCs/>
          <w:color w:val="2E4A7A"/>
          <w:sz w:val="26"/>
          <w:szCs w:val="26"/>
        </w:rPr>
        <w:t xml:space="preserve">Week 1 — Foundation (Days 1–7)</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
        <w:gridCol w:w="3800"/>
        <w:gridCol w:w="4840"/>
      </w:tblGrid>
      <w:tr>
        <w:tc>
          <w:tcPr>
            <w:tcW w:type="dxa" w:w="720"/>
            <w:tcBorders>
              <w:top w:val="single" w:color="1F3864" w:sz="2"/>
              <w:left w:val="single" w:color="1F3864" w:sz="2"/>
              <w:bottom w:val="single" w:color="1F3864" w:sz="2"/>
              <w:right w:val="single" w:color="1F3864" w:sz="2"/>
            </w:tcBorders>
            <w:shd w:fill="1F3864" w:val="clear"/>
            <w:tcMar>
              <w:top w:type="dxa" w:w="80"/>
              <w:left w:type="dxa" w:w="120"/>
              <w:bottom w:type="dxa" w:w="80"/>
              <w:right w:type="dxa" w:w="120"/>
            </w:tcMar>
          </w:tcPr>
          <w:p>
            <w:pPr>
              <w:jc w:val="center"/>
            </w:pPr>
            <w:r>
              <w:rPr>
                <w:rFonts w:ascii="Arial" w:cs="Arial" w:eastAsia="Arial" w:hAnsi="Arial"/>
                <w:b/>
                <w:bCs/>
                <w:color w:val="FFFFFF"/>
                <w:sz w:val="19"/>
                <w:szCs w:val="19"/>
              </w:rPr>
              <w:t xml:space="preserve">Day</w:t>
            </w:r>
          </w:p>
        </w:tc>
        <w:tc>
          <w:tcPr>
            <w:tcW w:type="dxa" w:w="3800"/>
            <w:tcBorders>
              <w:top w:val="single" w:color="1F3864" w:sz="2"/>
              <w:left w:val="single" w:color="1F3864" w:sz="2"/>
              <w:bottom w:val="single" w:color="1F3864" w:sz="2"/>
              <w:right w:val="single" w:color="1F3864" w:sz="2"/>
            </w:tcBorders>
            <w:shd w:fill="1F3864" w:val="clear"/>
            <w:tcMar>
              <w:top w:type="dxa" w:w="80"/>
              <w:left w:type="dxa" w:w="120"/>
              <w:bottom w:type="dxa" w:w="80"/>
              <w:right w:type="dxa" w:w="120"/>
            </w:tcMar>
          </w:tcPr>
          <w:p>
            <w:pPr>
              <w:jc w:val="center"/>
            </w:pPr>
            <w:r>
              <w:rPr>
                <w:rFonts w:ascii="Arial" w:cs="Arial" w:eastAsia="Arial" w:hAnsi="Arial"/>
                <w:b/>
                <w:bCs/>
                <w:color w:val="FFFFFF"/>
                <w:sz w:val="19"/>
                <w:szCs w:val="19"/>
              </w:rPr>
              <w:t xml:space="preserve">Task</w:t>
            </w:r>
          </w:p>
        </w:tc>
        <w:tc>
          <w:tcPr>
            <w:tcW w:type="dxa" w:w="4840"/>
            <w:tcBorders>
              <w:top w:val="single" w:color="1F3864" w:sz="2"/>
              <w:left w:val="single" w:color="1F3864" w:sz="2"/>
              <w:bottom w:val="single" w:color="1F3864" w:sz="2"/>
              <w:right w:val="single" w:color="1F3864" w:sz="2"/>
            </w:tcBorders>
            <w:shd w:fill="1F3864" w:val="clear"/>
            <w:tcMar>
              <w:top w:type="dxa" w:w="80"/>
              <w:left w:type="dxa" w:w="120"/>
              <w:bottom w:type="dxa" w:w="80"/>
              <w:right w:type="dxa" w:w="120"/>
            </w:tcMar>
          </w:tcPr>
          <w:p>
            <w:pPr>
              <w:jc w:val="center"/>
            </w:pPr>
            <w:r>
              <w:rPr>
                <w:rFonts w:ascii="Arial" w:cs="Arial" w:eastAsia="Arial" w:hAnsi="Arial"/>
                <w:b/>
                <w:bCs/>
                <w:color w:val="FFFFFF"/>
                <w:sz w:val="19"/>
                <w:szCs w:val="19"/>
              </w:rPr>
              <w:t xml:space="preserve">Done When</w:t>
            </w:r>
          </w:p>
        </w:tc>
      </w:tr>
      <w:tr>
        <w:tc>
          <w:tcPr>
            <w:tcW w:type="dxa" w:w="7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1</w:t>
            </w:r>
          </w:p>
        </w:tc>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Monorepo setup. Fly.io FastAPI. Railway Neo4j Docker + GDS. Vercel React. All env vars in .env.local only.</w:t>
            </w:r>
          </w:p>
        </w:tc>
        <w:tc>
          <w:tcPr>
            <w:tcW w:type="dxa" w:w="48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All services start. RETURN gds.version() works in Neo4j Browser.</w:t>
            </w:r>
          </w:p>
        </w:tc>
      </w:tr>
      <w:tr>
        <w:tc>
          <w:tcPr>
            <w:tcW w:type="dxa" w:w="72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color w:val="000000"/>
                <w:sz w:val="18"/>
                <w:szCs w:val="18"/>
              </w:rPr>
              <w:t xml:space="preserve">2</w:t>
            </w:r>
          </w:p>
        </w:tc>
        <w:tc>
          <w:tcPr>
            <w:tcW w:type="dxa" w:w="38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color w:val="000000"/>
                <w:sz w:val="18"/>
                <w:szCs w:val="18"/>
              </w:rPr>
              <w:t xml:space="preserve">Neo4j schema: all constraints, indexes, node labels, relationships from Section 3. JWT auth (python-jose). FastAPI-Users auth endpoints.</w:t>
            </w:r>
          </w:p>
        </w:tc>
        <w:tc>
          <w:tcPr>
            <w:tcW w:type="dxa" w:w="484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color w:val="000000"/>
                <w:sz w:val="18"/>
                <w:szCs w:val="18"/>
              </w:rPr>
              <w:t xml:space="preserve">Auth endpoints work. Schema constraints enforced.</w:t>
            </w:r>
          </w:p>
        </w:tc>
      </w:tr>
      <w:tr>
        <w:tc>
          <w:tcPr>
            <w:tcW w:type="dxa" w:w="7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3</w:t>
            </w:r>
          </w:p>
        </w:tc>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MCA21 API client + CERSAI scraper. Python validation layer. DataQualityError nodes on failure. DataCompletenessScore computed per company. L0.5 graph feature extraction (NetworkX — ML Phase 1-1).</w:t>
            </w:r>
          </w:p>
        </w:tc>
        <w:tc>
          <w:tcPr>
            <w:tcW w:type="dxa" w:w="48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10 companies fetched, validated, written to Neo4j with DataConfidence % set.</w:t>
            </w:r>
          </w:p>
        </w:tc>
      </w:tr>
      <w:tr>
        <w:tc>
          <w:tcPr>
            <w:tcW w:type="dxa" w:w="72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color w:val="000000"/>
                <w:sz w:val="18"/>
                <w:szCs w:val="18"/>
              </w:rPr>
              <w:t xml:space="preserve">4</w:t>
            </w:r>
          </w:p>
        </w:tc>
        <w:tc>
          <w:tcPr>
            <w:tcW w:type="dxa" w:w="38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color w:val="000000"/>
                <w:sz w:val="18"/>
                <w:szCs w:val="18"/>
              </w:rPr>
              <w:t xml:space="preserve">BSE SME API for benchmarks. pdfplumber + camelot PDF parser baseline. SharedAttribute hypergraph node logic. GSTEntity nodes + GSTIN scraper (Extension A).</w:t>
            </w:r>
          </w:p>
        </w:tc>
        <w:tc>
          <w:tcPr>
            <w:tcW w:type="dxa" w:w="484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color w:val="000000"/>
                <w:sz w:val="18"/>
                <w:szCs w:val="18"/>
              </w:rPr>
              <w:t xml:space="preserve">10 PDFs parsed. SharedAttribute nodes created. GSTIN registration data populated.</w:t>
            </w:r>
          </w:p>
        </w:tc>
      </w:tr>
      <w:tr>
        <w:tc>
          <w:tcPr>
            <w:tcW w:type="dxa" w:w="7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5</w:t>
            </w:r>
          </w:p>
        </w:tc>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NCLT scraper. RBI wilful defaulter list scraper. LoanDisbursement nodes from CERSAI (Extension B). LOF on graph features (ML Phase 1-2). OOF pipeline + LightGBM meta-learner (ML Phase 1-3 to 1-6).</w:t>
            </w:r>
          </w:p>
        </w:tc>
        <w:tc>
          <w:tcPr>
            <w:tcW w:type="dxa" w:w="48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NCLT nodes written. LOF scores without error. Static formula replaced by LightGBM. Calibration live.</w:t>
            </w:r>
          </w:p>
        </w:tc>
      </w:tr>
      <w:tr>
        <w:tc>
          <w:tcPr>
            <w:tcW w:type="dxa" w:w="72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color w:val="000000"/>
                <w:sz w:val="18"/>
                <w:szCs w:val="18"/>
              </w:rPr>
              <w:t xml:space="preserve">6</w:t>
            </w:r>
          </w:p>
        </w:tc>
        <w:tc>
          <w:tcPr>
            <w:tcW w:type="dxa" w:w="38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color w:val="000000"/>
                <w:sz w:val="18"/>
                <w:szCs w:val="18"/>
              </w:rPr>
              <w:t xml:space="preserve">IL&amp;FS seed data: hand-code FY2014-18 from SFIO report into static JSON. Seed script repopulates all Neo4j nodes/edges in &lt;60 seconds. DHFL + synthetic ITC ring seed data.</w:t>
            </w:r>
          </w:p>
        </w:tc>
        <w:tc>
          <w:tcPr>
            <w:tcW w:type="dxa" w:w="484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color w:val="000000"/>
                <w:sz w:val="18"/>
                <w:szCs w:val="18"/>
              </w:rPr>
              <w:t xml:space="preserve">IL&amp;FS loads clean &lt;60s. DHFL evergreening graph visible. ITC 7-node ring renders.</w:t>
            </w:r>
          </w:p>
        </w:tc>
      </w:tr>
      <w:tr>
        <w:tc>
          <w:tcPr>
            <w:tcW w:type="dxa" w:w="7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7</w:t>
            </w:r>
          </w:p>
        </w:tc>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Pre-cache run: 200 companies. Fix parser edge cases. DataCompletenessScore for all 200. TGN model build start (ML Phase 2-1).</w:t>
            </w:r>
          </w:p>
        </w:tc>
        <w:tc>
          <w:tcPr>
            <w:tcW w:type="dxa" w:w="48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200 companies in Neo4j with DataConfidence %. TGN trains without error.</w:t>
            </w:r>
          </w:p>
        </w:tc>
      </w:tr>
    </w:tbl>
    <w:p>
      <w:pPr>
        <w:spacing w:after="60" w:before="60"/>
      </w:pPr>
      <w:r>
        <w:t xml:space="preserve"/>
      </w:r>
    </w:p>
    <w:p>
      <w:pPr>
        <w:pStyle w:val="Heading2"/>
        <w:spacing w:after="120" w:before="240"/>
      </w:pPr>
      <w:r>
        <w:rPr>
          <w:rFonts w:ascii="Arial" w:cs="Arial" w:eastAsia="Arial" w:hAnsi="Arial"/>
          <w:b/>
          <w:bCs/>
          <w:color w:val="2E4A7A"/>
          <w:sz w:val="26"/>
          <w:szCs w:val="26"/>
        </w:rPr>
        <w:t xml:space="preserve">Week 2 — Detection Engine (Days 8–14)</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
        <w:gridCol w:w="3800"/>
        <w:gridCol w:w="4840"/>
      </w:tblGrid>
      <w:tr>
        <w:tc>
          <w:tcPr>
            <w:tcW w:type="dxa" w:w="720"/>
            <w:tcBorders>
              <w:top w:val="single" w:color="1F3864" w:sz="2"/>
              <w:left w:val="single" w:color="1F3864" w:sz="2"/>
              <w:bottom w:val="single" w:color="1F3864" w:sz="2"/>
              <w:right w:val="single" w:color="1F3864" w:sz="2"/>
            </w:tcBorders>
            <w:shd w:fill="1F3864" w:val="clear"/>
            <w:tcMar>
              <w:top w:type="dxa" w:w="80"/>
              <w:left w:type="dxa" w:w="120"/>
              <w:bottom w:type="dxa" w:w="80"/>
              <w:right w:type="dxa" w:w="120"/>
            </w:tcMar>
          </w:tcPr>
          <w:p>
            <w:pPr>
              <w:jc w:val="center"/>
            </w:pPr>
            <w:r>
              <w:rPr>
                <w:rFonts w:ascii="Arial" w:cs="Arial" w:eastAsia="Arial" w:hAnsi="Arial"/>
                <w:b/>
                <w:bCs/>
                <w:color w:val="FFFFFF"/>
                <w:sz w:val="19"/>
                <w:szCs w:val="19"/>
              </w:rPr>
              <w:t xml:space="preserve">Day</w:t>
            </w:r>
          </w:p>
        </w:tc>
        <w:tc>
          <w:tcPr>
            <w:tcW w:type="dxa" w:w="3800"/>
            <w:tcBorders>
              <w:top w:val="single" w:color="1F3864" w:sz="2"/>
              <w:left w:val="single" w:color="1F3864" w:sz="2"/>
              <w:bottom w:val="single" w:color="1F3864" w:sz="2"/>
              <w:right w:val="single" w:color="1F3864" w:sz="2"/>
            </w:tcBorders>
            <w:shd w:fill="1F3864" w:val="clear"/>
            <w:tcMar>
              <w:top w:type="dxa" w:w="80"/>
              <w:left w:type="dxa" w:w="120"/>
              <w:bottom w:type="dxa" w:w="80"/>
              <w:right w:type="dxa" w:w="120"/>
            </w:tcMar>
          </w:tcPr>
          <w:p>
            <w:pPr>
              <w:jc w:val="center"/>
            </w:pPr>
            <w:r>
              <w:rPr>
                <w:rFonts w:ascii="Arial" w:cs="Arial" w:eastAsia="Arial" w:hAnsi="Arial"/>
                <w:b/>
                <w:bCs/>
                <w:color w:val="FFFFFF"/>
                <w:sz w:val="19"/>
                <w:szCs w:val="19"/>
              </w:rPr>
              <w:t xml:space="preserve">Task</w:t>
            </w:r>
          </w:p>
        </w:tc>
        <w:tc>
          <w:tcPr>
            <w:tcW w:type="dxa" w:w="4840"/>
            <w:tcBorders>
              <w:top w:val="single" w:color="1F3864" w:sz="2"/>
              <w:left w:val="single" w:color="1F3864" w:sz="2"/>
              <w:bottom w:val="single" w:color="1F3864" w:sz="2"/>
              <w:right w:val="single" w:color="1F3864" w:sz="2"/>
            </w:tcBorders>
            <w:shd w:fill="1F3864" w:val="clear"/>
            <w:tcMar>
              <w:top w:type="dxa" w:w="80"/>
              <w:left w:type="dxa" w:w="120"/>
              <w:bottom w:type="dxa" w:w="80"/>
              <w:right w:type="dxa" w:w="120"/>
            </w:tcMar>
          </w:tcPr>
          <w:p>
            <w:pPr>
              <w:jc w:val="center"/>
            </w:pPr>
            <w:r>
              <w:rPr>
                <w:rFonts w:ascii="Arial" w:cs="Arial" w:eastAsia="Arial" w:hAnsi="Arial"/>
                <w:b/>
                <w:bCs/>
                <w:color w:val="FFFFFF"/>
                <w:sz w:val="19"/>
                <w:szCs w:val="19"/>
              </w:rPr>
              <w:t xml:space="preserve">Done When</w:t>
            </w:r>
          </w:p>
        </w:tc>
      </w:tr>
      <w:tr>
        <w:tc>
          <w:tcPr>
            <w:tcW w:type="dxa" w:w="7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8</w:t>
            </w:r>
          </w:p>
        </w:tc>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Module 1 (Beneish). Module 2 (Cross-Statement — 7 checks with specific evidence strings). TGN data pipeline (ML Phase 2-2).</w:t>
            </w:r>
          </w:p>
        </w:tc>
        <w:tc>
          <w:tcPr>
            <w:tcW w:type="dxa" w:w="48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IL&amp;FS passes Beneish threshold. All 7 cross-statement checks fire with exact numbers.</w:t>
            </w:r>
          </w:p>
        </w:tc>
      </w:tr>
      <w:tr>
        <w:tc>
          <w:tcPr>
            <w:tcW w:type="dxa" w:w="72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color w:val="000000"/>
                <w:sz w:val="18"/>
                <w:szCs w:val="18"/>
              </w:rPr>
              <w:t xml:space="preserve">9</w:t>
            </w:r>
          </w:p>
        </w:tc>
        <w:tc>
          <w:tcPr>
            <w:tcW w:type="dxa" w:w="38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color w:val="000000"/>
                <w:sz w:val="18"/>
                <w:szCs w:val="18"/>
              </w:rPr>
              <w:t xml:space="preserve">Module 3 (Benford). Module 4 core: all 7 SME Cypher patterns + ITC patterns 8–12 + Evergreening patterns 13–17. FraudSignal nodes written. OOF retrain with D3 TGN (ML Phase 2-3). GNNExplainer (ML Phase 2-4).</w:t>
            </w:r>
          </w:p>
        </w:tc>
        <w:tc>
          <w:tcPr>
            <w:tcW w:type="dxa" w:w="484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color w:val="000000"/>
                <w:sz w:val="18"/>
                <w:szCs w:val="18"/>
              </w:rPr>
              <w:t xml:space="preserve">All 17 patterns run. SCC finds rings on synthetic data. GNNExplainer non-trivial edge masks.</w:t>
            </w:r>
          </w:p>
        </w:tc>
      </w:tr>
      <w:tr>
        <w:tc>
          <w:tcPr>
            <w:tcW w:type="dxa" w:w="7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10</w:t>
            </w:r>
          </w:p>
        </w:tc>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Module 5 (Peer). Module 6 (Temporal — all 8 signals). Module 7 (Auditor NLP). Mamba data pipeline start (ML Phase 3-1).</w:t>
            </w:r>
          </w:p>
        </w:tc>
        <w:tc>
          <w:tcPr>
            <w:tcW w:type="dxa" w:w="48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Peer z-scores for 5 test companies. Temporal signals fire on IL&amp;FS. Auditor NLP flags going concern.</w:t>
            </w:r>
          </w:p>
        </w:tc>
      </w:tr>
      <w:tr>
        <w:tc>
          <w:tcPr>
            <w:tcW w:type="dxa" w:w="72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color w:val="000000"/>
                <w:sz w:val="18"/>
                <w:szCs w:val="18"/>
              </w:rPr>
              <w:t xml:space="preserve">11</w:t>
            </w:r>
          </w:p>
        </w:tc>
        <w:tc>
          <w:tcPr>
            <w:tcW w:type="dxa" w:w="38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color w:val="000000"/>
                <w:sz w:val="18"/>
                <w:szCs w:val="18"/>
              </w:rPr>
              <w:t xml:space="preserve">Module 8 (Document Forensics). Module 9 (NCLT/Defaulter). Module 10 (Hypergraph). Module 11 (Isolation Forest + LOF). Mamba SSM model (ML Phase 3-2).</w:t>
            </w:r>
          </w:p>
        </w:tc>
        <w:tc>
          <w:tcPr>
            <w:tcW w:type="dxa" w:w="484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color w:val="000000"/>
                <w:sz w:val="18"/>
                <w:szCs w:val="18"/>
              </w:rPr>
              <w:t xml:space="preserve">Document forensics flags Word-generated PDF. Module 10 clusters 5 companies by shared address. Both anomaly detectors scoring.</w:t>
            </w:r>
          </w:p>
        </w:tc>
      </w:tr>
      <w:tr>
        <w:tc>
          <w:tcPr>
            <w:tcW w:type="dxa" w:w="7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12</w:t>
            </w:r>
          </w:p>
        </w:tc>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SFIO training data extraction: run all modules on 14 confirmed cases. Combined AE data prep + model (ML Phases 3-3, 3-4). Belief propagation Cypher traversal.</w:t>
            </w:r>
          </w:p>
        </w:tc>
        <w:tc>
          <w:tcPr>
            <w:tcW w:type="dxa" w:w="48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Labeled dataset ~960 entity-years saved. Combined AE produces higher scores for fraud cases.</w:t>
            </w:r>
          </w:p>
        </w:tc>
      </w:tr>
      <w:tr>
        <w:tc>
          <w:tcPr>
            <w:tcW w:type="dxa" w:w="72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color w:val="000000"/>
                <w:sz w:val="18"/>
                <w:szCs w:val="18"/>
              </w:rPr>
              <w:t xml:space="preserve">13</w:t>
            </w:r>
          </w:p>
        </w:tc>
        <w:tc>
          <w:tcPr>
            <w:tcW w:type="dxa" w:w="38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color w:val="000000"/>
                <w:sz w:val="18"/>
                <w:szCs w:val="18"/>
              </w:rPr>
              <w:t xml:space="preserve">Full 6-detector OOF retrain with D5 + D6 (ML Phase 3-5). Evidence provenance Cypher traversal: given CIN → return all FraudSignal nodes with TRIGGERED_BY chain.</w:t>
            </w:r>
          </w:p>
        </w:tc>
        <w:tc>
          <w:tcPr>
            <w:tcW w:type="dxa" w:w="484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color w:val="000000"/>
                <w:sz w:val="18"/>
                <w:szCs w:val="18"/>
              </w:rPr>
              <w:t xml:space="preserve">6-detector OOF AUC &gt; 5-detector AUC. Provenance chain returns correct output for IL&amp;FS.</w:t>
            </w:r>
          </w:p>
        </w:tc>
      </w:tr>
      <w:tr>
        <w:tc>
          <w:tcPr>
            <w:tcW w:type="dxa" w:w="7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14</w:t>
            </w:r>
          </w:p>
        </w:tc>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XGBoost replaced by LightGBM confirmed. Ensemble disagreement flag logic. Missing-modality stress test (ML Phase 4-4). DataQualityError nodes fully integrated.</w:t>
            </w:r>
          </w:p>
        </w:tc>
        <w:tc>
          <w:tcPr>
            <w:tcW w:type="dxa" w:w="48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F1 ≥ 0.85 with sequence absent. Ensemble disagreement fires when modules diverge &gt;30 pts.</w:t>
            </w:r>
          </w:p>
        </w:tc>
      </w:tr>
    </w:tbl>
    <w:p>
      <w:pPr>
        <w:spacing w:after="60" w:before="60"/>
      </w:pPr>
      <w:r>
        <w:t xml:space="preserve"/>
      </w:r>
    </w:p>
    <w:p>
      <w:pPr>
        <w:pStyle w:val="Heading2"/>
        <w:spacing w:after="120" w:before="240"/>
      </w:pPr>
      <w:r>
        <w:rPr>
          <w:rFonts w:ascii="Arial" w:cs="Arial" w:eastAsia="Arial" w:hAnsi="Arial"/>
          <w:b/>
          <w:bCs/>
          <w:color w:val="2E4A7A"/>
          <w:sz w:val="26"/>
          <w:szCs w:val="26"/>
        </w:rPr>
        <w:t xml:space="preserve">Week 3 — Integration + Interface (Days 15–21)</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
        <w:gridCol w:w="3800"/>
        <w:gridCol w:w="4840"/>
      </w:tblGrid>
      <w:tr>
        <w:tc>
          <w:tcPr>
            <w:tcW w:type="dxa" w:w="720"/>
            <w:tcBorders>
              <w:top w:val="single" w:color="1F3864" w:sz="2"/>
              <w:left w:val="single" w:color="1F3864" w:sz="2"/>
              <w:bottom w:val="single" w:color="1F3864" w:sz="2"/>
              <w:right w:val="single" w:color="1F3864" w:sz="2"/>
            </w:tcBorders>
            <w:shd w:fill="1F3864" w:val="clear"/>
            <w:tcMar>
              <w:top w:type="dxa" w:w="80"/>
              <w:left w:type="dxa" w:w="120"/>
              <w:bottom w:type="dxa" w:w="80"/>
              <w:right w:type="dxa" w:w="120"/>
            </w:tcMar>
          </w:tcPr>
          <w:p>
            <w:pPr>
              <w:jc w:val="center"/>
            </w:pPr>
            <w:r>
              <w:rPr>
                <w:rFonts w:ascii="Arial" w:cs="Arial" w:eastAsia="Arial" w:hAnsi="Arial"/>
                <w:b/>
                <w:bCs/>
                <w:color w:val="FFFFFF"/>
                <w:sz w:val="19"/>
                <w:szCs w:val="19"/>
              </w:rPr>
              <w:t xml:space="preserve">Day</w:t>
            </w:r>
          </w:p>
        </w:tc>
        <w:tc>
          <w:tcPr>
            <w:tcW w:type="dxa" w:w="3800"/>
            <w:tcBorders>
              <w:top w:val="single" w:color="1F3864" w:sz="2"/>
              <w:left w:val="single" w:color="1F3864" w:sz="2"/>
              <w:bottom w:val="single" w:color="1F3864" w:sz="2"/>
              <w:right w:val="single" w:color="1F3864" w:sz="2"/>
            </w:tcBorders>
            <w:shd w:fill="1F3864" w:val="clear"/>
            <w:tcMar>
              <w:top w:type="dxa" w:w="80"/>
              <w:left w:type="dxa" w:w="120"/>
              <w:bottom w:type="dxa" w:w="80"/>
              <w:right w:type="dxa" w:w="120"/>
            </w:tcMar>
          </w:tcPr>
          <w:p>
            <w:pPr>
              <w:jc w:val="center"/>
            </w:pPr>
            <w:r>
              <w:rPr>
                <w:rFonts w:ascii="Arial" w:cs="Arial" w:eastAsia="Arial" w:hAnsi="Arial"/>
                <w:b/>
                <w:bCs/>
                <w:color w:val="FFFFFF"/>
                <w:sz w:val="19"/>
                <w:szCs w:val="19"/>
              </w:rPr>
              <w:t xml:space="preserve">Task</w:t>
            </w:r>
          </w:p>
        </w:tc>
        <w:tc>
          <w:tcPr>
            <w:tcW w:type="dxa" w:w="4840"/>
            <w:tcBorders>
              <w:top w:val="single" w:color="1F3864" w:sz="2"/>
              <w:left w:val="single" w:color="1F3864" w:sz="2"/>
              <w:bottom w:val="single" w:color="1F3864" w:sz="2"/>
              <w:right w:val="single" w:color="1F3864" w:sz="2"/>
            </w:tcBorders>
            <w:shd w:fill="1F3864" w:val="clear"/>
            <w:tcMar>
              <w:top w:type="dxa" w:w="80"/>
              <w:left w:type="dxa" w:w="120"/>
              <w:bottom w:type="dxa" w:w="80"/>
              <w:right w:type="dxa" w:w="120"/>
            </w:tcMar>
          </w:tcPr>
          <w:p>
            <w:pPr>
              <w:jc w:val="center"/>
            </w:pPr>
            <w:r>
              <w:rPr>
                <w:rFonts w:ascii="Arial" w:cs="Arial" w:eastAsia="Arial" w:hAnsi="Arial"/>
                <w:b/>
                <w:bCs/>
                <w:color w:val="FFFFFF"/>
                <w:sz w:val="19"/>
                <w:szCs w:val="19"/>
              </w:rPr>
              <w:t xml:space="preserve">Done When</w:t>
            </w:r>
          </w:p>
        </w:tc>
      </w:tr>
      <w:tr>
        <w:tc>
          <w:tcPr>
            <w:tcW w:type="dxa" w:w="7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15</w:t>
            </w:r>
          </w:p>
        </w:tc>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RiskScorer: orchestrate all 11 modules via asyncio.gather(). Dual output: FraudRiskScore + DataConfidence + p_fraud_calibrated + p_fraud_interval. Override rules. ML Phase 4-1 Gemini Flash prompt update.</w:t>
            </w:r>
          </w:p>
        </w:tc>
        <w:tc>
          <w:tcPr>
            <w:tcW w:type="dxa" w:w="48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/api/analyse/{cin} returns all 6 output fields in &lt;5s. Narrative has zero LLM-generated numbers.</w:t>
            </w:r>
          </w:p>
        </w:tc>
      </w:tr>
      <w:tr>
        <w:tc>
          <w:tcPr>
            <w:tcW w:type="dxa" w:w="72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color w:val="000000"/>
                <w:sz w:val="18"/>
                <w:szCs w:val="18"/>
              </w:rPr>
              <w:t xml:space="preserve">16</w:t>
            </w:r>
          </w:p>
        </w:tc>
        <w:tc>
          <w:tcPr>
            <w:tcW w:type="dxa" w:w="38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color w:val="000000"/>
                <w:sz w:val="18"/>
                <w:szCs w:val="18"/>
              </w:rPr>
              <w:t xml:space="preserve">Belief propagation: CRITICAL → traverse → write CONNECTED_TO_CRITICAL edges. Upload endpoints: POST /upload/gst, /upload/bank (SBI/HDFC/ICICI/Axis/Kotak), /upload/financials. Override audit log middleware.</w:t>
            </w:r>
          </w:p>
        </w:tc>
        <w:tc>
          <w:tcPr>
            <w:tcW w:type="dxa" w:w="484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color w:val="000000"/>
                <w:sz w:val="18"/>
                <w:szCs w:val="18"/>
              </w:rPr>
              <w:t xml:space="preserve">CONNECTED_TO_CRITICAL edges visible in Neo4j for IL&amp;FS. All 5 bank formats parse.</w:t>
            </w:r>
          </w:p>
        </w:tc>
      </w:tr>
      <w:tr>
        <w:tc>
          <w:tcPr>
            <w:tcW w:type="dxa" w:w="7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17</w:t>
            </w:r>
          </w:p>
        </w:tc>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Pre-cache final run: 1,000 companies. LoanDisbursement and LoanRepayment nodes from CERSAI + bank uploads. Demo seed finalised (IL&amp;FS + DHFL + ITC ring). ML Phase 4-2 E2E test.</w:t>
            </w:r>
          </w:p>
        </w:tc>
        <w:tc>
          <w:tcPr>
            <w:tcW w:type="dxa" w:w="48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1,000 companies in Neo4j. Demo seed runs &lt;60s. AUC &gt; 0.96, F1 &gt; 0.90, inference &lt; 2s.</w:t>
            </w:r>
          </w:p>
        </w:tc>
      </w:tr>
      <w:tr>
        <w:tc>
          <w:tcPr>
            <w:tcW w:type="dxa" w:w="72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color w:val="000000"/>
                <w:sz w:val="18"/>
                <w:szCs w:val="18"/>
              </w:rPr>
              <w:t xml:space="preserve">18</w:t>
            </w:r>
          </w:p>
        </w:tc>
        <w:tc>
          <w:tcPr>
            <w:tcW w:type="dxa" w:w="38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color w:val="000000"/>
                <w:sz w:val="18"/>
                <w:szCs w:val="18"/>
              </w:rPr>
              <w:t xml:space="preserve">React: Company Search, Analysis Dashboard (all 6 output fields displayed, 11 module bars, risk band, ensemble disagreement flag, full evidence list with specific numbers), NCLT/Defaulter Panel.</w:t>
            </w:r>
          </w:p>
        </w:tc>
        <w:tc>
          <w:tcPr>
            <w:tcW w:type="dxa" w:w="484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color w:val="000000"/>
                <w:sz w:val="18"/>
                <w:szCs w:val="18"/>
              </w:rPr>
              <w:t xml:space="preserve">Search IL&amp;FS CIN → run analysis → view all scores → view NCLT panel.</w:t>
            </w:r>
          </w:p>
        </w:tc>
      </w:tr>
      <w:tr>
        <w:tc>
          <w:tcPr>
            <w:tcW w:type="dxa" w:w="7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19</w:t>
            </w:r>
          </w:p>
        </w:tc>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Graph Explorer: D3-force, node colours by risk score, click-expand 1 hop, red edges for flagged TRANSACTS_WITH, evidence provenance subgraph on click. TGN attention subgraph panel (GNNExplainer output, clearly labelled).</w:t>
            </w:r>
          </w:p>
        </w:tc>
        <w:tc>
          <w:tcPr>
            <w:tcW w:type="dxa" w:w="48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IL&amp;FS graph renders. Click director → provenance chain. TGN panel shows non-uniform edge weights.</w:t>
            </w:r>
          </w:p>
        </w:tc>
      </w:tr>
      <w:tr>
        <w:tc>
          <w:tcPr>
            <w:tcW w:type="dxa" w:w="72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color w:val="000000"/>
                <w:sz w:val="18"/>
                <w:szCs w:val="18"/>
              </w:rPr>
              <w:t xml:space="preserve">20</w:t>
            </w:r>
          </w:p>
        </w:tc>
        <w:tc>
          <w:tcPr>
            <w:tcW w:type="dxa" w:w="38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color w:val="000000"/>
                <w:sz w:val="18"/>
                <w:szCs w:val="18"/>
              </w:rPr>
              <w:t xml:space="preserve">Circular Trading View (SCC ring — 'SYNTHETIC DATA' label). ITC Carousel View. Evergreening cluster view. Benchmark Comparison chart.</w:t>
            </w:r>
          </w:p>
        </w:tc>
        <w:tc>
          <w:tcPr>
            <w:tcW w:type="dxa" w:w="484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color w:val="000000"/>
                <w:sz w:val="18"/>
                <w:szCs w:val="18"/>
              </w:rPr>
              <w:t xml:space="preserve">All three fraud type views render. Synthetic data labelled clearly.</w:t>
            </w:r>
          </w:p>
        </w:tc>
      </w:tr>
      <w:tr>
        <w:tc>
          <w:tcPr>
            <w:tcW w:type="dxa" w:w="7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21</w:t>
            </w:r>
          </w:p>
        </w:tc>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Upload Portal with DataConfidence improvement preview. Report Export: PDF with evidence chain, p_fraud + interval, DataConfidence, disclaimer, UUID, timestamp. Full UI polish.</w:t>
            </w:r>
          </w:p>
        </w:tc>
        <w:tc>
          <w:tcPr>
            <w:tcW w:type="dxa" w:w="48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All screens functional. PDF export contains all required fields.</w:t>
            </w:r>
          </w:p>
        </w:tc>
      </w:tr>
    </w:tbl>
    <w:p>
      <w:pPr>
        <w:spacing w:after="60" w:before="60"/>
      </w:pPr>
      <w:r>
        <w:t xml:space="preserve"/>
      </w:r>
    </w:p>
    <w:p>
      <w:pPr>
        <w:pStyle w:val="Heading2"/>
        <w:spacing w:after="120" w:before="240"/>
      </w:pPr>
      <w:r>
        <w:rPr>
          <w:rFonts w:ascii="Arial" w:cs="Arial" w:eastAsia="Arial" w:hAnsi="Arial"/>
          <w:b/>
          <w:bCs/>
          <w:color w:val="2E4A7A"/>
          <w:sz w:val="26"/>
          <w:szCs w:val="26"/>
        </w:rPr>
        <w:t xml:space="preserve">Week 4 — QA + Demo Prep (Days 22–30)</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
        <w:gridCol w:w="3800"/>
        <w:gridCol w:w="4840"/>
      </w:tblGrid>
      <w:tr>
        <w:tc>
          <w:tcPr>
            <w:tcW w:type="dxa" w:w="720"/>
            <w:tcBorders>
              <w:top w:val="single" w:color="1F3864" w:sz="2"/>
              <w:left w:val="single" w:color="1F3864" w:sz="2"/>
              <w:bottom w:val="single" w:color="1F3864" w:sz="2"/>
              <w:right w:val="single" w:color="1F3864" w:sz="2"/>
            </w:tcBorders>
            <w:shd w:fill="1F3864" w:val="clear"/>
            <w:tcMar>
              <w:top w:type="dxa" w:w="80"/>
              <w:left w:type="dxa" w:w="120"/>
              <w:bottom w:type="dxa" w:w="80"/>
              <w:right w:type="dxa" w:w="120"/>
            </w:tcMar>
          </w:tcPr>
          <w:p>
            <w:pPr>
              <w:jc w:val="center"/>
            </w:pPr>
            <w:r>
              <w:rPr>
                <w:rFonts w:ascii="Arial" w:cs="Arial" w:eastAsia="Arial" w:hAnsi="Arial"/>
                <w:b/>
                <w:bCs/>
                <w:color w:val="FFFFFF"/>
                <w:sz w:val="19"/>
                <w:szCs w:val="19"/>
              </w:rPr>
              <w:t xml:space="preserve">Day</w:t>
            </w:r>
          </w:p>
        </w:tc>
        <w:tc>
          <w:tcPr>
            <w:tcW w:type="dxa" w:w="3800"/>
            <w:tcBorders>
              <w:top w:val="single" w:color="1F3864" w:sz="2"/>
              <w:left w:val="single" w:color="1F3864" w:sz="2"/>
              <w:bottom w:val="single" w:color="1F3864" w:sz="2"/>
              <w:right w:val="single" w:color="1F3864" w:sz="2"/>
            </w:tcBorders>
            <w:shd w:fill="1F3864" w:val="clear"/>
            <w:tcMar>
              <w:top w:type="dxa" w:w="80"/>
              <w:left w:type="dxa" w:w="120"/>
              <w:bottom w:type="dxa" w:w="80"/>
              <w:right w:type="dxa" w:w="120"/>
            </w:tcMar>
          </w:tcPr>
          <w:p>
            <w:pPr>
              <w:jc w:val="center"/>
            </w:pPr>
            <w:r>
              <w:rPr>
                <w:rFonts w:ascii="Arial" w:cs="Arial" w:eastAsia="Arial" w:hAnsi="Arial"/>
                <w:b/>
                <w:bCs/>
                <w:color w:val="FFFFFF"/>
                <w:sz w:val="19"/>
                <w:szCs w:val="19"/>
              </w:rPr>
              <w:t xml:space="preserve">Task</w:t>
            </w:r>
          </w:p>
        </w:tc>
        <w:tc>
          <w:tcPr>
            <w:tcW w:type="dxa" w:w="4840"/>
            <w:tcBorders>
              <w:top w:val="single" w:color="1F3864" w:sz="2"/>
              <w:left w:val="single" w:color="1F3864" w:sz="2"/>
              <w:bottom w:val="single" w:color="1F3864" w:sz="2"/>
              <w:right w:val="single" w:color="1F3864" w:sz="2"/>
            </w:tcBorders>
            <w:shd w:fill="1F3864" w:val="clear"/>
            <w:tcMar>
              <w:top w:type="dxa" w:w="80"/>
              <w:left w:type="dxa" w:w="120"/>
              <w:bottom w:type="dxa" w:w="80"/>
              <w:right w:type="dxa" w:w="120"/>
            </w:tcMar>
          </w:tcPr>
          <w:p>
            <w:pPr>
              <w:jc w:val="center"/>
            </w:pPr>
            <w:r>
              <w:rPr>
                <w:rFonts w:ascii="Arial" w:cs="Arial" w:eastAsia="Arial" w:hAnsi="Arial"/>
                <w:b/>
                <w:bCs/>
                <w:color w:val="FFFFFF"/>
                <w:sz w:val="19"/>
                <w:szCs w:val="19"/>
              </w:rPr>
              <w:t xml:space="preserve">Done When</w:t>
            </w:r>
          </w:p>
        </w:tc>
      </w:tr>
      <w:tr>
        <w:tc>
          <w:tcPr>
            <w:tcW w:type="dxa" w:w="7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22</w:t>
            </w:r>
          </w:p>
        </w:tc>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ML Phase 4-3 benchmark vs baseline. ML Phase 4-5 conformal coverage audit. Temporal module stress test on IL&amp;FS multi-year data.</w:t>
            </w:r>
          </w:p>
        </w:tc>
        <w:tc>
          <w:tcPr>
            <w:tcW w:type="dxa" w:w="48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Benchmark numbers documented. Conformal coverage ≥ 90%. Temporal signals fire correctly on IL&amp;FS.</w:t>
            </w:r>
          </w:p>
        </w:tc>
      </w:tr>
      <w:tr>
        <w:tc>
          <w:tcPr>
            <w:tcW w:type="dxa" w:w="72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color w:val="000000"/>
                <w:sz w:val="18"/>
                <w:szCs w:val="18"/>
              </w:rPr>
              <w:t xml:space="preserve">23</w:t>
            </w:r>
          </w:p>
        </w:tc>
        <w:tc>
          <w:tcPr>
            <w:tcW w:type="dxa" w:w="38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color w:val="000000"/>
                <w:sz w:val="18"/>
                <w:szCs w:val="18"/>
              </w:rPr>
              <w:t xml:space="preserve">NCLT scraper production run: 50 real CINs. Wilful defaulter: 10 known defaulters detected. ITC patterns 8–12 on synthetic ring. Evergreening patterns 13–17 on DHFL seed.</w:t>
            </w:r>
          </w:p>
        </w:tc>
        <w:tc>
          <w:tcPr>
            <w:tcW w:type="dxa" w:w="484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color w:val="000000"/>
                <w:sz w:val="18"/>
                <w:szCs w:val="18"/>
              </w:rPr>
              <w:t xml:space="preserve">Known defaulters detected. All 5 ITC patterns fire on synthetic ring. Patterns 13/14/15 fire on DHFL simultaneously.</w:t>
            </w:r>
          </w:p>
        </w:tc>
      </w:tr>
      <w:tr>
        <w:tc>
          <w:tcPr>
            <w:tcW w:type="dxa" w:w="7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24</w:t>
            </w:r>
          </w:p>
        </w:tc>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Security: CORS lockdown. Rate limiting (10 req/min per JWT). Input sanitisation. git grep for secrets. JWT expiry 24h.</w:t>
            </w:r>
          </w:p>
        </w:tc>
        <w:tc>
          <w:tcPr>
            <w:tcW w:type="dxa" w:w="48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Zero secrets in git. Malformed CIN returns 422.</w:t>
            </w:r>
          </w:p>
        </w:tc>
      </w:tr>
      <w:tr>
        <w:tc>
          <w:tcPr>
            <w:tcW w:type="dxa" w:w="72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color w:val="000000"/>
                <w:sz w:val="18"/>
                <w:szCs w:val="18"/>
              </w:rPr>
              <w:t xml:space="preserve">25</w:t>
            </w:r>
          </w:p>
        </w:tc>
        <w:tc>
          <w:tcPr>
            <w:tcW w:type="dxa" w:w="38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color w:val="000000"/>
                <w:sz w:val="18"/>
                <w:szCs w:val="18"/>
              </w:rPr>
              <w:t xml:space="preserve">Stress test: SCC on 10,000-node synthetic graph on Railway. 10 concurrent /analyse requests. Document all measured times.</w:t>
            </w:r>
          </w:p>
        </w:tc>
        <w:tc>
          <w:tcPr>
            <w:tcW w:type="dxa" w:w="484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color w:val="000000"/>
                <w:sz w:val="18"/>
                <w:szCs w:val="18"/>
              </w:rPr>
              <w:t xml:space="preserve">SCC time documented. 10 concurrent requests complete without timeout.</w:t>
            </w:r>
          </w:p>
        </w:tc>
      </w:tr>
      <w:tr>
        <w:tc>
          <w:tcPr>
            <w:tcW w:type="dxa" w:w="7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26</w:t>
            </w:r>
          </w:p>
        </w:tc>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Demo rehearsal 1: full 3-minute IL&amp;FS scenario. Stopwatch. Verify Beneish + cross-statement scores on actual IL&amp;FS numbers match manual calculation.</w:t>
            </w:r>
          </w:p>
        </w:tc>
        <w:tc>
          <w:tcPr>
            <w:tcW w:type="dxa" w:w="48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Demo &lt; 3 minutes. IL&amp;FS scores match manual calculation.</w:t>
            </w:r>
          </w:p>
        </w:tc>
      </w:tr>
      <w:tr>
        <w:tc>
          <w:tcPr>
            <w:tcW w:type="dxa" w:w="72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color w:val="000000"/>
                <w:sz w:val="18"/>
                <w:szCs w:val="18"/>
              </w:rPr>
              <w:t xml:space="preserve">27</w:t>
            </w:r>
          </w:p>
        </w:tc>
        <w:tc>
          <w:tcPr>
            <w:tcW w:type="dxa" w:w="38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color w:val="000000"/>
                <w:sz w:val="18"/>
                <w:szCs w:val="18"/>
              </w:rPr>
              <w:t xml:space="preserve">Fix all rehearsal 1 issues. Rehearsal 2: Amtek Auto as second scenario. ITC carousel demo as third scenario.</w:t>
            </w:r>
          </w:p>
        </w:tc>
        <w:tc>
          <w:tcPr>
            <w:tcW w:type="dxa" w:w="484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color w:val="000000"/>
                <w:sz w:val="18"/>
                <w:szCs w:val="18"/>
              </w:rPr>
              <w:t xml:space="preserve">All three demo scenarios work end-to-end.</w:t>
            </w:r>
          </w:p>
        </w:tc>
      </w:tr>
      <w:tr>
        <w:tc>
          <w:tcPr>
            <w:tcW w:type="dxa" w:w="7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28</w:t>
            </w:r>
          </w:p>
        </w:tc>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Deploy to production. Full demo seed on clean production Neo4j. Record demo video fallback (2–3 min).</w:t>
            </w:r>
          </w:p>
        </w:tc>
        <w:tc>
          <w:tcPr>
            <w:tcW w:type="dxa" w:w="48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Clean production demo without manual fixes. Demo video recorded.</w:t>
            </w:r>
          </w:p>
        </w:tc>
      </w:tr>
      <w:tr>
        <w:tc>
          <w:tcPr>
            <w:tcW w:type="dxa" w:w="72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color w:val="000000"/>
                <w:sz w:val="18"/>
                <w:szCs w:val="18"/>
              </w:rPr>
              <w:t xml:space="preserve">29</w:t>
            </w:r>
          </w:p>
        </w:tc>
        <w:tc>
          <w:tcPr>
            <w:tcW w:type="dxa" w:w="38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color w:val="000000"/>
                <w:sz w:val="18"/>
                <w:szCs w:val="18"/>
              </w:rPr>
              <w:t xml:space="preserve">Rehearsal 3 on production only. All three scenarios. Verify offline fallback video accessible.</w:t>
            </w:r>
          </w:p>
        </w:tc>
        <w:tc>
          <w:tcPr>
            <w:tcW w:type="dxa" w:w="484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color w:val="000000"/>
                <w:sz w:val="18"/>
                <w:szCs w:val="18"/>
              </w:rPr>
              <w:t xml:space="preserve">Production rehearsal passes. Fallback video confirmed playable.</w:t>
            </w:r>
          </w:p>
        </w:tc>
      </w:tr>
      <w:tr>
        <w:tc>
          <w:tcPr>
            <w:tcW w:type="dxa" w:w="7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30</w:t>
            </w:r>
          </w:p>
        </w:tc>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Buffer. Fix production issues. Write Devfolio submission. Submit before deadline. 5th BuildInPublic post.</w:t>
            </w:r>
          </w:p>
        </w:tc>
        <w:tc>
          <w:tcPr>
            <w:tcW w:type="dxa" w:w="48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Devfolio submitted. All 5 BuildInPublic posts live.</w:t>
            </w:r>
          </w:p>
        </w:tc>
      </w:tr>
    </w:tbl>
    <w:p>
      <w:pPr>
        <w:spacing w:after="60" w:before="60"/>
      </w:pPr>
      <w:r>
        <w:t xml:space="preserve"/>
      </w:r>
    </w:p>
    <w:p>
      <w:r>
        <w:br w:type="page"/>
      </w:r>
    </w:p>
    <w:p>
      <w:pPr>
        <w:pStyle w:val="Heading1"/>
        <w:spacing w:after="160" w:before="320"/>
      </w:pPr>
      <w:r>
        <w:rPr>
          <w:rFonts w:ascii="Arial" w:cs="Arial" w:eastAsia="Arial" w:hAnsi="Arial"/>
          <w:b/>
          <w:bCs/>
          <w:color w:val="1F3864"/>
          <w:sz w:val="34"/>
          <w:szCs w:val="34"/>
        </w:rPr>
        <w:t xml:space="preserve">11. Tech Stack and Dependencies</w:t>
      </w:r>
    </w:p>
    <w:p>
      <w:pPr>
        <w:pStyle w:val="Heading2"/>
        <w:spacing w:after="120" w:before="240"/>
      </w:pPr>
      <w:r>
        <w:rPr>
          <w:rFonts w:ascii="Arial" w:cs="Arial" w:eastAsia="Arial" w:hAnsi="Arial"/>
          <w:b/>
          <w:bCs/>
          <w:color w:val="2E4A7A"/>
          <w:sz w:val="26"/>
          <w:szCs w:val="26"/>
        </w:rPr>
        <w:t xml:space="preserve">11.1 Backend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400"/>
        <w:gridCol w:w="5160"/>
      </w:tblGrid>
      <w:tr>
        <w:tc>
          <w:tcPr>
            <w:tcW w:type="dxa" w:w="2800"/>
            <w:tcBorders>
              <w:top w:val="single" w:color="1F3864" w:sz="2"/>
              <w:left w:val="single" w:color="1F3864" w:sz="2"/>
              <w:bottom w:val="single" w:color="1F3864" w:sz="2"/>
              <w:right w:val="single" w:color="1F3864" w:sz="2"/>
            </w:tcBorders>
            <w:shd w:fill="1F3864" w:val="clear"/>
            <w:tcMar>
              <w:top w:type="dxa" w:w="80"/>
              <w:left w:type="dxa" w:w="120"/>
              <w:bottom w:type="dxa" w:w="80"/>
              <w:right w:type="dxa" w:w="120"/>
            </w:tcMar>
          </w:tcPr>
          <w:p>
            <w:pPr>
              <w:jc w:val="center"/>
            </w:pPr>
            <w:r>
              <w:rPr>
                <w:rFonts w:ascii="Arial" w:cs="Arial" w:eastAsia="Arial" w:hAnsi="Arial"/>
                <w:b/>
                <w:bCs/>
                <w:color w:val="FFFFFF"/>
                <w:sz w:val="19"/>
                <w:szCs w:val="19"/>
              </w:rPr>
              <w:t xml:space="preserve">Package</w:t>
            </w:r>
          </w:p>
        </w:tc>
        <w:tc>
          <w:tcPr>
            <w:tcW w:type="dxa" w:w="1400"/>
            <w:tcBorders>
              <w:top w:val="single" w:color="1F3864" w:sz="2"/>
              <w:left w:val="single" w:color="1F3864" w:sz="2"/>
              <w:bottom w:val="single" w:color="1F3864" w:sz="2"/>
              <w:right w:val="single" w:color="1F3864" w:sz="2"/>
            </w:tcBorders>
            <w:shd w:fill="1F3864" w:val="clear"/>
            <w:tcMar>
              <w:top w:type="dxa" w:w="80"/>
              <w:left w:type="dxa" w:w="120"/>
              <w:bottom w:type="dxa" w:w="80"/>
              <w:right w:type="dxa" w:w="120"/>
            </w:tcMar>
          </w:tcPr>
          <w:p>
            <w:pPr>
              <w:jc w:val="center"/>
            </w:pPr>
            <w:r>
              <w:rPr>
                <w:rFonts w:ascii="Arial" w:cs="Arial" w:eastAsia="Arial" w:hAnsi="Arial"/>
                <w:b/>
                <w:bCs/>
                <w:color w:val="FFFFFF"/>
                <w:sz w:val="19"/>
                <w:szCs w:val="19"/>
              </w:rPr>
              <w:t xml:space="preserve">Version</w:t>
            </w:r>
          </w:p>
        </w:tc>
        <w:tc>
          <w:tcPr>
            <w:tcW w:type="dxa" w:w="5160"/>
            <w:tcBorders>
              <w:top w:val="single" w:color="1F3864" w:sz="2"/>
              <w:left w:val="single" w:color="1F3864" w:sz="2"/>
              <w:bottom w:val="single" w:color="1F3864" w:sz="2"/>
              <w:right w:val="single" w:color="1F3864" w:sz="2"/>
            </w:tcBorders>
            <w:shd w:fill="1F3864" w:val="clear"/>
            <w:tcMar>
              <w:top w:type="dxa" w:w="80"/>
              <w:left w:type="dxa" w:w="120"/>
              <w:bottom w:type="dxa" w:w="80"/>
              <w:right w:type="dxa" w:w="120"/>
            </w:tcMar>
          </w:tcPr>
          <w:p>
            <w:pPr>
              <w:jc w:val="center"/>
            </w:pPr>
            <w:r>
              <w:rPr>
                <w:rFonts w:ascii="Arial" w:cs="Arial" w:eastAsia="Arial" w:hAnsi="Arial"/>
                <w:b/>
                <w:bCs/>
                <w:color w:val="FFFFFF"/>
                <w:sz w:val="19"/>
                <w:szCs w:val="19"/>
              </w:rPr>
              <w:t xml:space="preserve">Purpose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fastapi + uvicorn</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0.111.x</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REST API + ASGI server</w:t>
            </w:r>
          </w:p>
        </w:tc>
      </w:tr>
      <w:tr>
        <w:tc>
          <w:tcPr>
            <w:tcW w:type="dxa" w:w="28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color w:val="000000"/>
                <w:sz w:val="18"/>
                <w:szCs w:val="18"/>
              </w:rPr>
              <w:t xml:space="preserve">neo4j (official driver)</w:t>
            </w:r>
          </w:p>
        </w:tc>
        <w:tc>
          <w:tcPr>
            <w:tcW w:type="dxa" w:w="14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color w:val="000000"/>
                <w:sz w:val="18"/>
                <w:szCs w:val="18"/>
              </w:rPr>
              <w:t xml:space="preserve">5.x</w:t>
            </w:r>
          </w:p>
        </w:tc>
        <w:tc>
          <w:tcPr>
            <w:tcW w:type="dxa" w:w="51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color w:val="000000"/>
                <w:sz w:val="18"/>
                <w:szCs w:val="18"/>
              </w:rPr>
              <w:t xml:space="preserve">Railway Neo4j via Bolt</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lightgbm</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4.x</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OOF meta-learner (F1a). Replaces XGBoost.</w:t>
            </w:r>
          </w:p>
        </w:tc>
      </w:tr>
      <w:tr>
        <w:tc>
          <w:tcPr>
            <w:tcW w:type="dxa" w:w="28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color w:val="000000"/>
                <w:sz w:val="18"/>
                <w:szCs w:val="18"/>
              </w:rPr>
              <w:t xml:space="preserve">scikit-learn</w:t>
            </w:r>
          </w:p>
        </w:tc>
        <w:tc>
          <w:tcPr>
            <w:tcW w:type="dxa" w:w="14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color w:val="000000"/>
                <w:sz w:val="18"/>
                <w:szCs w:val="18"/>
              </w:rPr>
              <w:t xml:space="preserve">1.5.x</w:t>
            </w:r>
          </w:p>
        </w:tc>
        <w:tc>
          <w:tcPr>
            <w:tcW w:type="dxa" w:w="51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color w:val="000000"/>
                <w:sz w:val="18"/>
                <w:szCs w:val="18"/>
              </w:rPr>
              <w:t xml:space="preserve">Isolation Forest, LOF, IsotonicRegression, stratified split, CV, AUPRC</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mapie</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latest</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F1c conformal prediction. pip install mapie.</w:t>
            </w:r>
          </w:p>
        </w:tc>
      </w:tr>
      <w:tr>
        <w:tc>
          <w:tcPr>
            <w:tcW w:type="dxa" w:w="28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color w:val="000000"/>
                <w:sz w:val="18"/>
                <w:szCs w:val="18"/>
              </w:rPr>
              <w:t xml:space="preserve">torch-geometric</w:t>
            </w:r>
          </w:p>
        </w:tc>
        <w:tc>
          <w:tcPr>
            <w:tcW w:type="dxa" w:w="14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color w:val="000000"/>
                <w:sz w:val="18"/>
                <w:szCs w:val="18"/>
              </w:rPr>
              <w:t xml:space="preserve">2.x</w:t>
            </w:r>
          </w:p>
        </w:tc>
        <w:tc>
          <w:tcPr>
            <w:tcW w:type="dxa" w:w="51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color w:val="000000"/>
                <w:sz w:val="18"/>
                <w:szCs w:val="18"/>
              </w:rPr>
              <w:t xml:space="preserve">D3 TGN (TGNMemory + GraphAttentionEmbedding) + GNNExplainer</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mamba-ssm</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latest</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D5 Mamba SSM sequence detector. TCN fallback if CUDA unavailable.</w:t>
            </w:r>
          </w:p>
        </w:tc>
      </w:tr>
      <w:tr>
        <w:tc>
          <w:tcPr>
            <w:tcW w:type="dxa" w:w="28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color w:val="000000"/>
                <w:sz w:val="18"/>
                <w:szCs w:val="18"/>
              </w:rPr>
              <w:t xml:space="preserve">networkx</w:t>
            </w:r>
          </w:p>
        </w:tc>
        <w:tc>
          <w:tcPr>
            <w:tcW w:type="dxa" w:w="14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color w:val="000000"/>
                <w:sz w:val="18"/>
                <w:szCs w:val="18"/>
              </w:rPr>
              <w:t xml:space="preserve">3.x</w:t>
            </w:r>
          </w:p>
        </w:tc>
        <w:tc>
          <w:tcPr>
            <w:tcW w:type="dxa" w:w="51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color w:val="000000"/>
                <w:sz w:val="18"/>
                <w:szCs w:val="18"/>
              </w:rPr>
              <w:t xml:space="preserve">L0.5 graph feature extraction + SCC fallback</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pdfplumber + camelot-py</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latest</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PDF text/table extraction + document forensics metadata</w:t>
            </w:r>
          </w:p>
        </w:tc>
      </w:tr>
      <w:tr>
        <w:tc>
          <w:tcPr>
            <w:tcW w:type="dxa" w:w="28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color w:val="000000"/>
                <w:sz w:val="18"/>
                <w:szCs w:val="18"/>
              </w:rPr>
              <w:t xml:space="preserve">pytesseract</w:t>
            </w:r>
          </w:p>
        </w:tc>
        <w:tc>
          <w:tcPr>
            <w:tcW w:type="dxa" w:w="14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color w:val="000000"/>
                <w:sz w:val="18"/>
                <w:szCs w:val="18"/>
              </w:rPr>
              <w:t xml:space="preserve">0.3.x</w:t>
            </w:r>
          </w:p>
        </w:tc>
        <w:tc>
          <w:tcPr>
            <w:tcW w:type="dxa" w:w="51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color w:val="000000"/>
                <w:sz w:val="18"/>
                <w:szCs w:val="18"/>
              </w:rPr>
              <w:t xml:space="preserve">OCR for scanned PDFs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spacy (en_core_web_sm)</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3.7.x</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Auditor NLP keyword extraction</w:t>
            </w:r>
          </w:p>
        </w:tc>
      </w:tr>
      <w:tr>
        <w:tc>
          <w:tcPr>
            <w:tcW w:type="dxa" w:w="28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color w:val="000000"/>
                <w:sz w:val="18"/>
                <w:szCs w:val="18"/>
              </w:rPr>
              <w:t xml:space="preserve">google-generativeai</w:t>
            </w:r>
          </w:p>
        </w:tc>
        <w:tc>
          <w:tcPr>
            <w:tcW w:type="dxa" w:w="14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color w:val="000000"/>
                <w:sz w:val="18"/>
                <w:szCs w:val="18"/>
              </w:rPr>
              <w:t xml:space="preserve">0.7.x</w:t>
            </w:r>
          </w:p>
        </w:tc>
        <w:tc>
          <w:tcPr>
            <w:tcW w:type="dxa" w:w="51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color w:val="000000"/>
                <w:sz w:val="18"/>
                <w:szCs w:val="18"/>
              </w:rPr>
              <w:t xml:space="preserve">Gemini Flash narrative generation</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scipy</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1.13.x</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Chi-square + KS tests for Benford's Law</w:t>
            </w:r>
          </w:p>
        </w:tc>
      </w:tr>
      <w:tr>
        <w:tc>
          <w:tcPr>
            <w:tcW w:type="dxa" w:w="28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color w:val="000000"/>
                <w:sz w:val="18"/>
                <w:szCs w:val="18"/>
              </w:rPr>
              <w:t xml:space="preserve">httpx</w:t>
            </w:r>
          </w:p>
        </w:tc>
        <w:tc>
          <w:tcPr>
            <w:tcW w:type="dxa" w:w="14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color w:val="000000"/>
                <w:sz w:val="18"/>
                <w:szCs w:val="18"/>
              </w:rPr>
              <w:t xml:space="preserve">0.27.x</w:t>
            </w:r>
          </w:p>
        </w:tc>
        <w:tc>
          <w:tcPr>
            <w:tcW w:type="dxa" w:w="51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color w:val="000000"/>
                <w:sz w:val="18"/>
                <w:szCs w:val="18"/>
              </w:rPr>
              <w:t xml:space="preserve">Async HTTP for MCA21 + CERSAI + NCLT scrapers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reportlab</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4.x</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PDF report export with UUID + timestamp</w:t>
            </w:r>
          </w:p>
        </w:tc>
      </w:tr>
      <w:tr>
        <w:tc>
          <w:tcPr>
            <w:tcW w:type="dxa" w:w="28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color w:val="000000"/>
                <w:sz w:val="18"/>
                <w:szCs w:val="18"/>
              </w:rPr>
              <w:t xml:space="preserve">beautifulsoup4</w:t>
            </w:r>
          </w:p>
        </w:tc>
        <w:tc>
          <w:tcPr>
            <w:tcW w:type="dxa" w:w="14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color w:val="000000"/>
                <w:sz w:val="18"/>
                <w:szCs w:val="18"/>
              </w:rPr>
              <w:t xml:space="preserve">4.x</w:t>
            </w:r>
          </w:p>
        </w:tc>
        <w:tc>
          <w:tcPr>
            <w:tcW w:type="dxa" w:w="51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color w:val="000000"/>
                <w:sz w:val="18"/>
                <w:szCs w:val="18"/>
              </w:rPr>
              <w:t xml:space="preserve">NCLT + wilful defaulter list scraping</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python-jose</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3.x</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JWT authentication</w:t>
            </w:r>
          </w:p>
        </w:tc>
      </w:tr>
    </w:tbl>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F3864" w:sz="2"/>
              <w:left w:val="single" w:color="1F3864" w:sz="2"/>
              <w:bottom w:val="single" w:color="1F3864" w:sz="2"/>
              <w:right w:val="single" w:color="1F3864" w:sz="2"/>
            </w:tcBorders>
            <w:shd w:fill="F8D7DA" w:val="clear"/>
            <w:tcMar>
              <w:top w:type="dxa" w:w="80"/>
              <w:left w:type="dxa" w:w="120"/>
              <w:bottom w:type="dxa" w:w="80"/>
              <w:right w:type="dxa" w:w="120"/>
            </w:tcMar>
          </w:tcPr>
          <w:p>
            <w:r>
              <w:rPr>
                <w:rFonts w:ascii="Arial" w:cs="Arial" w:eastAsia="Arial" w:hAnsi="Arial"/>
                <w:b/>
                <w:bCs/>
                <w:color w:val="721C24"/>
                <w:sz w:val="17"/>
                <w:szCs w:val="17"/>
              </w:rPr>
              <w:t xml:space="preserve">REMOVED from all prior versions: sqlalchemy, alembic, supabase-py (PostgreSQL gone). upstash-redis (caching via Neo4j node property). celery (asyncio.gather() handles parallelism). shap (replaced by graph evidence provenance). llama-cpp-python / transformers for Llama 3 (replaced by Gemini Flash API).</w:t>
            </w:r>
          </w:p>
        </w:tc>
      </w:tr>
    </w:tbl>
    <w:p>
      <w:pPr>
        <w:spacing w:after="60" w:before="60"/>
      </w:pPr>
      <w:r>
        <w:t xml:space="preserve"/>
      </w:r>
    </w:p>
    <w:p>
      <w:pPr>
        <w:pStyle w:val="Heading2"/>
        <w:spacing w:after="120" w:before="240"/>
      </w:pPr>
      <w:r>
        <w:rPr>
          <w:rFonts w:ascii="Arial" w:cs="Arial" w:eastAsia="Arial" w:hAnsi="Arial"/>
          <w:b/>
          <w:bCs/>
          <w:color w:val="2E4A7A"/>
          <w:sz w:val="26"/>
          <w:szCs w:val="26"/>
        </w:rPr>
        <w:t xml:space="preserve">11.2 Frontend and Infrastructure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400"/>
        <w:gridCol w:w="5160"/>
      </w:tblGrid>
      <w:tr>
        <w:tc>
          <w:tcPr>
            <w:tcW w:type="dxa" w:w="2800"/>
            <w:tcBorders>
              <w:top w:val="single" w:color="1F3864" w:sz="2"/>
              <w:left w:val="single" w:color="1F3864" w:sz="2"/>
              <w:bottom w:val="single" w:color="1F3864" w:sz="2"/>
              <w:right w:val="single" w:color="1F3864" w:sz="2"/>
            </w:tcBorders>
            <w:shd w:fill="1F3864" w:val="clear"/>
            <w:tcMar>
              <w:top w:type="dxa" w:w="80"/>
              <w:left w:type="dxa" w:w="120"/>
              <w:bottom w:type="dxa" w:w="80"/>
              <w:right w:type="dxa" w:w="120"/>
            </w:tcMar>
          </w:tcPr>
          <w:p>
            <w:pPr>
              <w:jc w:val="center"/>
            </w:pPr>
            <w:r>
              <w:rPr>
                <w:rFonts w:ascii="Arial" w:cs="Arial" w:eastAsia="Arial" w:hAnsi="Arial"/>
                <w:b/>
                <w:bCs/>
                <w:color w:val="FFFFFF"/>
                <w:sz w:val="19"/>
                <w:szCs w:val="19"/>
              </w:rPr>
              <w:t xml:space="preserve">Package / Service</w:t>
            </w:r>
          </w:p>
        </w:tc>
        <w:tc>
          <w:tcPr>
            <w:tcW w:type="dxa" w:w="1400"/>
            <w:tcBorders>
              <w:top w:val="single" w:color="1F3864" w:sz="2"/>
              <w:left w:val="single" w:color="1F3864" w:sz="2"/>
              <w:bottom w:val="single" w:color="1F3864" w:sz="2"/>
              <w:right w:val="single" w:color="1F3864" w:sz="2"/>
            </w:tcBorders>
            <w:shd w:fill="1F3864" w:val="clear"/>
            <w:tcMar>
              <w:top w:type="dxa" w:w="80"/>
              <w:left w:type="dxa" w:w="120"/>
              <w:bottom w:type="dxa" w:w="80"/>
              <w:right w:type="dxa" w:w="120"/>
            </w:tcMar>
          </w:tcPr>
          <w:p>
            <w:pPr>
              <w:jc w:val="center"/>
            </w:pPr>
            <w:r>
              <w:rPr>
                <w:rFonts w:ascii="Arial" w:cs="Arial" w:eastAsia="Arial" w:hAnsi="Arial"/>
                <w:b/>
                <w:bCs/>
                <w:color w:val="FFFFFF"/>
                <w:sz w:val="19"/>
                <w:szCs w:val="19"/>
              </w:rPr>
              <w:t xml:space="preserve">Version / Plan</w:t>
            </w:r>
          </w:p>
        </w:tc>
        <w:tc>
          <w:tcPr>
            <w:tcW w:type="dxa" w:w="5160"/>
            <w:tcBorders>
              <w:top w:val="single" w:color="1F3864" w:sz="2"/>
              <w:left w:val="single" w:color="1F3864" w:sz="2"/>
              <w:bottom w:val="single" w:color="1F3864" w:sz="2"/>
              <w:right w:val="single" w:color="1F3864" w:sz="2"/>
            </w:tcBorders>
            <w:shd w:fill="1F3864" w:val="clear"/>
            <w:tcMar>
              <w:top w:type="dxa" w:w="80"/>
              <w:left w:type="dxa" w:w="120"/>
              <w:bottom w:type="dxa" w:w="80"/>
              <w:right w:type="dxa" w:w="120"/>
            </w:tcMar>
          </w:tcPr>
          <w:p>
            <w:pPr>
              <w:jc w:val="center"/>
            </w:pPr>
            <w:r>
              <w:rPr>
                <w:rFonts w:ascii="Arial" w:cs="Arial" w:eastAsia="Arial" w:hAnsi="Arial"/>
                <w:b/>
                <w:bCs/>
                <w:color w:val="FFFFFF"/>
                <w:sz w:val="19"/>
                <w:szCs w:val="19"/>
              </w:rPr>
              <w:t xml:space="preserve">Purpose / Cost</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React + Vite</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18.x</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Web dashboard — only interface. No Expo.</w:t>
            </w:r>
          </w:p>
        </w:tc>
      </w:tr>
      <w:tr>
        <w:tc>
          <w:tcPr>
            <w:tcW w:type="dxa" w:w="28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color w:val="000000"/>
                <w:sz w:val="18"/>
                <w:szCs w:val="18"/>
              </w:rPr>
              <w:t xml:space="preserve">d3-force</w:t>
            </w:r>
          </w:p>
        </w:tc>
        <w:tc>
          <w:tcPr>
            <w:tcW w:type="dxa" w:w="14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color w:val="000000"/>
                <w:sz w:val="18"/>
                <w:szCs w:val="18"/>
              </w:rPr>
              <w:t xml:space="preserve">3.x</w:t>
            </w:r>
          </w:p>
        </w:tc>
        <w:tc>
          <w:tcPr>
            <w:tcW w:type="dxa" w:w="51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color w:val="000000"/>
                <w:sz w:val="18"/>
                <w:szCs w:val="18"/>
              </w:rPr>
              <w:t xml:space="preserve">Graph Explorer network visualisation</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recharts</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2.x</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Module score bars, benchmark comparison, reliability diagram</w:t>
            </w:r>
          </w:p>
        </w:tc>
      </w:tr>
      <w:tr>
        <w:tc>
          <w:tcPr>
            <w:tcW w:type="dxa" w:w="28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color w:val="000000"/>
                <w:sz w:val="18"/>
                <w:szCs w:val="18"/>
              </w:rPr>
              <w:t xml:space="preserve">tailwindcss</w:t>
            </w:r>
          </w:p>
        </w:tc>
        <w:tc>
          <w:tcPr>
            <w:tcW w:type="dxa" w:w="14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color w:val="000000"/>
                <w:sz w:val="18"/>
                <w:szCs w:val="18"/>
              </w:rPr>
              <w:t xml:space="preserve">3.x</w:t>
            </w:r>
          </w:p>
        </w:tc>
        <w:tc>
          <w:tcPr>
            <w:tcW w:type="dxa" w:w="51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color w:val="000000"/>
                <w:sz w:val="18"/>
                <w:szCs w:val="18"/>
              </w:rPr>
              <w:t xml:space="preserve">Dashboard styling</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@tanstack/react-query</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5.x</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API state management</w:t>
            </w:r>
          </w:p>
        </w:tc>
      </w:tr>
      <w:tr>
        <w:tc>
          <w:tcPr>
            <w:tcW w:type="dxa" w:w="28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color w:val="000000"/>
                <w:sz w:val="18"/>
                <w:szCs w:val="18"/>
              </w:rPr>
              <w:t xml:space="preserve">Fly.io (backend)</w:t>
            </w:r>
          </w:p>
        </w:tc>
        <w:tc>
          <w:tcPr>
            <w:tcW w:type="dxa" w:w="14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color w:val="000000"/>
                <w:sz w:val="18"/>
                <w:szCs w:val="18"/>
              </w:rPr>
              <w:t xml:space="preserve">Free shared-CPU VM</w:t>
            </w:r>
          </w:p>
        </w:tc>
        <w:tc>
          <w:tcPr>
            <w:tcW w:type="dxa" w:w="51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color w:val="000000"/>
                <w:sz w:val="18"/>
                <w:szCs w:val="18"/>
              </w:rPr>
              <w:t xml:space="preserve">FastAPI deployment. No cold starts. ₹0</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Railway (Neo4j Docker)</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neo4j:5.20-community</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GDS plugin included. Persistent volume. ~₹400 one-time</w:t>
            </w:r>
          </w:p>
        </w:tc>
      </w:tr>
      <w:tr>
        <w:tc>
          <w:tcPr>
            <w:tcW w:type="dxa" w:w="28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color w:val="000000"/>
                <w:sz w:val="18"/>
                <w:szCs w:val="18"/>
              </w:rPr>
              <w:t xml:space="preserve">Vercel (frontend)</w:t>
            </w:r>
          </w:p>
        </w:tc>
        <w:tc>
          <w:tcPr>
            <w:tcW w:type="dxa" w:w="14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color w:val="000000"/>
                <w:sz w:val="18"/>
                <w:szCs w:val="18"/>
              </w:rPr>
              <w:t xml:space="preserve">Free hobby plan</w:t>
            </w:r>
          </w:p>
        </w:tc>
        <w:tc>
          <w:tcPr>
            <w:tcW w:type="dxa" w:w="51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color w:val="000000"/>
                <w:sz w:val="18"/>
                <w:szCs w:val="18"/>
              </w:rPr>
              <w:t xml:space="preserve">Static Vite deployment. Global CDN. ₹0</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Google AI Studio (Gemini Flash)</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Free — 60 req/min</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Narrative generation only. ₹0</w:t>
            </w:r>
          </w:p>
        </w:tc>
      </w:tr>
    </w:tbl>
    <w:p>
      <w:pPr>
        <w:spacing w:after="60" w:before="60"/>
      </w:pPr>
      <w:r>
        <w:t xml:space="preserve"/>
      </w:r>
    </w:p>
    <w:p>
      <w:r>
        <w:br w:type="page"/>
      </w:r>
    </w:p>
    <w:p>
      <w:pPr>
        <w:pStyle w:val="Heading1"/>
        <w:spacing w:after="160" w:before="320"/>
      </w:pPr>
      <w:r>
        <w:rPr>
          <w:rFonts w:ascii="Arial" w:cs="Arial" w:eastAsia="Arial" w:hAnsi="Arial"/>
          <w:b/>
          <w:bCs/>
          <w:color w:val="1F3864"/>
          <w:sz w:val="34"/>
          <w:szCs w:val="34"/>
        </w:rPr>
        <w:t xml:space="preserve">12. Calibration Pipeline — Critical Notes (from Architecture Doc)</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1F3864" w:sz="2"/>
              <w:left w:val="single" w:color="1F3864" w:sz="2"/>
              <w:bottom w:val="single" w:color="1F3864" w:sz="2"/>
              <w:right w:val="single" w:color="1F3864" w:sz="2"/>
            </w:tcBorders>
            <w:shd w:fill="1F3864" w:val="clear"/>
            <w:tcMar>
              <w:top w:type="dxa" w:w="80"/>
              <w:left w:type="dxa" w:w="120"/>
              <w:bottom w:type="dxa" w:w="80"/>
              <w:right w:type="dxa" w:w="120"/>
            </w:tcMar>
          </w:tcPr>
          <w:p>
            <w:pPr>
              <w:jc w:val="center"/>
            </w:pPr>
            <w:r>
              <w:rPr>
                <w:rFonts w:ascii="Arial" w:cs="Arial" w:eastAsia="Arial" w:hAnsi="Arial"/>
                <w:b/>
                <w:bCs/>
                <w:color w:val="FFFFFF"/>
                <w:sz w:val="19"/>
                <w:szCs w:val="19"/>
              </w:rPr>
              <w:t xml:space="preserve">Concern</w:t>
            </w:r>
          </w:p>
        </w:tc>
        <w:tc>
          <w:tcPr>
            <w:tcW w:type="dxa" w:w="6240"/>
            <w:tcBorders>
              <w:top w:val="single" w:color="1F3864" w:sz="2"/>
              <w:left w:val="single" w:color="1F3864" w:sz="2"/>
              <w:bottom w:val="single" w:color="1F3864" w:sz="2"/>
              <w:right w:val="single" w:color="1F3864" w:sz="2"/>
            </w:tcBorders>
            <w:shd w:fill="1F3864" w:val="clear"/>
            <w:tcMar>
              <w:top w:type="dxa" w:w="80"/>
              <w:left w:type="dxa" w:w="120"/>
              <w:bottom w:type="dxa" w:w="80"/>
              <w:right w:type="dxa" w:w="120"/>
            </w:tcMar>
          </w:tcPr>
          <w:p>
            <w:pPr>
              <w:jc w:val="center"/>
            </w:pPr>
            <w:r>
              <w:rPr>
                <w:rFonts w:ascii="Arial" w:cs="Arial" w:eastAsia="Arial" w:hAnsi="Arial"/>
                <w:b/>
                <w:bCs/>
                <w:color w:val="FFFFFF"/>
                <w:sz w:val="19"/>
                <w:szCs w:val="19"/>
              </w:rPr>
              <w:t xml:space="preserve">How It Is Handled</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Target leakage in L2</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L1 detectors are trained K=5 times in OOF loop. Each L2 training sample's prediction always made by a model that never saw that sample's label. IsotonicRegression is fitted on a completely separate 15% hold-out — not on OOF data.</w:t>
            </w:r>
          </w:p>
        </w:tc>
      </w:tr>
      <w:tr>
        <w:tc>
          <w:tcPr>
            <w:tcW w:type="dxa" w:w="312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color w:val="000000"/>
                <w:sz w:val="18"/>
                <w:szCs w:val="18"/>
              </w:rPr>
              <w:t xml:space="preserve">Scale mismatch in Combined AE</w:t>
            </w:r>
          </w:p>
        </w:tc>
        <w:tc>
          <w:tcPr>
            <w:tcW w:type="dxa" w:w="624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color w:val="000000"/>
                <w:sz w:val="18"/>
                <w:szCs w:val="18"/>
              </w:rPr>
              <w:t xml:space="preserve">Financial ratios and graph features normalized to [0,1] independently before concatenation. If reconstruction loss dominated by one group, apply per-group loss weights proportional to feature count ratio (20:7).</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New entity at inference (TGN)</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TGN uses mean-aggregation of available neighbour embeddings as inductive fallback. Mark 'new_entity' binary feature in L2 input so meta-learner learns to down-weight TGN score when flag is set.</w:t>
            </w:r>
          </w:p>
        </w:tc>
      </w:tr>
      <w:tr>
        <w:tc>
          <w:tcPr>
            <w:tcW w:type="dxa" w:w="312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color w:val="000000"/>
                <w:sz w:val="18"/>
                <w:szCs w:val="18"/>
              </w:rPr>
              <w:t xml:space="preserve">Class imbalance (~10% fraud)</w:t>
            </w:r>
          </w:p>
        </w:tc>
        <w:tc>
          <w:tcPr>
            <w:tcW w:type="dxa" w:w="624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color w:val="000000"/>
                <w:sz w:val="18"/>
                <w:szCs w:val="18"/>
              </w:rPr>
              <w:t xml:space="preserve">All supervised L1 detectors use class_weight=balanced or stratified sampling. F1a LightGBM uses class_weight=balanced. OOF folds are stratified by fraud label.</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Conformal coverage failure</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After Phase 4-5 audit: if empirical coverage &lt; 90%, refit MAPIE on larger calibration set or increase alpha. Do not adjust threshold post-hoc — that breaks coverage guarantees.</w:t>
            </w:r>
          </w:p>
        </w:tc>
      </w:tr>
    </w:tbl>
    <w:p>
      <w:pPr>
        <w:spacing w:after="60" w:before="60"/>
      </w:pPr>
      <w:r>
        <w:t xml:space="preserve"/>
      </w:r>
    </w:p>
    <w:p>
      <w:r>
        <w:br w:type="page"/>
      </w:r>
    </w:p>
    <w:p>
      <w:pPr>
        <w:pStyle w:val="Heading1"/>
        <w:spacing w:after="160" w:before="320"/>
      </w:pPr>
      <w:r>
        <w:rPr>
          <w:rFonts w:ascii="Arial" w:cs="Arial" w:eastAsia="Arial" w:hAnsi="Arial"/>
          <w:b/>
          <w:bCs/>
          <w:color w:val="1F3864"/>
          <w:sz w:val="34"/>
          <w:szCs w:val="34"/>
        </w:rPr>
        <w:t xml:space="preserve">13. Definition of Done — Judge Checklist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FF3CD" w:val="clear"/>
            <w:tcMar>
              <w:top w:type="dxa" w:w="80"/>
              <w:left w:type="dxa" w:w="120"/>
              <w:bottom w:type="dxa" w:w="80"/>
              <w:right w:type="dxa" w:w="120"/>
            </w:tcMar>
          </w:tcPr>
          <w:p>
            <w:r>
              <w:rPr>
                <w:rFonts w:ascii="Arial" w:cs="Arial" w:eastAsia="Arial" w:hAnsi="Arial"/>
                <w:sz w:val="17"/>
                <w:szCs w:val="17"/>
              </w:rPr>
              <w:t xml:space="preserve">A feature is done when it works on a real device against the deployed production backend. Not on localhost. Not with hardcoded responses.</w:t>
            </w:r>
          </w:p>
        </w:tc>
      </w:tr>
    </w:tbl>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0"/>
        <w:gridCol w:w="1080"/>
        <w:gridCol w:w="1080"/>
      </w:tblGrid>
      <w:tr>
        <w:tc>
          <w:tcPr>
            <w:tcW w:type="dxa" w:w="7200"/>
            <w:tcBorders>
              <w:top w:val="single" w:color="1F3864" w:sz="2"/>
              <w:left w:val="single" w:color="1F3864" w:sz="2"/>
              <w:bottom w:val="single" w:color="1F3864" w:sz="2"/>
              <w:right w:val="single" w:color="1F3864" w:sz="2"/>
            </w:tcBorders>
            <w:shd w:fill="1F3864" w:val="clear"/>
            <w:tcMar>
              <w:top w:type="dxa" w:w="80"/>
              <w:left w:type="dxa" w:w="120"/>
              <w:bottom w:type="dxa" w:w="80"/>
              <w:right w:type="dxa" w:w="120"/>
            </w:tcMar>
          </w:tcPr>
          <w:p>
            <w:pPr>
              <w:jc w:val="center"/>
            </w:pPr>
            <w:r>
              <w:rPr>
                <w:rFonts w:ascii="Arial" w:cs="Arial" w:eastAsia="Arial" w:hAnsi="Arial"/>
                <w:b/>
                <w:bCs/>
                <w:color w:val="FFFFFF"/>
                <w:sz w:val="19"/>
                <w:szCs w:val="19"/>
              </w:rPr>
              <w:t xml:space="preserve">Checkpoint</w:t>
            </w:r>
          </w:p>
        </w:tc>
        <w:tc>
          <w:tcPr>
            <w:tcW w:type="dxa" w:w="1080"/>
            <w:tcBorders>
              <w:top w:val="single" w:color="1F3864" w:sz="2"/>
              <w:left w:val="single" w:color="1F3864" w:sz="2"/>
              <w:bottom w:val="single" w:color="1F3864" w:sz="2"/>
              <w:right w:val="single" w:color="1F3864" w:sz="2"/>
            </w:tcBorders>
            <w:shd w:fill="1F3864" w:val="clear"/>
            <w:tcMar>
              <w:top w:type="dxa" w:w="80"/>
              <w:left w:type="dxa" w:w="120"/>
              <w:bottom w:type="dxa" w:w="80"/>
              <w:right w:type="dxa" w:w="120"/>
            </w:tcMar>
          </w:tcPr>
          <w:p>
            <w:pPr>
              <w:jc w:val="center"/>
            </w:pPr>
            <w:r>
              <w:rPr>
                <w:rFonts w:ascii="Arial" w:cs="Arial" w:eastAsia="Arial" w:hAnsi="Arial"/>
                <w:b/>
                <w:bCs/>
                <w:color w:val="FFFFFF"/>
                <w:sz w:val="19"/>
                <w:szCs w:val="19"/>
              </w:rPr>
              <w:t xml:space="preserve">Verified By</w:t>
            </w:r>
          </w:p>
        </w:tc>
        <w:tc>
          <w:tcPr>
            <w:tcW w:type="dxa" w:w="1080"/>
            <w:tcBorders>
              <w:top w:val="single" w:color="1F3864" w:sz="2"/>
              <w:left w:val="single" w:color="1F3864" w:sz="2"/>
              <w:bottom w:val="single" w:color="1F3864" w:sz="2"/>
              <w:right w:val="single" w:color="1F3864" w:sz="2"/>
            </w:tcBorders>
            <w:shd w:fill="1F3864" w:val="clear"/>
            <w:tcMar>
              <w:top w:type="dxa" w:w="80"/>
              <w:left w:type="dxa" w:w="120"/>
              <w:bottom w:type="dxa" w:w="80"/>
              <w:right w:type="dxa" w:w="120"/>
            </w:tcMar>
          </w:tcPr>
          <w:p>
            <w:pPr>
              <w:jc w:val="center"/>
            </w:pPr>
            <w:r>
              <w:rPr>
                <w:rFonts w:ascii="Arial" w:cs="Arial" w:eastAsia="Arial" w:hAnsi="Arial"/>
                <w:b/>
                <w:bCs/>
                <w:color w:val="FFFFFF"/>
                <w:sz w:val="19"/>
                <w:szCs w:val="19"/>
              </w:rPr>
              <w:t xml:space="preserve">Status</w:t>
            </w:r>
          </w:p>
        </w:tc>
      </w:tr>
      <w:tr>
        <w:tc>
          <w:tcPr>
            <w:tcW w:type="dxa" w:w="7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IL&amp;FS FY2016-17 produces CRITICAL score (&gt;75) from deployed Fly.io backend</w:t>
            </w:r>
          </w:p>
        </w:tc>
        <w:tc>
          <w:tcPr>
            <w:tcW w:type="dxa" w:w="1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Production</w:t>
            </w:r>
          </w:p>
        </w:tc>
        <w:tc>
          <w:tcPr>
            <w:tcW w:type="dxa" w:w="1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 ]</w:t>
            </w:r>
          </w:p>
        </w:tc>
      </w:tr>
      <w:tr>
        <w:tc>
          <w:tcPr>
            <w:tcW w:type="dxa" w:w="72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color w:val="000000"/>
                <w:sz w:val="18"/>
                <w:szCs w:val="18"/>
              </w:rPr>
              <w:t xml:space="preserve">IL&amp;FS was never in training or validation sets</w:t>
            </w:r>
          </w:p>
        </w:tc>
        <w:tc>
          <w:tcPr>
            <w:tcW w:type="dxa" w:w="108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color w:val="000000"/>
                <w:sz w:val="18"/>
                <w:szCs w:val="18"/>
              </w:rPr>
              <w:t xml:space="preserve">Training CSV</w:t>
            </w:r>
          </w:p>
        </w:tc>
        <w:tc>
          <w:tcPr>
            <w:tcW w:type="dxa" w:w="108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color w:val="000000"/>
                <w:sz w:val="18"/>
                <w:szCs w:val="18"/>
              </w:rPr>
              <w:t xml:space="preserve">[ ]</w:t>
            </w:r>
          </w:p>
        </w:tc>
      </w:tr>
      <w:tr>
        <w:tc>
          <w:tcPr>
            <w:tcW w:type="dxa" w:w="7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F1a LightGBM AUPRC &gt; 0.70 on holdout test set</w:t>
            </w:r>
          </w:p>
        </w:tc>
        <w:tc>
          <w:tcPr>
            <w:tcW w:type="dxa" w:w="1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sklearn report</w:t>
            </w:r>
          </w:p>
        </w:tc>
        <w:tc>
          <w:tcPr>
            <w:tcW w:type="dxa" w:w="1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 ]</w:t>
            </w:r>
          </w:p>
        </w:tc>
      </w:tr>
      <w:tr>
        <w:tc>
          <w:tcPr>
            <w:tcW w:type="dxa" w:w="72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color w:val="000000"/>
                <w:sz w:val="18"/>
                <w:szCs w:val="18"/>
              </w:rPr>
              <w:t xml:space="preserve">TGN AUC ≥ 0.93 on graph test set</w:t>
            </w:r>
          </w:p>
        </w:tc>
        <w:tc>
          <w:tcPr>
            <w:tcW w:type="dxa" w:w="108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color w:val="000000"/>
                <w:sz w:val="18"/>
                <w:szCs w:val="18"/>
              </w:rPr>
              <w:t xml:space="preserve">ML eval</w:t>
            </w:r>
          </w:p>
        </w:tc>
        <w:tc>
          <w:tcPr>
            <w:tcW w:type="dxa" w:w="108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color w:val="000000"/>
                <w:sz w:val="18"/>
                <w:szCs w:val="18"/>
              </w:rPr>
              <w:t xml:space="preserve">[ ]</w:t>
            </w:r>
          </w:p>
        </w:tc>
      </w:tr>
      <w:tr>
        <w:tc>
          <w:tcPr>
            <w:tcW w:type="dxa" w:w="7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Full pipeline: AUC ≥ 0.96, F1 ≥ 0.91, inference &lt; 2s/report</w:t>
            </w:r>
          </w:p>
        </w:tc>
        <w:tc>
          <w:tcPr>
            <w:tcW w:type="dxa" w:w="1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Phase 4-2</w:t>
            </w:r>
          </w:p>
        </w:tc>
        <w:tc>
          <w:tcPr>
            <w:tcW w:type="dxa" w:w="1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 ]</w:t>
            </w:r>
          </w:p>
        </w:tc>
      </w:tr>
      <w:tr>
        <w:tc>
          <w:tcPr>
            <w:tcW w:type="dxa" w:w="72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color w:val="000000"/>
                <w:sz w:val="18"/>
                <w:szCs w:val="18"/>
              </w:rPr>
              <w:t xml:space="preserve">Conformal 90% coverage verified on test set</w:t>
            </w:r>
          </w:p>
        </w:tc>
        <w:tc>
          <w:tcPr>
            <w:tcW w:type="dxa" w:w="108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color w:val="000000"/>
                <w:sz w:val="18"/>
                <w:szCs w:val="18"/>
              </w:rPr>
              <w:t xml:space="preserve">Phase 4-5</w:t>
            </w:r>
          </w:p>
        </w:tc>
        <w:tc>
          <w:tcPr>
            <w:tcW w:type="dxa" w:w="108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color w:val="000000"/>
                <w:sz w:val="18"/>
                <w:szCs w:val="18"/>
              </w:rPr>
              <w:t xml:space="preserve">[ ]</w:t>
            </w:r>
          </w:p>
        </w:tc>
      </w:tr>
      <w:tr>
        <w:tc>
          <w:tcPr>
            <w:tcW w:type="dxa" w:w="7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Static formula fully replaced — no reference to S = 0.4·GNN + ... anywhere</w:t>
            </w:r>
          </w:p>
        </w:tc>
        <w:tc>
          <w:tcPr>
            <w:tcW w:type="dxa" w:w="1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Code grep</w:t>
            </w:r>
          </w:p>
        </w:tc>
        <w:tc>
          <w:tcPr>
            <w:tcW w:type="dxa" w:w="1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 ]</w:t>
            </w:r>
          </w:p>
        </w:tc>
      </w:tr>
      <w:tr>
        <w:tc>
          <w:tcPr>
            <w:tcW w:type="dxa" w:w="72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color w:val="000000"/>
                <w:sz w:val="18"/>
                <w:szCs w:val="18"/>
              </w:rPr>
              <w:t xml:space="preserve">SCC circular trading via Neo4j GDS on Railway</w:t>
            </w:r>
          </w:p>
        </w:tc>
        <w:tc>
          <w:tcPr>
            <w:tcW w:type="dxa" w:w="108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color w:val="000000"/>
                <w:sz w:val="18"/>
                <w:szCs w:val="18"/>
              </w:rPr>
              <w:t xml:space="preserve">Neo4j Browser</w:t>
            </w:r>
          </w:p>
        </w:tc>
        <w:tc>
          <w:tcPr>
            <w:tcW w:type="dxa" w:w="108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color w:val="000000"/>
                <w:sz w:val="18"/>
                <w:szCs w:val="18"/>
              </w:rPr>
              <w:t xml:space="preserve">[ ]</w:t>
            </w:r>
          </w:p>
        </w:tc>
      </w:tr>
      <w:tr>
        <w:tc>
          <w:tcPr>
            <w:tcW w:type="dxa" w:w="7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NetworkX SCC fallback produces identical output</w:t>
            </w:r>
          </w:p>
        </w:tc>
        <w:tc>
          <w:tcPr>
            <w:tcW w:type="dxa" w:w="1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Unit test</w:t>
            </w:r>
          </w:p>
        </w:tc>
        <w:tc>
          <w:tcPr>
            <w:tcW w:type="dxa" w:w="1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 ]</w:t>
            </w:r>
          </w:p>
        </w:tc>
      </w:tr>
      <w:tr>
        <w:tc>
          <w:tcPr>
            <w:tcW w:type="dxa" w:w="72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color w:val="000000"/>
                <w:sz w:val="18"/>
                <w:szCs w:val="18"/>
              </w:rPr>
              <w:t xml:space="preserve">All 17 graph patterns produce FraudSignal nodes on match</w:t>
            </w:r>
          </w:p>
        </w:tc>
        <w:tc>
          <w:tcPr>
            <w:tcW w:type="dxa" w:w="108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color w:val="000000"/>
                <w:sz w:val="18"/>
                <w:szCs w:val="18"/>
              </w:rPr>
              <w:t xml:space="preserve">Pattern tests</w:t>
            </w:r>
          </w:p>
        </w:tc>
        <w:tc>
          <w:tcPr>
            <w:tcW w:type="dxa" w:w="108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color w:val="000000"/>
                <w:sz w:val="18"/>
                <w:szCs w:val="18"/>
              </w:rPr>
              <w:t xml:space="preserve">[ ]</w:t>
            </w:r>
          </w:p>
        </w:tc>
      </w:tr>
      <w:tr>
        <w:tc>
          <w:tcPr>
            <w:tcW w:type="dxa" w:w="7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Evidence provenance Cypher returns correct chain for IL&amp;FS</w:t>
            </w:r>
          </w:p>
        </w:tc>
        <w:tc>
          <w:tcPr>
            <w:tcW w:type="dxa" w:w="1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Cypher run</w:t>
            </w:r>
          </w:p>
        </w:tc>
        <w:tc>
          <w:tcPr>
            <w:tcW w:type="dxa" w:w="1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 ]</w:t>
            </w:r>
          </w:p>
        </w:tc>
      </w:tr>
      <w:tr>
        <w:tc>
          <w:tcPr>
            <w:tcW w:type="dxa" w:w="72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color w:val="000000"/>
                <w:sz w:val="18"/>
                <w:szCs w:val="18"/>
              </w:rPr>
              <w:t xml:space="preserve">Every fraud flag cites specific numbers — zero generic language</w:t>
            </w:r>
          </w:p>
        </w:tc>
        <w:tc>
          <w:tcPr>
            <w:tcW w:type="dxa" w:w="108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color w:val="000000"/>
                <w:sz w:val="18"/>
                <w:szCs w:val="18"/>
              </w:rPr>
              <w:t xml:space="preserve">Manual review</w:t>
            </w:r>
          </w:p>
        </w:tc>
        <w:tc>
          <w:tcPr>
            <w:tcW w:type="dxa" w:w="108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color w:val="000000"/>
                <w:sz w:val="18"/>
                <w:szCs w:val="18"/>
              </w:rPr>
              <w:t xml:space="preserve">[ ]</w:t>
            </w:r>
          </w:p>
        </w:tc>
      </w:tr>
      <w:tr>
        <w:tc>
          <w:tcPr>
            <w:tcW w:type="dxa" w:w="7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p_fraud_calibrated + p_fraud_interval displayed alongside FraudRiskScore</w:t>
            </w:r>
          </w:p>
        </w:tc>
        <w:tc>
          <w:tcPr>
            <w:tcW w:type="dxa" w:w="1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UI check</w:t>
            </w:r>
          </w:p>
        </w:tc>
        <w:tc>
          <w:tcPr>
            <w:tcW w:type="dxa" w:w="1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 ]</w:t>
            </w:r>
          </w:p>
        </w:tc>
      </w:tr>
      <w:tr>
        <w:tc>
          <w:tcPr>
            <w:tcW w:type="dxa" w:w="72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color w:val="000000"/>
                <w:sz w:val="18"/>
                <w:szCs w:val="18"/>
              </w:rPr>
              <w:t xml:space="preserve">DataConfidence % displayed on every analysis</w:t>
            </w:r>
          </w:p>
        </w:tc>
        <w:tc>
          <w:tcPr>
            <w:tcW w:type="dxa" w:w="108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color w:val="000000"/>
                <w:sz w:val="18"/>
                <w:szCs w:val="18"/>
              </w:rPr>
              <w:t xml:space="preserve">UI check</w:t>
            </w:r>
          </w:p>
        </w:tc>
        <w:tc>
          <w:tcPr>
            <w:tcW w:type="dxa" w:w="108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color w:val="000000"/>
                <w:sz w:val="18"/>
                <w:szCs w:val="18"/>
              </w:rPr>
              <w:t xml:space="preserve">[ ]</w:t>
            </w:r>
          </w:p>
        </w:tc>
      </w:tr>
      <w:tr>
        <w:tc>
          <w:tcPr>
            <w:tcW w:type="dxa" w:w="7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SHAP not surfaced to any user-facing output</w:t>
            </w:r>
          </w:p>
        </w:tc>
        <w:tc>
          <w:tcPr>
            <w:tcW w:type="dxa" w:w="1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Code review</w:t>
            </w:r>
          </w:p>
        </w:tc>
        <w:tc>
          <w:tcPr>
            <w:tcW w:type="dxa" w:w="1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 ]</w:t>
            </w:r>
          </w:p>
        </w:tc>
      </w:tr>
      <w:tr>
        <w:tc>
          <w:tcPr>
            <w:tcW w:type="dxa" w:w="72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color w:val="000000"/>
                <w:sz w:val="18"/>
                <w:szCs w:val="18"/>
              </w:rPr>
              <w:t xml:space="preserve">Llama 3 not present anywhere — Gemini Flash only for narrative</w:t>
            </w:r>
          </w:p>
        </w:tc>
        <w:tc>
          <w:tcPr>
            <w:tcW w:type="dxa" w:w="108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color w:val="000000"/>
                <w:sz w:val="18"/>
                <w:szCs w:val="18"/>
              </w:rPr>
              <w:t xml:space="preserve">Code grep</w:t>
            </w:r>
          </w:p>
        </w:tc>
        <w:tc>
          <w:tcPr>
            <w:tcW w:type="dxa" w:w="108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color w:val="000000"/>
                <w:sz w:val="18"/>
                <w:szCs w:val="18"/>
              </w:rPr>
              <w:t xml:space="preserve">[ ]</w:t>
            </w:r>
          </w:p>
        </w:tc>
      </w:tr>
      <w:tr>
        <w:tc>
          <w:tcPr>
            <w:tcW w:type="dxa" w:w="7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ITC carousel demo runs with SYNTHETIC DATA label visible</w:t>
            </w:r>
          </w:p>
        </w:tc>
        <w:tc>
          <w:tcPr>
            <w:tcW w:type="dxa" w:w="1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Demo run</w:t>
            </w:r>
          </w:p>
        </w:tc>
        <w:tc>
          <w:tcPr>
            <w:tcW w:type="dxa" w:w="1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 ]</w:t>
            </w:r>
          </w:p>
        </w:tc>
      </w:tr>
      <w:tr>
        <w:tc>
          <w:tcPr>
            <w:tcW w:type="dxa" w:w="72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color w:val="000000"/>
                <w:sz w:val="18"/>
                <w:szCs w:val="18"/>
              </w:rPr>
              <w:t xml:space="preserve">DHFL evergreening: Patterns 13, 14, 15 fire simultaneously</w:t>
            </w:r>
          </w:p>
        </w:tc>
        <w:tc>
          <w:tcPr>
            <w:tcW w:type="dxa" w:w="108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color w:val="000000"/>
                <w:sz w:val="18"/>
                <w:szCs w:val="18"/>
              </w:rPr>
              <w:t xml:space="preserve">Demo run</w:t>
            </w:r>
          </w:p>
        </w:tc>
        <w:tc>
          <w:tcPr>
            <w:tcW w:type="dxa" w:w="108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color w:val="000000"/>
                <w:sz w:val="18"/>
                <w:szCs w:val="18"/>
              </w:rPr>
              <w:t xml:space="preserve">[ ]</w:t>
            </w:r>
          </w:p>
        </w:tc>
      </w:tr>
      <w:tr>
        <w:tc>
          <w:tcPr>
            <w:tcW w:type="dxa" w:w="7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PDF report: disclaimer + UUID + timestamp + evidence chain</w:t>
            </w:r>
          </w:p>
        </w:tc>
        <w:tc>
          <w:tcPr>
            <w:tcW w:type="dxa" w:w="1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Download</w:t>
            </w:r>
          </w:p>
        </w:tc>
        <w:tc>
          <w:tcPr>
            <w:tcW w:type="dxa" w:w="1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 ]</w:t>
            </w:r>
          </w:p>
        </w:tc>
      </w:tr>
      <w:tr>
        <w:tc>
          <w:tcPr>
            <w:tcW w:type="dxa" w:w="72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color w:val="000000"/>
                <w:sz w:val="18"/>
                <w:szCs w:val="18"/>
              </w:rPr>
              <w:t xml:space="preserve">Demo seed repopulates Neo4j from scratch in &lt;60 seconds</w:t>
            </w:r>
          </w:p>
        </w:tc>
        <w:tc>
          <w:tcPr>
            <w:tcW w:type="dxa" w:w="108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color w:val="000000"/>
                <w:sz w:val="18"/>
                <w:szCs w:val="18"/>
              </w:rPr>
              <w:t xml:space="preserve">Clean env</w:t>
            </w:r>
          </w:p>
        </w:tc>
        <w:tc>
          <w:tcPr>
            <w:tcW w:type="dxa" w:w="108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color w:val="000000"/>
                <w:sz w:val="18"/>
                <w:szCs w:val="18"/>
              </w:rPr>
              <w:t xml:space="preserve">[ ]</w:t>
            </w:r>
          </w:p>
        </w:tc>
      </w:tr>
      <w:tr>
        <w:tc>
          <w:tcPr>
            <w:tcW w:type="dxa" w:w="7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Full 3-minute demo without crash — three times</w:t>
            </w:r>
          </w:p>
        </w:tc>
        <w:tc>
          <w:tcPr>
            <w:tcW w:type="dxa" w:w="1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3 rehearsals</w:t>
            </w:r>
          </w:p>
        </w:tc>
        <w:tc>
          <w:tcPr>
            <w:tcW w:type="dxa" w:w="1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 ]</w:t>
            </w:r>
          </w:p>
        </w:tc>
      </w:tr>
      <w:tr>
        <w:tc>
          <w:tcPr>
            <w:tcW w:type="dxa" w:w="72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color w:val="000000"/>
                <w:sz w:val="18"/>
                <w:szCs w:val="18"/>
              </w:rPr>
              <w:t xml:space="preserve">No secrets in GitHub repository</w:t>
            </w:r>
          </w:p>
        </w:tc>
        <w:tc>
          <w:tcPr>
            <w:tcW w:type="dxa" w:w="108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color w:val="000000"/>
                <w:sz w:val="18"/>
                <w:szCs w:val="18"/>
              </w:rPr>
              <w:t xml:space="preserve">git grep</w:t>
            </w:r>
          </w:p>
        </w:tc>
        <w:tc>
          <w:tcPr>
            <w:tcW w:type="dxa" w:w="108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color w:val="000000"/>
                <w:sz w:val="18"/>
                <w:szCs w:val="18"/>
              </w:rPr>
              <w:t xml:space="preserve">[ ]</w:t>
            </w:r>
          </w:p>
        </w:tc>
      </w:tr>
      <w:tr>
        <w:tc>
          <w:tcPr>
            <w:tcW w:type="dxa" w:w="7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5 BuildInPublic posts with timestamps across 5 weeks</w:t>
            </w:r>
          </w:p>
        </w:tc>
        <w:tc>
          <w:tcPr>
            <w:tcW w:type="dxa" w:w="1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Post dates</w:t>
            </w:r>
          </w:p>
        </w:tc>
        <w:tc>
          <w:tcPr>
            <w:tcW w:type="dxa" w:w="1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 ]</w:t>
            </w:r>
          </w:p>
        </w:tc>
      </w:tr>
      <w:tr>
        <w:tc>
          <w:tcPr>
            <w:tcW w:type="dxa" w:w="72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color w:val="000000"/>
                <w:sz w:val="18"/>
                <w:szCs w:val="18"/>
              </w:rPr>
              <w:t xml:space="preserve">Devfolio: problem, stack, live URL, GitHub, demo video</w:t>
            </w:r>
          </w:p>
        </w:tc>
        <w:tc>
          <w:tcPr>
            <w:tcW w:type="dxa" w:w="108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color w:val="000000"/>
                <w:sz w:val="18"/>
                <w:szCs w:val="18"/>
              </w:rPr>
              <w:t xml:space="preserve">Read before submit</w:t>
            </w:r>
          </w:p>
        </w:tc>
        <w:tc>
          <w:tcPr>
            <w:tcW w:type="dxa" w:w="108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color w:val="000000"/>
                <w:sz w:val="18"/>
                <w:szCs w:val="18"/>
              </w:rPr>
              <w:t xml:space="preserve">[ ]</w:t>
            </w:r>
          </w:p>
        </w:tc>
      </w:tr>
    </w:tbl>
    <w:p>
      <w:pPr>
        <w:spacing w:after="60" w:before="60"/>
      </w:pPr>
      <w:r>
        <w:t xml:space="preserve"/>
      </w:r>
    </w:p>
    <w:p>
      <w:r>
        <w:br w:type="page"/>
      </w:r>
    </w:p>
    <w:p>
      <w:pPr>
        <w:pStyle w:val="Heading1"/>
        <w:spacing w:after="160" w:before="320"/>
      </w:pPr>
      <w:r>
        <w:rPr>
          <w:rFonts w:ascii="Arial" w:cs="Arial" w:eastAsia="Arial" w:hAnsi="Arial"/>
          <w:b/>
          <w:bCs/>
          <w:color w:val="1F3864"/>
          <w:sz w:val="34"/>
          <w:szCs w:val="34"/>
        </w:rPr>
        <w:t xml:space="preserve">14. Demo Script — 3 Minutes, Three Fraud Types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400"/>
        <w:gridCol w:w="5760"/>
      </w:tblGrid>
      <w:tr>
        <w:tc>
          <w:tcPr>
            <w:tcW w:type="dxa" w:w="1200"/>
            <w:tcBorders>
              <w:top w:val="single" w:color="1F3864" w:sz="2"/>
              <w:left w:val="single" w:color="1F3864" w:sz="2"/>
              <w:bottom w:val="single" w:color="1F3864" w:sz="2"/>
              <w:right w:val="single" w:color="1F3864" w:sz="2"/>
            </w:tcBorders>
            <w:shd w:fill="1F3864" w:val="clear"/>
            <w:tcMar>
              <w:top w:type="dxa" w:w="80"/>
              <w:left w:type="dxa" w:w="120"/>
              <w:bottom w:type="dxa" w:w="80"/>
              <w:right w:type="dxa" w:w="120"/>
            </w:tcMar>
          </w:tcPr>
          <w:p>
            <w:pPr>
              <w:jc w:val="center"/>
            </w:pPr>
            <w:r>
              <w:rPr>
                <w:rFonts w:ascii="Arial" w:cs="Arial" w:eastAsia="Arial" w:hAnsi="Arial"/>
                <w:b/>
                <w:bCs/>
                <w:color w:val="FFFFFF"/>
                <w:sz w:val="19"/>
                <w:szCs w:val="19"/>
              </w:rPr>
              <w:t xml:space="preserve">Time</w:t>
            </w:r>
          </w:p>
        </w:tc>
        <w:tc>
          <w:tcPr>
            <w:tcW w:type="dxa" w:w="2400"/>
            <w:tcBorders>
              <w:top w:val="single" w:color="1F3864" w:sz="2"/>
              <w:left w:val="single" w:color="1F3864" w:sz="2"/>
              <w:bottom w:val="single" w:color="1F3864" w:sz="2"/>
              <w:right w:val="single" w:color="1F3864" w:sz="2"/>
            </w:tcBorders>
            <w:shd w:fill="1F3864" w:val="clear"/>
            <w:tcMar>
              <w:top w:type="dxa" w:w="80"/>
              <w:left w:type="dxa" w:w="120"/>
              <w:bottom w:type="dxa" w:w="80"/>
              <w:right w:type="dxa" w:w="120"/>
            </w:tcMar>
          </w:tcPr>
          <w:p>
            <w:pPr>
              <w:jc w:val="center"/>
            </w:pPr>
            <w:r>
              <w:rPr>
                <w:rFonts w:ascii="Arial" w:cs="Arial" w:eastAsia="Arial" w:hAnsi="Arial"/>
                <w:b/>
                <w:bCs/>
                <w:color w:val="FFFFFF"/>
                <w:sz w:val="19"/>
                <w:szCs w:val="19"/>
              </w:rPr>
              <w:t xml:space="preserve">Screen</w:t>
            </w:r>
          </w:p>
        </w:tc>
        <w:tc>
          <w:tcPr>
            <w:tcW w:type="dxa" w:w="5760"/>
            <w:tcBorders>
              <w:top w:val="single" w:color="1F3864" w:sz="2"/>
              <w:left w:val="single" w:color="1F3864" w:sz="2"/>
              <w:bottom w:val="single" w:color="1F3864" w:sz="2"/>
              <w:right w:val="single" w:color="1F3864" w:sz="2"/>
            </w:tcBorders>
            <w:shd w:fill="1F3864" w:val="clear"/>
            <w:tcMar>
              <w:top w:type="dxa" w:w="80"/>
              <w:left w:type="dxa" w:w="120"/>
              <w:bottom w:type="dxa" w:w="80"/>
              <w:right w:type="dxa" w:w="120"/>
            </w:tcMar>
          </w:tcPr>
          <w:p>
            <w:pPr>
              <w:jc w:val="center"/>
            </w:pPr>
            <w:r>
              <w:rPr>
                <w:rFonts w:ascii="Arial" w:cs="Arial" w:eastAsia="Arial" w:hAnsi="Arial"/>
                <w:b/>
                <w:bCs/>
                <w:color w:val="FFFFFF"/>
                <w:sz w:val="19"/>
                <w:szCs w:val="19"/>
              </w:rPr>
              <w:t xml:space="preserve">What You Say and Show</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0:00–0:20</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Company Search</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'IL&amp;FS Infrastructure. CIN: U45201MH2005PTC155294. FY 2016-17 — one year before the ₹91,000 crore collapse.' Type CIN. Hit Analyse.</w:t>
            </w:r>
          </w:p>
        </w:tc>
      </w:tr>
      <w:tr>
        <w:tc>
          <w:tcPr>
            <w:tcW w:type="dxa" w:w="12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color w:val="000000"/>
                <w:sz w:val="18"/>
                <w:szCs w:val="18"/>
              </w:rPr>
              <w:t xml:space="preserve">0:20–0:50</w:t>
            </w:r>
          </w:p>
        </w:tc>
        <w:tc>
          <w:tcPr>
            <w:tcW w:type="dxa" w:w="24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color w:val="000000"/>
                <w:sz w:val="18"/>
                <w:szCs w:val="18"/>
              </w:rPr>
              <w:t xml:space="preserve">Analysis Dashboard</w:t>
            </w:r>
          </w:p>
        </w:tc>
        <w:tc>
          <w:tcPr>
            <w:tcW w:type="dxa" w:w="57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color w:val="000000"/>
                <w:sz w:val="18"/>
                <w:szCs w:val="18"/>
              </w:rPr>
              <w:t xml:space="preserve">'FraudRiskScore: [X]/100 — CRITICAL. Calibrated probability: [P]% with a 90% conformal interval of [low]–[high]%. DataConfidence: [Y]%. The signal was there in 2017. In public data.' Show ensemble disagreement flag if present.</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0:50–1:15</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Graph Explorer</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'What traditional credit tools miss entirely.' Show director-company network. Click shared director node. 'This director connects IL&amp;FS to [N] counterparties — a multi-hop related party chain invisible without a graph.'</w:t>
            </w:r>
          </w:p>
        </w:tc>
      </w:tr>
      <w:tr>
        <w:tc>
          <w:tcPr>
            <w:tcW w:type="dxa" w:w="12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color w:val="000000"/>
                <w:sz w:val="18"/>
                <w:szCs w:val="18"/>
              </w:rPr>
              <w:t xml:space="preserve">1:15–1:40</w:t>
            </w:r>
          </w:p>
        </w:tc>
        <w:tc>
          <w:tcPr>
            <w:tcW w:type="dxa" w:w="24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color w:val="000000"/>
                <w:sz w:val="18"/>
                <w:szCs w:val="18"/>
              </w:rPr>
              <w:t xml:space="preserve">Evidence Provenance</w:t>
            </w:r>
          </w:p>
        </w:tc>
        <w:tc>
          <w:tcPr>
            <w:tcW w:type="dxa" w:w="57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color w:val="000000"/>
                <w:sz w:val="18"/>
                <w:szCs w:val="18"/>
              </w:rPr>
              <w:t xml:space="preserve">'The score is not the product. The evidence chain is.' Click FraudSignal node. Show TRIGGERED_BY traversal. 'Every finding is a database citation. This holds up in a legal filing.'</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1:40–2:00</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ITC Carousel View</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'Second fraud type — GST ITC carousel.' Show 7-node synthetic ring. 'SYNTHETIC DATA. In a GSP-connected deployment, these are live invoice flows. SCC found this ring in [X]ms. This is what ₹58,000 crore in fake ITC looks like as a graph.'</w:t>
            </w:r>
          </w:p>
        </w:tc>
      </w:tr>
      <w:tr>
        <w:tc>
          <w:tcPr>
            <w:tcW w:type="dxa" w:w="12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color w:val="000000"/>
                <w:sz w:val="18"/>
                <w:szCs w:val="18"/>
              </w:rPr>
              <w:t xml:space="preserve">2:00–2:20</w:t>
            </w:r>
          </w:p>
        </w:tc>
        <w:tc>
          <w:tcPr>
            <w:tcW w:type="dxa" w:w="24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color w:val="000000"/>
                <w:sz w:val="18"/>
                <w:szCs w:val="18"/>
              </w:rPr>
              <w:t xml:space="preserve">Evergreening View</w:t>
            </w:r>
          </w:p>
        </w:tc>
        <w:tc>
          <w:tcPr>
            <w:tcW w:type="dxa" w:w="57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color w:val="000000"/>
                <w:sz w:val="18"/>
                <w:szCs w:val="18"/>
              </w:rPr>
              <w:t xml:space="preserve">'Third fraud type — bank loan evergreening. DHFL. Patterns 13, 14, and 15 fire simultaneously.' Show FUNDED_REPAYMENT_OF edge. 'Round-trip repayment. Shell conduit. Serial charge cycling. Three signals converging on one case.'</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2:20–3:00</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Report Export</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'One graph engine. Three structurally different fraud types.' Download PDF. Show p_fraud, interval, DataConfidence, disclaimer, UUID. 'This is Sentinel-G.' End.</w:t>
            </w:r>
          </w:p>
        </w:tc>
      </w:tr>
    </w:tbl>
    <w:p>
      <w:pPr>
        <w:spacing w:after="60" w:before="60"/>
      </w:pPr>
      <w:r>
        <w:t xml:space="preserve"/>
      </w:r>
    </w:p>
    <w:p>
      <w:r>
        <w:br w:type="page"/>
      </w:r>
    </w:p>
    <w:p>
      <w:pPr>
        <w:pStyle w:val="Heading1"/>
        <w:spacing w:after="160" w:before="320"/>
      </w:pPr>
      <w:r>
        <w:rPr>
          <w:rFonts w:ascii="Arial" w:cs="Arial" w:eastAsia="Arial" w:hAnsi="Arial"/>
          <w:b/>
          <w:bCs/>
          <w:color w:val="1F3864"/>
          <w:sz w:val="34"/>
          <w:szCs w:val="34"/>
        </w:rPr>
        <w:t xml:space="preserve">15. Future Scope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FF3CD" w:val="clear"/>
            <w:tcMar>
              <w:top w:type="dxa" w:w="80"/>
              <w:left w:type="dxa" w:w="120"/>
              <w:bottom w:type="dxa" w:w="80"/>
              <w:right w:type="dxa" w:w="120"/>
            </w:tcMar>
          </w:tcPr>
          <w:p>
            <w:r>
              <w:rPr>
                <w:rFonts w:ascii="Arial" w:cs="Arial" w:eastAsia="Arial" w:hAnsi="Arial"/>
                <w:sz w:val="17"/>
                <w:szCs w:val="17"/>
              </w:rPr>
              <w:t xml:space="preserve">Items below are confirmed out-of-scope for the 30-day hackathon build. They are not missing — they are correctly deferred.</w:t>
            </w:r>
          </w:p>
        </w:tc>
      </w:tr>
    </w:tbl>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1F3864" w:sz="2"/>
              <w:left w:val="single" w:color="1F3864" w:sz="2"/>
              <w:bottom w:val="single" w:color="1F3864" w:sz="2"/>
              <w:right w:val="single" w:color="1F3864" w:sz="2"/>
            </w:tcBorders>
            <w:shd w:fill="1F3864" w:val="clear"/>
            <w:tcMar>
              <w:top w:type="dxa" w:w="80"/>
              <w:left w:type="dxa" w:w="120"/>
              <w:bottom w:type="dxa" w:w="80"/>
              <w:right w:type="dxa" w:w="120"/>
            </w:tcMar>
          </w:tcPr>
          <w:p>
            <w:pPr>
              <w:jc w:val="center"/>
            </w:pPr>
            <w:r>
              <w:rPr>
                <w:rFonts w:ascii="Arial" w:cs="Arial" w:eastAsia="Arial" w:hAnsi="Arial"/>
                <w:b/>
                <w:bCs/>
                <w:color w:val="FFFFFF"/>
                <w:sz w:val="19"/>
                <w:szCs w:val="19"/>
              </w:rPr>
              <w:t xml:space="preserve">Feature</w:t>
            </w:r>
          </w:p>
        </w:tc>
        <w:tc>
          <w:tcPr>
            <w:tcW w:type="dxa" w:w="6240"/>
            <w:tcBorders>
              <w:top w:val="single" w:color="1F3864" w:sz="2"/>
              <w:left w:val="single" w:color="1F3864" w:sz="2"/>
              <w:bottom w:val="single" w:color="1F3864" w:sz="2"/>
              <w:right w:val="single" w:color="1F3864" w:sz="2"/>
            </w:tcBorders>
            <w:shd w:fill="1F3864" w:val="clear"/>
            <w:tcMar>
              <w:top w:type="dxa" w:w="80"/>
              <w:left w:type="dxa" w:w="120"/>
              <w:bottom w:type="dxa" w:w="80"/>
              <w:right w:type="dxa" w:w="120"/>
            </w:tcMar>
          </w:tcPr>
          <w:p>
            <w:pPr>
              <w:jc w:val="center"/>
            </w:pPr>
            <w:r>
              <w:rPr>
                <w:rFonts w:ascii="Arial" w:cs="Arial" w:eastAsia="Arial" w:hAnsi="Arial"/>
                <w:b/>
                <w:bCs/>
                <w:color w:val="FFFFFF"/>
                <w:sz w:val="19"/>
                <w:szCs w:val="19"/>
              </w:rPr>
              <w:t xml:space="preserve">Why Deferred</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EPFO API direct integration</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Restricted API. Requires formal partnership. Post-launch.</w:t>
            </w:r>
          </w:p>
        </w:tc>
      </w:tr>
      <w:tr>
        <w:tc>
          <w:tcPr>
            <w:tcW w:type="dxa" w:w="312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color w:val="000000"/>
                <w:sz w:val="18"/>
                <w:szCs w:val="18"/>
              </w:rPr>
              <w:t xml:space="preserve">GSP licence / live GST invoice data</w:t>
            </w:r>
          </w:p>
        </w:tc>
        <w:tc>
          <w:tcPr>
            <w:tcW w:type="dxa" w:w="624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color w:val="000000"/>
                <w:sz w:val="18"/>
                <w:szCs w:val="18"/>
              </w:rPr>
              <w:t xml:space="preserve">Requires GSTN licensing process. Months. Post-launch.</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Consortium fraud signal sharing across NBFCs</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Requires legal agreements, data sharing MoUs, enterprise sales. Strongest production moat.</w:t>
            </w:r>
          </w:p>
        </w:tc>
      </w:tr>
      <w:tr>
        <w:tc>
          <w:tcPr>
            <w:tcW w:type="dxa" w:w="312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color w:val="000000"/>
                <w:sz w:val="18"/>
                <w:szCs w:val="18"/>
              </w:rPr>
              <w:t xml:space="preserve">Continuous monitoring with daily score updates</w:t>
            </w:r>
          </w:p>
        </w:tc>
        <w:tc>
          <w:tcPr>
            <w:tcW w:type="dxa" w:w="624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color w:val="000000"/>
                <w:sz w:val="18"/>
                <w:szCs w:val="18"/>
              </w:rPr>
              <w:t xml:space="preserve">Needs production infrastructure, billing, customer onboarding.</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LOS integration (Finacle, BankFlex, Nucleus)</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Enterprise API partnerships. Post-revenue.</w:t>
            </w:r>
          </w:p>
        </w:tc>
      </w:tr>
      <w:tr>
        <w:tc>
          <w:tcPr>
            <w:tcW w:type="dxa" w:w="312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color w:val="000000"/>
                <w:sz w:val="18"/>
                <w:szCs w:val="18"/>
              </w:rPr>
              <w:t xml:space="preserve">LLP / partnership firm coverage</w:t>
            </w:r>
          </w:p>
        </w:tc>
        <w:tc>
          <w:tcPr>
            <w:tcW w:type="dxa" w:w="624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color w:val="000000"/>
                <w:sz w:val="18"/>
                <w:szCs w:val="18"/>
              </w:rPr>
              <w:t xml:space="preserve">Different regulatory framework, different data sources.</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Cross-border / offshore structure detection</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FATF data, beneficial ownership registries — mostly inaccessible.</w:t>
            </w:r>
          </w:p>
        </w:tc>
      </w:tr>
      <w:tr>
        <w:tc>
          <w:tcPr>
            <w:tcW w:type="dxa" w:w="312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color w:val="000000"/>
                <w:sz w:val="18"/>
                <w:szCs w:val="18"/>
              </w:rPr>
              <w:t xml:space="preserve">GAN-generated synthetic training data</w:t>
            </w:r>
          </w:p>
        </w:tc>
        <w:tc>
          <w:tcPr>
            <w:tcW w:type="dxa" w:w="624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color w:val="000000"/>
                <w:sz w:val="18"/>
                <w:szCs w:val="18"/>
              </w:rPr>
              <w:t xml:space="preserve">160 real fraud entity-years is insufficient for GAN training. Risk: mode collapse, distributional drift.</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Full probabilistic belief propagation</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Computationally complex. Needs validated fraud network at scale.</w:t>
            </w:r>
          </w:p>
        </w:tc>
      </w:tr>
      <w:tr>
        <w:tc>
          <w:tcPr>
            <w:tcW w:type="dxa" w:w="312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color w:val="000000"/>
                <w:sz w:val="18"/>
                <w:szCs w:val="18"/>
              </w:rPr>
              <w:t xml:space="preserve">Concept drift monitoring</w:t>
            </w:r>
          </w:p>
        </w:tc>
        <w:tc>
          <w:tcPr>
            <w:tcW w:type="dxa" w:w="624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color w:val="000000"/>
                <w:sz w:val="18"/>
                <w:szCs w:val="18"/>
              </w:rPr>
              <w:t xml:space="preserve">Needs production traffic volume. Evidently AI post-launch.</w:t>
            </w:r>
          </w:p>
        </w:tc>
      </w:tr>
    </w:tbl>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F3864" w:sz="2"/>
              <w:left w:val="single" w:color="1F3864" w:sz="2"/>
              <w:bottom w:val="single" w:color="1F3864" w:sz="2"/>
              <w:right w:val="single" w:color="1F3864" w:sz="2"/>
            </w:tcBorders>
            <w:shd w:fill="F8D7DA" w:val="clear"/>
            <w:tcMar>
              <w:top w:type="dxa" w:w="80"/>
              <w:left w:type="dxa" w:w="120"/>
              <w:bottom w:type="dxa" w:w="80"/>
              <w:right w:type="dxa" w:w="120"/>
            </w:tcMar>
          </w:tcPr>
          <w:p>
            <w:r>
              <w:rPr>
                <w:rFonts w:ascii="Arial" w:cs="Arial" w:eastAsia="Arial" w:hAnsi="Arial"/>
                <w:b/>
                <w:bCs/>
                <w:color w:val="721C24"/>
                <w:sz w:val="17"/>
                <w:szCs w:val="17"/>
              </w:rPr>
              <w:t xml:space="preserve">Final Note: If time runs out in Week 4, cut the Upload Portal and Benchmark screen. Never cut the IL&amp;FS demo, the Graph Explorer with evidence provenance, the ITC carousel view, or the DHFL evergreening view. Those four things are Sentinel-G. Everything else is polish.</w:t>
            </w:r>
          </w:p>
        </w:tc>
      </w:tr>
    </w:tbl>
    <w:p>
      <w:pPr>
        <w:spacing w:after="60" w:before="60"/>
      </w:pPr>
      <w:r>
        <w:t xml:space="preserve"/>
      </w:r>
    </w:p>
    <w:p>
      <w:pPr>
        <w:spacing w:after="100" w:before="200"/>
        <w:jc w:val="center"/>
      </w:pPr>
      <w:r>
        <w:rPr>
          <w:rFonts w:ascii="Arial" w:cs="Arial" w:eastAsia="Arial" w:hAnsi="Arial"/>
          <w:color w:val="999999"/>
          <w:sz w:val="16"/>
          <w:szCs w:val="16"/>
        </w:rPr>
        <w:t xml:space="preserve">Sentinel-G PRD v4.0 — Final — Confidential Team Document</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20"/>
      <w:outlineLvl w:val="0"/>
    </w:pPr>
    <w:rPr>
      <w:rFonts w:ascii="Arial" w:cs="Arial" w:eastAsia="Arial" w:hAnsi="Arial"/>
      <w:b/>
      <w:bCs/>
      <w:color w:val="1F3864"/>
      <w:sz w:val="34"/>
      <w:szCs w:val="34"/>
    </w:rPr>
  </w:style>
  <w:style w:type="paragraph" w:styleId="Heading2">
    <w:name w:val="Heading 2"/>
    <w:basedOn w:val="Normal"/>
    <w:next w:val="Normal"/>
    <w:qFormat/>
    <w:pPr>
      <w:spacing w:after="120" w:before="240"/>
      <w:outlineLvl w:val="1"/>
    </w:pPr>
    <w:rPr>
      <w:rFonts w:ascii="Arial" w:cs="Arial" w:eastAsia="Arial" w:hAnsi="Arial"/>
      <w:b/>
      <w:bCs/>
      <w:color w:val="2E4A7A"/>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2026-05-12T05:24:50.856Z</dcterms:created>
  <dcterms:modified xsi:type="dcterms:W3CDTF">2026-05-12T05:24:50.857Z</dcterms:modified>
</cp:coreProperties>
</file>

<file path=docProps/custom.xml><?xml version="1.0" encoding="utf-8"?>
<Properties xmlns="http://schemas.openxmlformats.org/officeDocument/2006/custom-properties" xmlns:vt="http://schemas.openxmlformats.org/officeDocument/2006/docPropsVTypes"/>
</file>