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3"/>
        </w:rPr>
      </w:pPr>
    </w:p>
    <w:p>
      <w:pPr>
        <w:pStyle w:val="BodyText"/>
        <w:spacing w:before="66"/>
        <w:ind w:left="194"/>
      </w:pPr>
      <w:r>
        <w:rPr/>
        <w:drawing>
          <wp:anchor distT="0" distB="0" distL="0" distR="0" allowOverlap="1" layoutInCell="1" locked="0" behindDoc="0" simplePos="0" relativeHeight="15730688">
            <wp:simplePos x="0" y="0"/>
            <wp:positionH relativeFrom="page">
              <wp:posOffset>5729604</wp:posOffset>
            </wp:positionH>
            <wp:positionV relativeFrom="paragraph">
              <wp:posOffset>-105029</wp:posOffset>
            </wp:positionV>
            <wp:extent cx="1332229" cy="39497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32229" cy="394970"/>
                    </a:xfrm>
                    <a:prstGeom prst="rect">
                      <a:avLst/>
                    </a:prstGeom>
                  </pic:spPr>
                </pic:pic>
              </a:graphicData>
            </a:graphic>
          </wp:anchor>
        </w:drawing>
      </w:r>
      <w:r>
        <w:rPr>
          <w:w w:val="105"/>
        </w:rPr>
        <w:t>2022 年 6 月 12 日</w:t>
      </w:r>
    </w:p>
    <w:p>
      <w:pPr>
        <w:pStyle w:val="BodyText"/>
        <w:spacing w:before="6"/>
        <w:rPr>
          <w:sz w:val="18"/>
        </w:rPr>
      </w:pPr>
    </w:p>
    <w:p>
      <w:pPr>
        <w:spacing w:before="0"/>
        <w:ind w:left="194" w:right="0" w:firstLine="0"/>
        <w:jc w:val="left"/>
        <w:rPr>
          <w:rFonts w:ascii="微软雅黑" w:eastAsia="微软雅黑" w:hint="eastAsia"/>
          <w:b/>
          <w:sz w:val="24"/>
        </w:rPr>
      </w:pPr>
      <w:bookmarkStart w:name="REPORTTITLE" w:id="1"/>
      <w:bookmarkEnd w:id="1"/>
      <w:r>
        <w:rPr/>
      </w:r>
      <w:r>
        <w:rPr>
          <w:rFonts w:ascii="微软雅黑" w:eastAsia="微软雅黑" w:hint="eastAsia"/>
          <w:b/>
          <w:sz w:val="24"/>
        </w:rPr>
        <w:t>行业研究</w:t>
      </w:r>
    </w:p>
    <w:p>
      <w:pPr>
        <w:spacing w:before="79"/>
        <w:ind w:left="194" w:right="0" w:firstLine="0"/>
        <w:jc w:val="left"/>
        <w:rPr>
          <w:rFonts w:ascii="微软雅黑" w:eastAsia="微软雅黑" w:hint="eastAsia"/>
          <w:b/>
          <w:sz w:val="32"/>
        </w:rPr>
      </w:pPr>
      <w:r>
        <w:rPr>
          <w:rFonts w:ascii="微软雅黑" w:eastAsia="微软雅黑" w:hint="eastAsia"/>
          <w:b/>
          <w:sz w:val="32"/>
        </w:rPr>
        <w:t>后来居上，中国肿瘤免疫细胞治疗惊艳亮相</w:t>
      </w:r>
    </w:p>
    <w:p>
      <w:pPr>
        <w:spacing w:before="76"/>
        <w:ind w:left="194" w:right="0" w:firstLine="0"/>
        <w:jc w:val="left"/>
        <w:rPr>
          <w:sz w:val="28"/>
        </w:rPr>
      </w:pPr>
      <w:r>
        <w:rPr/>
        <w:pict>
          <v:rect style="position:absolute;margin-left:36.720001pt;margin-top:28.119974pt;width:521.849025pt;height:3.0pt;mso-position-horizontal-relative:page;mso-position-vertical-relative:paragraph;z-index:-15728640;mso-wrap-distance-left:0;mso-wrap-distance-right:0" filled="true" fillcolor="#808080" stroked="false">
            <v:fill type="solid"/>
            <w10:wrap type="topAndBottom"/>
          </v:rect>
        </w:pict>
      </w:r>
      <w:r>
        <w:rPr>
          <w:w w:val="110"/>
          <w:sz w:val="28"/>
        </w:rPr>
        <w:t>——2022</w:t>
      </w:r>
      <w:r>
        <w:rPr>
          <w:spacing w:val="-94"/>
          <w:w w:val="110"/>
          <w:sz w:val="28"/>
        </w:rPr>
        <w:t> </w:t>
      </w:r>
      <w:r>
        <w:rPr>
          <w:w w:val="110"/>
          <w:sz w:val="28"/>
        </w:rPr>
        <w:t>ASCO</w:t>
      </w:r>
      <w:r>
        <w:rPr>
          <w:spacing w:val="-13"/>
          <w:w w:val="110"/>
          <w:sz w:val="28"/>
        </w:rPr>
        <w:t> 数据系列点评之三</w:t>
      </w:r>
    </w:p>
    <w:p>
      <w:pPr>
        <w:pStyle w:val="BodyText"/>
        <w:spacing w:before="2"/>
        <w:rPr>
          <w:sz w:val="10"/>
        </w:rPr>
      </w:pPr>
    </w:p>
    <w:p>
      <w:pPr>
        <w:spacing w:after="0"/>
        <w:rPr>
          <w:sz w:val="10"/>
        </w:rPr>
        <w:sectPr>
          <w:footerReference w:type="default" r:id="rId5"/>
          <w:type w:val="continuous"/>
          <w:pgSz w:w="11910" w:h="16840"/>
          <w:pgMar w:footer="139" w:top="520" w:bottom="320" w:left="540" w:right="520"/>
          <w:pgNumType w:start="1"/>
        </w:sectPr>
      </w:pPr>
    </w:p>
    <w:p>
      <w:pPr>
        <w:pStyle w:val="BodyText"/>
      </w:pPr>
    </w:p>
    <w:p>
      <w:pPr>
        <w:pStyle w:val="BodyText"/>
        <w:spacing w:before="2"/>
        <w:rPr>
          <w:sz w:val="24"/>
        </w:rPr>
      </w:pPr>
    </w:p>
    <w:p>
      <w:pPr>
        <w:spacing w:line="213" w:lineRule="auto" w:before="0"/>
        <w:ind w:left="194" w:right="62" w:firstLine="0"/>
        <w:jc w:val="both"/>
        <w:rPr>
          <w:sz w:val="20"/>
        </w:rPr>
      </w:pPr>
      <w:r>
        <w:rPr/>
        <w:pict>
          <v:group style="position:absolute;margin-left:37.049999pt;margin-top:-32.023563pt;width:339.55pt;height:22.5pt;mso-position-horizontal-relative:page;mso-position-vertical-relative:paragraph;z-index:15731200" coordorigin="741,-640" coordsize="6791,450">
            <v:shape style="position:absolute;left:741;top:-641;width:6791;height:450" type="#_x0000_t75" stroked="false">
              <v:imagedata r:id="rId7" o:title=""/>
            </v:shape>
            <v:shape style="position:absolute;left:885;top:-532;width:500;height:256" type="#_x0000_t202" filled="false" stroked="false">
              <v:textbox inset="0,0,0,0">
                <w:txbxContent>
                  <w:p>
                    <w:pPr>
                      <w:spacing w:line="256" w:lineRule="exact" w:before="0"/>
                      <w:ind w:left="0" w:right="0" w:firstLine="0"/>
                      <w:jc w:val="left"/>
                      <w:rPr>
                        <w:rFonts w:ascii="微软雅黑" w:eastAsia="微软雅黑" w:hint="eastAsia"/>
                        <w:b/>
                        <w:sz w:val="24"/>
                      </w:rPr>
                    </w:pPr>
                    <w:r>
                      <w:rPr>
                        <w:rFonts w:ascii="微软雅黑" w:eastAsia="微软雅黑" w:hint="eastAsia"/>
                        <w:b/>
                        <w:color w:val="FFFFFF"/>
                        <w:sz w:val="24"/>
                      </w:rPr>
                      <w:t>要点</w:t>
                    </w:r>
                  </w:p>
                </w:txbxContent>
              </v:textbox>
              <w10:wrap type="none"/>
            </v:shape>
            <w10:wrap type="none"/>
          </v:group>
        </w:pict>
      </w:r>
      <w:r>
        <w:rPr>
          <w:rFonts w:ascii="微软雅黑" w:eastAsia="微软雅黑" w:hint="eastAsia"/>
          <w:b/>
          <w:color w:val="C54322"/>
          <w:w w:val="95"/>
          <w:sz w:val="20"/>
        </w:rPr>
        <w:t>科济药业：CLDN18.2</w:t>
      </w:r>
      <w:r>
        <w:rPr>
          <w:rFonts w:ascii="微软雅黑" w:eastAsia="微软雅黑" w:hint="eastAsia"/>
          <w:b/>
          <w:color w:val="C54322"/>
          <w:spacing w:val="33"/>
          <w:w w:val="95"/>
          <w:sz w:val="20"/>
        </w:rPr>
        <w:t> </w:t>
      </w:r>
      <w:r>
        <w:rPr>
          <w:rFonts w:ascii="微软雅黑" w:eastAsia="微软雅黑" w:hint="eastAsia"/>
          <w:b/>
          <w:color w:val="C54322"/>
          <w:w w:val="95"/>
          <w:sz w:val="20"/>
        </w:rPr>
        <w:t>CAR-T(CT041)公布中美临床数据，抗肿瘤前景广阔。</w:t>
      </w:r>
      <w:r>
        <w:rPr>
          <w:w w:val="95"/>
          <w:sz w:val="20"/>
        </w:rPr>
        <w:t>1） </w:t>
      </w:r>
      <w:r>
        <w:rPr>
          <w:spacing w:val="-10"/>
          <w:sz w:val="20"/>
        </w:rPr>
        <w:t>美国多中心 </w:t>
      </w:r>
      <w:r>
        <w:rPr>
          <w:sz w:val="20"/>
        </w:rPr>
        <w:t>Ib</w:t>
      </w:r>
      <w:r>
        <w:rPr>
          <w:spacing w:val="-9"/>
          <w:sz w:val="20"/>
        </w:rPr>
        <w:t> 期试验结果显示，胃癌</w:t>
      </w:r>
      <w:r>
        <w:rPr>
          <w:sz w:val="20"/>
        </w:rPr>
        <w:t>/</w:t>
      </w:r>
      <w:r>
        <w:rPr>
          <w:spacing w:val="-2"/>
          <w:sz w:val="20"/>
        </w:rPr>
        <w:t>食管胃结合部腺癌患者</w:t>
      </w:r>
      <w:r>
        <w:rPr>
          <w:sz w:val="20"/>
        </w:rPr>
        <w:t>（</w:t>
      </w:r>
      <w:r>
        <w:rPr>
          <w:spacing w:val="-29"/>
          <w:sz w:val="20"/>
        </w:rPr>
        <w:t>共 </w:t>
      </w:r>
      <w:r>
        <w:rPr>
          <w:sz w:val="20"/>
        </w:rPr>
        <w:t>5</w:t>
      </w:r>
      <w:r>
        <w:rPr>
          <w:spacing w:val="-29"/>
          <w:sz w:val="20"/>
        </w:rPr>
        <w:t> 例</w:t>
      </w:r>
      <w:r>
        <w:rPr>
          <w:spacing w:val="-17"/>
          <w:sz w:val="20"/>
        </w:rPr>
        <w:t>）</w:t>
      </w:r>
      <w:r>
        <w:rPr>
          <w:sz w:val="20"/>
        </w:rPr>
        <w:t>中客观</w:t>
      </w:r>
      <w:r>
        <w:rPr>
          <w:w w:val="99"/>
          <w:sz w:val="20"/>
        </w:rPr>
        <w:t>缓解率（</w:t>
      </w:r>
      <w:r>
        <w:rPr>
          <w:w w:val="147"/>
          <w:sz w:val="20"/>
        </w:rPr>
        <w:t>O</w:t>
      </w:r>
      <w:r>
        <w:rPr>
          <w:w w:val="126"/>
          <w:sz w:val="20"/>
        </w:rPr>
        <w:t>R</w:t>
      </w:r>
      <w:r>
        <w:rPr>
          <w:spacing w:val="1"/>
          <w:w w:val="126"/>
          <w:sz w:val="20"/>
        </w:rPr>
        <w:t>R</w:t>
      </w:r>
      <w:r>
        <w:rPr>
          <w:spacing w:val="2"/>
          <w:w w:val="99"/>
          <w:sz w:val="20"/>
        </w:rPr>
        <w:t>）</w:t>
      </w:r>
      <w:r>
        <w:rPr>
          <w:w w:val="99"/>
          <w:sz w:val="20"/>
        </w:rPr>
        <w:t>为</w:t>
      </w:r>
      <w:r>
        <w:rPr>
          <w:spacing w:val="-50"/>
          <w:sz w:val="20"/>
        </w:rPr>
        <w:t> </w:t>
      </w:r>
      <w:r>
        <w:rPr>
          <w:rFonts w:ascii="微软雅黑" w:eastAsia="微软雅黑" w:hint="eastAsia"/>
          <w:b/>
          <w:spacing w:val="2"/>
          <w:w w:val="93"/>
          <w:sz w:val="20"/>
        </w:rPr>
        <w:t>60</w:t>
      </w:r>
      <w:r>
        <w:rPr>
          <w:rFonts w:ascii="微软雅黑" w:eastAsia="微软雅黑" w:hint="eastAsia"/>
          <w:b/>
          <w:spacing w:val="1"/>
          <w:w w:val="93"/>
          <w:sz w:val="20"/>
        </w:rPr>
        <w:t>%</w:t>
      </w:r>
      <w:r>
        <w:rPr>
          <w:spacing w:val="-2"/>
          <w:w w:val="99"/>
          <w:sz w:val="20"/>
        </w:rPr>
        <w:t>，其中</w:t>
      </w:r>
      <w:r>
        <w:rPr>
          <w:spacing w:val="-50"/>
          <w:sz w:val="20"/>
        </w:rPr>
        <w:t> </w:t>
      </w:r>
      <w:r>
        <w:rPr>
          <w:w w:val="110"/>
          <w:sz w:val="20"/>
        </w:rPr>
        <w:t>1</w:t>
      </w:r>
      <w:r>
        <w:rPr>
          <w:spacing w:val="-50"/>
          <w:sz w:val="20"/>
        </w:rPr>
        <w:t> </w:t>
      </w:r>
      <w:r>
        <w:rPr>
          <w:w w:val="99"/>
          <w:sz w:val="20"/>
        </w:rPr>
        <w:t>例患者实现了完全缓解</w:t>
      </w:r>
      <w:r>
        <w:rPr>
          <w:spacing w:val="1"/>
          <w:w w:val="99"/>
          <w:sz w:val="20"/>
        </w:rPr>
        <w:t>（</w:t>
      </w:r>
      <w:r>
        <w:rPr>
          <w:w w:val="126"/>
          <w:sz w:val="20"/>
        </w:rPr>
        <w:t>CR</w:t>
      </w:r>
      <w:r>
        <w:rPr>
          <w:w w:val="99"/>
          <w:sz w:val="20"/>
        </w:rPr>
        <w:t>）</w:t>
      </w:r>
      <w:r>
        <w:rPr>
          <w:spacing w:val="2"/>
          <w:w w:val="99"/>
          <w:sz w:val="20"/>
        </w:rPr>
        <w:t>；</w:t>
      </w:r>
      <w:r>
        <w:rPr>
          <w:spacing w:val="-1"/>
          <w:w w:val="110"/>
          <w:sz w:val="20"/>
        </w:rPr>
        <w:t>2</w:t>
      </w:r>
      <w:r>
        <w:rPr>
          <w:w w:val="99"/>
          <w:sz w:val="20"/>
        </w:rPr>
        <w:t>）</w:t>
      </w:r>
      <w:r>
        <w:rPr>
          <w:spacing w:val="1"/>
          <w:w w:val="99"/>
          <w:sz w:val="20"/>
        </w:rPr>
        <w:t>中国</w:t>
      </w:r>
      <w:r>
        <w:rPr>
          <w:spacing w:val="-49"/>
          <w:sz w:val="20"/>
        </w:rPr>
        <w:t> </w:t>
      </w:r>
      <w:r>
        <w:rPr>
          <w:spacing w:val="-1"/>
          <w:w w:val="58"/>
          <w:sz w:val="20"/>
        </w:rPr>
        <w:t>I</w:t>
      </w:r>
      <w:r>
        <w:rPr>
          <w:spacing w:val="-1"/>
          <w:w w:val="123"/>
          <w:sz w:val="20"/>
        </w:rPr>
        <w:t>b</w:t>
      </w:r>
      <w:r>
        <w:rPr>
          <w:spacing w:val="3"/>
          <w:w w:val="78"/>
          <w:sz w:val="20"/>
        </w:rPr>
        <w:t>/</w:t>
      </w:r>
      <w:r>
        <w:rPr>
          <w:spacing w:val="-1"/>
          <w:w w:val="58"/>
          <w:sz w:val="20"/>
        </w:rPr>
        <w:t>I</w:t>
      </w:r>
      <w:r>
        <w:rPr>
          <w:w w:val="58"/>
          <w:sz w:val="20"/>
        </w:rPr>
        <w:t>I</w:t>
      </w:r>
      <w:r>
        <w:rPr>
          <w:sz w:val="20"/>
        </w:rPr>
        <w:t>期研究结果表明，14</w:t>
      </w:r>
      <w:r>
        <w:rPr>
          <w:spacing w:val="-8"/>
          <w:sz w:val="20"/>
        </w:rPr>
        <w:t> 例患者中有 </w:t>
      </w:r>
      <w:r>
        <w:rPr>
          <w:sz w:val="20"/>
        </w:rPr>
        <w:t>8</w:t>
      </w:r>
      <w:r>
        <w:rPr>
          <w:spacing w:val="-14"/>
          <w:sz w:val="20"/>
        </w:rPr>
        <w:t> 例</w:t>
      </w:r>
      <w:r>
        <w:rPr>
          <w:sz w:val="20"/>
        </w:rPr>
        <w:t>（57.1%）</w:t>
      </w:r>
      <w:r>
        <w:rPr>
          <w:spacing w:val="-11"/>
          <w:sz w:val="20"/>
        </w:rPr>
        <w:t>在 </w:t>
      </w:r>
      <w:r>
        <w:rPr>
          <w:sz w:val="20"/>
        </w:rPr>
        <w:t>CT041</w:t>
      </w:r>
      <w:r>
        <w:rPr>
          <w:spacing w:val="-5"/>
          <w:sz w:val="20"/>
        </w:rPr>
        <w:t> 首次输注后的首次肿瘤评估即达到部分缓解</w:t>
      </w:r>
      <w:r>
        <w:rPr>
          <w:spacing w:val="-5"/>
          <w:w w:val="105"/>
          <w:sz w:val="20"/>
        </w:rPr>
        <w:t>，ORR</w:t>
      </w:r>
      <w:r>
        <w:rPr>
          <w:spacing w:val="-27"/>
          <w:w w:val="105"/>
          <w:sz w:val="20"/>
        </w:rPr>
        <w:t> </w:t>
      </w:r>
      <w:r>
        <w:rPr>
          <w:spacing w:val="-12"/>
          <w:sz w:val="20"/>
        </w:rPr>
        <w:t>为 </w:t>
      </w:r>
      <w:r>
        <w:rPr>
          <w:rFonts w:ascii="微软雅黑" w:eastAsia="微软雅黑" w:hint="eastAsia"/>
          <w:b/>
          <w:sz w:val="20"/>
        </w:rPr>
        <w:t>57.1%</w:t>
      </w:r>
      <w:r>
        <w:rPr>
          <w:sz w:val="20"/>
        </w:rPr>
        <w:t>。目前初步研究结果表明，CT041</w:t>
      </w:r>
      <w:r>
        <w:rPr>
          <w:spacing w:val="-8"/>
          <w:sz w:val="20"/>
        </w:rPr>
        <w:t> 在接受过治疗的晚期胃癌/食管胃结合部腺癌患者中具有可控的安全性/耐受性和有</w:t>
      </w:r>
    </w:p>
    <w:p>
      <w:pPr>
        <w:pStyle w:val="BodyText"/>
        <w:spacing w:before="30"/>
        <w:ind w:left="194"/>
      </w:pPr>
      <w:r>
        <w:rPr/>
        <w:t>前景的抗肿瘤疗效</w:t>
      </w:r>
    </w:p>
    <w:p>
      <w:pPr>
        <w:spacing w:line="237" w:lineRule="auto" w:before="79"/>
        <w:ind w:left="194" w:right="97" w:firstLine="0"/>
        <w:jc w:val="both"/>
        <w:rPr>
          <w:sz w:val="20"/>
        </w:rPr>
      </w:pPr>
      <w:r>
        <w:rPr>
          <w:rFonts w:ascii="微软雅黑" w:hAnsi="微软雅黑" w:eastAsia="微软雅黑" w:hint="eastAsia"/>
          <w:b/>
          <w:color w:val="C54322"/>
          <w:spacing w:val="-3"/>
          <w:sz w:val="20"/>
        </w:rPr>
        <w:t>药明巨诺：</w:t>
      </w:r>
      <w:r>
        <w:rPr>
          <w:rFonts w:ascii="微软雅黑" w:hAnsi="微软雅黑" w:eastAsia="微软雅黑" w:hint="eastAsia"/>
          <w:b/>
          <w:color w:val="C54322"/>
          <w:spacing w:val="-13"/>
          <w:sz w:val="20"/>
        </w:rPr>
        <w:t>CD19 </w:t>
      </w:r>
      <w:r>
        <w:rPr>
          <w:rFonts w:ascii="微软雅黑" w:hAnsi="微软雅黑" w:eastAsia="微软雅黑" w:hint="eastAsia"/>
          <w:b/>
          <w:color w:val="C54322"/>
          <w:sz w:val="20"/>
        </w:rPr>
        <w:t>CAR-T</w:t>
      </w:r>
      <w:r>
        <w:rPr>
          <w:rFonts w:ascii="微软雅黑" w:hAnsi="微软雅黑" w:eastAsia="微软雅黑" w:hint="eastAsia"/>
          <w:b/>
          <w:color w:val="C54322"/>
          <w:spacing w:val="-5"/>
          <w:sz w:val="20"/>
        </w:rPr>
        <w:t>(倍诺达)展现 </w:t>
      </w:r>
      <w:r>
        <w:rPr>
          <w:rFonts w:ascii="微软雅黑" w:hAnsi="微软雅黑" w:eastAsia="微软雅黑" w:hint="eastAsia"/>
          <w:b/>
          <w:color w:val="C54322"/>
          <w:sz w:val="20"/>
        </w:rPr>
        <w:t>me-better</w:t>
      </w:r>
      <w:r>
        <w:rPr>
          <w:rFonts w:ascii="微软雅黑" w:hAnsi="微软雅黑" w:eastAsia="微软雅黑" w:hint="eastAsia"/>
          <w:b/>
          <w:color w:val="C54322"/>
          <w:spacing w:val="-13"/>
          <w:sz w:val="20"/>
        </w:rPr>
        <w:t> 潜力的竞争优势。</w:t>
      </w:r>
      <w:r>
        <w:rPr>
          <w:spacing w:val="-7"/>
          <w:sz w:val="20"/>
        </w:rPr>
        <w:t>1）RELIANCE </w:t>
      </w:r>
      <w:r>
        <w:rPr>
          <w:sz w:val="20"/>
        </w:rPr>
        <w:t>临床研究两年随访数据表明，倍诺达®为患者带来了持续缓解和长期生存，并具</w:t>
      </w:r>
      <w:r>
        <w:rPr>
          <w:spacing w:val="-5"/>
          <w:sz w:val="20"/>
        </w:rPr>
        <w:t>有良好的安全性。在 </w:t>
      </w:r>
      <w:r>
        <w:rPr>
          <w:sz w:val="20"/>
        </w:rPr>
        <w:t>58</w:t>
      </w:r>
      <w:r>
        <w:rPr>
          <w:spacing w:val="-7"/>
          <w:sz w:val="20"/>
        </w:rPr>
        <w:t> 例可评估有效性的患者中，其两年随访数据的最佳客观</w:t>
      </w:r>
    </w:p>
    <w:p>
      <w:pPr>
        <w:pStyle w:val="BodyText"/>
        <w:spacing w:line="312" w:lineRule="exact"/>
        <w:ind w:left="194"/>
        <w:jc w:val="both"/>
      </w:pPr>
      <w:r>
        <w:rPr>
          <w:spacing w:val="-24"/>
          <w:w w:val="99"/>
        </w:rPr>
        <w:t>缓解率</w:t>
      </w:r>
      <w:r>
        <w:rPr>
          <w:w w:val="99"/>
        </w:rPr>
        <w:t>（</w:t>
      </w:r>
      <w:r>
        <w:rPr>
          <w:w w:val="147"/>
        </w:rPr>
        <w:t>O</w:t>
      </w:r>
      <w:r>
        <w:rPr>
          <w:w w:val="126"/>
        </w:rPr>
        <w:t>R</w:t>
      </w:r>
      <w:r>
        <w:rPr>
          <w:spacing w:val="1"/>
          <w:w w:val="126"/>
        </w:rPr>
        <w:t>R</w:t>
      </w:r>
      <w:r>
        <w:rPr>
          <w:spacing w:val="-70"/>
          <w:w w:val="99"/>
        </w:rPr>
        <w:t>）</w:t>
      </w:r>
      <w:r>
        <w:rPr>
          <w:w w:val="99"/>
        </w:rPr>
        <w:t>为</w:t>
      </w:r>
      <w:r>
        <w:rPr>
          <w:spacing w:val="-50"/>
        </w:rPr>
        <w:t> </w:t>
      </w:r>
      <w:r>
        <w:rPr>
          <w:rFonts w:ascii="微软雅黑" w:eastAsia="微软雅黑" w:hint="eastAsia"/>
          <w:b/>
          <w:spacing w:val="2"/>
          <w:w w:val="89"/>
        </w:rPr>
        <w:t>77</w:t>
      </w:r>
      <w:r>
        <w:rPr>
          <w:rFonts w:ascii="微软雅黑" w:eastAsia="微软雅黑" w:hint="eastAsia"/>
          <w:b/>
          <w:w w:val="91"/>
        </w:rPr>
        <w:t>.</w:t>
      </w:r>
      <w:r>
        <w:rPr>
          <w:rFonts w:ascii="微软雅黑" w:eastAsia="微软雅黑" w:hint="eastAsia"/>
          <w:b/>
          <w:spacing w:val="1"/>
          <w:w w:val="91"/>
        </w:rPr>
        <w:t>6</w:t>
      </w:r>
      <w:r>
        <w:rPr>
          <w:rFonts w:ascii="微软雅黑" w:eastAsia="微软雅黑" w:hint="eastAsia"/>
          <w:b/>
          <w:spacing w:val="2"/>
          <w:w w:val="98"/>
        </w:rPr>
        <w:t>%</w:t>
      </w:r>
      <w:r>
        <w:rPr>
          <w:spacing w:val="-10"/>
          <w:w w:val="99"/>
        </w:rPr>
        <w:t>，优于同类竞争对手</w:t>
      </w:r>
      <w:r>
        <w:rPr>
          <w:spacing w:val="-49"/>
        </w:rPr>
        <w:t> </w:t>
      </w:r>
      <w:r>
        <w:rPr>
          <w:spacing w:val="3"/>
          <w:w w:val="130"/>
        </w:rPr>
        <w:t>B</w:t>
      </w:r>
      <w:r>
        <w:rPr>
          <w:spacing w:val="-1"/>
          <w:w w:val="161"/>
        </w:rPr>
        <w:t>M</w:t>
      </w:r>
      <w:r>
        <w:rPr>
          <w:spacing w:val="-69"/>
          <w:w w:val="118"/>
        </w:rPr>
        <w:t>S</w:t>
      </w:r>
      <w:r>
        <w:rPr>
          <w:w w:val="99"/>
        </w:rPr>
        <w:t>（产品</w:t>
      </w:r>
      <w:r>
        <w:rPr>
          <w:spacing w:val="-48"/>
        </w:rPr>
        <w:t> </w:t>
      </w:r>
      <w:r>
        <w:rPr>
          <w:spacing w:val="1"/>
          <w:w w:val="130"/>
        </w:rPr>
        <w:t>B</w:t>
      </w:r>
      <w:r>
        <w:rPr>
          <w:w w:val="97"/>
        </w:rPr>
        <w:t>re</w:t>
      </w:r>
      <w:r>
        <w:rPr>
          <w:spacing w:val="-1"/>
          <w:w w:val="97"/>
        </w:rPr>
        <w:t>y</w:t>
      </w:r>
      <w:r>
        <w:rPr>
          <w:w w:val="117"/>
        </w:rPr>
        <w:t>a</w:t>
      </w:r>
      <w:r>
        <w:rPr>
          <w:spacing w:val="1"/>
          <w:w w:val="117"/>
        </w:rPr>
        <w:t>n</w:t>
      </w:r>
      <w:r>
        <w:rPr>
          <w:spacing w:val="-1"/>
          <w:w w:val="94"/>
        </w:rPr>
        <w:t>z</w:t>
      </w:r>
      <w:r>
        <w:rPr>
          <w:w w:val="54"/>
        </w:rPr>
        <w:t>i</w:t>
      </w:r>
      <w:r>
        <w:rPr>
          <w:spacing w:val="-55"/>
        </w:rPr>
        <w:t> </w:t>
      </w:r>
      <w:r>
        <w:rPr>
          <w:w w:val="147"/>
        </w:rPr>
        <w:t>O</w:t>
      </w:r>
      <w:r>
        <w:rPr>
          <w:w w:val="126"/>
        </w:rPr>
        <w:t>RR</w:t>
      </w:r>
      <w:r>
        <w:rPr>
          <w:spacing w:val="-48"/>
        </w:rPr>
        <w:t> </w:t>
      </w:r>
      <w:r>
        <w:rPr>
          <w:w w:val="99"/>
        </w:rPr>
        <w:t>为</w:t>
      </w:r>
      <w:r>
        <w:rPr>
          <w:spacing w:val="-50"/>
        </w:rPr>
        <w:t> </w:t>
      </w:r>
      <w:r>
        <w:rPr>
          <w:w w:val="110"/>
        </w:rPr>
        <w:t>7</w:t>
      </w:r>
      <w:r>
        <w:rPr>
          <w:spacing w:val="1"/>
          <w:w w:val="110"/>
        </w:rPr>
        <w:t>3</w:t>
      </w:r>
      <w:r>
        <w:rPr>
          <w:spacing w:val="-1"/>
          <w:w w:val="183"/>
        </w:rPr>
        <w:t>%</w:t>
      </w:r>
      <w:r>
        <w:rPr>
          <w:w w:val="99"/>
        </w:rPr>
        <w:t>）</w:t>
      </w:r>
    </w:p>
    <w:p>
      <w:pPr>
        <w:pStyle w:val="BodyText"/>
        <w:spacing w:line="192" w:lineRule="auto" w:before="25"/>
        <w:ind w:left="194" w:right="95"/>
        <w:jc w:val="both"/>
      </w:pPr>
      <w:r>
        <w:rPr>
          <w:spacing w:val="-10"/>
          <w:w w:val="105"/>
        </w:rPr>
        <w:t>以及吉利德</w:t>
      </w:r>
      <w:r>
        <w:rPr>
          <w:w w:val="105"/>
        </w:rPr>
        <w:t>（</w:t>
      </w:r>
      <w:r>
        <w:rPr>
          <w:spacing w:val="-23"/>
          <w:w w:val="105"/>
        </w:rPr>
        <w:t>产品 </w:t>
      </w:r>
      <w:r>
        <w:rPr>
          <w:w w:val="105"/>
        </w:rPr>
        <w:t>Yescarta</w:t>
      </w:r>
      <w:r>
        <w:rPr>
          <w:spacing w:val="-72"/>
          <w:w w:val="105"/>
        </w:rPr>
        <w:t> </w:t>
      </w:r>
      <w:r>
        <w:rPr>
          <w:w w:val="105"/>
        </w:rPr>
        <w:t>ORR</w:t>
      </w:r>
      <w:r>
        <w:rPr>
          <w:spacing w:val="-45"/>
          <w:w w:val="105"/>
        </w:rPr>
        <w:t> 为 </w:t>
      </w:r>
      <w:r>
        <w:rPr>
          <w:spacing w:val="-21"/>
          <w:w w:val="105"/>
        </w:rPr>
        <w:t>72%）；2）</w:t>
      </w:r>
      <w:r>
        <w:rPr>
          <w:w w:val="105"/>
        </w:rPr>
        <w:t>倍诺达®</w:t>
      </w:r>
      <w:r>
        <w:rPr>
          <w:spacing w:val="-17"/>
          <w:w w:val="105"/>
        </w:rPr>
        <w:t>在二线 </w:t>
      </w:r>
      <w:r>
        <w:rPr>
          <w:w w:val="105"/>
        </w:rPr>
        <w:t>LBCL</w:t>
      </w:r>
      <w:r>
        <w:rPr>
          <w:spacing w:val="-34"/>
          <w:w w:val="105"/>
        </w:rPr>
        <w:t> 以及 </w:t>
      </w:r>
      <w:r>
        <w:rPr/>
        <w:t>r/r</w:t>
      </w:r>
      <w:r>
        <w:rPr>
          <w:spacing w:val="-68"/>
        </w:rPr>
        <w:t> </w:t>
      </w:r>
      <w:r>
        <w:rPr>
          <w:w w:val="105"/>
        </w:rPr>
        <w:t>B- </w:t>
      </w:r>
      <w:r>
        <w:rPr>
          <w:w w:val="144"/>
        </w:rPr>
        <w:t>N</w:t>
      </w:r>
      <w:r>
        <w:rPr>
          <w:spacing w:val="-1"/>
          <w:w w:val="144"/>
        </w:rPr>
        <w:t>H</w:t>
      </w:r>
      <w:r>
        <w:rPr>
          <w:w w:val="107"/>
        </w:rPr>
        <w:t>L</w:t>
      </w:r>
      <w:r>
        <w:rPr>
          <w:spacing w:val="-55"/>
        </w:rPr>
        <w:t> </w:t>
      </w:r>
      <w:r>
        <w:rPr>
          <w:w w:val="99"/>
        </w:rPr>
        <w:t>患者的治疗中同样具有可控的安全性</w:t>
      </w:r>
      <w:r>
        <w:rPr>
          <w:spacing w:val="1"/>
          <w:w w:val="78"/>
        </w:rPr>
        <w:t>/</w:t>
      </w:r>
      <w:r>
        <w:rPr>
          <w:spacing w:val="-12"/>
          <w:w w:val="99"/>
        </w:rPr>
        <w:t>耐受性以及有效性，</w:t>
      </w:r>
      <w:r>
        <w:rPr>
          <w:w w:val="147"/>
        </w:rPr>
        <w:t>O</w:t>
      </w:r>
      <w:r>
        <w:rPr>
          <w:w w:val="126"/>
        </w:rPr>
        <w:t>RR</w:t>
      </w:r>
      <w:r>
        <w:rPr>
          <w:spacing w:val="-56"/>
        </w:rPr>
        <w:t> </w:t>
      </w:r>
      <w:r>
        <w:rPr>
          <w:w w:val="99"/>
        </w:rPr>
        <w:t>分别为</w:t>
      </w:r>
      <w:r>
        <w:rPr>
          <w:spacing w:val="-57"/>
        </w:rPr>
        <w:t> </w:t>
      </w:r>
      <w:r>
        <w:rPr>
          <w:rFonts w:ascii="微软雅黑" w:hAnsi="微软雅黑" w:eastAsia="微软雅黑" w:hint="eastAsia"/>
          <w:b/>
          <w:spacing w:val="-2"/>
          <w:w w:val="93"/>
        </w:rPr>
        <w:t>75%</w:t>
      </w:r>
      <w:r>
        <w:rPr>
          <w:spacing w:val="-31"/>
          <w:w w:val="110"/>
        </w:rPr>
        <w:t>和 </w:t>
      </w:r>
      <w:r>
        <w:rPr>
          <w:rFonts w:ascii="微软雅黑" w:hAnsi="微软雅黑" w:eastAsia="微软雅黑" w:hint="eastAsia"/>
          <w:b/>
          <w:w w:val="110"/>
        </w:rPr>
        <w:t>85%</w:t>
      </w:r>
      <w:r>
        <w:rPr>
          <w:w w:val="110"/>
        </w:rPr>
        <w:t>。</w:t>
      </w:r>
    </w:p>
    <w:p>
      <w:pPr>
        <w:spacing w:line="218" w:lineRule="auto" w:before="76"/>
        <w:ind w:left="194" w:right="107" w:firstLine="0"/>
        <w:jc w:val="both"/>
        <w:rPr>
          <w:sz w:val="20"/>
        </w:rPr>
      </w:pPr>
      <w:r>
        <w:rPr>
          <w:rFonts w:ascii="微软雅黑" w:eastAsia="微软雅黑" w:hint="eastAsia"/>
          <w:b/>
          <w:color w:val="C54322"/>
          <w:spacing w:val="-2"/>
          <w:sz w:val="20"/>
        </w:rPr>
        <w:t>香雪制药：首个国产 </w:t>
      </w:r>
      <w:r>
        <w:rPr>
          <w:rFonts w:ascii="微软雅黑" w:eastAsia="微软雅黑" w:hint="eastAsia"/>
          <w:b/>
          <w:color w:val="C54322"/>
          <w:sz w:val="20"/>
        </w:rPr>
        <w:t>TCR-T</w:t>
      </w:r>
      <w:r>
        <w:rPr>
          <w:rFonts w:ascii="微软雅黑" w:eastAsia="微软雅黑" w:hint="eastAsia"/>
          <w:b/>
          <w:color w:val="C54322"/>
          <w:spacing w:val="-5"/>
          <w:sz w:val="20"/>
        </w:rPr>
        <w:t> 细胞疗法 </w:t>
      </w:r>
      <w:r>
        <w:rPr>
          <w:rFonts w:ascii="微软雅黑" w:eastAsia="微软雅黑" w:hint="eastAsia"/>
          <w:b/>
          <w:color w:val="C54322"/>
          <w:sz w:val="20"/>
        </w:rPr>
        <w:t>I</w:t>
      </w:r>
      <w:r>
        <w:rPr>
          <w:rFonts w:ascii="微软雅黑" w:eastAsia="微软雅黑" w:hint="eastAsia"/>
          <w:b/>
          <w:color w:val="C54322"/>
          <w:spacing w:val="-4"/>
          <w:sz w:val="20"/>
        </w:rPr>
        <w:t> 期数据优秀。</w:t>
      </w:r>
      <w:r>
        <w:rPr>
          <w:sz w:val="20"/>
        </w:rPr>
        <w:t>香雪制药核心产品</w:t>
      </w:r>
      <w:r>
        <w:rPr>
          <w:w w:val="119"/>
          <w:sz w:val="20"/>
        </w:rPr>
        <w:t>T</w:t>
      </w:r>
      <w:r>
        <w:rPr>
          <w:spacing w:val="-1"/>
          <w:w w:val="120"/>
          <w:sz w:val="20"/>
        </w:rPr>
        <w:t>A</w:t>
      </w:r>
      <w:r>
        <w:rPr>
          <w:w w:val="118"/>
          <w:sz w:val="20"/>
        </w:rPr>
        <w:t>E</w:t>
      </w:r>
      <w:r>
        <w:rPr>
          <w:spacing w:val="1"/>
          <w:w w:val="118"/>
          <w:sz w:val="20"/>
        </w:rPr>
        <w:t>S</w:t>
      </w:r>
      <w:r>
        <w:rPr>
          <w:w w:val="119"/>
          <w:sz w:val="20"/>
        </w:rPr>
        <w:t>T</w:t>
      </w:r>
      <w:r>
        <w:rPr>
          <w:w w:val="110"/>
          <w:sz w:val="20"/>
        </w:rPr>
        <w:t>160</w:t>
      </w:r>
      <w:r>
        <w:rPr>
          <w:spacing w:val="-1"/>
          <w:w w:val="110"/>
          <w:sz w:val="20"/>
        </w:rPr>
        <w:t>0</w:t>
      </w:r>
      <w:r>
        <w:rPr>
          <w:w w:val="110"/>
          <w:sz w:val="20"/>
        </w:rPr>
        <w:t>1</w:t>
      </w:r>
      <w:r>
        <w:rPr>
          <w:spacing w:val="-47"/>
          <w:sz w:val="20"/>
        </w:rPr>
        <w:t> </w:t>
      </w:r>
      <w:r>
        <w:rPr>
          <w:w w:val="99"/>
          <w:sz w:val="20"/>
        </w:rPr>
        <w:t>是中国首个获得</w:t>
      </w:r>
      <w:r>
        <w:rPr>
          <w:spacing w:val="-50"/>
          <w:sz w:val="20"/>
        </w:rPr>
        <w:t> </w:t>
      </w:r>
      <w:r>
        <w:rPr>
          <w:spacing w:val="-1"/>
          <w:w w:val="58"/>
          <w:sz w:val="20"/>
        </w:rPr>
        <w:t>I</w:t>
      </w:r>
      <w:r>
        <w:rPr>
          <w:w w:val="140"/>
          <w:sz w:val="20"/>
        </w:rPr>
        <w:t>ND</w:t>
      </w:r>
      <w:r>
        <w:rPr>
          <w:spacing w:val="-50"/>
          <w:sz w:val="20"/>
        </w:rPr>
        <w:t> </w:t>
      </w:r>
      <w:r>
        <w:rPr>
          <w:w w:val="99"/>
          <w:sz w:val="20"/>
        </w:rPr>
        <w:t>批件的</w:t>
      </w:r>
      <w:r>
        <w:rPr>
          <w:spacing w:val="-49"/>
          <w:sz w:val="20"/>
        </w:rPr>
        <w:t> </w:t>
      </w:r>
      <w:r>
        <w:rPr>
          <w:w w:val="119"/>
          <w:sz w:val="20"/>
        </w:rPr>
        <w:t>T</w:t>
      </w:r>
      <w:r>
        <w:rPr>
          <w:w w:val="126"/>
          <w:sz w:val="20"/>
        </w:rPr>
        <w:t>C</w:t>
      </w:r>
      <w:r>
        <w:rPr>
          <w:spacing w:val="1"/>
          <w:w w:val="126"/>
          <w:sz w:val="20"/>
        </w:rPr>
        <w:t>R</w:t>
      </w:r>
      <w:r>
        <w:rPr>
          <w:w w:val="69"/>
          <w:sz w:val="20"/>
        </w:rPr>
        <w:t>-</w:t>
      </w:r>
      <w:r>
        <w:rPr>
          <w:w w:val="119"/>
          <w:sz w:val="20"/>
        </w:rPr>
        <w:t>T</w:t>
      </w:r>
      <w:r>
        <w:rPr>
          <w:spacing w:val="-49"/>
          <w:sz w:val="20"/>
        </w:rPr>
        <w:t> </w:t>
      </w:r>
      <w:r>
        <w:rPr>
          <w:w w:val="99"/>
          <w:sz w:val="20"/>
        </w:rPr>
        <w:t>免疫细胞疗法，且已于</w:t>
      </w:r>
      <w:r>
        <w:rPr>
          <w:spacing w:val="-49"/>
          <w:sz w:val="20"/>
        </w:rPr>
        <w:t> </w:t>
      </w:r>
      <w:r>
        <w:rPr>
          <w:w w:val="110"/>
          <w:sz w:val="20"/>
        </w:rPr>
        <w:t>20</w:t>
      </w:r>
      <w:r>
        <w:rPr>
          <w:spacing w:val="1"/>
          <w:w w:val="110"/>
          <w:sz w:val="20"/>
        </w:rPr>
        <w:t>2</w:t>
      </w:r>
      <w:r>
        <w:rPr>
          <w:w w:val="110"/>
          <w:sz w:val="20"/>
        </w:rPr>
        <w:t>0</w:t>
      </w:r>
    </w:p>
    <w:p>
      <w:pPr>
        <w:pStyle w:val="BodyText"/>
        <w:spacing w:line="213" w:lineRule="auto" w:before="48"/>
        <w:ind w:left="194" w:right="107"/>
        <w:jc w:val="both"/>
      </w:pPr>
      <w:r>
        <w:rPr>
          <w:w w:val="99"/>
        </w:rPr>
        <w:t>年获得美国</w:t>
      </w:r>
      <w:r>
        <w:rPr>
          <w:spacing w:val="-49"/>
        </w:rPr>
        <w:t> </w:t>
      </w:r>
      <w:r>
        <w:rPr>
          <w:w w:val="122"/>
        </w:rPr>
        <w:t>FDA</w:t>
      </w:r>
      <w:r>
        <w:rPr>
          <w:spacing w:val="-51"/>
        </w:rPr>
        <w:t> </w:t>
      </w:r>
      <w:r>
        <w:rPr>
          <w:w w:val="99"/>
        </w:rPr>
        <w:t>的</w:t>
      </w:r>
      <w:r>
        <w:rPr>
          <w:spacing w:val="-48"/>
        </w:rPr>
        <w:t> </w:t>
      </w:r>
      <w:r>
        <w:rPr>
          <w:spacing w:val="-1"/>
          <w:w w:val="58"/>
        </w:rPr>
        <w:t>I</w:t>
      </w:r>
      <w:r>
        <w:rPr>
          <w:w w:val="140"/>
        </w:rPr>
        <w:t>ND</w:t>
      </w:r>
      <w:r>
        <w:rPr>
          <w:spacing w:val="-50"/>
        </w:rPr>
        <w:t> </w:t>
      </w:r>
      <w:r>
        <w:rPr>
          <w:w w:val="99"/>
        </w:rPr>
        <w:t>批件。</w:t>
      </w:r>
      <w:r>
        <w:rPr>
          <w:w w:val="119"/>
        </w:rPr>
        <w:t>T</w:t>
      </w:r>
      <w:r>
        <w:rPr>
          <w:spacing w:val="-1"/>
          <w:w w:val="120"/>
        </w:rPr>
        <w:t>A</w:t>
      </w:r>
      <w:r>
        <w:rPr>
          <w:w w:val="118"/>
        </w:rPr>
        <w:t>E</w:t>
      </w:r>
      <w:r>
        <w:rPr>
          <w:spacing w:val="1"/>
          <w:w w:val="118"/>
        </w:rPr>
        <w:t>S</w:t>
      </w:r>
      <w:r>
        <w:rPr>
          <w:w w:val="119"/>
        </w:rPr>
        <w:t>T</w:t>
      </w:r>
      <w:r>
        <w:rPr>
          <w:w w:val="110"/>
        </w:rPr>
        <w:t>1</w:t>
      </w:r>
      <w:r>
        <w:rPr>
          <w:spacing w:val="1"/>
          <w:w w:val="110"/>
        </w:rPr>
        <w:t>6</w:t>
      </w:r>
      <w:r>
        <w:rPr>
          <w:w w:val="110"/>
        </w:rPr>
        <w:t>001</w:t>
      </w:r>
      <w:r>
        <w:rPr>
          <w:spacing w:val="-49"/>
        </w:rPr>
        <w:t> </w:t>
      </w:r>
      <w:r>
        <w:rPr>
          <w:spacing w:val="-1"/>
          <w:w w:val="99"/>
        </w:rPr>
        <w:t>细胞治疗总体上表现出可接受的耐</w:t>
      </w:r>
      <w:r>
        <w:rPr/>
        <w:t>受性（未达到最大耐受剂量）以及较好的有效性（</w:t>
      </w:r>
      <w:r>
        <w:rPr>
          <w:spacing w:val="-11"/>
        </w:rPr>
        <w:t>总缓解率为 </w:t>
      </w:r>
      <w:r>
        <w:rPr>
          <w:rFonts w:ascii="微软雅黑" w:eastAsia="微软雅黑" w:hint="eastAsia"/>
          <w:b/>
        </w:rPr>
        <w:t>41.7%</w:t>
      </w:r>
      <w:r>
        <w:rPr/>
        <w:t>），该数</w:t>
      </w:r>
      <w:r>
        <w:rPr>
          <w:spacing w:val="-15"/>
          <w:w w:val="105"/>
        </w:rPr>
        <w:t>据支持 </w:t>
      </w:r>
      <w:r>
        <w:rPr>
          <w:w w:val="105"/>
        </w:rPr>
        <w:t>TAEST16001</w:t>
      </w:r>
      <w:r>
        <w:rPr>
          <w:spacing w:val="-8"/>
          <w:w w:val="105"/>
        </w:rPr>
        <w:t> 细胞可在晚期软组织肉瘤中继续开展研究。</w:t>
      </w:r>
    </w:p>
    <w:p>
      <w:pPr>
        <w:pStyle w:val="BodyText"/>
      </w:pPr>
    </w:p>
    <w:p>
      <w:pPr>
        <w:pStyle w:val="BodyText"/>
        <w:spacing w:before="7"/>
        <w:rPr>
          <w:sz w:val="17"/>
        </w:rPr>
      </w:pPr>
    </w:p>
    <w:p>
      <w:pPr>
        <w:pStyle w:val="BodyText"/>
        <w:spacing w:line="237" w:lineRule="auto"/>
        <w:ind w:left="194" w:right="99"/>
        <w:jc w:val="both"/>
      </w:pPr>
      <w:r>
        <w:rPr>
          <w:rFonts w:ascii="微软雅黑" w:eastAsia="微软雅黑" w:hint="eastAsia"/>
          <w:b/>
          <w:color w:val="C54322"/>
          <w:spacing w:val="-5"/>
        </w:rPr>
        <w:t>投资建议：</w:t>
      </w:r>
      <w:r>
        <w:rPr>
          <w:spacing w:val="-5"/>
        </w:rPr>
        <w:t>近年来，细胞免疫疗法的发展呈井喷态势，</w:t>
      </w:r>
      <w:r>
        <w:rPr>
          <w:spacing w:val="-4"/>
        </w:rPr>
        <w:t>CAR-T</w:t>
      </w:r>
      <w:r>
        <w:rPr>
          <w:spacing w:val="-27"/>
        </w:rPr>
        <w:t>、</w:t>
      </w:r>
      <w:r>
        <w:rPr/>
        <w:t>TCR-T</w:t>
      </w:r>
      <w:r>
        <w:rPr>
          <w:spacing w:val="-24"/>
        </w:rPr>
        <w:t>、</w:t>
      </w:r>
      <w:r>
        <w:rPr/>
        <w:t>CAR-NK </w:t>
      </w:r>
      <w:r>
        <w:rPr>
          <w:spacing w:val="-6"/>
        </w:rPr>
        <w:t>等细胞疗法相继登上历史舞台，并且在血液瘤治疗领域取得巨大突破后，逐渐向</w:t>
      </w:r>
      <w:r>
        <w:rPr>
          <w:spacing w:val="-10"/>
          <w:w w:val="95"/>
        </w:rPr>
        <w:t>攻坚实体瘤方向发展。我们持续看好真正掌握核心技术并具备自主生产能力的企</w:t>
      </w:r>
    </w:p>
    <w:p>
      <w:pPr>
        <w:spacing w:line="310" w:lineRule="exact" w:before="0"/>
        <w:ind w:left="194" w:right="0" w:firstLine="0"/>
        <w:jc w:val="both"/>
        <w:rPr>
          <w:sz w:val="20"/>
        </w:rPr>
      </w:pPr>
      <w:r>
        <w:rPr>
          <w:spacing w:val="-2"/>
          <w:w w:val="99"/>
          <w:sz w:val="20"/>
        </w:rPr>
        <w:t>业，重点推荐</w:t>
      </w:r>
      <w:r>
        <w:rPr>
          <w:rFonts w:ascii="微软雅黑" w:eastAsia="微软雅黑" w:hint="eastAsia"/>
          <w:b/>
          <w:w w:val="99"/>
          <w:sz w:val="20"/>
        </w:rPr>
        <w:t>科济药业</w:t>
      </w:r>
      <w:r>
        <w:rPr>
          <w:rFonts w:ascii="微软雅黑" w:eastAsia="微软雅黑" w:hint="eastAsia"/>
          <w:b/>
          <w:w w:val="79"/>
          <w:sz w:val="20"/>
        </w:rPr>
        <w:t>-</w:t>
      </w:r>
      <w:r>
        <w:rPr>
          <w:rFonts w:ascii="微软雅黑" w:eastAsia="微软雅黑" w:hint="eastAsia"/>
          <w:b/>
          <w:spacing w:val="-2"/>
          <w:w w:val="95"/>
          <w:sz w:val="20"/>
        </w:rPr>
        <w:t>B</w:t>
      </w:r>
      <w:r>
        <w:rPr>
          <w:rFonts w:ascii="微软雅黑" w:eastAsia="微软雅黑" w:hint="eastAsia"/>
          <w:b/>
          <w:w w:val="99"/>
          <w:sz w:val="20"/>
        </w:rPr>
        <w:t>（</w:t>
      </w:r>
      <w:r>
        <w:rPr>
          <w:rFonts w:ascii="微软雅黑" w:eastAsia="微软雅黑" w:hint="eastAsia"/>
          <w:b/>
          <w:spacing w:val="1"/>
          <w:w w:val="88"/>
          <w:sz w:val="20"/>
        </w:rPr>
        <w:t>H</w:t>
      </w:r>
      <w:r>
        <w:rPr>
          <w:rFonts w:ascii="微软雅黑" w:eastAsia="微软雅黑" w:hint="eastAsia"/>
          <w:b/>
          <w:spacing w:val="-99"/>
          <w:w w:val="99"/>
          <w:sz w:val="20"/>
        </w:rPr>
        <w:t>）</w:t>
      </w:r>
      <w:r>
        <w:rPr>
          <w:rFonts w:ascii="微软雅黑" w:eastAsia="微软雅黑" w:hint="eastAsia"/>
          <w:b/>
          <w:spacing w:val="-1"/>
          <w:w w:val="99"/>
          <w:sz w:val="20"/>
        </w:rPr>
        <w:t>、药明巨诺</w:t>
      </w:r>
      <w:r>
        <w:rPr>
          <w:rFonts w:ascii="微软雅黑" w:eastAsia="微软雅黑" w:hint="eastAsia"/>
          <w:b/>
          <w:w w:val="79"/>
          <w:sz w:val="20"/>
        </w:rPr>
        <w:t>-</w:t>
      </w:r>
      <w:r>
        <w:rPr>
          <w:rFonts w:ascii="微软雅黑" w:eastAsia="微软雅黑" w:hint="eastAsia"/>
          <w:b/>
          <w:spacing w:val="-2"/>
          <w:w w:val="95"/>
          <w:sz w:val="20"/>
        </w:rPr>
        <w:t>B</w:t>
      </w:r>
      <w:r>
        <w:rPr>
          <w:rFonts w:ascii="微软雅黑" w:eastAsia="微软雅黑" w:hint="eastAsia"/>
          <w:b/>
          <w:w w:val="99"/>
          <w:sz w:val="20"/>
        </w:rPr>
        <w:t>（</w:t>
      </w:r>
      <w:r>
        <w:rPr>
          <w:rFonts w:ascii="微软雅黑" w:eastAsia="微软雅黑" w:hint="eastAsia"/>
          <w:b/>
          <w:spacing w:val="1"/>
          <w:w w:val="88"/>
          <w:sz w:val="20"/>
        </w:rPr>
        <w:t>H</w:t>
      </w:r>
      <w:r>
        <w:rPr>
          <w:rFonts w:ascii="微软雅黑" w:eastAsia="微软雅黑" w:hint="eastAsia"/>
          <w:b/>
          <w:spacing w:val="-99"/>
          <w:w w:val="99"/>
          <w:sz w:val="20"/>
        </w:rPr>
        <w:t>）</w:t>
      </w:r>
      <w:r>
        <w:rPr>
          <w:spacing w:val="-3"/>
          <w:w w:val="99"/>
          <w:sz w:val="20"/>
        </w:rPr>
        <w:t>，建议关注亘喜生物</w:t>
      </w:r>
      <w:r>
        <w:rPr>
          <w:w w:val="99"/>
          <w:sz w:val="20"/>
        </w:rPr>
        <w:t>（</w:t>
      </w:r>
      <w:r>
        <w:rPr>
          <w:spacing w:val="3"/>
          <w:w w:val="147"/>
          <w:sz w:val="20"/>
        </w:rPr>
        <w:t>O</w:t>
      </w:r>
      <w:r>
        <w:rPr>
          <w:spacing w:val="-99"/>
          <w:w w:val="99"/>
          <w:sz w:val="20"/>
        </w:rPr>
        <w:t>）</w:t>
      </w:r>
      <w:r>
        <w:rPr>
          <w:spacing w:val="-3"/>
          <w:w w:val="99"/>
          <w:sz w:val="20"/>
        </w:rPr>
        <w:t>、香</w:t>
      </w:r>
    </w:p>
    <w:p>
      <w:pPr>
        <w:pStyle w:val="BodyText"/>
        <w:spacing w:line="242" w:lineRule="exact"/>
        <w:ind w:left="194"/>
        <w:jc w:val="both"/>
      </w:pPr>
      <w:r>
        <w:rPr>
          <w:w w:val="99"/>
        </w:rPr>
        <w:t>雪制药、传奇生物（</w:t>
      </w:r>
      <w:r>
        <w:rPr>
          <w:spacing w:val="3"/>
          <w:w w:val="147"/>
        </w:rPr>
        <w:t>O</w:t>
      </w:r>
      <w:r>
        <w:rPr>
          <w:spacing w:val="-101"/>
          <w:w w:val="99"/>
        </w:rPr>
        <w:t>）</w:t>
      </w:r>
      <w:r>
        <w:rPr>
          <w:w w:val="99"/>
        </w:rPr>
        <w:t>、复星凯特、安科生物等。</w:t>
      </w:r>
    </w:p>
    <w:p>
      <w:pPr>
        <w:pStyle w:val="BodyText"/>
      </w:pPr>
    </w:p>
    <w:p>
      <w:pPr>
        <w:pStyle w:val="BodyText"/>
        <w:spacing w:before="6"/>
        <w:rPr>
          <w:sz w:val="19"/>
        </w:rPr>
      </w:pPr>
    </w:p>
    <w:p>
      <w:pPr>
        <w:pStyle w:val="BodyText"/>
        <w:spacing w:line="184" w:lineRule="auto" w:before="1"/>
        <w:ind w:left="194" w:right="20"/>
      </w:pPr>
      <w:r>
        <w:rPr>
          <w:rFonts w:ascii="微软雅黑" w:eastAsia="微软雅黑" w:hint="eastAsia"/>
          <w:b/>
          <w:color w:val="C54322"/>
        </w:rPr>
        <w:t>风险分析：</w:t>
      </w:r>
      <w:r>
        <w:rPr/>
        <w:t>临床试验失败的风险；审评审批进度低于预期的风险；竞争格局恶化的风险。</w:t>
      </w:r>
    </w:p>
    <w:p>
      <w:pPr>
        <w:pStyle w:val="BodyText"/>
        <w:spacing w:before="2"/>
        <w:rPr>
          <w:sz w:val="13"/>
        </w:rPr>
      </w:pPr>
    </w:p>
    <w:tbl>
      <w:tblPr>
        <w:tblW w:w="0" w:type="auto"/>
        <w:jc w:val="left"/>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9"/>
        <w:gridCol w:w="1026"/>
        <w:gridCol w:w="746"/>
        <w:gridCol w:w="582"/>
        <w:gridCol w:w="642"/>
        <w:gridCol w:w="493"/>
        <w:gridCol w:w="546"/>
        <w:gridCol w:w="646"/>
        <w:gridCol w:w="435"/>
        <w:gridCol w:w="603"/>
      </w:tblGrid>
      <w:tr>
        <w:trPr>
          <w:trHeight w:val="222" w:hRule="atLeast"/>
        </w:trPr>
        <w:tc>
          <w:tcPr>
            <w:tcW w:w="6768" w:type="dxa"/>
            <w:gridSpan w:val="10"/>
            <w:tcBorders>
              <w:bottom w:val="single" w:sz="4" w:space="0" w:color="7E7E7E"/>
            </w:tcBorders>
          </w:tcPr>
          <w:p>
            <w:pPr>
              <w:pStyle w:val="TableParagraph"/>
              <w:spacing w:line="202" w:lineRule="exact"/>
              <w:ind w:left="8"/>
              <w:jc w:val="left"/>
              <w:rPr>
                <w:rFonts w:ascii="微软雅黑" w:eastAsia="微软雅黑" w:hint="eastAsia"/>
                <w:b/>
                <w:sz w:val="18"/>
              </w:rPr>
            </w:pPr>
            <w:r>
              <w:rPr>
                <w:rFonts w:ascii="微软雅黑" w:eastAsia="微软雅黑" w:hint="eastAsia"/>
                <w:b/>
                <w:sz w:val="18"/>
              </w:rPr>
              <w:t>重点公司盈利预测与估值表</w:t>
            </w:r>
          </w:p>
        </w:tc>
      </w:tr>
      <w:tr>
        <w:trPr>
          <w:trHeight w:val="177" w:hRule="atLeast"/>
        </w:trPr>
        <w:tc>
          <w:tcPr>
            <w:tcW w:w="1049" w:type="dxa"/>
            <w:tcBorders>
              <w:top w:val="single" w:sz="4" w:space="0" w:color="7E7E7E"/>
            </w:tcBorders>
            <w:shd w:val="clear" w:color="auto" w:fill="C54322"/>
          </w:tcPr>
          <w:p>
            <w:pPr>
              <w:pStyle w:val="TableParagraph"/>
              <w:jc w:val="left"/>
              <w:rPr>
                <w:rFonts w:ascii="Times New Roman"/>
                <w:sz w:val="10"/>
              </w:rPr>
            </w:pPr>
          </w:p>
        </w:tc>
        <w:tc>
          <w:tcPr>
            <w:tcW w:w="1026" w:type="dxa"/>
            <w:tcBorders>
              <w:top w:val="single" w:sz="4" w:space="0" w:color="7E7E7E"/>
            </w:tcBorders>
            <w:shd w:val="clear" w:color="auto" w:fill="C54322"/>
          </w:tcPr>
          <w:p>
            <w:pPr>
              <w:pStyle w:val="TableParagraph"/>
              <w:jc w:val="left"/>
              <w:rPr>
                <w:rFonts w:ascii="Times New Roman"/>
                <w:sz w:val="10"/>
              </w:rPr>
            </w:pPr>
          </w:p>
        </w:tc>
        <w:tc>
          <w:tcPr>
            <w:tcW w:w="746" w:type="dxa"/>
            <w:vMerge w:val="restart"/>
            <w:tcBorders>
              <w:top w:val="single" w:sz="4" w:space="0" w:color="7E7E7E"/>
              <w:bottom w:val="single" w:sz="4" w:space="0" w:color="000000"/>
            </w:tcBorders>
            <w:shd w:val="clear" w:color="auto" w:fill="C54322"/>
          </w:tcPr>
          <w:p>
            <w:pPr>
              <w:pStyle w:val="TableParagraph"/>
              <w:spacing w:line="232" w:lineRule="exact"/>
              <w:ind w:left="63" w:right="37"/>
              <w:rPr>
                <w:rFonts w:ascii="微软雅黑" w:eastAsia="微软雅黑" w:hint="eastAsia"/>
                <w:b/>
                <w:sz w:val="15"/>
              </w:rPr>
            </w:pPr>
            <w:bookmarkStart w:name="FIRSTTABLE" w:id="2"/>
            <w:bookmarkEnd w:id="2"/>
            <w:r>
              <w:rPr/>
            </w:r>
            <w:r>
              <w:rPr>
                <w:rFonts w:ascii="微软雅黑" w:eastAsia="微软雅黑" w:hint="eastAsia"/>
                <w:b/>
                <w:color w:val="FFFFFF"/>
                <w:sz w:val="15"/>
              </w:rPr>
              <w:t>股价</w:t>
            </w:r>
          </w:p>
          <w:p>
            <w:pPr>
              <w:pStyle w:val="TableParagraph"/>
              <w:spacing w:line="240" w:lineRule="exact"/>
              <w:ind w:left="63" w:right="42"/>
              <w:rPr>
                <w:rFonts w:ascii="微软雅黑" w:eastAsia="微软雅黑" w:hint="eastAsia"/>
                <w:b/>
                <w:sz w:val="15"/>
              </w:rPr>
            </w:pPr>
            <w:r>
              <w:rPr>
                <w:rFonts w:ascii="微软雅黑" w:eastAsia="微软雅黑" w:hint="eastAsia"/>
                <w:b/>
                <w:color w:val="FFFFFF"/>
                <w:sz w:val="15"/>
              </w:rPr>
              <w:t>（港元）</w:t>
            </w:r>
          </w:p>
        </w:tc>
        <w:tc>
          <w:tcPr>
            <w:tcW w:w="1224" w:type="dxa"/>
            <w:gridSpan w:val="2"/>
            <w:tcBorders>
              <w:top w:val="single" w:sz="4" w:space="0" w:color="7E7E7E"/>
            </w:tcBorders>
            <w:shd w:val="clear" w:color="auto" w:fill="C54322"/>
          </w:tcPr>
          <w:p>
            <w:pPr>
              <w:pStyle w:val="TableParagraph"/>
              <w:spacing w:line="157" w:lineRule="exact"/>
              <w:ind w:left="483"/>
              <w:jc w:val="left"/>
              <w:rPr>
                <w:rFonts w:ascii="微软雅黑" w:eastAsia="微软雅黑" w:hint="eastAsia"/>
                <w:b/>
                <w:sz w:val="15"/>
              </w:rPr>
            </w:pPr>
            <w:r>
              <w:rPr>
                <w:rFonts w:ascii="微软雅黑" w:eastAsia="微软雅黑" w:hint="eastAsia"/>
                <w:b/>
                <w:color w:val="FFFFFF"/>
                <w:sz w:val="15"/>
              </w:rPr>
              <w:t>EPS（元）</w:t>
            </w:r>
          </w:p>
        </w:tc>
        <w:tc>
          <w:tcPr>
            <w:tcW w:w="493" w:type="dxa"/>
            <w:tcBorders>
              <w:top w:val="single" w:sz="4" w:space="0" w:color="7E7E7E"/>
            </w:tcBorders>
            <w:shd w:val="clear" w:color="auto" w:fill="C54322"/>
          </w:tcPr>
          <w:p>
            <w:pPr>
              <w:pStyle w:val="TableParagraph"/>
              <w:jc w:val="left"/>
              <w:rPr>
                <w:rFonts w:ascii="Times New Roman"/>
                <w:sz w:val="10"/>
              </w:rPr>
            </w:pPr>
          </w:p>
        </w:tc>
        <w:tc>
          <w:tcPr>
            <w:tcW w:w="546" w:type="dxa"/>
            <w:tcBorders>
              <w:top w:val="single" w:sz="4" w:space="0" w:color="7E7E7E"/>
            </w:tcBorders>
            <w:shd w:val="clear" w:color="auto" w:fill="C54322"/>
          </w:tcPr>
          <w:p>
            <w:pPr>
              <w:pStyle w:val="TableParagraph"/>
              <w:jc w:val="left"/>
              <w:rPr>
                <w:rFonts w:ascii="Times New Roman"/>
                <w:sz w:val="10"/>
              </w:rPr>
            </w:pPr>
          </w:p>
        </w:tc>
        <w:tc>
          <w:tcPr>
            <w:tcW w:w="646" w:type="dxa"/>
            <w:tcBorders>
              <w:top w:val="single" w:sz="4" w:space="0" w:color="7E7E7E"/>
            </w:tcBorders>
            <w:shd w:val="clear" w:color="auto" w:fill="C54322"/>
          </w:tcPr>
          <w:p>
            <w:pPr>
              <w:pStyle w:val="TableParagraph"/>
              <w:spacing w:line="157" w:lineRule="exact"/>
              <w:ind w:left="-2" w:right="74"/>
              <w:rPr>
                <w:rFonts w:ascii="微软雅黑" w:eastAsia="微软雅黑" w:hint="eastAsia"/>
                <w:b/>
                <w:sz w:val="15"/>
              </w:rPr>
            </w:pPr>
            <w:r>
              <w:rPr>
                <w:rFonts w:ascii="微软雅黑" w:eastAsia="微软雅黑" w:hint="eastAsia"/>
                <w:b/>
                <w:color w:val="FFFFFF"/>
                <w:w w:val="95"/>
                <w:sz w:val="15"/>
              </w:rPr>
              <w:t>PE（X）</w:t>
            </w:r>
          </w:p>
        </w:tc>
        <w:tc>
          <w:tcPr>
            <w:tcW w:w="435" w:type="dxa"/>
            <w:tcBorders>
              <w:top w:val="single" w:sz="4" w:space="0" w:color="7E7E7E"/>
            </w:tcBorders>
            <w:shd w:val="clear" w:color="auto" w:fill="C54322"/>
          </w:tcPr>
          <w:p>
            <w:pPr>
              <w:pStyle w:val="TableParagraph"/>
              <w:jc w:val="left"/>
              <w:rPr>
                <w:rFonts w:ascii="Times New Roman"/>
                <w:sz w:val="10"/>
              </w:rPr>
            </w:pPr>
          </w:p>
        </w:tc>
        <w:tc>
          <w:tcPr>
            <w:tcW w:w="603" w:type="dxa"/>
            <w:vMerge w:val="restart"/>
            <w:tcBorders>
              <w:top w:val="single" w:sz="4" w:space="0" w:color="7E7E7E"/>
              <w:bottom w:val="single" w:sz="4" w:space="0" w:color="000000"/>
            </w:tcBorders>
            <w:shd w:val="clear" w:color="auto" w:fill="C54322"/>
          </w:tcPr>
          <w:p>
            <w:pPr>
              <w:pStyle w:val="TableParagraph"/>
              <w:spacing w:line="182" w:lineRule="auto" w:before="36"/>
              <w:ind w:left="252" w:right="43" w:hanging="149"/>
              <w:jc w:val="left"/>
              <w:rPr>
                <w:rFonts w:ascii="微软雅黑" w:eastAsia="微软雅黑" w:hint="eastAsia"/>
                <w:b/>
                <w:sz w:val="15"/>
              </w:rPr>
            </w:pPr>
            <w:r>
              <w:rPr>
                <w:rFonts w:ascii="微软雅黑" w:eastAsia="微软雅黑" w:hint="eastAsia"/>
                <w:b/>
                <w:color w:val="FFFFFF"/>
                <w:sz w:val="15"/>
              </w:rPr>
              <w:t>投资评级</w:t>
            </w:r>
          </w:p>
        </w:tc>
      </w:tr>
      <w:tr>
        <w:trPr>
          <w:trHeight w:val="114" w:hRule="atLeast"/>
        </w:trPr>
        <w:tc>
          <w:tcPr>
            <w:tcW w:w="1049" w:type="dxa"/>
            <w:shd w:val="clear" w:color="auto" w:fill="C54322"/>
          </w:tcPr>
          <w:p>
            <w:pPr>
              <w:pStyle w:val="TableParagraph"/>
              <w:spacing w:line="95" w:lineRule="exact"/>
              <w:ind w:right="184"/>
              <w:jc w:val="right"/>
              <w:rPr>
                <w:rFonts w:ascii="微软雅黑" w:eastAsia="微软雅黑" w:hint="eastAsia"/>
                <w:b/>
                <w:sz w:val="15"/>
              </w:rPr>
            </w:pPr>
            <w:r>
              <w:rPr>
                <w:rFonts w:ascii="微软雅黑" w:eastAsia="微软雅黑" w:hint="eastAsia"/>
                <w:b/>
                <w:color w:val="FFFFFF"/>
                <w:sz w:val="15"/>
              </w:rPr>
              <w:t>证券代码</w:t>
            </w:r>
          </w:p>
        </w:tc>
        <w:tc>
          <w:tcPr>
            <w:tcW w:w="1026" w:type="dxa"/>
            <w:shd w:val="clear" w:color="auto" w:fill="C54322"/>
          </w:tcPr>
          <w:p>
            <w:pPr>
              <w:pStyle w:val="TableParagraph"/>
              <w:spacing w:line="95" w:lineRule="exact"/>
              <w:ind w:left="260"/>
              <w:jc w:val="left"/>
              <w:rPr>
                <w:rFonts w:ascii="微软雅黑" w:eastAsia="微软雅黑" w:hint="eastAsia"/>
                <w:b/>
                <w:sz w:val="15"/>
              </w:rPr>
            </w:pPr>
            <w:r>
              <w:rPr>
                <w:rFonts w:ascii="微软雅黑" w:eastAsia="微软雅黑" w:hint="eastAsia"/>
                <w:b/>
                <w:color w:val="FFFFFF"/>
                <w:sz w:val="15"/>
              </w:rPr>
              <w:t>公司名称</w:t>
            </w:r>
          </w:p>
        </w:tc>
        <w:tc>
          <w:tcPr>
            <w:tcW w:w="746" w:type="dxa"/>
            <w:vMerge/>
            <w:tcBorders>
              <w:top w:val="nil"/>
              <w:bottom w:val="single" w:sz="4" w:space="0" w:color="000000"/>
            </w:tcBorders>
            <w:shd w:val="clear" w:color="auto" w:fill="C54322"/>
          </w:tcPr>
          <w:p>
            <w:pPr>
              <w:rPr>
                <w:sz w:val="2"/>
                <w:szCs w:val="2"/>
              </w:rPr>
            </w:pPr>
          </w:p>
        </w:tc>
        <w:tc>
          <w:tcPr>
            <w:tcW w:w="582" w:type="dxa"/>
            <w:shd w:val="clear" w:color="auto" w:fill="C54422"/>
          </w:tcPr>
          <w:p>
            <w:pPr>
              <w:pStyle w:val="TableParagraph"/>
              <w:jc w:val="left"/>
              <w:rPr>
                <w:rFonts w:ascii="Times New Roman"/>
                <w:sz w:val="6"/>
              </w:rPr>
            </w:pPr>
          </w:p>
        </w:tc>
        <w:tc>
          <w:tcPr>
            <w:tcW w:w="642" w:type="dxa"/>
            <w:shd w:val="clear" w:color="auto" w:fill="C54422"/>
          </w:tcPr>
          <w:p>
            <w:pPr>
              <w:pStyle w:val="TableParagraph"/>
              <w:jc w:val="left"/>
              <w:rPr>
                <w:rFonts w:ascii="Times New Roman"/>
                <w:sz w:val="6"/>
              </w:rPr>
            </w:pPr>
          </w:p>
        </w:tc>
        <w:tc>
          <w:tcPr>
            <w:tcW w:w="493" w:type="dxa"/>
            <w:shd w:val="clear" w:color="auto" w:fill="C54422"/>
          </w:tcPr>
          <w:p>
            <w:pPr>
              <w:pStyle w:val="TableParagraph"/>
              <w:jc w:val="left"/>
              <w:rPr>
                <w:rFonts w:ascii="Times New Roman"/>
                <w:sz w:val="6"/>
              </w:rPr>
            </w:pPr>
          </w:p>
        </w:tc>
        <w:tc>
          <w:tcPr>
            <w:tcW w:w="546" w:type="dxa"/>
            <w:shd w:val="clear" w:color="auto" w:fill="C54422"/>
          </w:tcPr>
          <w:p>
            <w:pPr>
              <w:pStyle w:val="TableParagraph"/>
              <w:jc w:val="left"/>
              <w:rPr>
                <w:rFonts w:ascii="Times New Roman"/>
                <w:sz w:val="6"/>
              </w:rPr>
            </w:pPr>
          </w:p>
        </w:tc>
        <w:tc>
          <w:tcPr>
            <w:tcW w:w="646" w:type="dxa"/>
            <w:shd w:val="clear" w:color="auto" w:fill="C54422"/>
          </w:tcPr>
          <w:p>
            <w:pPr>
              <w:pStyle w:val="TableParagraph"/>
              <w:jc w:val="left"/>
              <w:rPr>
                <w:rFonts w:ascii="Times New Roman"/>
                <w:sz w:val="6"/>
              </w:rPr>
            </w:pPr>
          </w:p>
        </w:tc>
        <w:tc>
          <w:tcPr>
            <w:tcW w:w="435" w:type="dxa"/>
            <w:shd w:val="clear" w:color="auto" w:fill="C54422"/>
          </w:tcPr>
          <w:p>
            <w:pPr>
              <w:pStyle w:val="TableParagraph"/>
              <w:jc w:val="left"/>
              <w:rPr>
                <w:rFonts w:ascii="Times New Roman"/>
                <w:sz w:val="6"/>
              </w:rPr>
            </w:pPr>
          </w:p>
        </w:tc>
        <w:tc>
          <w:tcPr>
            <w:tcW w:w="603" w:type="dxa"/>
            <w:vMerge/>
            <w:tcBorders>
              <w:top w:val="nil"/>
              <w:bottom w:val="single" w:sz="4" w:space="0" w:color="000000"/>
            </w:tcBorders>
            <w:shd w:val="clear" w:color="auto" w:fill="C54322"/>
          </w:tcPr>
          <w:p>
            <w:pPr>
              <w:rPr>
                <w:sz w:val="2"/>
                <w:szCs w:val="2"/>
              </w:rPr>
            </w:pPr>
          </w:p>
        </w:tc>
      </w:tr>
      <w:tr>
        <w:trPr>
          <w:trHeight w:val="179" w:hRule="atLeast"/>
        </w:trPr>
        <w:tc>
          <w:tcPr>
            <w:tcW w:w="1049" w:type="dxa"/>
            <w:tcBorders>
              <w:bottom w:val="single" w:sz="4" w:space="0" w:color="000000"/>
            </w:tcBorders>
            <w:shd w:val="clear" w:color="auto" w:fill="C54322"/>
          </w:tcPr>
          <w:p>
            <w:pPr>
              <w:pStyle w:val="TableParagraph"/>
              <w:jc w:val="left"/>
              <w:rPr>
                <w:rFonts w:ascii="Times New Roman"/>
                <w:sz w:val="12"/>
              </w:rPr>
            </w:pPr>
          </w:p>
        </w:tc>
        <w:tc>
          <w:tcPr>
            <w:tcW w:w="1026" w:type="dxa"/>
            <w:tcBorders>
              <w:bottom w:val="single" w:sz="4" w:space="0" w:color="000000"/>
            </w:tcBorders>
            <w:shd w:val="clear" w:color="auto" w:fill="C54322"/>
          </w:tcPr>
          <w:p>
            <w:pPr>
              <w:pStyle w:val="TableParagraph"/>
              <w:jc w:val="left"/>
              <w:rPr>
                <w:rFonts w:ascii="Times New Roman"/>
                <w:sz w:val="12"/>
              </w:rPr>
            </w:pPr>
          </w:p>
        </w:tc>
        <w:tc>
          <w:tcPr>
            <w:tcW w:w="746" w:type="dxa"/>
            <w:vMerge/>
            <w:tcBorders>
              <w:top w:val="nil"/>
              <w:bottom w:val="single" w:sz="4" w:space="0" w:color="000000"/>
            </w:tcBorders>
            <w:shd w:val="clear" w:color="auto" w:fill="C54322"/>
          </w:tcPr>
          <w:p>
            <w:pPr>
              <w:rPr>
                <w:sz w:val="2"/>
                <w:szCs w:val="2"/>
              </w:rPr>
            </w:pPr>
          </w:p>
        </w:tc>
        <w:tc>
          <w:tcPr>
            <w:tcW w:w="582" w:type="dxa"/>
            <w:tcBorders>
              <w:bottom w:val="single" w:sz="4" w:space="0" w:color="000000"/>
            </w:tcBorders>
            <w:shd w:val="clear" w:color="auto" w:fill="C54422"/>
          </w:tcPr>
          <w:p>
            <w:pPr>
              <w:pStyle w:val="TableParagraph"/>
              <w:spacing w:line="160" w:lineRule="exact"/>
              <w:ind w:left="146"/>
              <w:jc w:val="left"/>
              <w:rPr>
                <w:rFonts w:ascii="微软雅黑"/>
                <w:b/>
                <w:sz w:val="15"/>
              </w:rPr>
            </w:pPr>
            <w:r>
              <w:rPr>
                <w:rFonts w:ascii="微软雅黑"/>
                <w:b/>
                <w:color w:val="FFFFFF"/>
                <w:w w:val="95"/>
                <w:sz w:val="15"/>
              </w:rPr>
              <w:t>21A</w:t>
            </w:r>
          </w:p>
        </w:tc>
        <w:tc>
          <w:tcPr>
            <w:tcW w:w="642" w:type="dxa"/>
            <w:tcBorders>
              <w:bottom w:val="single" w:sz="4" w:space="0" w:color="000000"/>
            </w:tcBorders>
            <w:shd w:val="clear" w:color="auto" w:fill="C54422"/>
          </w:tcPr>
          <w:p>
            <w:pPr>
              <w:pStyle w:val="TableParagraph"/>
              <w:spacing w:line="160" w:lineRule="exact"/>
              <w:ind w:left="136"/>
              <w:jc w:val="left"/>
              <w:rPr>
                <w:rFonts w:ascii="微软雅黑"/>
                <w:b/>
                <w:sz w:val="15"/>
              </w:rPr>
            </w:pPr>
            <w:r>
              <w:rPr>
                <w:rFonts w:ascii="微软雅黑"/>
                <w:b/>
                <w:color w:val="FFFFFF"/>
                <w:sz w:val="15"/>
              </w:rPr>
              <w:t>22E</w:t>
            </w:r>
          </w:p>
        </w:tc>
        <w:tc>
          <w:tcPr>
            <w:tcW w:w="493" w:type="dxa"/>
            <w:tcBorders>
              <w:bottom w:val="single" w:sz="4" w:space="0" w:color="000000"/>
            </w:tcBorders>
            <w:shd w:val="clear" w:color="auto" w:fill="C54422"/>
          </w:tcPr>
          <w:p>
            <w:pPr>
              <w:pStyle w:val="TableParagraph"/>
              <w:spacing w:line="160" w:lineRule="exact"/>
              <w:ind w:left="60"/>
              <w:jc w:val="left"/>
              <w:rPr>
                <w:rFonts w:ascii="微软雅黑"/>
                <w:b/>
                <w:sz w:val="15"/>
              </w:rPr>
            </w:pPr>
            <w:r>
              <w:rPr>
                <w:rFonts w:ascii="微软雅黑"/>
                <w:b/>
                <w:color w:val="FFFFFF"/>
                <w:sz w:val="15"/>
              </w:rPr>
              <w:t>23E</w:t>
            </w:r>
          </w:p>
        </w:tc>
        <w:tc>
          <w:tcPr>
            <w:tcW w:w="546" w:type="dxa"/>
            <w:tcBorders>
              <w:bottom w:val="single" w:sz="4" w:space="0" w:color="000000"/>
            </w:tcBorders>
            <w:shd w:val="clear" w:color="auto" w:fill="C54422"/>
          </w:tcPr>
          <w:p>
            <w:pPr>
              <w:pStyle w:val="TableParagraph"/>
              <w:spacing w:line="160" w:lineRule="exact"/>
              <w:ind w:left="131"/>
              <w:jc w:val="left"/>
              <w:rPr>
                <w:rFonts w:ascii="微软雅黑"/>
                <w:b/>
                <w:sz w:val="15"/>
              </w:rPr>
            </w:pPr>
            <w:r>
              <w:rPr>
                <w:rFonts w:ascii="微软雅黑"/>
                <w:b/>
                <w:color w:val="FFFFFF"/>
                <w:w w:val="95"/>
                <w:sz w:val="15"/>
              </w:rPr>
              <w:t>21A</w:t>
            </w:r>
          </w:p>
        </w:tc>
        <w:tc>
          <w:tcPr>
            <w:tcW w:w="646" w:type="dxa"/>
            <w:tcBorders>
              <w:bottom w:val="single" w:sz="4" w:space="0" w:color="000000"/>
            </w:tcBorders>
            <w:shd w:val="clear" w:color="auto" w:fill="C54422"/>
          </w:tcPr>
          <w:p>
            <w:pPr>
              <w:pStyle w:val="TableParagraph"/>
              <w:spacing w:line="160" w:lineRule="exact"/>
              <w:ind w:left="129" w:right="206"/>
              <w:rPr>
                <w:rFonts w:ascii="微软雅黑"/>
                <w:b/>
                <w:sz w:val="15"/>
              </w:rPr>
            </w:pPr>
            <w:r>
              <w:rPr>
                <w:rFonts w:ascii="微软雅黑"/>
                <w:b/>
                <w:color w:val="FFFFFF"/>
                <w:sz w:val="15"/>
              </w:rPr>
              <w:t>22E</w:t>
            </w:r>
          </w:p>
        </w:tc>
        <w:tc>
          <w:tcPr>
            <w:tcW w:w="435" w:type="dxa"/>
            <w:tcBorders>
              <w:bottom w:val="single" w:sz="4" w:space="0" w:color="000000"/>
            </w:tcBorders>
            <w:shd w:val="clear" w:color="auto" w:fill="C54422"/>
          </w:tcPr>
          <w:p>
            <w:pPr>
              <w:pStyle w:val="TableParagraph"/>
              <w:spacing w:line="160" w:lineRule="exact"/>
              <w:ind w:left="77"/>
              <w:jc w:val="left"/>
              <w:rPr>
                <w:rFonts w:ascii="微软雅黑"/>
                <w:b/>
                <w:sz w:val="15"/>
              </w:rPr>
            </w:pPr>
            <w:r>
              <w:rPr>
                <w:rFonts w:ascii="微软雅黑"/>
                <w:b/>
                <w:color w:val="FFFFFF"/>
                <w:sz w:val="15"/>
              </w:rPr>
              <w:t>23E</w:t>
            </w:r>
          </w:p>
        </w:tc>
        <w:tc>
          <w:tcPr>
            <w:tcW w:w="603" w:type="dxa"/>
            <w:vMerge/>
            <w:tcBorders>
              <w:top w:val="nil"/>
              <w:bottom w:val="single" w:sz="4" w:space="0" w:color="000000"/>
            </w:tcBorders>
            <w:shd w:val="clear" w:color="auto" w:fill="C54322"/>
          </w:tcPr>
          <w:p>
            <w:pPr>
              <w:rPr>
                <w:sz w:val="2"/>
                <w:szCs w:val="2"/>
              </w:rPr>
            </w:pPr>
          </w:p>
        </w:tc>
      </w:tr>
      <w:tr>
        <w:trPr>
          <w:trHeight w:val="240" w:hRule="atLeast"/>
        </w:trPr>
        <w:tc>
          <w:tcPr>
            <w:tcW w:w="1049" w:type="dxa"/>
            <w:tcBorders>
              <w:top w:val="single" w:sz="4" w:space="0" w:color="000000"/>
              <w:bottom w:val="single" w:sz="4" w:space="0" w:color="7E7E7E"/>
            </w:tcBorders>
          </w:tcPr>
          <w:p>
            <w:pPr>
              <w:pStyle w:val="TableParagraph"/>
              <w:spacing w:before="13"/>
              <w:ind w:right="195"/>
              <w:jc w:val="right"/>
              <w:rPr>
                <w:sz w:val="15"/>
              </w:rPr>
            </w:pPr>
            <w:r>
              <w:rPr>
                <w:w w:val="111"/>
                <w:sz w:val="15"/>
              </w:rPr>
              <w:t>217</w:t>
            </w:r>
            <w:r>
              <w:rPr>
                <w:spacing w:val="-3"/>
                <w:w w:val="111"/>
                <w:sz w:val="15"/>
              </w:rPr>
              <w:t>1</w:t>
            </w:r>
            <w:r>
              <w:rPr>
                <w:spacing w:val="1"/>
                <w:w w:val="56"/>
                <w:sz w:val="15"/>
              </w:rPr>
              <w:t>.</w:t>
            </w:r>
            <w:r>
              <w:rPr>
                <w:spacing w:val="-3"/>
                <w:w w:val="146"/>
                <w:sz w:val="15"/>
              </w:rPr>
              <w:t>H</w:t>
            </w:r>
            <w:r>
              <w:rPr>
                <w:w w:val="130"/>
                <w:sz w:val="15"/>
              </w:rPr>
              <w:t>K</w:t>
            </w:r>
          </w:p>
        </w:tc>
        <w:tc>
          <w:tcPr>
            <w:tcW w:w="1026" w:type="dxa"/>
            <w:tcBorders>
              <w:top w:val="single" w:sz="4" w:space="0" w:color="000000"/>
              <w:bottom w:val="single" w:sz="4" w:space="0" w:color="7E7E7E"/>
            </w:tcBorders>
          </w:tcPr>
          <w:p>
            <w:pPr>
              <w:pStyle w:val="TableParagraph"/>
              <w:spacing w:before="13"/>
              <w:ind w:left="185"/>
              <w:jc w:val="left"/>
              <w:rPr>
                <w:sz w:val="15"/>
              </w:rPr>
            </w:pPr>
            <w:r>
              <w:rPr>
                <w:sz w:val="15"/>
              </w:rPr>
              <w:t>科济药业-B</w:t>
            </w:r>
          </w:p>
        </w:tc>
        <w:tc>
          <w:tcPr>
            <w:tcW w:w="746" w:type="dxa"/>
            <w:tcBorders>
              <w:top w:val="single" w:sz="4" w:space="0" w:color="000000"/>
              <w:bottom w:val="single" w:sz="4" w:space="0" w:color="7E7E7E"/>
            </w:tcBorders>
          </w:tcPr>
          <w:p>
            <w:pPr>
              <w:pStyle w:val="TableParagraph"/>
              <w:spacing w:before="13"/>
              <w:ind w:left="63" w:right="39"/>
              <w:rPr>
                <w:sz w:val="15"/>
              </w:rPr>
            </w:pPr>
            <w:r>
              <w:rPr>
                <w:sz w:val="15"/>
              </w:rPr>
              <w:t>12.32</w:t>
            </w:r>
          </w:p>
        </w:tc>
        <w:tc>
          <w:tcPr>
            <w:tcW w:w="582" w:type="dxa"/>
            <w:tcBorders>
              <w:top w:val="single" w:sz="4" w:space="0" w:color="000000"/>
              <w:bottom w:val="single" w:sz="4" w:space="0" w:color="7E7E7E"/>
            </w:tcBorders>
          </w:tcPr>
          <w:p>
            <w:pPr>
              <w:pStyle w:val="TableParagraph"/>
              <w:spacing w:before="13"/>
              <w:ind w:right="90"/>
              <w:jc w:val="right"/>
              <w:rPr>
                <w:sz w:val="15"/>
              </w:rPr>
            </w:pPr>
            <w:r>
              <w:rPr>
                <w:sz w:val="15"/>
              </w:rPr>
              <w:t>-12.26</w:t>
            </w:r>
          </w:p>
        </w:tc>
        <w:tc>
          <w:tcPr>
            <w:tcW w:w="642" w:type="dxa"/>
            <w:tcBorders>
              <w:top w:val="single" w:sz="4" w:space="0" w:color="000000"/>
              <w:bottom w:val="single" w:sz="4" w:space="0" w:color="7E7E7E"/>
            </w:tcBorders>
          </w:tcPr>
          <w:p>
            <w:pPr>
              <w:pStyle w:val="TableParagraph"/>
              <w:spacing w:before="13"/>
              <w:ind w:left="90"/>
              <w:jc w:val="left"/>
              <w:rPr>
                <w:sz w:val="15"/>
              </w:rPr>
            </w:pPr>
            <w:r>
              <w:rPr>
                <w:sz w:val="15"/>
              </w:rPr>
              <w:t>-1.34</w:t>
            </w:r>
          </w:p>
        </w:tc>
        <w:tc>
          <w:tcPr>
            <w:tcW w:w="493" w:type="dxa"/>
            <w:tcBorders>
              <w:top w:val="single" w:sz="4" w:space="0" w:color="000000"/>
              <w:bottom w:val="single" w:sz="4" w:space="0" w:color="7E7E7E"/>
            </w:tcBorders>
          </w:tcPr>
          <w:p>
            <w:pPr>
              <w:pStyle w:val="TableParagraph"/>
              <w:spacing w:before="13"/>
              <w:ind w:left="15"/>
              <w:jc w:val="left"/>
              <w:rPr>
                <w:sz w:val="15"/>
              </w:rPr>
            </w:pPr>
            <w:r>
              <w:rPr>
                <w:sz w:val="15"/>
              </w:rPr>
              <w:t>-1.96</w:t>
            </w:r>
          </w:p>
        </w:tc>
        <w:tc>
          <w:tcPr>
            <w:tcW w:w="546" w:type="dxa"/>
            <w:tcBorders>
              <w:top w:val="single" w:sz="4" w:space="0" w:color="000000"/>
              <w:bottom w:val="single" w:sz="4" w:space="0" w:color="7E7E7E"/>
            </w:tcBorders>
          </w:tcPr>
          <w:p>
            <w:pPr>
              <w:pStyle w:val="TableParagraph"/>
              <w:spacing w:before="13"/>
              <w:ind w:left="160"/>
              <w:jc w:val="left"/>
              <w:rPr>
                <w:sz w:val="15"/>
              </w:rPr>
            </w:pPr>
            <w:r>
              <w:rPr>
                <w:w w:val="135"/>
                <w:sz w:val="15"/>
              </w:rPr>
              <w:t>NA</w:t>
            </w:r>
          </w:p>
        </w:tc>
        <w:tc>
          <w:tcPr>
            <w:tcW w:w="646" w:type="dxa"/>
            <w:tcBorders>
              <w:top w:val="single" w:sz="4" w:space="0" w:color="000000"/>
              <w:bottom w:val="single" w:sz="4" w:space="0" w:color="7E7E7E"/>
            </w:tcBorders>
          </w:tcPr>
          <w:p>
            <w:pPr>
              <w:pStyle w:val="TableParagraph"/>
              <w:spacing w:before="13"/>
              <w:ind w:left="123" w:right="206"/>
              <w:rPr>
                <w:sz w:val="15"/>
              </w:rPr>
            </w:pPr>
            <w:r>
              <w:rPr>
                <w:w w:val="135"/>
                <w:sz w:val="15"/>
              </w:rPr>
              <w:t>NA</w:t>
            </w:r>
          </w:p>
        </w:tc>
        <w:tc>
          <w:tcPr>
            <w:tcW w:w="435" w:type="dxa"/>
            <w:tcBorders>
              <w:top w:val="single" w:sz="4" w:space="0" w:color="000000"/>
              <w:bottom w:val="single" w:sz="4" w:space="0" w:color="7E7E7E"/>
            </w:tcBorders>
          </w:tcPr>
          <w:p>
            <w:pPr>
              <w:pStyle w:val="TableParagraph"/>
              <w:spacing w:before="13"/>
              <w:ind w:left="104"/>
              <w:jc w:val="left"/>
              <w:rPr>
                <w:sz w:val="15"/>
              </w:rPr>
            </w:pPr>
            <w:r>
              <w:rPr>
                <w:w w:val="135"/>
                <w:sz w:val="15"/>
              </w:rPr>
              <w:t>NA</w:t>
            </w:r>
          </w:p>
        </w:tc>
        <w:tc>
          <w:tcPr>
            <w:tcW w:w="603" w:type="dxa"/>
            <w:tcBorders>
              <w:top w:val="single" w:sz="4" w:space="0" w:color="000000"/>
              <w:bottom w:val="single" w:sz="4" w:space="0" w:color="7E7E7E"/>
            </w:tcBorders>
          </w:tcPr>
          <w:p>
            <w:pPr>
              <w:pStyle w:val="TableParagraph"/>
              <w:spacing w:before="13"/>
              <w:ind w:left="159" w:right="104"/>
              <w:rPr>
                <w:sz w:val="15"/>
              </w:rPr>
            </w:pPr>
            <w:r>
              <w:rPr>
                <w:sz w:val="15"/>
              </w:rPr>
              <w:t>买入</w:t>
            </w:r>
          </w:p>
        </w:tc>
      </w:tr>
      <w:tr>
        <w:trPr>
          <w:trHeight w:val="239" w:hRule="atLeast"/>
        </w:trPr>
        <w:tc>
          <w:tcPr>
            <w:tcW w:w="1049" w:type="dxa"/>
            <w:tcBorders>
              <w:top w:val="single" w:sz="4" w:space="0" w:color="7E7E7E"/>
              <w:bottom w:val="single" w:sz="4" w:space="0" w:color="7E7E7E"/>
            </w:tcBorders>
          </w:tcPr>
          <w:p>
            <w:pPr>
              <w:pStyle w:val="TableParagraph"/>
              <w:spacing w:before="15"/>
              <w:ind w:right="194"/>
              <w:jc w:val="right"/>
              <w:rPr>
                <w:sz w:val="15"/>
              </w:rPr>
            </w:pPr>
            <w:r>
              <w:rPr>
                <w:w w:val="111"/>
                <w:sz w:val="15"/>
              </w:rPr>
              <w:t>212</w:t>
            </w:r>
            <w:r>
              <w:rPr>
                <w:spacing w:val="-2"/>
                <w:w w:val="111"/>
                <w:sz w:val="15"/>
              </w:rPr>
              <w:t>6</w:t>
            </w:r>
            <w:r>
              <w:rPr>
                <w:spacing w:val="1"/>
                <w:w w:val="56"/>
                <w:sz w:val="15"/>
              </w:rPr>
              <w:t>.</w:t>
            </w:r>
            <w:r>
              <w:rPr>
                <w:spacing w:val="-3"/>
                <w:w w:val="146"/>
                <w:sz w:val="15"/>
              </w:rPr>
              <w:t>H</w:t>
            </w:r>
            <w:r>
              <w:rPr>
                <w:w w:val="130"/>
                <w:sz w:val="15"/>
              </w:rPr>
              <w:t>K</w:t>
            </w:r>
          </w:p>
        </w:tc>
        <w:tc>
          <w:tcPr>
            <w:tcW w:w="1026" w:type="dxa"/>
            <w:tcBorders>
              <w:top w:val="single" w:sz="4" w:space="0" w:color="7E7E7E"/>
              <w:bottom w:val="single" w:sz="4" w:space="0" w:color="7E7E7E"/>
            </w:tcBorders>
          </w:tcPr>
          <w:p>
            <w:pPr>
              <w:pStyle w:val="TableParagraph"/>
              <w:spacing w:before="15"/>
              <w:ind w:left="185"/>
              <w:jc w:val="left"/>
              <w:rPr>
                <w:sz w:val="15"/>
              </w:rPr>
            </w:pPr>
            <w:r>
              <w:rPr>
                <w:sz w:val="15"/>
              </w:rPr>
              <w:t>药明巨诺-B</w:t>
            </w:r>
          </w:p>
        </w:tc>
        <w:tc>
          <w:tcPr>
            <w:tcW w:w="746" w:type="dxa"/>
            <w:tcBorders>
              <w:top w:val="single" w:sz="4" w:space="0" w:color="7E7E7E"/>
              <w:bottom w:val="single" w:sz="4" w:space="0" w:color="7E7E7E"/>
            </w:tcBorders>
          </w:tcPr>
          <w:p>
            <w:pPr>
              <w:pStyle w:val="TableParagraph"/>
              <w:spacing w:before="15"/>
              <w:ind w:left="63" w:right="37"/>
              <w:rPr>
                <w:sz w:val="15"/>
              </w:rPr>
            </w:pPr>
            <w:r>
              <w:rPr>
                <w:sz w:val="15"/>
              </w:rPr>
              <w:t>8.30</w:t>
            </w:r>
          </w:p>
        </w:tc>
        <w:tc>
          <w:tcPr>
            <w:tcW w:w="582" w:type="dxa"/>
            <w:tcBorders>
              <w:top w:val="single" w:sz="4" w:space="0" w:color="7E7E7E"/>
              <w:bottom w:val="single" w:sz="4" w:space="0" w:color="7E7E7E"/>
            </w:tcBorders>
          </w:tcPr>
          <w:p>
            <w:pPr>
              <w:pStyle w:val="TableParagraph"/>
              <w:spacing w:before="15"/>
              <w:ind w:right="131"/>
              <w:jc w:val="right"/>
              <w:rPr>
                <w:sz w:val="15"/>
              </w:rPr>
            </w:pPr>
            <w:r>
              <w:rPr>
                <w:sz w:val="15"/>
              </w:rPr>
              <w:t>-1.76</w:t>
            </w:r>
          </w:p>
        </w:tc>
        <w:tc>
          <w:tcPr>
            <w:tcW w:w="642" w:type="dxa"/>
            <w:tcBorders>
              <w:top w:val="single" w:sz="4" w:space="0" w:color="7E7E7E"/>
              <w:bottom w:val="single" w:sz="4" w:space="0" w:color="7E7E7E"/>
            </w:tcBorders>
          </w:tcPr>
          <w:p>
            <w:pPr>
              <w:pStyle w:val="TableParagraph"/>
              <w:spacing w:before="15"/>
              <w:ind w:left="90"/>
              <w:jc w:val="left"/>
              <w:rPr>
                <w:sz w:val="15"/>
              </w:rPr>
            </w:pPr>
            <w:r>
              <w:rPr>
                <w:sz w:val="15"/>
              </w:rPr>
              <w:t>-2.19</w:t>
            </w:r>
          </w:p>
        </w:tc>
        <w:tc>
          <w:tcPr>
            <w:tcW w:w="493" w:type="dxa"/>
            <w:tcBorders>
              <w:top w:val="single" w:sz="4" w:space="0" w:color="7E7E7E"/>
              <w:bottom w:val="single" w:sz="4" w:space="0" w:color="7E7E7E"/>
            </w:tcBorders>
          </w:tcPr>
          <w:p>
            <w:pPr>
              <w:pStyle w:val="TableParagraph"/>
              <w:spacing w:before="15"/>
              <w:ind w:left="15"/>
              <w:jc w:val="left"/>
              <w:rPr>
                <w:sz w:val="15"/>
              </w:rPr>
            </w:pPr>
            <w:r>
              <w:rPr>
                <w:sz w:val="15"/>
              </w:rPr>
              <w:t>-2.11</w:t>
            </w:r>
          </w:p>
        </w:tc>
        <w:tc>
          <w:tcPr>
            <w:tcW w:w="546" w:type="dxa"/>
            <w:tcBorders>
              <w:top w:val="single" w:sz="4" w:space="0" w:color="7E7E7E"/>
              <w:bottom w:val="single" w:sz="4" w:space="0" w:color="7E7E7E"/>
            </w:tcBorders>
          </w:tcPr>
          <w:p>
            <w:pPr>
              <w:pStyle w:val="TableParagraph"/>
              <w:spacing w:before="15"/>
              <w:ind w:left="160"/>
              <w:jc w:val="left"/>
              <w:rPr>
                <w:sz w:val="15"/>
              </w:rPr>
            </w:pPr>
            <w:r>
              <w:rPr>
                <w:w w:val="135"/>
                <w:sz w:val="15"/>
              </w:rPr>
              <w:t>NA</w:t>
            </w:r>
          </w:p>
        </w:tc>
        <w:tc>
          <w:tcPr>
            <w:tcW w:w="646" w:type="dxa"/>
            <w:tcBorders>
              <w:top w:val="single" w:sz="4" w:space="0" w:color="7E7E7E"/>
              <w:bottom w:val="single" w:sz="4" w:space="0" w:color="7E7E7E"/>
            </w:tcBorders>
          </w:tcPr>
          <w:p>
            <w:pPr>
              <w:pStyle w:val="TableParagraph"/>
              <w:spacing w:before="15"/>
              <w:ind w:left="123" w:right="206"/>
              <w:rPr>
                <w:sz w:val="15"/>
              </w:rPr>
            </w:pPr>
            <w:r>
              <w:rPr>
                <w:w w:val="135"/>
                <w:sz w:val="15"/>
              </w:rPr>
              <w:t>NA</w:t>
            </w:r>
          </w:p>
        </w:tc>
        <w:tc>
          <w:tcPr>
            <w:tcW w:w="435" w:type="dxa"/>
            <w:tcBorders>
              <w:top w:val="single" w:sz="4" w:space="0" w:color="7E7E7E"/>
              <w:bottom w:val="single" w:sz="4" w:space="0" w:color="7E7E7E"/>
            </w:tcBorders>
          </w:tcPr>
          <w:p>
            <w:pPr>
              <w:pStyle w:val="TableParagraph"/>
              <w:spacing w:before="15"/>
              <w:ind w:left="104"/>
              <w:jc w:val="left"/>
              <w:rPr>
                <w:sz w:val="15"/>
              </w:rPr>
            </w:pPr>
            <w:r>
              <w:rPr>
                <w:w w:val="135"/>
                <w:sz w:val="15"/>
              </w:rPr>
              <w:t>NA</w:t>
            </w:r>
          </w:p>
        </w:tc>
        <w:tc>
          <w:tcPr>
            <w:tcW w:w="603" w:type="dxa"/>
            <w:tcBorders>
              <w:top w:val="single" w:sz="4" w:space="0" w:color="7E7E7E"/>
              <w:bottom w:val="single" w:sz="4" w:space="0" w:color="7E7E7E"/>
            </w:tcBorders>
          </w:tcPr>
          <w:p>
            <w:pPr>
              <w:pStyle w:val="TableParagraph"/>
              <w:spacing w:before="15"/>
              <w:ind w:left="159" w:right="104"/>
              <w:rPr>
                <w:sz w:val="15"/>
              </w:rPr>
            </w:pPr>
            <w:r>
              <w:rPr>
                <w:sz w:val="15"/>
              </w:rPr>
              <w:t>买入</w:t>
            </w:r>
          </w:p>
        </w:tc>
      </w:tr>
    </w:tbl>
    <w:p>
      <w:pPr>
        <w:spacing w:before="0"/>
        <w:ind w:left="194" w:right="0" w:firstLine="0"/>
        <w:jc w:val="both"/>
        <w:rPr>
          <w:sz w:val="13"/>
        </w:rPr>
      </w:pPr>
      <w:r>
        <w:rPr>
          <w:sz w:val="13"/>
        </w:rPr>
        <w:t>资料来源：Wind，光大证券研究所预测，股价时间为 2022-06-10</w:t>
      </w:r>
    </w:p>
    <w:p>
      <w:pPr>
        <w:spacing w:line="435" w:lineRule="exact" w:before="0"/>
        <w:ind w:left="118" w:right="0" w:firstLine="0"/>
        <w:jc w:val="left"/>
        <w:rPr>
          <w:rFonts w:ascii="微软雅黑" w:eastAsia="微软雅黑" w:hint="eastAsia"/>
          <w:b/>
          <w:sz w:val="28"/>
        </w:rPr>
      </w:pPr>
      <w:r>
        <w:rPr/>
        <w:br w:type="column"/>
      </w:r>
      <w:r>
        <w:rPr>
          <w:rFonts w:ascii="微软雅黑" w:eastAsia="微软雅黑" w:hint="eastAsia"/>
          <w:b/>
          <w:color w:val="C54322"/>
          <w:sz w:val="28"/>
        </w:rPr>
        <w:t>医药生物</w:t>
      </w:r>
    </w:p>
    <w:p>
      <w:pPr>
        <w:spacing w:line="469" w:lineRule="exact" w:before="0"/>
        <w:ind w:left="130" w:right="0" w:firstLine="0"/>
        <w:jc w:val="left"/>
        <w:rPr>
          <w:rFonts w:ascii="微软雅黑" w:eastAsia="微软雅黑" w:hint="eastAsia"/>
          <w:b/>
          <w:sz w:val="28"/>
        </w:rPr>
      </w:pPr>
      <w:r>
        <w:rPr>
          <w:rFonts w:ascii="微软雅黑" w:eastAsia="微软雅黑" w:hint="eastAsia"/>
          <w:b/>
          <w:color w:val="C54322"/>
          <w:sz w:val="28"/>
        </w:rPr>
        <w:t>增持（维持）</w:t>
      </w:r>
    </w:p>
    <w:p>
      <w:pPr>
        <w:tabs>
          <w:tab w:pos="3377" w:val="left" w:leader="none"/>
        </w:tabs>
        <w:spacing w:line="213" w:lineRule="auto" w:before="206"/>
        <w:ind w:left="87" w:right="213" w:firstLine="0"/>
        <w:jc w:val="left"/>
        <w:rPr>
          <w:rFonts w:ascii="微软雅黑" w:eastAsia="微软雅黑" w:hint="eastAsia"/>
          <w:b/>
          <w:sz w:val="18"/>
        </w:rPr>
      </w:pPr>
      <w:r>
        <w:rPr>
          <w:rFonts w:ascii="Times New Roman" w:eastAsia="Times New Roman"/>
          <w:b/>
          <w:color w:val="FFFFFF"/>
          <w:sz w:val="18"/>
          <w:shd w:fill="C54322" w:color="auto" w:val="clear"/>
        </w:rPr>
        <w:t> </w:t>
      </w:r>
      <w:r>
        <w:rPr>
          <w:rFonts w:ascii="Times New Roman" w:eastAsia="Times New Roman"/>
          <w:b/>
          <w:color w:val="FFFFFF"/>
          <w:spacing w:val="18"/>
          <w:sz w:val="18"/>
          <w:shd w:fill="C54322" w:color="auto" w:val="clear"/>
        </w:rPr>
        <w:t> </w:t>
      </w:r>
      <w:r>
        <w:rPr>
          <w:rFonts w:ascii="微软雅黑" w:eastAsia="微软雅黑" w:hint="eastAsia"/>
          <w:b/>
          <w:color w:val="FFFFFF"/>
          <w:sz w:val="18"/>
          <w:shd w:fill="C54322" w:color="auto" w:val="clear"/>
        </w:rPr>
        <w:t>作者</w:t>
        <w:tab/>
        <w:t> </w:t>
      </w:r>
      <w:r>
        <w:rPr>
          <w:rFonts w:ascii="微软雅黑" w:eastAsia="微软雅黑" w:hint="eastAsia"/>
          <w:b/>
          <w:sz w:val="18"/>
        </w:rPr>
        <w:t>分析师：林小伟</w:t>
      </w:r>
    </w:p>
    <w:p>
      <w:pPr>
        <w:spacing w:line="179" w:lineRule="exact" w:before="0"/>
        <w:ind w:left="87" w:right="0" w:firstLine="0"/>
        <w:jc w:val="left"/>
        <w:rPr>
          <w:sz w:val="15"/>
        </w:rPr>
      </w:pPr>
      <w:r>
        <w:rPr>
          <w:sz w:val="15"/>
        </w:rPr>
        <w:t>执业证书编号：S0930517110003</w:t>
      </w:r>
    </w:p>
    <w:p>
      <w:pPr>
        <w:spacing w:before="14"/>
        <w:ind w:left="87" w:right="0" w:firstLine="0"/>
        <w:jc w:val="left"/>
        <w:rPr>
          <w:sz w:val="15"/>
        </w:rPr>
      </w:pPr>
      <w:r>
        <w:rPr>
          <w:w w:val="110"/>
          <w:sz w:val="15"/>
        </w:rPr>
        <w:t>021-52523871</w:t>
      </w:r>
    </w:p>
    <w:p>
      <w:pPr>
        <w:spacing w:line="170" w:lineRule="exact" w:before="17"/>
        <w:ind w:left="87" w:right="0" w:firstLine="0"/>
        <w:jc w:val="left"/>
        <w:rPr>
          <w:sz w:val="15"/>
        </w:rPr>
      </w:pPr>
      <w:hyperlink r:id="rId8">
        <w:r>
          <w:rPr>
            <w:w w:val="56"/>
            <w:sz w:val="15"/>
          </w:rPr>
          <w:t>l</w:t>
        </w:r>
        <w:r>
          <w:rPr>
            <w:spacing w:val="-1"/>
            <w:w w:val="56"/>
            <w:sz w:val="15"/>
          </w:rPr>
          <w:t>i</w:t>
        </w:r>
        <w:r>
          <w:rPr>
            <w:spacing w:val="-2"/>
            <w:w w:val="123"/>
            <w:sz w:val="15"/>
          </w:rPr>
          <w:t>n</w:t>
        </w:r>
        <w:r>
          <w:rPr>
            <w:spacing w:val="-1"/>
            <w:w w:val="100"/>
            <w:sz w:val="15"/>
          </w:rPr>
          <w:t>x</w:t>
        </w:r>
        <w:r>
          <w:rPr>
            <w:spacing w:val="-1"/>
            <w:w w:val="55"/>
            <w:sz w:val="15"/>
          </w:rPr>
          <w:t>i</w:t>
        </w:r>
        <w:r>
          <w:rPr>
            <w:w w:val="113"/>
            <w:sz w:val="15"/>
          </w:rPr>
          <w:t>a</w:t>
        </w:r>
        <w:r>
          <w:rPr>
            <w:w w:val="141"/>
            <w:sz w:val="15"/>
          </w:rPr>
          <w:t>o</w:t>
        </w:r>
        <w:r>
          <w:rPr>
            <w:spacing w:val="-2"/>
            <w:w w:val="141"/>
            <w:sz w:val="15"/>
          </w:rPr>
          <w:t>w</w:t>
        </w:r>
        <w:r>
          <w:rPr>
            <w:w w:val="83"/>
            <w:sz w:val="15"/>
          </w:rPr>
          <w:t>e</w:t>
        </w:r>
        <w:r>
          <w:rPr>
            <w:spacing w:val="-1"/>
            <w:w w:val="83"/>
            <w:sz w:val="15"/>
          </w:rPr>
          <w:t>i</w:t>
        </w:r>
        <w:r>
          <w:rPr>
            <w:spacing w:val="-2"/>
            <w:w w:val="190"/>
            <w:sz w:val="15"/>
          </w:rPr>
          <w:t>@</w:t>
        </w:r>
        <w:r>
          <w:rPr>
            <w:w w:val="110"/>
            <w:sz w:val="15"/>
          </w:rPr>
          <w:t>eb</w:t>
        </w:r>
        <w:r>
          <w:rPr>
            <w:spacing w:val="-1"/>
            <w:w w:val="110"/>
            <w:sz w:val="15"/>
          </w:rPr>
          <w:t>s</w:t>
        </w:r>
        <w:r>
          <w:rPr>
            <w:w w:val="112"/>
            <w:sz w:val="15"/>
          </w:rPr>
          <w:t>c</w:t>
        </w:r>
        <w:r>
          <w:rPr>
            <w:spacing w:val="-2"/>
            <w:w w:val="112"/>
            <w:sz w:val="15"/>
          </w:rPr>
          <w:t>n</w:t>
        </w:r>
        <w:r>
          <w:rPr>
            <w:spacing w:val="-2"/>
            <w:w w:val="56"/>
            <w:sz w:val="15"/>
          </w:rPr>
          <w:t>.</w:t>
        </w:r>
        <w:r>
          <w:rPr>
            <w:w w:val="112"/>
            <w:sz w:val="15"/>
          </w:rPr>
          <w:t>c</w:t>
        </w:r>
        <w:r>
          <w:rPr>
            <w:spacing w:val="-1"/>
            <w:w w:val="112"/>
            <w:sz w:val="15"/>
          </w:rPr>
          <w:t>o</w:t>
        </w:r>
        <w:r>
          <w:rPr>
            <w:w w:val="186"/>
            <w:sz w:val="15"/>
          </w:rPr>
          <w:t>m</w:t>
        </w:r>
      </w:hyperlink>
    </w:p>
    <w:p>
      <w:pPr>
        <w:spacing w:line="298" w:lineRule="exact" w:before="0"/>
        <w:ind w:left="87" w:right="0" w:firstLine="0"/>
        <w:jc w:val="left"/>
        <w:rPr>
          <w:rFonts w:ascii="微软雅黑" w:eastAsia="微软雅黑" w:hint="eastAsia"/>
          <w:b/>
          <w:sz w:val="18"/>
        </w:rPr>
      </w:pPr>
      <w:r>
        <w:rPr>
          <w:rFonts w:ascii="微软雅黑" w:eastAsia="微软雅黑" w:hint="eastAsia"/>
          <w:b/>
          <w:sz w:val="18"/>
        </w:rPr>
        <w:t>分析师：王明瑞</w:t>
      </w:r>
    </w:p>
    <w:p>
      <w:pPr>
        <w:spacing w:line="181" w:lineRule="exact" w:before="0"/>
        <w:ind w:left="87" w:right="0" w:firstLine="0"/>
        <w:jc w:val="left"/>
        <w:rPr>
          <w:sz w:val="15"/>
        </w:rPr>
      </w:pPr>
      <w:r>
        <w:rPr>
          <w:sz w:val="15"/>
        </w:rPr>
        <w:t>执业证书编号：S0930520080004</w:t>
      </w:r>
    </w:p>
    <w:p>
      <w:pPr>
        <w:spacing w:before="16"/>
        <w:ind w:left="87" w:right="0" w:firstLine="0"/>
        <w:jc w:val="left"/>
        <w:rPr>
          <w:sz w:val="15"/>
        </w:rPr>
      </w:pPr>
      <w:r>
        <w:rPr>
          <w:w w:val="110"/>
          <w:sz w:val="15"/>
        </w:rPr>
        <w:t>010-57378027</w:t>
      </w:r>
    </w:p>
    <w:p>
      <w:pPr>
        <w:spacing w:before="14"/>
        <w:ind w:left="87" w:right="0" w:firstLine="0"/>
        <w:jc w:val="left"/>
        <w:rPr>
          <w:sz w:val="15"/>
        </w:rPr>
      </w:pPr>
      <w:hyperlink r:id="rId9">
        <w:r>
          <w:rPr>
            <w:color w:val="0000FF"/>
            <w:spacing w:val="-2"/>
            <w:w w:val="161"/>
            <w:sz w:val="15"/>
            <w:u w:val="single" w:color="0000FF"/>
          </w:rPr>
          <w:t>w</w:t>
        </w:r>
        <w:r>
          <w:rPr>
            <w:color w:val="0000FF"/>
            <w:w w:val="113"/>
            <w:sz w:val="15"/>
            <w:u w:val="single" w:color="0000FF"/>
          </w:rPr>
          <w:t>a</w:t>
        </w:r>
        <w:r>
          <w:rPr>
            <w:color w:val="0000FF"/>
            <w:spacing w:val="-2"/>
            <w:w w:val="123"/>
            <w:sz w:val="15"/>
            <w:u w:val="single" w:color="0000FF"/>
          </w:rPr>
          <w:t>n</w:t>
        </w:r>
        <w:r>
          <w:rPr>
            <w:color w:val="0000FF"/>
            <w:spacing w:val="-2"/>
            <w:w w:val="113"/>
            <w:sz w:val="15"/>
            <w:u w:val="single" w:color="0000FF"/>
          </w:rPr>
          <w:t>g</w:t>
        </w:r>
        <w:r>
          <w:rPr>
            <w:color w:val="0000FF"/>
            <w:spacing w:val="-1"/>
            <w:w w:val="186"/>
            <w:sz w:val="15"/>
            <w:u w:val="single" w:color="0000FF"/>
          </w:rPr>
          <w:t>m</w:t>
        </w:r>
        <w:r>
          <w:rPr>
            <w:color w:val="0000FF"/>
            <w:spacing w:val="-1"/>
            <w:w w:val="55"/>
            <w:sz w:val="15"/>
            <w:u w:val="single" w:color="0000FF"/>
          </w:rPr>
          <w:t>i</w:t>
        </w:r>
        <w:r>
          <w:rPr>
            <w:color w:val="0000FF"/>
            <w:spacing w:val="-2"/>
            <w:w w:val="123"/>
            <w:sz w:val="15"/>
            <w:u w:val="single" w:color="0000FF"/>
          </w:rPr>
          <w:t>n</w:t>
        </w:r>
        <w:r>
          <w:rPr>
            <w:color w:val="0000FF"/>
            <w:spacing w:val="-2"/>
            <w:w w:val="113"/>
            <w:sz w:val="15"/>
            <w:u w:val="single" w:color="0000FF"/>
          </w:rPr>
          <w:t>g</w:t>
        </w:r>
        <w:r>
          <w:rPr>
            <w:color w:val="0000FF"/>
            <w:spacing w:val="-2"/>
            <w:w w:val="78"/>
            <w:sz w:val="15"/>
            <w:u w:val="single" w:color="0000FF"/>
          </w:rPr>
          <w:t>r</w:t>
        </w:r>
        <w:r>
          <w:rPr>
            <w:color w:val="0000FF"/>
            <w:spacing w:val="-1"/>
            <w:w w:val="122"/>
            <w:sz w:val="15"/>
            <w:u w:val="single" w:color="0000FF"/>
          </w:rPr>
          <w:t>u</w:t>
        </w:r>
        <w:r>
          <w:rPr>
            <w:color w:val="0000FF"/>
            <w:spacing w:val="-1"/>
            <w:w w:val="55"/>
            <w:sz w:val="15"/>
            <w:u w:val="single" w:color="0000FF"/>
          </w:rPr>
          <w:t>i</w:t>
        </w:r>
        <w:r>
          <w:rPr>
            <w:color w:val="0000FF"/>
            <w:w w:val="190"/>
            <w:sz w:val="15"/>
            <w:u w:val="single" w:color="0000FF"/>
          </w:rPr>
          <w:t>@</w:t>
        </w:r>
        <w:r>
          <w:rPr>
            <w:color w:val="0000FF"/>
            <w:w w:val="110"/>
            <w:sz w:val="15"/>
            <w:u w:val="single" w:color="0000FF"/>
          </w:rPr>
          <w:t>eb</w:t>
        </w:r>
        <w:r>
          <w:rPr>
            <w:color w:val="0000FF"/>
            <w:spacing w:val="-1"/>
            <w:w w:val="110"/>
            <w:sz w:val="15"/>
            <w:u w:val="single" w:color="0000FF"/>
          </w:rPr>
          <w:t>s</w:t>
        </w:r>
        <w:r>
          <w:rPr>
            <w:color w:val="0000FF"/>
            <w:w w:val="112"/>
            <w:sz w:val="15"/>
            <w:u w:val="single" w:color="0000FF"/>
          </w:rPr>
          <w:t>c</w:t>
        </w:r>
        <w:r>
          <w:rPr>
            <w:color w:val="0000FF"/>
            <w:spacing w:val="-2"/>
            <w:w w:val="112"/>
            <w:sz w:val="15"/>
            <w:u w:val="single" w:color="0000FF"/>
          </w:rPr>
          <w:t>n</w:t>
        </w:r>
        <w:r>
          <w:rPr>
            <w:color w:val="0000FF"/>
            <w:spacing w:val="-2"/>
            <w:w w:val="56"/>
            <w:sz w:val="15"/>
            <w:u w:val="single" w:color="0000FF"/>
          </w:rPr>
          <w:t>.</w:t>
        </w:r>
        <w:r>
          <w:rPr>
            <w:color w:val="0000FF"/>
            <w:w w:val="112"/>
            <w:sz w:val="15"/>
            <w:u w:val="single" w:color="0000FF"/>
          </w:rPr>
          <w:t>c</w:t>
        </w:r>
        <w:r>
          <w:rPr>
            <w:color w:val="0000FF"/>
            <w:spacing w:val="-1"/>
            <w:w w:val="112"/>
            <w:sz w:val="15"/>
            <w:u w:val="single" w:color="0000FF"/>
          </w:rPr>
          <w:t>o</w:t>
        </w:r>
        <w:r>
          <w:rPr>
            <w:color w:val="0000FF"/>
            <w:w w:val="186"/>
            <w:sz w:val="15"/>
            <w:u w:val="single" w:color="0000FF"/>
          </w:rPr>
          <w:t>m</w:t>
        </w:r>
      </w:hyperlink>
    </w:p>
    <w:p>
      <w:pPr>
        <w:pStyle w:val="BodyText"/>
        <w:spacing w:before="11"/>
        <w:rPr>
          <w:sz w:val="12"/>
        </w:rPr>
      </w:pPr>
    </w:p>
    <w:p>
      <w:pPr>
        <w:spacing w:line="320" w:lineRule="exact" w:before="0"/>
        <w:ind w:left="87" w:right="0" w:firstLine="0"/>
        <w:jc w:val="left"/>
        <w:rPr>
          <w:rFonts w:ascii="微软雅黑" w:eastAsia="微软雅黑" w:hint="eastAsia"/>
          <w:b/>
          <w:sz w:val="18"/>
        </w:rPr>
      </w:pPr>
      <w:r>
        <w:rPr>
          <w:rFonts w:ascii="微软雅黑" w:eastAsia="微软雅黑" w:hint="eastAsia"/>
          <w:b/>
          <w:sz w:val="18"/>
        </w:rPr>
        <w:t>联系人：张瀚予</w:t>
      </w:r>
    </w:p>
    <w:p>
      <w:pPr>
        <w:spacing w:line="180" w:lineRule="exact" w:before="0"/>
        <w:ind w:left="87" w:right="0" w:firstLine="0"/>
        <w:jc w:val="left"/>
        <w:rPr>
          <w:sz w:val="15"/>
        </w:rPr>
      </w:pPr>
      <w:r>
        <w:rPr>
          <w:w w:val="110"/>
          <w:sz w:val="15"/>
        </w:rPr>
        <w:t>021-52523676</w:t>
      </w:r>
    </w:p>
    <w:p>
      <w:pPr>
        <w:spacing w:before="16"/>
        <w:ind w:left="87" w:right="0" w:firstLine="0"/>
        <w:jc w:val="left"/>
        <w:rPr>
          <w:sz w:val="15"/>
        </w:rPr>
      </w:pPr>
      <w:hyperlink r:id="rId10">
        <w:r>
          <w:rPr>
            <w:w w:val="110"/>
            <w:sz w:val="15"/>
          </w:rPr>
          <w:t>zha</w:t>
        </w:r>
        <w:r>
          <w:rPr>
            <w:spacing w:val="-2"/>
            <w:w w:val="123"/>
            <w:sz w:val="15"/>
          </w:rPr>
          <w:t>n</w:t>
        </w:r>
        <w:r>
          <w:rPr>
            <w:spacing w:val="-2"/>
            <w:w w:val="113"/>
            <w:sz w:val="15"/>
          </w:rPr>
          <w:t>g</w:t>
        </w:r>
        <w:r>
          <w:rPr>
            <w:spacing w:val="-4"/>
            <w:w w:val="122"/>
            <w:sz w:val="15"/>
          </w:rPr>
          <w:t>h</w:t>
        </w:r>
        <w:r>
          <w:rPr>
            <w:w w:val="113"/>
            <w:sz w:val="15"/>
          </w:rPr>
          <w:t>a</w:t>
        </w:r>
        <w:r>
          <w:rPr>
            <w:spacing w:val="-2"/>
            <w:w w:val="123"/>
            <w:sz w:val="15"/>
          </w:rPr>
          <w:t>n</w:t>
        </w:r>
        <w:r>
          <w:rPr>
            <w:w w:val="113"/>
            <w:sz w:val="15"/>
          </w:rPr>
          <w:t>y</w:t>
        </w:r>
        <w:r>
          <w:rPr>
            <w:spacing w:val="-3"/>
            <w:w w:val="113"/>
            <w:sz w:val="15"/>
          </w:rPr>
          <w:t>u</w:t>
        </w:r>
        <w:r>
          <w:rPr>
            <w:w w:val="190"/>
            <w:sz w:val="15"/>
          </w:rPr>
          <w:t>@</w:t>
        </w:r>
        <w:r>
          <w:rPr>
            <w:spacing w:val="-3"/>
            <w:w w:val="111"/>
            <w:sz w:val="15"/>
          </w:rPr>
          <w:t>e</w:t>
        </w:r>
        <w:r>
          <w:rPr>
            <w:w w:val="109"/>
            <w:sz w:val="15"/>
          </w:rPr>
          <w:t>b</w:t>
        </w:r>
        <w:r>
          <w:rPr>
            <w:spacing w:val="-2"/>
            <w:w w:val="109"/>
            <w:sz w:val="15"/>
          </w:rPr>
          <w:t>s</w:t>
        </w:r>
        <w:r>
          <w:rPr>
            <w:w w:val="112"/>
            <w:sz w:val="15"/>
          </w:rPr>
          <w:t>c</w:t>
        </w:r>
        <w:r>
          <w:rPr>
            <w:spacing w:val="-2"/>
            <w:w w:val="112"/>
            <w:sz w:val="15"/>
          </w:rPr>
          <w:t>n</w:t>
        </w:r>
        <w:r>
          <w:rPr>
            <w:spacing w:val="1"/>
            <w:w w:val="56"/>
            <w:sz w:val="15"/>
          </w:rPr>
          <w:t>.</w:t>
        </w:r>
        <w:r>
          <w:rPr>
            <w:w w:val="112"/>
            <w:sz w:val="15"/>
          </w:rPr>
          <w:t>c</w:t>
        </w:r>
        <w:r>
          <w:rPr>
            <w:spacing w:val="-1"/>
            <w:w w:val="112"/>
            <w:sz w:val="15"/>
          </w:rPr>
          <w:t>o</w:t>
        </w:r>
        <w:r>
          <w:rPr>
            <w:w w:val="186"/>
            <w:sz w:val="15"/>
          </w:rPr>
          <w:t>m</w:t>
        </w:r>
      </w:hyperlink>
    </w:p>
    <w:p>
      <w:pPr>
        <w:pStyle w:val="BodyText"/>
        <w:spacing w:before="11"/>
        <w:rPr>
          <w:sz w:val="21"/>
        </w:rPr>
      </w:pPr>
    </w:p>
    <w:p>
      <w:pPr>
        <w:tabs>
          <w:tab w:pos="3377" w:val="left" w:leader="none"/>
        </w:tabs>
        <w:spacing w:before="0"/>
        <w:ind w:left="87" w:right="0" w:firstLine="0"/>
        <w:jc w:val="left"/>
        <w:rPr>
          <w:rFonts w:ascii="微软雅黑" w:eastAsia="微软雅黑" w:hint="eastAsia"/>
          <w:b/>
          <w:sz w:val="18"/>
        </w:rPr>
      </w:pPr>
      <w:r>
        <w:rPr>
          <w:rFonts w:ascii="Times New Roman" w:eastAsia="Times New Roman"/>
          <w:b/>
          <w:color w:val="FFFFFF"/>
          <w:sz w:val="18"/>
          <w:shd w:fill="C54322" w:color="auto" w:val="clear"/>
        </w:rPr>
        <w:t> </w:t>
      </w:r>
      <w:r>
        <w:rPr>
          <w:rFonts w:ascii="Times New Roman" w:eastAsia="Times New Roman"/>
          <w:b/>
          <w:color w:val="FFFFFF"/>
          <w:spacing w:val="18"/>
          <w:sz w:val="18"/>
          <w:shd w:fill="C54322" w:color="auto" w:val="clear"/>
        </w:rPr>
        <w:t> </w:t>
      </w:r>
      <w:r>
        <w:rPr>
          <w:rFonts w:ascii="微软雅黑" w:eastAsia="微软雅黑" w:hint="eastAsia"/>
          <w:b/>
          <w:color w:val="FFFFFF"/>
          <w:sz w:val="18"/>
          <w:shd w:fill="C54322" w:color="auto" w:val="clear"/>
        </w:rPr>
        <w:t>行业与沪深</w:t>
      </w:r>
      <w:r>
        <w:rPr>
          <w:rFonts w:ascii="微软雅黑" w:eastAsia="微软雅黑" w:hint="eastAsia"/>
          <w:b/>
          <w:color w:val="FFFFFF"/>
          <w:spacing w:val="-26"/>
          <w:sz w:val="18"/>
          <w:shd w:fill="C54322" w:color="auto" w:val="clear"/>
        </w:rPr>
        <w:t> </w:t>
      </w:r>
      <w:r>
        <w:rPr>
          <w:rFonts w:ascii="微软雅黑" w:eastAsia="微软雅黑" w:hint="eastAsia"/>
          <w:b/>
          <w:color w:val="FFFFFF"/>
          <w:sz w:val="18"/>
          <w:shd w:fill="C54322" w:color="auto" w:val="clear"/>
        </w:rPr>
        <w:t>300</w:t>
      </w:r>
      <w:r>
        <w:rPr>
          <w:rFonts w:ascii="微软雅黑" w:eastAsia="微软雅黑" w:hint="eastAsia"/>
          <w:b/>
          <w:color w:val="FFFFFF"/>
          <w:spacing w:val="-24"/>
          <w:sz w:val="18"/>
          <w:shd w:fill="C54322" w:color="auto" w:val="clear"/>
        </w:rPr>
        <w:t> </w:t>
      </w:r>
      <w:r>
        <w:rPr>
          <w:rFonts w:ascii="微软雅黑" w:eastAsia="微软雅黑" w:hint="eastAsia"/>
          <w:b/>
          <w:color w:val="FFFFFF"/>
          <w:sz w:val="18"/>
          <w:shd w:fill="C54322" w:color="auto" w:val="clear"/>
        </w:rPr>
        <w:t>指数对比图</w:t>
        <w:tab/>
      </w:r>
    </w:p>
    <w:p>
      <w:pPr>
        <w:spacing w:before="143"/>
        <w:ind w:left="405" w:right="0" w:firstLine="0"/>
        <w:jc w:val="left"/>
        <w:rPr>
          <w:rFonts w:ascii="Arial"/>
          <w:sz w:val="14"/>
        </w:rPr>
      </w:pPr>
      <w:r>
        <w:rPr/>
        <w:pict>
          <v:group style="position:absolute;margin-left:428.9021pt;margin-top:11.068455pt;width:110.2pt;height:70.4pt;mso-position-horizontal-relative:page;mso-position-vertical-relative:paragraph;z-index:15729152" coordorigin="8578,221" coordsize="2204,1408">
            <v:shape style="position:absolute;left:8578;top:228;width:2184;height:1361" coordorigin="8578,228" coordsize="2184,1361" path="m8620,228l8620,1575m8578,1588l8606,1588m8578,1255l8606,1255m8578,908l8606,908m8578,575l8606,575m8578,228l8606,228m8620,1588l10761,1588e" filled="false" stroked="true" strokeweight=".675351pt" strokecolor="#000000">
              <v:path arrowok="t"/>
              <v:stroke dashstyle="solid"/>
            </v:shape>
            <v:shape style="position:absolute;left:8612;top:1615;width:1631;height:2" coordorigin="8613,1615" coordsize="1631,0" path="m8613,1615l8627,1615m9152,1615l9165,1615m9691,1615l9705,1615m10230,1615l10243,1615e" filled="false" stroked="true" strokeweight="1.32595pt" strokecolor="#000000">
              <v:path arrowok="t"/>
              <v:stroke dashstyle="solid"/>
            </v:shape>
            <v:shape style="position:absolute;left:8612;top:461;width:2156;height:1121" coordorigin="8613,461" coordsize="2156,1121" path="m8613,528l8627,582,8640,528,8640,488,8654,555,8668,582,8668,568,8682,555,8682,595,8696,582,8710,555,8710,582,8723,635,8737,715,8737,688,8751,662,8765,635,8765,568,8778,568,8793,621,8793,568,8806,502,8806,528,8820,515,8834,461,8834,582,8848,595,8861,701,8861,648,8875,701,8889,701,8889,648,8903,635,8917,608,8931,648,8931,595,8944,582,8958,541,8958,635,8972,715,8986,848,8986,928,9000,875,9014,822,9014,848,9027,795,9027,688,9041,715,9055,728,9055,808,9069,781,9082,755,9082,808,9097,835,9110,848,9124,942,9138,928,9138,915,9152,1048,9152,1022,9165,982,9179,955,9179,1035,9193,1048,9207,1062,9207,1089,9221,1062,9235,1128,9235,1102,9248,995,9262,995,9262,1009,9276,1009,9276,1022,9290,1035,9304,1022,9304,1048,9318,1048,9331,968,9331,955,9345,968,9359,955,9359,928,9373,942,9387,995,9387,955,9401,928,9401,955,9414,968,9428,915,9428,955,9442,848,9456,902,9456,848,9469,888,9483,888,9497,888,9511,902,9511,968,9525,982,9525,928,9539,968,9552,995,9552,968,9566,955,9580,955,9580,1009,9594,982,9608,942,9622,942,9635,888,9635,835,9649,822,9649,875,9663,875,9677,902,9677,888,9691,875,9705,835,9718,835,9732,835,9732,862,9746,902,9746,888,9760,928,9773,928,9773,888,9788,835,9801,862,9815,835,9829,902,9843,915,9856,928,9856,902,9870,888,9870,915,9884,888,9898,848,9912,862,9925,835,9925,795,9939,835,9953,888,9967,915,9980,875,9995,848,9995,902,10009,848,10022,848,10022,902,10036,955,10050,968,10050,1062,10064,1075,10077,1155,10077,1195,10091,1235,10105,1235,10105,1222,10119,1235,10119,1195,10133,1222,10146,1302,10160,1208,10174,1208,10174,1222,10188,1195,10202,1182,10202,1222,10216,1182,10230,1235,10230,1155,10243,1155,10243,1142,10257,1155,10271,1155,10285,1235,10299,1329,10299,1382,10313,1288,10326,1208,10326,1235,10340,1342,10354,1302,10354,1222,10368,1195,10368,1142,10382,1208,10395,1169,10395,1115,10409,1182,10423,1208,10423,1182,10437,1128,10450,1142,10450,1182,10464,1169,10464,1222,10479,1275,10492,1315,10492,1262,10506,1329,10520,1302,10520,1288,10534,1302,10547,1342,10547,1382,10561,1449,10575,1462,10575,1582,10589,1569,10589,1529,10603,1542,10616,1475,10616,1449,10630,1462,10644,1449,10644,1435,10658,1395,10671,1382,10671,1369,10686,1409,10700,1435,10700,1462,10713,1449,10713,1409,10727,1395,10741,1502,10741,1475,10755,1489,10768,1475e" filled="false" stroked="true" strokeweight="1.33648pt" strokecolor="#993300">
              <v:path arrowok="t"/>
              <v:stroke dashstyle="solid"/>
            </v:shape>
            <v:shape style="position:absolute;left:8612;top:528;width:2156;height:921" coordorigin="8613,528" coordsize="2156,921" path="m8613,528l8627,541,8640,541,8640,528,8654,568,8668,582,8668,568,8682,568,8682,595,8696,595,8710,568,8710,595,8723,635,8737,688,8737,675,8751,675,8765,675,8765,662,8778,648,8793,635,8793,595,8806,582,8806,621,8820,595,8834,595,8834,688,8848,688,8861,688,8861,648,8875,675,8889,688,8889,648,8903,648,8917,688,8917,648,8931,675,8931,662,8944,675,8958,648,8972,675,8986,781,8986,875,9000,875,9014,822,9014,848,9027,768,9041,742,9055,768,9055,781,9069,742,9082,701,9082,728,9097,742,9110,768,9124,822,9138,795,9138,808,9152,862,9152,835,9165,795,9179,795,9179,848,9193,835,9207,848,9221,808,9235,808,9235,822,9248,768,9262,742,9262,755,9276,755,9276,728,9290,742,9304,781,9304,808,9318,848,9331,822,9331,835,9345,822,9359,822,9359,808,9373,795,9387,835,9387,808,9401,768,9414,795,9428,768,9428,781,9442,768,9456,808,9456,781,9469,781,9483,768,9483,755,9497,742,9511,755,9511,795,9525,808,9525,781,9539,795,9552,822,9552,835,9566,808,9580,822,9594,822,9608,835,9608,795,9622,795,9635,795,9649,795,9649,822,9663,795,9677,781,9691,781,9705,795,9705,808,9718,822,9732,835,9732,822,9746,822,9746,795,9760,795,9773,781,9773,728,9788,688,9801,701,9801,688,9815,701,9829,728,9829,715,9843,755,9856,808,9856,781,9870,781,9870,768,9884,781,9898,781,9898,755,9912,795,9925,781,9925,768,9939,781,9953,808,9953,835,9967,835,9980,822,9980,848,9995,822,9995,875,10009,888,10022,875,10022,848,10036,862,10050,835,10050,862,10064,862,10077,915,10077,902,10091,955,10105,982,10105,942,10119,955,10119,942,10133,942,10146,968,10146,995,10160,968,10174,955,10188,942,10202,942,10202,982,10216,955,10230,1009,10230,982,10243,982,10243,955,10257,982,10271,995,10271,1022,10285,1115,10299,1169,10299,1182,10313,1142,10326,1142,10326,1222,10340,1329,10354,1222,10354,1182,10368,1169,10382,1169,10395,1155,10395,1169,10409,1222,10423,1235,10437,1169,10450,1182,10450,1155,10464,1169,10464,1195,10479,1182,10492,1262,10492,1208,10506,1235,10520,1208,10534,1222,10547,1235,10547,1275,10561,1315,10575,1315,10575,1422,10589,1449,10589,1382,10603,1369,10616,1315,10630,1369,10644,1395,10644,1369,10658,1329,10671,1342,10671,1329,10686,1342,10700,1315,10700,1329,10713,1315,10713,1275,10727,1288,10741,1342,10741,1329,10755,1329,10768,1315e" filled="false" stroked="true" strokeweight="1.333588pt" strokecolor="#c0c0c0">
              <v:path arrowok="t"/>
              <v:stroke dashstyle="solid"/>
            </v:shape>
            <w10:wrap type="none"/>
          </v:group>
        </w:pict>
      </w:r>
      <w:bookmarkStart w:name="HQCHART" w:id="3"/>
      <w:bookmarkEnd w:id="3"/>
      <w:r>
        <w:rPr/>
      </w:r>
      <w:r>
        <w:rPr>
          <w:rFonts w:ascii="Arial"/>
          <w:spacing w:val="-2"/>
          <w:w w:val="110"/>
          <w:sz w:val="14"/>
        </w:rPr>
        <w:t>10%</w:t>
      </w:r>
    </w:p>
    <w:p>
      <w:pPr>
        <w:pStyle w:val="BodyText"/>
        <w:spacing w:before="2"/>
        <w:rPr>
          <w:rFonts w:ascii="Arial"/>
          <w:sz w:val="16"/>
        </w:rPr>
      </w:pPr>
    </w:p>
    <w:p>
      <w:pPr>
        <w:spacing w:before="0"/>
        <w:ind w:left="432" w:right="0" w:firstLine="0"/>
        <w:jc w:val="left"/>
        <w:rPr>
          <w:rFonts w:ascii="Arial"/>
          <w:sz w:val="14"/>
        </w:rPr>
      </w:pPr>
      <w:r>
        <w:rPr>
          <w:rFonts w:ascii="Arial"/>
          <w:w w:val="110"/>
          <w:sz w:val="14"/>
        </w:rPr>
        <w:t>-1%</w:t>
      </w:r>
    </w:p>
    <w:p>
      <w:pPr>
        <w:pStyle w:val="BodyText"/>
        <w:rPr>
          <w:rFonts w:ascii="Arial"/>
          <w:sz w:val="15"/>
        </w:rPr>
      </w:pPr>
    </w:p>
    <w:p>
      <w:pPr>
        <w:spacing w:before="0"/>
        <w:ind w:left="349" w:right="0" w:firstLine="0"/>
        <w:jc w:val="left"/>
        <w:rPr>
          <w:rFonts w:ascii="Arial"/>
          <w:sz w:val="14"/>
        </w:rPr>
      </w:pPr>
      <w:r>
        <w:rPr>
          <w:rFonts w:ascii="Arial"/>
          <w:w w:val="110"/>
          <w:sz w:val="14"/>
        </w:rPr>
        <w:t>-12%</w:t>
      </w:r>
    </w:p>
    <w:p>
      <w:pPr>
        <w:pStyle w:val="BodyText"/>
        <w:spacing w:before="2"/>
        <w:rPr>
          <w:rFonts w:ascii="Arial"/>
          <w:sz w:val="16"/>
        </w:rPr>
      </w:pPr>
    </w:p>
    <w:p>
      <w:pPr>
        <w:spacing w:before="0"/>
        <w:ind w:left="349" w:right="0" w:firstLine="0"/>
        <w:jc w:val="left"/>
        <w:rPr>
          <w:rFonts w:ascii="Arial"/>
          <w:sz w:val="14"/>
        </w:rPr>
      </w:pPr>
      <w:r>
        <w:rPr>
          <w:rFonts w:ascii="Arial"/>
          <w:w w:val="110"/>
          <w:sz w:val="14"/>
        </w:rPr>
        <w:t>-23%</w:t>
      </w:r>
    </w:p>
    <w:p>
      <w:pPr>
        <w:pStyle w:val="BodyText"/>
        <w:rPr>
          <w:rFonts w:ascii="Arial"/>
          <w:sz w:val="15"/>
        </w:rPr>
      </w:pPr>
    </w:p>
    <w:p>
      <w:pPr>
        <w:spacing w:before="0"/>
        <w:ind w:left="349" w:right="0" w:firstLine="0"/>
        <w:jc w:val="left"/>
        <w:rPr>
          <w:rFonts w:ascii="Arial"/>
          <w:sz w:val="14"/>
        </w:rPr>
      </w:pPr>
      <w:r>
        <w:rPr>
          <w:rFonts w:ascii="Arial"/>
          <w:w w:val="110"/>
          <w:sz w:val="14"/>
        </w:rPr>
        <w:t>-33%</w:t>
      </w:r>
    </w:p>
    <w:p>
      <w:pPr>
        <w:spacing w:before="12"/>
        <w:ind w:left="639" w:right="0" w:firstLine="0"/>
        <w:jc w:val="left"/>
        <w:rPr>
          <w:rFonts w:ascii="Arial"/>
          <w:sz w:val="14"/>
        </w:rPr>
      </w:pPr>
      <w:r>
        <w:rPr>
          <w:rFonts w:ascii="Arial"/>
          <w:w w:val="110"/>
          <w:sz w:val="14"/>
        </w:rPr>
        <w:t>05/21 08/21 11/21 02/22</w:t>
      </w:r>
    </w:p>
    <w:p>
      <w:pPr>
        <w:tabs>
          <w:tab w:pos="2352" w:val="left" w:leader="none"/>
        </w:tabs>
        <w:spacing w:before="97"/>
        <w:ind w:left="971" w:right="0" w:firstLine="0"/>
        <w:jc w:val="left"/>
        <w:rPr>
          <w:rFonts w:ascii="Arial" w:eastAsia="Arial"/>
          <w:sz w:val="14"/>
        </w:rPr>
      </w:pPr>
      <w:r>
        <w:rPr/>
        <w:pict>
          <v:line style="position:absolute;mso-position-horizontal-relative:page;mso-position-vertical-relative:paragraph;z-index:15729664" from="419.57193pt,9.198086pt" to="436.169062pt,9.198086pt" stroked="true" strokeweight="1.32595pt" strokecolor="#993300">
            <v:stroke dashstyle="solid"/>
            <w10:wrap type="none"/>
          </v:line>
        </w:pict>
      </w:r>
      <w:r>
        <w:rPr/>
        <w:pict>
          <v:line style="position:absolute;mso-position-horizontal-relative:page;mso-position-vertical-relative:paragraph;z-index:-16456192" from="488.665527pt,9.198086pt" to="505.258075pt,9.198086pt" stroked="true" strokeweight="1.32595pt" strokecolor="#c0c0c0">
            <v:stroke dashstyle="solid"/>
            <w10:wrap type="none"/>
          </v:line>
        </w:pict>
      </w:r>
      <w:r>
        <w:rPr>
          <w:w w:val="110"/>
          <w:sz w:val="14"/>
        </w:rPr>
        <w:t>医药生物</w:t>
        <w:tab/>
        <w:t>沪深</w:t>
      </w:r>
      <w:r>
        <w:rPr>
          <w:rFonts w:ascii="Arial" w:eastAsia="Arial"/>
          <w:spacing w:val="-2"/>
          <w:w w:val="110"/>
          <w:sz w:val="14"/>
        </w:rPr>
        <w:t>300</w:t>
      </w:r>
    </w:p>
    <w:p>
      <w:pPr>
        <w:spacing w:before="55"/>
        <w:ind w:left="87" w:right="0" w:firstLine="0"/>
        <w:jc w:val="left"/>
        <w:rPr>
          <w:sz w:val="13"/>
        </w:rPr>
      </w:pPr>
      <w:r>
        <w:rPr>
          <w:w w:val="105"/>
          <w:sz w:val="13"/>
        </w:rPr>
        <w:t>资料来源：Wind</w:t>
      </w:r>
    </w:p>
    <w:p>
      <w:pPr>
        <w:spacing w:after="0"/>
        <w:jc w:val="left"/>
        <w:rPr>
          <w:sz w:val="13"/>
        </w:rPr>
        <w:sectPr>
          <w:type w:val="continuous"/>
          <w:pgSz w:w="11910" w:h="16840"/>
          <w:pgMar w:top="520" w:bottom="320" w:left="540" w:right="520"/>
          <w:cols w:num="2" w:equalWidth="0">
            <w:col w:w="7214" w:space="40"/>
            <w:col w:w="3596"/>
          </w:cols>
        </w:sectPr>
      </w:pPr>
    </w:p>
    <w:p>
      <w:pPr>
        <w:pStyle w:val="BodyText"/>
        <w:ind w:left="336"/>
      </w:pPr>
      <w:r>
        <w:rPr/>
        <w:pict>
          <v:group style="width:507.7pt;height:24.95pt;mso-position-horizontal-relative:char;mso-position-vertical-relative:line" coordorigin="0,0" coordsize="10154,499">
            <v:rect style="position:absolute;left:2;top:483;width:10152;height:15" filled="true" fillcolor="#000000" stroked="false">
              <v:fill type="solid"/>
            </v:rect>
            <v:shape style="position:absolute;left:0;top:64;width:7851;height:417" type="#_x0000_t75" stroked="false">
              <v:imagedata r:id="rId11" o:title=""/>
            </v:shape>
            <v:shape style="position:absolute;left:8680;top:0;width:1440;height:426" type="#_x0000_t75" stroked="false">
              <v:imagedata r:id="rId6" o:title=""/>
            </v:shape>
            <v:shape style="position:absolute;left:144;top:171;width:822;height:213" type="#_x0000_t202" filled="false" stroked="false">
              <v:textbox inset="0,0,0,0">
                <w:txbxContent>
                  <w:p>
                    <w:pPr>
                      <w:spacing w:line="212" w:lineRule="exact" w:before="0"/>
                      <w:ind w:left="0" w:right="0" w:firstLine="0"/>
                      <w:jc w:val="left"/>
                      <w:rPr>
                        <w:rFonts w:ascii="微软雅黑" w:eastAsia="微软雅黑" w:hint="eastAsia"/>
                        <w:b/>
                        <w:sz w:val="20"/>
                      </w:rPr>
                    </w:pPr>
                    <w:r>
                      <w:rPr>
                        <w:rFonts w:ascii="微软雅黑" w:eastAsia="微软雅黑" w:hint="eastAsia"/>
                        <w:b/>
                        <w:color w:val="FFFFFF"/>
                        <w:sz w:val="20"/>
                      </w:rPr>
                      <w:t>医药生物</w:t>
                    </w:r>
                  </w:p>
                </w:txbxContent>
              </v:textbox>
              <w10:wrap type="none"/>
            </v:shape>
          </v:group>
        </w:pict>
      </w:r>
      <w:r>
        <w:rPr/>
      </w:r>
    </w:p>
    <w:p>
      <w:pPr>
        <w:pStyle w:val="BodyText"/>
        <w:spacing w:before="8"/>
        <w:rPr>
          <w:sz w:val="27"/>
        </w:rPr>
      </w:pPr>
    </w:p>
    <w:p>
      <w:pPr>
        <w:tabs>
          <w:tab w:pos="883" w:val="left" w:leader="none"/>
        </w:tabs>
        <w:spacing w:line="698" w:lineRule="exact" w:before="0"/>
        <w:ind w:left="0" w:right="16" w:firstLine="0"/>
        <w:jc w:val="center"/>
        <w:rPr>
          <w:rFonts w:ascii="微软雅黑" w:eastAsia="微软雅黑" w:hint="eastAsia"/>
          <w:b/>
          <w:sz w:val="44"/>
        </w:rPr>
      </w:pPr>
      <w:r>
        <w:rPr>
          <w:rFonts w:ascii="微软雅黑" w:eastAsia="微软雅黑" w:hint="eastAsia"/>
          <w:b/>
          <w:color w:val="C54322"/>
          <w:sz w:val="44"/>
        </w:rPr>
        <w:t>目</w:t>
        <w:tab/>
        <w:t>录</w:t>
      </w:r>
    </w:p>
    <w:sdt>
      <w:sdtPr>
        <w:docPartObj>
          <w:docPartGallery w:val="Table of Contents"/>
          <w:docPartUnique/>
        </w:docPartObj>
      </w:sdtPr>
      <w:sdtEndPr/>
      <w:sdtContent>
        <w:p>
          <w:pPr>
            <w:pStyle w:val="TOC2"/>
            <w:tabs>
              <w:tab w:pos="10450" w:val="right" w:leader="dot"/>
            </w:tabs>
            <w:spacing w:line="387" w:lineRule="exact" w:before="48"/>
          </w:pPr>
          <w:r>
            <w:rPr/>
            <w:t>1、</w:t>
          </w:r>
          <w:r>
            <w:rPr>
              <w:spacing w:val="-34"/>
            </w:rPr>
            <w:t> </w:t>
          </w:r>
          <w:r>
            <w:rPr/>
            <w:t>科济药业：CLDN18.2</w:t>
          </w:r>
          <w:r>
            <w:rPr>
              <w:spacing w:val="-28"/>
            </w:rPr>
            <w:t> </w:t>
          </w:r>
          <w:r>
            <w:rPr/>
            <w:t>CAR-T(CT041)公布</w:t>
          </w:r>
          <w:r>
            <w:rPr>
              <w:spacing w:val="-3"/>
            </w:rPr>
            <w:t>中</w:t>
          </w:r>
          <w:r>
            <w:rPr/>
            <w:t>美临床数据，抗肿瘤前景广阔</w:t>
          </w:r>
          <w:r>
            <w:rPr>
              <w:rFonts w:ascii="Times New Roman" w:eastAsia="Times New Roman"/>
            </w:rPr>
            <w:tab/>
          </w:r>
          <w:r>
            <w:rPr/>
            <w:t>3</w:t>
          </w:r>
        </w:p>
        <w:p>
          <w:pPr>
            <w:pStyle w:val="TOC2"/>
            <w:tabs>
              <w:tab w:pos="10450" w:val="right" w:leader="dot"/>
            </w:tabs>
          </w:pPr>
          <w:hyperlink w:history="true" w:anchor="_TOC_250003">
            <w:r>
              <w:rPr/>
              <w:t>2、</w:t>
            </w:r>
            <w:r>
              <w:rPr>
                <w:spacing w:val="-31"/>
              </w:rPr>
              <w:t> </w:t>
            </w:r>
            <w:r>
              <w:rPr/>
              <w:t>药明巨诺：CD19</w:t>
            </w:r>
            <w:r>
              <w:rPr>
                <w:spacing w:val="-23"/>
              </w:rPr>
              <w:t> </w:t>
            </w:r>
            <w:r>
              <w:rPr/>
              <w:t>CAR-T(倍诺达)展现</w:t>
            </w:r>
            <w:r>
              <w:rPr>
                <w:spacing w:val="-18"/>
              </w:rPr>
              <w:t> </w:t>
            </w:r>
            <w:r>
              <w:rPr/>
              <w:t>me-better</w:t>
            </w:r>
            <w:r>
              <w:rPr>
                <w:spacing w:val="-17"/>
              </w:rPr>
              <w:t> </w:t>
            </w:r>
            <w:r>
              <w:rPr/>
              <w:t>潜力的竞争优势</w:t>
            </w:r>
            <w:r>
              <w:rPr>
                <w:rFonts w:ascii="Times New Roman" w:eastAsia="Times New Roman"/>
              </w:rPr>
              <w:tab/>
            </w:r>
            <w:r>
              <w:rPr/>
              <w:t>7</w:t>
            </w:r>
          </w:hyperlink>
        </w:p>
        <w:p>
          <w:pPr>
            <w:pStyle w:val="TOC2"/>
            <w:tabs>
              <w:tab w:pos="10450" w:val="right" w:leader="dot"/>
            </w:tabs>
          </w:pPr>
          <w:hyperlink w:history="true" w:anchor="_TOC_250002">
            <w:r>
              <w:rPr/>
              <w:t>3、</w:t>
            </w:r>
            <w:r>
              <w:rPr>
                <w:spacing w:val="-27"/>
              </w:rPr>
              <w:t> </w:t>
            </w:r>
            <w:r>
              <w:rPr/>
              <w:t>香雪制药：首个国产</w:t>
            </w:r>
            <w:r>
              <w:rPr>
                <w:spacing w:val="-14"/>
              </w:rPr>
              <w:t> </w:t>
            </w:r>
            <w:r>
              <w:rPr/>
              <w:t>TCR-T</w:t>
            </w:r>
            <w:r>
              <w:rPr>
                <w:spacing w:val="-13"/>
              </w:rPr>
              <w:t> </w:t>
            </w:r>
            <w:r>
              <w:rPr/>
              <w:t>细胞疗法</w:t>
            </w:r>
            <w:r>
              <w:rPr>
                <w:spacing w:val="-13"/>
              </w:rPr>
              <w:t> </w:t>
            </w:r>
            <w:r>
              <w:rPr/>
              <w:t>I</w:t>
            </w:r>
            <w:r>
              <w:rPr>
                <w:spacing w:val="-14"/>
              </w:rPr>
              <w:t> </w:t>
            </w:r>
            <w:r>
              <w:rPr/>
              <w:t>期数据优秀</w:t>
            </w:r>
            <w:r>
              <w:rPr>
                <w:rFonts w:ascii="Times New Roman" w:eastAsia="Times New Roman"/>
              </w:rPr>
              <w:tab/>
            </w:r>
            <w:r>
              <w:rPr/>
              <w:t>9</w:t>
            </w:r>
          </w:hyperlink>
        </w:p>
        <w:p>
          <w:pPr>
            <w:pStyle w:val="TOC2"/>
            <w:tabs>
              <w:tab w:pos="10453" w:val="right" w:leader="dot"/>
            </w:tabs>
          </w:pPr>
          <w:hyperlink w:history="true" w:anchor="_TOC_250001">
            <w:r>
              <w:rPr/>
              <w:t>4、</w:t>
            </w:r>
            <w:r>
              <w:rPr>
                <w:spacing w:val="-27"/>
              </w:rPr>
              <w:t> </w:t>
            </w:r>
            <w:r>
              <w:rPr/>
              <w:t>投资建议</w:t>
            </w:r>
            <w:r>
              <w:rPr>
                <w:rFonts w:ascii="Times New Roman" w:eastAsia="Times New Roman"/>
              </w:rPr>
              <w:tab/>
            </w:r>
            <w:r>
              <w:rPr/>
              <w:t>10</w:t>
            </w:r>
          </w:hyperlink>
        </w:p>
        <w:p>
          <w:pPr>
            <w:pStyle w:val="TOC2"/>
            <w:tabs>
              <w:tab w:pos="10453" w:val="right" w:leader="dot"/>
            </w:tabs>
            <w:spacing w:line="388" w:lineRule="exact"/>
          </w:pPr>
          <w:hyperlink w:history="true" w:anchor="_TOC_250000">
            <w:r>
              <w:rPr/>
              <w:t>5、</w:t>
            </w:r>
            <w:r>
              <w:rPr>
                <w:spacing w:val="-27"/>
              </w:rPr>
              <w:t> </w:t>
            </w:r>
            <w:r>
              <w:rPr/>
              <w:t>风险分析</w:t>
            </w:r>
            <w:r>
              <w:rPr>
                <w:rFonts w:ascii="Times New Roman" w:eastAsia="Times New Roman"/>
              </w:rPr>
              <w:tab/>
            </w:r>
            <w:r>
              <w:rPr/>
              <w:t>10</w:t>
            </w:r>
          </w:hyperlink>
        </w:p>
        <w:p>
          <w:pPr>
            <w:pStyle w:val="TOC1"/>
          </w:pPr>
          <w:r>
            <w:rPr>
              <w:color w:val="C54322"/>
            </w:rPr>
            <w:t>图目录</w:t>
          </w:r>
        </w:p>
        <w:p>
          <w:pPr>
            <w:pStyle w:val="TOC3"/>
            <w:tabs>
              <w:tab w:pos="10451" w:val="right" w:leader="dot"/>
            </w:tabs>
            <w:spacing w:before="356"/>
          </w:pPr>
          <w:r>
            <w:rPr/>
            <w:t>图</w:t>
          </w:r>
          <w:r>
            <w:rPr>
              <w:spacing w:val="-53"/>
            </w:rPr>
            <w:t> </w:t>
          </w:r>
          <w:r>
            <w:rPr/>
            <w:t>1：CT041</w:t>
          </w:r>
          <w:r>
            <w:rPr>
              <w:spacing w:val="-51"/>
            </w:rPr>
            <w:t> </w:t>
          </w:r>
          <w:r>
            <w:rPr>
              <w:spacing w:val="-3"/>
            </w:rPr>
            <w:t>重</w:t>
          </w:r>
          <w:r>
            <w:rPr/>
            <w:t>要</w:t>
          </w:r>
          <w:r>
            <w:rPr>
              <w:spacing w:val="-3"/>
            </w:rPr>
            <w:t>监</w:t>
          </w:r>
          <w:r>
            <w:rPr/>
            <w:t>管</w:t>
          </w:r>
          <w:r>
            <w:rPr>
              <w:spacing w:val="-3"/>
            </w:rPr>
            <w:t>里</w:t>
          </w:r>
          <w:r>
            <w:rPr/>
            <w:t>程碑</w:t>
          </w:r>
          <w:r>
            <w:rPr>
              <w:spacing w:val="-3"/>
            </w:rPr>
            <w:t>事</w:t>
          </w:r>
          <w:r>
            <w:rPr/>
            <w:t>件</w:t>
          </w:r>
          <w:r>
            <w:rPr>
              <w:spacing w:val="-3"/>
            </w:rPr>
            <w:t>一</w:t>
          </w:r>
          <w:r>
            <w:rPr/>
            <w:t>览</w:t>
          </w:r>
          <w:r>
            <w:rPr>
              <w:rFonts w:ascii="Times New Roman" w:eastAsia="Times New Roman"/>
            </w:rPr>
            <w:tab/>
          </w:r>
          <w:r>
            <w:rPr/>
            <w:t>3</w:t>
          </w:r>
        </w:p>
        <w:p>
          <w:pPr>
            <w:pStyle w:val="TOC3"/>
            <w:tabs>
              <w:tab w:pos="10451" w:val="right" w:leader="dot"/>
            </w:tabs>
          </w:pPr>
          <w:r>
            <w:rPr/>
            <w:t>图</w:t>
          </w:r>
          <w:r>
            <w:rPr>
              <w:spacing w:val="-53"/>
            </w:rPr>
            <w:t> </w:t>
          </w:r>
          <w:r>
            <w:rPr/>
            <w:t>2：CT041</w:t>
          </w:r>
          <w:r>
            <w:rPr>
              <w:spacing w:val="-52"/>
            </w:rPr>
            <w:t> </w:t>
          </w:r>
          <w:r>
            <w:rPr>
              <w:spacing w:val="-3"/>
            </w:rPr>
            <w:t>中</w:t>
          </w:r>
          <w:r>
            <w:rPr/>
            <w:t>国</w:t>
          </w:r>
          <w:r>
            <w:rPr>
              <w:spacing w:val="1"/>
            </w:rPr>
            <w:t> </w:t>
          </w:r>
          <w:r>
            <w:rPr/>
            <w:t>1b/II</w:t>
          </w:r>
          <w:r>
            <w:rPr>
              <w:spacing w:val="-54"/>
            </w:rPr>
            <w:t> </w:t>
          </w:r>
          <w:r>
            <w:rPr/>
            <w:t>期临</w:t>
          </w:r>
          <w:r>
            <w:rPr>
              <w:spacing w:val="-3"/>
            </w:rPr>
            <w:t>床</w:t>
          </w:r>
          <w:r>
            <w:rPr/>
            <w:t>试</w:t>
          </w:r>
          <w:r>
            <w:rPr>
              <w:spacing w:val="-3"/>
            </w:rPr>
            <w:t>验</w:t>
          </w:r>
          <w:r>
            <w:rPr/>
            <w:t>安</w:t>
          </w:r>
          <w:r>
            <w:rPr>
              <w:spacing w:val="-3"/>
            </w:rPr>
            <w:t>全</w:t>
          </w:r>
          <w:r>
            <w:rPr/>
            <w:t>性</w:t>
          </w:r>
          <w:r>
            <w:rPr>
              <w:spacing w:val="-3"/>
            </w:rPr>
            <w:t>评</w:t>
          </w:r>
          <w:r>
            <w:rPr/>
            <w:t>价</w:t>
          </w:r>
          <w:r>
            <w:rPr>
              <w:rFonts w:ascii="Times New Roman" w:eastAsia="Times New Roman"/>
            </w:rPr>
            <w:tab/>
          </w:r>
          <w:r>
            <w:rPr/>
            <w:t>5</w:t>
          </w:r>
        </w:p>
        <w:p>
          <w:pPr>
            <w:pStyle w:val="TOC3"/>
            <w:tabs>
              <w:tab w:pos="10451" w:val="right" w:leader="dot"/>
            </w:tabs>
          </w:pPr>
          <w:r>
            <w:rPr/>
            <w:t>图</w:t>
          </w:r>
          <w:r>
            <w:rPr>
              <w:spacing w:val="-53"/>
            </w:rPr>
            <w:t> </w:t>
          </w:r>
          <w:r>
            <w:rPr/>
            <w:t>3：CT041</w:t>
          </w:r>
          <w:r>
            <w:rPr>
              <w:spacing w:val="-52"/>
            </w:rPr>
            <w:t> </w:t>
          </w:r>
          <w:r>
            <w:rPr>
              <w:spacing w:val="-3"/>
            </w:rPr>
            <w:t>中</w:t>
          </w:r>
          <w:r>
            <w:rPr/>
            <w:t>国</w:t>
          </w:r>
          <w:r>
            <w:rPr>
              <w:spacing w:val="1"/>
            </w:rPr>
            <w:t> </w:t>
          </w:r>
          <w:r>
            <w:rPr/>
            <w:t>1b/II</w:t>
          </w:r>
          <w:r>
            <w:rPr>
              <w:spacing w:val="-55"/>
            </w:rPr>
            <w:t> </w:t>
          </w:r>
          <w:r>
            <w:rPr/>
            <w:t>期临</w:t>
          </w:r>
          <w:r>
            <w:rPr>
              <w:spacing w:val="-3"/>
            </w:rPr>
            <w:t>床</w:t>
          </w:r>
          <w:r>
            <w:rPr/>
            <w:t>试</w:t>
          </w:r>
          <w:r>
            <w:rPr>
              <w:spacing w:val="-3"/>
            </w:rPr>
            <w:t>验</w:t>
          </w:r>
          <w:r>
            <w:rPr/>
            <w:t>有</w:t>
          </w:r>
          <w:r>
            <w:rPr>
              <w:spacing w:val="-3"/>
            </w:rPr>
            <w:t>效</w:t>
          </w:r>
          <w:r>
            <w:rPr/>
            <w:t>性</w:t>
          </w:r>
          <w:r>
            <w:rPr>
              <w:spacing w:val="-3"/>
            </w:rPr>
            <w:t>评价</w:t>
          </w:r>
          <w:r>
            <w:rPr/>
            <w:t>-1</w:t>
            <w:tab/>
            <w:t>6</w:t>
          </w:r>
        </w:p>
        <w:p>
          <w:pPr>
            <w:pStyle w:val="TOC3"/>
            <w:tabs>
              <w:tab w:pos="10451" w:val="right" w:leader="dot"/>
            </w:tabs>
          </w:pPr>
          <w:r>
            <w:rPr/>
            <w:t>图</w:t>
          </w:r>
          <w:r>
            <w:rPr>
              <w:spacing w:val="-53"/>
            </w:rPr>
            <w:t> </w:t>
          </w:r>
          <w:r>
            <w:rPr/>
            <w:t>4：CT041</w:t>
          </w:r>
          <w:r>
            <w:rPr>
              <w:spacing w:val="-52"/>
            </w:rPr>
            <w:t> </w:t>
          </w:r>
          <w:r>
            <w:rPr>
              <w:spacing w:val="-3"/>
            </w:rPr>
            <w:t>中</w:t>
          </w:r>
          <w:r>
            <w:rPr/>
            <w:t>国</w:t>
          </w:r>
          <w:r>
            <w:rPr>
              <w:spacing w:val="1"/>
            </w:rPr>
            <w:t> </w:t>
          </w:r>
          <w:r>
            <w:rPr/>
            <w:t>1b/II</w:t>
          </w:r>
          <w:r>
            <w:rPr>
              <w:spacing w:val="-55"/>
            </w:rPr>
            <w:t> </w:t>
          </w:r>
          <w:r>
            <w:rPr/>
            <w:t>期临</w:t>
          </w:r>
          <w:r>
            <w:rPr>
              <w:spacing w:val="-3"/>
            </w:rPr>
            <w:t>床</w:t>
          </w:r>
          <w:r>
            <w:rPr/>
            <w:t>试</w:t>
          </w:r>
          <w:r>
            <w:rPr>
              <w:spacing w:val="-3"/>
            </w:rPr>
            <w:t>验</w:t>
          </w:r>
          <w:r>
            <w:rPr/>
            <w:t>有</w:t>
          </w:r>
          <w:r>
            <w:rPr>
              <w:spacing w:val="-3"/>
            </w:rPr>
            <w:t>效</w:t>
          </w:r>
          <w:r>
            <w:rPr/>
            <w:t>性</w:t>
          </w:r>
          <w:r>
            <w:rPr>
              <w:spacing w:val="-3"/>
            </w:rPr>
            <w:t>评价</w:t>
          </w:r>
          <w:r>
            <w:rPr/>
            <w:t>-2</w:t>
            <w:tab/>
            <w:t>6</w:t>
          </w:r>
        </w:p>
        <w:p>
          <w:pPr>
            <w:pStyle w:val="TOC1"/>
            <w:spacing w:before="613"/>
          </w:pPr>
          <w:r>
            <w:rPr>
              <w:color w:val="C54322"/>
            </w:rPr>
            <w:t>表目录</w:t>
          </w:r>
        </w:p>
        <w:p>
          <w:pPr>
            <w:pStyle w:val="TOC3"/>
            <w:tabs>
              <w:tab w:pos="10451" w:val="right" w:leader="dot"/>
            </w:tabs>
            <w:spacing w:before="355"/>
          </w:pPr>
          <w:r>
            <w:rPr/>
            <w:t>表</w:t>
          </w:r>
          <w:r>
            <w:rPr>
              <w:spacing w:val="-51"/>
            </w:rPr>
            <w:t> </w:t>
          </w:r>
          <w:r>
            <w:rPr/>
            <w:t>1：CT041</w:t>
          </w:r>
          <w:r>
            <w:rPr>
              <w:spacing w:val="-49"/>
            </w:rPr>
            <w:t> </w:t>
          </w:r>
          <w:r>
            <w:rPr>
              <w:spacing w:val="-3"/>
            </w:rPr>
            <w:t>治</w:t>
          </w:r>
          <w:r>
            <w:rPr/>
            <w:t>疗</w:t>
          </w:r>
          <w:r>
            <w:rPr>
              <w:spacing w:val="-3"/>
            </w:rPr>
            <w:t>晚</w:t>
          </w:r>
          <w:r>
            <w:rPr/>
            <w:t>期</w:t>
          </w:r>
          <w:r>
            <w:rPr>
              <w:spacing w:val="-3"/>
            </w:rPr>
            <w:t>胃</w:t>
          </w:r>
          <w:r>
            <w:rPr/>
            <w:t>癌和</w:t>
          </w:r>
          <w:r>
            <w:rPr>
              <w:spacing w:val="-3"/>
            </w:rPr>
            <w:t>胰</w:t>
          </w:r>
          <w:r>
            <w:rPr/>
            <w:t>腺</w:t>
          </w:r>
          <w:r>
            <w:rPr>
              <w:spacing w:val="-3"/>
            </w:rPr>
            <w:t>癌</w:t>
          </w:r>
          <w:r>
            <w:rPr/>
            <w:t>患</w:t>
          </w:r>
          <w:r>
            <w:rPr>
              <w:spacing w:val="-3"/>
            </w:rPr>
            <w:t>者</w:t>
          </w:r>
          <w:r>
            <w:rPr/>
            <w:t>的</w:t>
          </w:r>
          <w:r>
            <w:rPr>
              <w:spacing w:val="-3"/>
            </w:rPr>
            <w:t>多中</w:t>
          </w:r>
          <w:r>
            <w:rPr/>
            <w:t>心</w:t>
          </w:r>
          <w:r>
            <w:rPr>
              <w:spacing w:val="-53"/>
            </w:rPr>
            <w:t> </w:t>
          </w:r>
          <w:r>
            <w:rPr/>
            <w:t>1b</w:t>
          </w:r>
          <w:r>
            <w:rPr>
              <w:spacing w:val="-51"/>
            </w:rPr>
            <w:t> </w:t>
          </w:r>
          <w:r>
            <w:rPr/>
            <w:t>期</w:t>
          </w:r>
          <w:r>
            <w:rPr>
              <w:spacing w:val="-3"/>
            </w:rPr>
            <w:t>试</w:t>
          </w:r>
          <w:r>
            <w:rPr/>
            <w:t>验</w:t>
          </w:r>
          <w:r>
            <w:rPr>
              <w:spacing w:val="-3"/>
            </w:rPr>
            <w:t>有</w:t>
          </w:r>
          <w:r>
            <w:rPr/>
            <w:t>效</w:t>
          </w:r>
          <w:r>
            <w:rPr>
              <w:spacing w:val="-3"/>
            </w:rPr>
            <w:t>性</w:t>
          </w:r>
          <w:r>
            <w:rPr/>
            <w:t>数据</w:t>
          </w:r>
          <w:r>
            <w:rPr>
              <w:rFonts w:ascii="Times New Roman" w:eastAsia="Times New Roman"/>
            </w:rPr>
            <w:tab/>
          </w:r>
          <w:r>
            <w:rPr/>
            <w:t>4</w:t>
          </w:r>
        </w:p>
        <w:p>
          <w:pPr>
            <w:pStyle w:val="TOC3"/>
            <w:tabs>
              <w:tab w:pos="10451" w:val="right" w:leader="dot"/>
            </w:tabs>
          </w:pPr>
          <w:r>
            <w:rPr/>
            <w:t>表</w:t>
          </w:r>
          <w:r>
            <w:rPr>
              <w:spacing w:val="-53"/>
            </w:rPr>
            <w:t> </w:t>
          </w:r>
          <w:r>
            <w:rPr/>
            <w:t>2：CT041</w:t>
          </w:r>
          <w:r>
            <w:rPr>
              <w:spacing w:val="-51"/>
            </w:rPr>
            <w:t> </w:t>
          </w:r>
          <w:r>
            <w:rPr>
              <w:spacing w:val="-3"/>
            </w:rPr>
            <w:t>中</w:t>
          </w:r>
          <w:r>
            <w:rPr/>
            <w:t>国</w:t>
          </w:r>
          <w:r>
            <w:rPr>
              <w:spacing w:val="1"/>
            </w:rPr>
            <w:t> </w:t>
          </w:r>
          <w:r>
            <w:rPr/>
            <w:t>1b/II</w:t>
          </w:r>
          <w:r>
            <w:rPr>
              <w:spacing w:val="-55"/>
            </w:rPr>
            <w:t> </w:t>
          </w:r>
          <w:r>
            <w:rPr/>
            <w:t>期试</w:t>
          </w:r>
          <w:r>
            <w:rPr>
              <w:spacing w:val="-3"/>
            </w:rPr>
            <w:t>验</w:t>
          </w:r>
          <w:r>
            <w:rPr/>
            <w:t>人</w:t>
          </w:r>
          <w:r>
            <w:rPr>
              <w:spacing w:val="-3"/>
            </w:rPr>
            <w:t>口</w:t>
          </w:r>
          <w:r>
            <w:rPr/>
            <w:t>统</w:t>
          </w:r>
          <w:r>
            <w:rPr>
              <w:spacing w:val="-3"/>
            </w:rPr>
            <w:t>计</w:t>
          </w:r>
          <w:r>
            <w:rPr/>
            <w:t>学</w:t>
          </w:r>
          <w:r>
            <w:rPr>
              <w:spacing w:val="-3"/>
            </w:rPr>
            <w:t>与</w:t>
          </w:r>
          <w:r>
            <w:rPr/>
            <w:t>基</w:t>
          </w:r>
          <w:r>
            <w:rPr>
              <w:spacing w:val="-3"/>
            </w:rPr>
            <w:t>线</w:t>
          </w:r>
          <w:r>
            <w:rPr/>
            <w:t>特征</w:t>
          </w:r>
          <w:r>
            <w:rPr>
              <w:rFonts w:ascii="Times New Roman" w:eastAsia="Times New Roman"/>
            </w:rPr>
            <w:tab/>
          </w:r>
          <w:r>
            <w:rPr/>
            <w:t>4</w:t>
          </w:r>
        </w:p>
        <w:p>
          <w:pPr>
            <w:pStyle w:val="TOC3"/>
            <w:tabs>
              <w:tab w:pos="10451" w:val="right" w:leader="dot"/>
            </w:tabs>
          </w:pPr>
          <w:r>
            <w:rPr>
              <w:w w:val="105"/>
            </w:rPr>
            <w:t>表</w:t>
          </w:r>
          <w:r>
            <w:rPr>
              <w:spacing w:val="-59"/>
              <w:w w:val="105"/>
            </w:rPr>
            <w:t> </w:t>
          </w:r>
          <w:r>
            <w:rPr>
              <w:w w:val="105"/>
            </w:rPr>
            <w:t>3：TAEST16001</w:t>
          </w:r>
          <w:r>
            <w:rPr>
              <w:spacing w:val="-65"/>
              <w:w w:val="105"/>
            </w:rPr>
            <w:t> </w:t>
          </w:r>
          <w:r>
            <w:rPr/>
            <w:t>I</w:t>
          </w:r>
          <w:r>
            <w:rPr>
              <w:spacing w:val="-52"/>
            </w:rPr>
            <w:t> </w:t>
          </w:r>
          <w:r>
            <w:rPr>
              <w:spacing w:val="-3"/>
              <w:w w:val="105"/>
            </w:rPr>
            <w:t>期临</w:t>
          </w:r>
          <w:r>
            <w:rPr>
              <w:w w:val="105"/>
            </w:rPr>
            <w:t>床试</w:t>
          </w:r>
          <w:r>
            <w:rPr>
              <w:spacing w:val="-3"/>
              <w:w w:val="105"/>
            </w:rPr>
            <w:t>验</w:t>
          </w:r>
          <w:r>
            <w:rPr>
              <w:w w:val="105"/>
            </w:rPr>
            <w:t>安</w:t>
          </w:r>
          <w:r>
            <w:rPr>
              <w:spacing w:val="-3"/>
              <w:w w:val="105"/>
            </w:rPr>
            <w:t>全</w:t>
          </w:r>
          <w:r>
            <w:rPr>
              <w:w w:val="105"/>
            </w:rPr>
            <w:t>性</w:t>
          </w:r>
          <w:r>
            <w:rPr>
              <w:spacing w:val="-3"/>
              <w:w w:val="105"/>
            </w:rPr>
            <w:t>评</w:t>
          </w:r>
          <w:r>
            <w:rPr>
              <w:w w:val="105"/>
            </w:rPr>
            <w:t>价</w:t>
          </w:r>
          <w:r>
            <w:rPr>
              <w:rFonts w:ascii="Times New Roman" w:eastAsia="Times New Roman"/>
              <w:w w:val="105"/>
            </w:rPr>
            <w:tab/>
          </w:r>
          <w:r>
            <w:rPr>
              <w:w w:val="105"/>
            </w:rPr>
            <w:t>9</w:t>
          </w:r>
        </w:p>
        <w:p>
          <w:pPr>
            <w:pStyle w:val="TOC3"/>
            <w:tabs>
              <w:tab w:pos="10453" w:val="right" w:leader="dot"/>
            </w:tabs>
          </w:pPr>
          <w:r>
            <w:rPr>
              <w:w w:val="105"/>
            </w:rPr>
            <w:t>表</w:t>
          </w:r>
          <w:r>
            <w:rPr>
              <w:spacing w:val="-59"/>
              <w:w w:val="105"/>
            </w:rPr>
            <w:t> </w:t>
          </w:r>
          <w:r>
            <w:rPr>
              <w:w w:val="105"/>
            </w:rPr>
            <w:t>4：TAEST16001</w:t>
          </w:r>
          <w:r>
            <w:rPr>
              <w:spacing w:val="-65"/>
              <w:w w:val="105"/>
            </w:rPr>
            <w:t> </w:t>
          </w:r>
          <w:r>
            <w:rPr/>
            <w:t>I</w:t>
          </w:r>
          <w:r>
            <w:rPr>
              <w:spacing w:val="-52"/>
            </w:rPr>
            <w:t> </w:t>
          </w:r>
          <w:r>
            <w:rPr>
              <w:spacing w:val="-3"/>
              <w:w w:val="105"/>
            </w:rPr>
            <w:t>期临</w:t>
          </w:r>
          <w:r>
            <w:rPr>
              <w:w w:val="105"/>
            </w:rPr>
            <w:t>床试</w:t>
          </w:r>
          <w:r>
            <w:rPr>
              <w:spacing w:val="-3"/>
              <w:w w:val="105"/>
            </w:rPr>
            <w:t>验</w:t>
          </w:r>
          <w:r>
            <w:rPr>
              <w:w w:val="105"/>
            </w:rPr>
            <w:t>有</w:t>
          </w:r>
          <w:r>
            <w:rPr>
              <w:spacing w:val="-3"/>
              <w:w w:val="105"/>
            </w:rPr>
            <w:t>效</w:t>
          </w:r>
          <w:r>
            <w:rPr>
              <w:w w:val="105"/>
            </w:rPr>
            <w:t>性</w:t>
          </w:r>
          <w:r>
            <w:rPr>
              <w:spacing w:val="-3"/>
              <w:w w:val="105"/>
            </w:rPr>
            <w:t>评</w:t>
          </w:r>
          <w:r>
            <w:rPr>
              <w:w w:val="105"/>
            </w:rPr>
            <w:t>价</w:t>
          </w:r>
          <w:r>
            <w:rPr>
              <w:rFonts w:ascii="Times New Roman" w:eastAsia="Times New Roman"/>
              <w:w w:val="105"/>
            </w:rPr>
            <w:tab/>
          </w:r>
          <w:r>
            <w:rPr>
              <w:w w:val="105"/>
            </w:rPr>
            <w:t>10</w:t>
          </w:r>
        </w:p>
      </w:sdtContent>
    </w:sdt>
    <w:p>
      <w:pPr>
        <w:spacing w:after="0"/>
        <w:sectPr>
          <w:pgSz w:w="11910" w:h="16840"/>
          <w:pgMar w:header="0" w:footer="139" w:top="620" w:bottom="320" w:left="540" w:right="520"/>
        </w:sectPr>
      </w:pPr>
    </w:p>
    <w:p>
      <w:pPr>
        <w:pStyle w:val="Heading1"/>
        <w:spacing w:line="581" w:lineRule="exact" w:before="286"/>
        <w:jc w:val="left"/>
      </w:pPr>
      <w:r>
        <w:rPr>
          <w:color w:val="C54322"/>
          <w:w w:val="95"/>
        </w:rPr>
        <w:t>1、 科济药业：CLDN18.2 CAR-T(CT041)公</w:t>
      </w:r>
    </w:p>
    <w:p>
      <w:pPr>
        <w:spacing w:line="581" w:lineRule="exact" w:before="0"/>
        <w:ind w:left="3713" w:right="0" w:firstLine="0"/>
        <w:jc w:val="left"/>
        <w:rPr>
          <w:rFonts w:ascii="微软雅黑" w:eastAsia="微软雅黑" w:hint="eastAsia"/>
          <w:b/>
          <w:sz w:val="36"/>
        </w:rPr>
      </w:pPr>
      <w:r>
        <w:rPr>
          <w:rFonts w:ascii="微软雅黑" w:eastAsia="微软雅黑" w:hint="eastAsia"/>
          <w:b/>
          <w:color w:val="C54322"/>
          <w:sz w:val="36"/>
        </w:rPr>
        <w:t>布中美临床数据，抗肿瘤前景广阔</w:t>
      </w:r>
    </w:p>
    <w:p>
      <w:pPr>
        <w:pStyle w:val="BodyText"/>
        <w:spacing w:line="259" w:lineRule="auto" w:before="70"/>
        <w:ind w:left="3713" w:right="163"/>
      </w:pPr>
      <w:r>
        <w:rPr/>
        <w:t>2022</w:t>
      </w:r>
      <w:r>
        <w:rPr>
          <w:spacing w:val="-17"/>
        </w:rPr>
        <w:t> 年 </w:t>
      </w:r>
      <w:r>
        <w:rPr/>
        <w:t>6</w:t>
      </w:r>
      <w:r>
        <w:rPr>
          <w:spacing w:val="-18"/>
        </w:rPr>
        <w:t> 月 </w:t>
      </w:r>
      <w:r>
        <w:rPr/>
        <w:t>6</w:t>
      </w:r>
      <w:r>
        <w:rPr>
          <w:spacing w:val="-5"/>
        </w:rPr>
        <w:t> 日，科济药业在美国临床肿瘤学会</w:t>
      </w:r>
      <w:r>
        <w:rPr/>
        <w:t>（ASCO）年会上，展示了两</w:t>
      </w:r>
      <w:r>
        <w:rPr>
          <w:spacing w:val="-3"/>
        </w:rPr>
        <w:t>篇关于核心产品 </w:t>
      </w:r>
      <w:r>
        <w:rPr/>
        <w:t>CT041</w:t>
      </w:r>
      <w:r>
        <w:rPr>
          <w:spacing w:val="-9"/>
        </w:rPr>
        <w:t> 的研究结果，其包含了（1）</w:t>
      </w:r>
      <w:r>
        <w:rPr>
          <w:spacing w:val="-1"/>
        </w:rPr>
        <w:t>在美国进行的针对晚期胃癌</w:t>
      </w:r>
      <w:r>
        <w:rPr>
          <w:w w:val="99"/>
        </w:rPr>
        <w:t>和胰腺癌患者的多中心</w:t>
      </w:r>
      <w:r>
        <w:rPr/>
        <w:t> </w:t>
      </w:r>
      <w:r>
        <w:rPr>
          <w:spacing w:val="-1"/>
          <w:w w:val="58"/>
        </w:rPr>
        <w:t>I</w:t>
      </w:r>
      <w:r>
        <w:rPr>
          <w:w w:val="123"/>
        </w:rPr>
        <w:t>b</w:t>
      </w:r>
      <w:r>
        <w:rPr/>
        <w:t> </w:t>
      </w:r>
      <w:r>
        <w:rPr>
          <w:w w:val="99"/>
        </w:rPr>
        <w:t>期试验的结果，和（</w:t>
      </w:r>
      <w:r>
        <w:rPr>
          <w:spacing w:val="2"/>
          <w:w w:val="110"/>
        </w:rPr>
        <w:t>2</w:t>
      </w:r>
      <w:r>
        <w:rPr>
          <w:w w:val="99"/>
        </w:rPr>
        <w:t>）在中国进行的针对晚期胃癌</w:t>
      </w:r>
      <w:r>
        <w:rPr>
          <w:w w:val="78"/>
        </w:rPr>
        <w:t>/</w:t>
      </w:r>
      <w:r>
        <w:rPr>
          <w:w w:val="99"/>
        </w:rPr>
        <w:t>食管胃结合部腺癌患者的</w:t>
      </w:r>
      <w:r>
        <w:rPr/>
        <w:t> </w:t>
      </w:r>
      <w:r>
        <w:rPr>
          <w:spacing w:val="-1"/>
          <w:w w:val="58"/>
        </w:rPr>
        <w:t>I</w:t>
      </w:r>
      <w:r>
        <w:rPr>
          <w:spacing w:val="1"/>
          <w:w w:val="123"/>
        </w:rPr>
        <w:t>b</w:t>
      </w:r>
      <w:r>
        <w:rPr>
          <w:spacing w:val="1"/>
          <w:w w:val="78"/>
        </w:rPr>
        <w:t>/</w:t>
      </w:r>
      <w:r>
        <w:rPr>
          <w:spacing w:val="-1"/>
          <w:w w:val="58"/>
        </w:rPr>
        <w:t>I</w:t>
      </w:r>
      <w:r>
        <w:rPr>
          <w:w w:val="58"/>
        </w:rPr>
        <w:t>I</w:t>
      </w:r>
      <w:r>
        <w:rPr/>
        <w:t> </w:t>
      </w:r>
      <w:r>
        <w:rPr>
          <w:w w:val="99"/>
        </w:rPr>
        <w:t>期</w:t>
      </w:r>
      <w:r>
        <w:rPr/>
        <w:t> </w:t>
      </w:r>
      <w:r>
        <w:rPr>
          <w:w w:val="123"/>
        </w:rPr>
        <w:t>CT</w:t>
      </w:r>
      <w:r>
        <w:rPr>
          <w:w w:val="110"/>
        </w:rPr>
        <w:t>041</w:t>
      </w:r>
      <w:r>
        <w:rPr/>
        <w:t> </w:t>
      </w:r>
      <w:r>
        <w:rPr>
          <w:w w:val="99"/>
        </w:rPr>
        <w:t>试验的安全性和初步疗效结果。</w:t>
      </w:r>
    </w:p>
    <w:p>
      <w:pPr>
        <w:pStyle w:val="BodyText"/>
        <w:spacing w:line="218" w:lineRule="auto" w:before="81"/>
        <w:ind w:left="3713" w:right="142"/>
      </w:pPr>
      <w:r>
        <w:rPr>
          <w:rFonts w:ascii="微软雅黑" w:eastAsia="微软雅黑" w:hint="eastAsia"/>
          <w:b/>
        </w:rPr>
        <w:t>CT041 </w:t>
      </w:r>
      <w:r>
        <w:rPr/>
        <w:t>是一种潜在全球同类首创的、靶向 CLDN18.2 蛋白质的自体 CAR-T 细胞候选产品，用于治疗 CLDN18.2 阳性实体瘤，主要治疗胃癌/食管胃结合部腺癌</w:t>
      </w:r>
    </w:p>
    <w:p>
      <w:pPr>
        <w:pStyle w:val="BodyText"/>
        <w:spacing w:line="259" w:lineRule="auto" w:before="26"/>
        <w:ind w:left="3713" w:right="217"/>
        <w:jc w:val="both"/>
      </w:pPr>
      <w:r>
        <w:rPr>
          <w:spacing w:val="-9"/>
        </w:rPr>
        <w:t>及胰腺癌。截至 </w:t>
      </w:r>
      <w:r>
        <w:rPr/>
        <w:t>2022</w:t>
      </w:r>
      <w:r>
        <w:rPr>
          <w:spacing w:val="-27"/>
        </w:rPr>
        <w:t> 年 </w:t>
      </w:r>
      <w:r>
        <w:rPr/>
        <w:t>5</w:t>
      </w:r>
      <w:r>
        <w:rPr>
          <w:spacing w:val="-9"/>
        </w:rPr>
        <w:t> 月，该产品为全球唯一已获得美国食品药品监督管理</w:t>
      </w:r>
      <w:r>
        <w:rPr>
          <w:spacing w:val="-20"/>
          <w:w w:val="99"/>
        </w:rPr>
        <w:t>局</w:t>
      </w:r>
      <w:r>
        <w:rPr>
          <w:w w:val="99"/>
        </w:rPr>
        <w:t>（</w:t>
      </w:r>
      <w:r>
        <w:rPr>
          <w:w w:val="123"/>
        </w:rPr>
        <w:t>F</w:t>
      </w:r>
      <w:r>
        <w:rPr>
          <w:spacing w:val="2"/>
          <w:w w:val="123"/>
        </w:rPr>
        <w:t>D</w:t>
      </w:r>
      <w:r>
        <w:rPr>
          <w:spacing w:val="-1"/>
          <w:w w:val="120"/>
        </w:rPr>
        <w:t>A</w:t>
      </w:r>
      <w:r>
        <w:rPr>
          <w:spacing w:val="-20"/>
          <w:w w:val="99"/>
        </w:rPr>
        <w:t>）</w:t>
      </w:r>
      <w:r>
        <w:rPr>
          <w:spacing w:val="-6"/>
          <w:w w:val="99"/>
        </w:rPr>
        <w:t>、中国国家药监局</w:t>
      </w:r>
      <w:r>
        <w:rPr>
          <w:w w:val="99"/>
        </w:rPr>
        <w:t>（</w:t>
      </w:r>
      <w:r>
        <w:rPr>
          <w:spacing w:val="2"/>
          <w:w w:val="143"/>
        </w:rPr>
        <w:t>N</w:t>
      </w:r>
      <w:r>
        <w:rPr>
          <w:spacing w:val="-1"/>
          <w:w w:val="161"/>
        </w:rPr>
        <w:t>M</w:t>
      </w:r>
      <w:r>
        <w:rPr>
          <w:spacing w:val="1"/>
          <w:w w:val="125"/>
        </w:rPr>
        <w:t>P</w:t>
      </w:r>
      <w:r>
        <w:rPr>
          <w:spacing w:val="-1"/>
          <w:w w:val="120"/>
        </w:rPr>
        <w:t>A</w:t>
      </w:r>
      <w:r>
        <w:rPr>
          <w:spacing w:val="-17"/>
          <w:w w:val="99"/>
        </w:rPr>
        <w:t>）</w:t>
      </w:r>
      <w:r>
        <w:rPr>
          <w:w w:val="99"/>
        </w:rPr>
        <w:t>和加拿大卫生部的</w:t>
      </w:r>
      <w:r>
        <w:rPr>
          <w:spacing w:val="-49"/>
        </w:rPr>
        <w:t> </w:t>
      </w:r>
      <w:r>
        <w:rPr>
          <w:spacing w:val="-1"/>
          <w:w w:val="58"/>
        </w:rPr>
        <w:t>I</w:t>
      </w:r>
      <w:r>
        <w:rPr>
          <w:w w:val="119"/>
        </w:rPr>
        <w:t>ND</w:t>
      </w:r>
      <w:r>
        <w:rPr>
          <w:spacing w:val="1"/>
          <w:w w:val="119"/>
        </w:rPr>
        <w:t>/</w:t>
      </w:r>
      <w:r>
        <w:rPr>
          <w:w w:val="123"/>
        </w:rPr>
        <w:t>C</w:t>
      </w:r>
      <w:r>
        <w:rPr>
          <w:spacing w:val="2"/>
          <w:w w:val="123"/>
        </w:rPr>
        <w:t>T</w:t>
      </w:r>
      <w:r>
        <w:rPr>
          <w:w w:val="120"/>
        </w:rPr>
        <w:t>A</w:t>
      </w:r>
      <w:r>
        <w:rPr>
          <w:spacing w:val="-51"/>
        </w:rPr>
        <w:t> </w:t>
      </w:r>
      <w:r>
        <w:rPr>
          <w:w w:val="99"/>
        </w:rPr>
        <w:t>批准并正在</w:t>
      </w:r>
      <w:r>
        <w:rPr>
          <w:spacing w:val="-5"/>
          <w:w w:val="105"/>
        </w:rPr>
        <w:t>进行临床试验研究的靶向 </w:t>
      </w:r>
      <w:r>
        <w:rPr>
          <w:w w:val="105"/>
        </w:rPr>
        <w:t>CLDN18.2</w:t>
      </w:r>
      <w:r>
        <w:rPr>
          <w:spacing w:val="-38"/>
          <w:w w:val="105"/>
        </w:rPr>
        <w:t> 的 </w:t>
      </w:r>
      <w:r>
        <w:rPr>
          <w:w w:val="105"/>
        </w:rPr>
        <w:t>CAR-T</w:t>
      </w:r>
      <w:r>
        <w:rPr>
          <w:spacing w:val="-8"/>
          <w:w w:val="105"/>
        </w:rPr>
        <w:t> 细胞候选产品。</w:t>
      </w:r>
    </w:p>
    <w:p>
      <w:pPr>
        <w:pStyle w:val="BodyText"/>
      </w:pPr>
    </w:p>
    <w:p>
      <w:pPr>
        <w:pStyle w:val="BodyText"/>
        <w:spacing w:before="7"/>
        <w:rPr>
          <w:sz w:val="22"/>
        </w:rPr>
      </w:pPr>
    </w:p>
    <w:tbl>
      <w:tblPr>
        <w:tblW w:w="0" w:type="auto"/>
        <w:jc w:val="left"/>
        <w:tblInd w:w="3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8"/>
      </w:tblGrid>
      <w:tr>
        <w:trPr>
          <w:trHeight w:val="222" w:hRule="atLeast"/>
        </w:trPr>
        <w:tc>
          <w:tcPr>
            <w:tcW w:w="6918" w:type="dxa"/>
            <w:tcBorders>
              <w:bottom w:val="single" w:sz="4" w:space="0" w:color="000000"/>
            </w:tcBorders>
          </w:tcPr>
          <w:p>
            <w:pPr>
              <w:pStyle w:val="TableParagraph"/>
              <w:spacing w:line="202" w:lineRule="exact"/>
              <w:jc w:val="left"/>
              <w:rPr>
                <w:rFonts w:ascii="微软雅黑" w:eastAsia="微软雅黑" w:hint="eastAsia"/>
                <w:b/>
                <w:sz w:val="18"/>
              </w:rPr>
            </w:pPr>
            <w:r>
              <w:rPr>
                <w:rFonts w:ascii="微软雅黑" w:eastAsia="微软雅黑" w:hint="eastAsia"/>
                <w:b/>
                <w:sz w:val="18"/>
              </w:rPr>
              <w:t>图 1：CT041 重要监管里程碑事件一览</w:t>
            </w:r>
          </w:p>
        </w:tc>
      </w:tr>
      <w:tr>
        <w:trPr>
          <w:trHeight w:val="3854" w:hRule="atLeast"/>
        </w:trPr>
        <w:tc>
          <w:tcPr>
            <w:tcW w:w="6918" w:type="dxa"/>
            <w:tcBorders>
              <w:top w:val="single" w:sz="4" w:space="0" w:color="000000"/>
              <w:bottom w:val="single" w:sz="4" w:space="0" w:color="000000"/>
            </w:tcBorders>
          </w:tcPr>
          <w:p>
            <w:pPr>
              <w:pStyle w:val="TableParagraph"/>
              <w:spacing w:before="4"/>
              <w:jc w:val="left"/>
              <w:rPr>
                <w:sz w:val="27"/>
              </w:rPr>
            </w:pPr>
          </w:p>
          <w:p>
            <w:pPr>
              <w:pStyle w:val="TableParagraph"/>
              <w:ind w:left="318"/>
              <w:jc w:val="left"/>
              <w:rPr>
                <w:sz w:val="20"/>
              </w:rPr>
            </w:pPr>
            <w:r>
              <w:rPr>
                <w:sz w:val="20"/>
              </w:rPr>
              <w:drawing>
                <wp:inline distT="0" distB="0" distL="0" distR="0">
                  <wp:extent cx="4137817" cy="2068734"/>
                  <wp:effectExtent l="0" t="0" r="0" b="0"/>
                  <wp:docPr id="5" name="image5.jpeg"/>
                  <wp:cNvGraphicFramePr>
                    <a:graphicFrameLocks noChangeAspect="1"/>
                  </wp:cNvGraphicFramePr>
                  <a:graphic>
                    <a:graphicData uri="http://schemas.openxmlformats.org/drawingml/2006/picture">
                      <pic:pic>
                        <pic:nvPicPr>
                          <pic:cNvPr id="6" name="image5.jpeg"/>
                          <pic:cNvPicPr/>
                        </pic:nvPicPr>
                        <pic:blipFill>
                          <a:blip r:embed="rId14" cstate="print"/>
                          <a:stretch>
                            <a:fillRect/>
                          </a:stretch>
                        </pic:blipFill>
                        <pic:spPr>
                          <a:xfrm>
                            <a:off x="0" y="0"/>
                            <a:ext cx="4137817" cy="2068734"/>
                          </a:xfrm>
                          <a:prstGeom prst="rect">
                            <a:avLst/>
                          </a:prstGeom>
                        </pic:spPr>
                      </pic:pic>
                    </a:graphicData>
                  </a:graphic>
                </wp:inline>
              </w:drawing>
            </w:r>
            <w:r>
              <w:rPr>
                <w:sz w:val="20"/>
              </w:rPr>
            </w:r>
          </w:p>
        </w:tc>
      </w:tr>
      <w:tr>
        <w:trPr>
          <w:trHeight w:val="159" w:hRule="atLeast"/>
        </w:trPr>
        <w:tc>
          <w:tcPr>
            <w:tcW w:w="6918" w:type="dxa"/>
            <w:tcBorders>
              <w:top w:val="single" w:sz="4" w:space="0" w:color="000000"/>
            </w:tcBorders>
          </w:tcPr>
          <w:p>
            <w:pPr>
              <w:pStyle w:val="TableParagraph"/>
              <w:spacing w:line="139" w:lineRule="exact"/>
              <w:jc w:val="left"/>
              <w:rPr>
                <w:sz w:val="13"/>
              </w:rPr>
            </w:pPr>
            <w:r>
              <w:rPr>
                <w:sz w:val="13"/>
              </w:rPr>
              <w:t>资料来源：公司官网、光大证券研究所</w:t>
            </w:r>
          </w:p>
        </w:tc>
      </w:tr>
    </w:tbl>
    <w:p>
      <w:pPr>
        <w:pStyle w:val="BodyText"/>
      </w:pPr>
    </w:p>
    <w:p>
      <w:pPr>
        <w:pStyle w:val="BodyText"/>
        <w:spacing w:before="2"/>
        <w:rPr>
          <w:sz w:val="28"/>
        </w:rPr>
      </w:pPr>
    </w:p>
    <w:p>
      <w:pPr>
        <w:pStyle w:val="Heading3"/>
        <w:numPr>
          <w:ilvl w:val="0"/>
          <w:numId w:val="1"/>
        </w:numPr>
        <w:tabs>
          <w:tab w:pos="3925" w:val="left" w:leader="none"/>
        </w:tabs>
        <w:spacing w:line="240" w:lineRule="auto" w:before="15" w:after="0"/>
        <w:ind w:left="3925" w:right="0" w:hanging="212"/>
        <w:jc w:val="left"/>
      </w:pPr>
      <w:r>
        <w:rPr>
          <w:color w:val="C54322"/>
        </w:rPr>
        <w:t>CT041</w:t>
      </w:r>
      <w:r>
        <w:rPr>
          <w:color w:val="C54322"/>
          <w:spacing w:val="-4"/>
        </w:rPr>
        <w:t> 治疗晚期胃癌和胰腺癌患者的美国多中心 </w:t>
      </w:r>
      <w:r>
        <w:rPr>
          <w:color w:val="C54322"/>
        </w:rPr>
        <w:t>Ib</w:t>
      </w:r>
      <w:r>
        <w:rPr>
          <w:color w:val="C54322"/>
          <w:spacing w:val="-3"/>
        </w:rPr>
        <w:t> 期试验</w:t>
      </w:r>
    </w:p>
    <w:p>
      <w:pPr>
        <w:pStyle w:val="BodyText"/>
        <w:spacing w:line="259" w:lineRule="auto" w:before="92"/>
        <w:ind w:left="3713" w:right="215"/>
        <w:jc w:val="both"/>
      </w:pPr>
      <w:r>
        <w:rPr>
          <w:spacing w:val="-2"/>
          <w:w w:val="99"/>
        </w:rPr>
        <w:t>该试验是一项单臂、开放标签的</w:t>
      </w:r>
      <w:r>
        <w:rPr>
          <w:spacing w:val="-49"/>
        </w:rPr>
        <w:t> </w:t>
      </w:r>
      <w:r>
        <w:rPr>
          <w:spacing w:val="-1"/>
          <w:w w:val="58"/>
        </w:rPr>
        <w:t>I</w:t>
      </w:r>
      <w:r>
        <w:rPr>
          <w:w w:val="123"/>
        </w:rPr>
        <w:t>b</w:t>
      </w:r>
      <w:r>
        <w:rPr>
          <w:spacing w:val="-48"/>
        </w:rPr>
        <w:t> </w:t>
      </w:r>
      <w:r>
        <w:rPr>
          <w:spacing w:val="-4"/>
          <w:w w:val="99"/>
        </w:rPr>
        <w:t>期试验</w:t>
      </w:r>
      <w:r>
        <w:rPr>
          <w:spacing w:val="-1"/>
          <w:w w:val="99"/>
        </w:rPr>
        <w:t>（</w:t>
      </w:r>
      <w:r>
        <w:rPr>
          <w:w w:val="130"/>
        </w:rPr>
        <w:t>NCT</w:t>
      </w:r>
      <w:r>
        <w:rPr>
          <w:w w:val="110"/>
        </w:rPr>
        <w:t>0</w:t>
      </w:r>
      <w:r>
        <w:rPr>
          <w:spacing w:val="1"/>
          <w:w w:val="110"/>
        </w:rPr>
        <w:t>4</w:t>
      </w:r>
      <w:r>
        <w:rPr>
          <w:w w:val="110"/>
        </w:rPr>
        <w:t>40</w:t>
      </w:r>
      <w:r>
        <w:rPr>
          <w:spacing w:val="1"/>
          <w:w w:val="110"/>
        </w:rPr>
        <w:t>4</w:t>
      </w:r>
      <w:r>
        <w:rPr>
          <w:w w:val="110"/>
        </w:rPr>
        <w:t>595</w:t>
      </w:r>
      <w:r>
        <w:rPr>
          <w:spacing w:val="-12"/>
          <w:w w:val="99"/>
        </w:rPr>
        <w:t>）</w:t>
      </w:r>
      <w:r>
        <w:rPr>
          <w:spacing w:val="-5"/>
          <w:w w:val="99"/>
        </w:rPr>
        <w:t>，在美国</w:t>
      </w:r>
      <w:r>
        <w:rPr>
          <w:spacing w:val="-48"/>
        </w:rPr>
        <w:t> </w:t>
      </w:r>
      <w:r>
        <w:rPr>
          <w:w w:val="110"/>
        </w:rPr>
        <w:t>6</w:t>
      </w:r>
      <w:r>
        <w:rPr>
          <w:spacing w:val="-50"/>
        </w:rPr>
        <w:t> </w:t>
      </w:r>
      <w:r>
        <w:rPr>
          <w:w w:val="99"/>
        </w:rPr>
        <w:t>个中心</w:t>
      </w:r>
      <w:r>
        <w:rPr>
          <w:spacing w:val="-8"/>
        </w:rPr>
        <w:t>进行，参与者均为 </w:t>
      </w:r>
      <w:r>
        <w:rPr/>
        <w:t>CLDN18.2</w:t>
      </w:r>
      <w:r>
        <w:rPr>
          <w:spacing w:val="-9"/>
        </w:rPr>
        <w:t> 阳性，且在之前接受过至少两种前线系统治疗的胃</w:t>
      </w:r>
      <w:r>
        <w:rPr/>
        <w:t>癌/</w:t>
      </w:r>
      <w:r>
        <w:rPr>
          <w:spacing w:val="-5"/>
        </w:rPr>
        <w:t>食管胃结合部腺癌（GC/GEJ）</w:t>
      </w:r>
      <w:r>
        <w:rPr>
          <w:spacing w:val="-1"/>
        </w:rPr>
        <w:t>患者以及至少接受过一种前线治疗的胰腺癌患</w:t>
      </w:r>
      <w:r>
        <w:rPr>
          <w:spacing w:val="-5"/>
        </w:rPr>
        <w:t>者。在 </w:t>
      </w:r>
      <w:r>
        <w:rPr/>
        <w:t>CT041</w:t>
      </w:r>
      <w:r>
        <w:rPr>
          <w:spacing w:val="-8"/>
        </w:rPr>
        <w:t> 输注前，采用氟达拉滨、环磷酰胺和白蛋白结合型紫杉醇</w:t>
      </w:r>
      <w:r>
        <w:rPr>
          <w:spacing w:val="-3"/>
        </w:rPr>
        <w:t>（100mg </w:t>
      </w:r>
      <w:r>
        <w:rPr>
          <w:spacing w:val="-18"/>
          <w:w w:val="105"/>
        </w:rPr>
        <w:t>或者 </w:t>
      </w:r>
      <w:r>
        <w:rPr>
          <w:w w:val="105"/>
        </w:rPr>
        <w:t>100mg/m</w:t>
      </w:r>
      <w:r>
        <w:rPr>
          <w:w w:val="105"/>
          <w:vertAlign w:val="superscript"/>
        </w:rPr>
        <w:t>2</w:t>
      </w:r>
      <w:r>
        <w:rPr>
          <w:w w:val="105"/>
          <w:vertAlign w:val="baseline"/>
        </w:rPr>
        <w:t>；FNC）预处理。</w:t>
      </w:r>
    </w:p>
    <w:p>
      <w:pPr>
        <w:pStyle w:val="BodyText"/>
        <w:spacing w:before="121"/>
        <w:ind w:left="3713"/>
        <w:jc w:val="both"/>
      </w:pPr>
      <w:r>
        <w:rPr>
          <w:spacing w:val="-15"/>
        </w:rPr>
        <w:t>截至 </w:t>
      </w:r>
      <w:r>
        <w:rPr/>
        <w:t>2022</w:t>
      </w:r>
      <w:r>
        <w:rPr>
          <w:spacing w:val="-30"/>
        </w:rPr>
        <w:t> 年 </w:t>
      </w:r>
      <w:r>
        <w:rPr/>
        <w:t>5</w:t>
      </w:r>
      <w:r>
        <w:rPr>
          <w:spacing w:val="-31"/>
        </w:rPr>
        <w:t> 月 </w:t>
      </w:r>
      <w:r>
        <w:rPr/>
        <w:t>6</w:t>
      </w:r>
      <w:r>
        <w:rPr>
          <w:spacing w:val="-24"/>
        </w:rPr>
        <w:t> 日，已有 </w:t>
      </w:r>
      <w:r>
        <w:rPr/>
        <w:t>14</w:t>
      </w:r>
      <w:r>
        <w:rPr>
          <w:spacing w:val="-18"/>
        </w:rPr>
        <w:t> 例患者入组</w:t>
      </w:r>
      <w:r>
        <w:rPr/>
        <w:t>（5</w:t>
      </w:r>
      <w:r>
        <w:rPr>
          <w:spacing w:val="-9"/>
        </w:rPr>
        <w:t> 例患有胃癌</w:t>
      </w:r>
      <w:r>
        <w:rPr/>
        <w:t>/食管胃结合部腺癌，</w:t>
      </w:r>
    </w:p>
    <w:p>
      <w:pPr>
        <w:pStyle w:val="BodyText"/>
        <w:spacing w:line="259" w:lineRule="auto" w:before="22"/>
        <w:ind w:left="3713" w:right="215"/>
      </w:pPr>
      <w:r>
        <w:rPr/>
        <w:t>9</w:t>
      </w:r>
      <w:r>
        <w:rPr>
          <w:spacing w:val="-7"/>
        </w:rPr>
        <w:t> 例患有胰腺癌</w:t>
      </w:r>
      <w:r>
        <w:rPr>
          <w:spacing w:val="-21"/>
        </w:rPr>
        <w:t>）</w:t>
      </w:r>
      <w:r>
        <w:rPr>
          <w:spacing w:val="-8"/>
        </w:rPr>
        <w:t>，既往中位治疗线数为 </w:t>
      </w:r>
      <w:r>
        <w:rPr/>
        <w:t>3</w:t>
      </w:r>
      <w:r>
        <w:rPr>
          <w:spacing w:val="-31"/>
        </w:rPr>
        <w:t> 线</w:t>
      </w:r>
      <w:r>
        <w:rPr/>
        <w:t>（</w:t>
      </w:r>
      <w:r>
        <w:rPr>
          <w:spacing w:val="-14"/>
        </w:rPr>
        <w:t>范围 </w:t>
      </w:r>
      <w:r>
        <w:rPr>
          <w:spacing w:val="-9"/>
        </w:rPr>
        <w:t>1~5），</w:t>
      </w:r>
      <w:r>
        <w:rPr>
          <w:spacing w:val="-5"/>
        </w:rPr>
        <w:t>且共接受了长达 </w:t>
      </w:r>
      <w:r>
        <w:rPr/>
        <w:t>18 </w:t>
      </w:r>
      <w:r>
        <w:rPr>
          <w:spacing w:val="-8"/>
        </w:rPr>
        <w:t>个周期的 </w:t>
      </w:r>
      <w:r>
        <w:rPr/>
        <w:t>CT041</w:t>
      </w:r>
      <w:r>
        <w:rPr>
          <w:spacing w:val="-10"/>
        </w:rPr>
        <w:t> 治疗。</w:t>
      </w:r>
      <w:r>
        <w:rPr/>
        <w:t>14</w:t>
      </w:r>
      <w:r>
        <w:rPr>
          <w:spacing w:val="-6"/>
        </w:rPr>
        <w:t> 例患者按照三个剂量水平</w:t>
      </w:r>
      <w:r>
        <w:rPr/>
        <w:t>（DL）给药：DL1</w:t>
      </w:r>
      <w:r>
        <w:rPr>
          <w:spacing w:val="-18"/>
        </w:rPr>
        <w:t> 为2.5~3.0×10</w:t>
      </w:r>
      <w:r>
        <w:rPr>
          <w:spacing w:val="-18"/>
          <w:vertAlign w:val="superscript"/>
        </w:rPr>
        <w:t>8</w:t>
      </w:r>
      <w:r>
        <w:rPr>
          <w:spacing w:val="-33"/>
          <w:vertAlign w:val="baseline"/>
        </w:rPr>
        <w:t> 细胞</w:t>
      </w:r>
      <w:r>
        <w:rPr>
          <w:spacing w:val="-13"/>
          <w:vertAlign w:val="baseline"/>
        </w:rPr>
        <w:t>（n=6）；DL2</w:t>
      </w:r>
      <w:r>
        <w:rPr>
          <w:spacing w:val="-8"/>
          <w:vertAlign w:val="baseline"/>
        </w:rPr>
        <w:t> 为 </w:t>
      </w:r>
      <w:r>
        <w:rPr>
          <w:vertAlign w:val="baseline"/>
        </w:rPr>
        <w:t>3.75~4.0×10</w:t>
      </w:r>
      <w:r>
        <w:rPr>
          <w:vertAlign w:val="superscript"/>
        </w:rPr>
        <w:t>8</w:t>
      </w:r>
      <w:r>
        <w:rPr>
          <w:spacing w:val="-33"/>
          <w:vertAlign w:val="baseline"/>
        </w:rPr>
        <w:t> 细胞</w:t>
      </w:r>
      <w:r>
        <w:rPr>
          <w:spacing w:val="-13"/>
          <w:vertAlign w:val="baseline"/>
        </w:rPr>
        <w:t>（n=6）；DL3</w:t>
      </w:r>
      <w:r>
        <w:rPr>
          <w:spacing w:val="-8"/>
          <w:vertAlign w:val="baseline"/>
        </w:rPr>
        <w:t> 为 </w:t>
      </w:r>
      <w:r>
        <w:rPr>
          <w:vertAlign w:val="baseline"/>
        </w:rPr>
        <w:t>6.0×10</w:t>
      </w:r>
      <w:r>
        <w:rPr>
          <w:vertAlign w:val="superscript"/>
        </w:rPr>
        <w:t>8</w:t>
      </w:r>
    </w:p>
    <w:p>
      <w:pPr>
        <w:pStyle w:val="BodyText"/>
        <w:spacing w:before="1"/>
        <w:ind w:left="3713"/>
      </w:pPr>
      <w:r>
        <w:rPr>
          <w:w w:val="105"/>
        </w:rPr>
        <w:t>细胞（n=2）。</w:t>
      </w:r>
    </w:p>
    <w:p>
      <w:pPr>
        <w:pStyle w:val="BodyText"/>
        <w:spacing w:line="237" w:lineRule="auto" w:before="78"/>
        <w:ind w:left="3713" w:right="215"/>
        <w:jc w:val="both"/>
      </w:pPr>
      <w:r>
        <w:rPr/>
        <w:t>① </w:t>
      </w:r>
      <w:r>
        <w:rPr>
          <w:rFonts w:ascii="微软雅黑" w:hAnsi="微软雅黑" w:eastAsia="微软雅黑" w:hint="eastAsia"/>
          <w:b/>
        </w:rPr>
        <w:t>安全性</w:t>
      </w:r>
      <w:r>
        <w:rPr>
          <w:spacing w:val="-6"/>
        </w:rPr>
        <w:t>： 未观察到剂量限制性毒性或治疗相关死亡，未观察到≥</w:t>
      </w:r>
      <w:r>
        <w:rPr/>
        <w:t>3</w:t>
      </w:r>
      <w:r>
        <w:rPr>
          <w:spacing w:val="-13"/>
        </w:rPr>
        <w:t> 级的细胞</w:t>
      </w:r>
      <w:r>
        <w:rPr>
          <w:spacing w:val="-1"/>
          <w:w w:val="99"/>
        </w:rPr>
        <w:t>因子释放综合征</w:t>
      </w:r>
      <w:r>
        <w:rPr>
          <w:w w:val="99"/>
        </w:rPr>
        <w:t>（</w:t>
      </w:r>
      <w:r>
        <w:rPr>
          <w:w w:val="126"/>
        </w:rPr>
        <w:t>CR</w:t>
      </w:r>
      <w:r>
        <w:rPr>
          <w:spacing w:val="1"/>
          <w:w w:val="118"/>
        </w:rPr>
        <w:t>S</w:t>
      </w:r>
      <w:r>
        <w:rPr>
          <w:spacing w:val="-5"/>
          <w:w w:val="99"/>
        </w:rPr>
        <w:t>）</w:t>
      </w:r>
      <w:r>
        <w:rPr>
          <w:spacing w:val="-1"/>
          <w:w w:val="99"/>
        </w:rPr>
        <w:t>或细胞相关神经毒性综合征</w:t>
      </w:r>
      <w:r>
        <w:rPr>
          <w:spacing w:val="1"/>
          <w:w w:val="99"/>
        </w:rPr>
        <w:t>（</w:t>
      </w:r>
      <w:r>
        <w:rPr>
          <w:spacing w:val="1"/>
          <w:w w:val="58"/>
        </w:rPr>
        <w:t>I</w:t>
      </w:r>
      <w:r>
        <w:rPr>
          <w:w w:val="124"/>
        </w:rPr>
        <w:t>C</w:t>
      </w:r>
      <w:r>
        <w:rPr>
          <w:spacing w:val="-1"/>
          <w:w w:val="124"/>
        </w:rPr>
        <w:t>A</w:t>
      </w:r>
      <w:r>
        <w:rPr>
          <w:w w:val="131"/>
        </w:rPr>
        <w:t>N</w:t>
      </w:r>
      <w:r>
        <w:rPr>
          <w:spacing w:val="2"/>
          <w:w w:val="131"/>
        </w:rPr>
        <w:t>S</w:t>
      </w:r>
      <w:r>
        <w:rPr>
          <w:spacing w:val="-5"/>
          <w:w w:val="99"/>
        </w:rPr>
        <w:t>）</w:t>
      </w:r>
      <w:r>
        <w:rPr>
          <w:spacing w:val="-3"/>
          <w:w w:val="99"/>
        </w:rPr>
        <w:t>。未发生胃肠道</w:t>
      </w:r>
      <w:r>
        <w:rPr>
          <w:spacing w:val="-2"/>
        </w:rPr>
        <w:t>出血或急性胃粘膜损伤。在出现 </w:t>
      </w:r>
      <w:r>
        <w:rPr/>
        <w:t>CRS</w:t>
      </w:r>
      <w:r>
        <w:rPr>
          <w:spacing w:val="-21"/>
        </w:rPr>
        <w:t> 的 </w:t>
      </w:r>
      <w:r>
        <w:rPr/>
        <w:t>13</w:t>
      </w:r>
      <w:r>
        <w:rPr>
          <w:spacing w:val="-6"/>
        </w:rPr>
        <w:t> 例患者中，</w:t>
      </w:r>
      <w:r>
        <w:rPr/>
        <w:t>11</w:t>
      </w:r>
      <w:r>
        <w:rPr>
          <w:spacing w:val="-16"/>
        </w:rPr>
        <w:t> 例为 </w:t>
      </w:r>
      <w:r>
        <w:rPr/>
        <w:t>1</w:t>
      </w:r>
      <w:r>
        <w:rPr>
          <w:spacing w:val="-21"/>
        </w:rPr>
        <w:t> 级 </w:t>
      </w:r>
      <w:r>
        <w:rPr/>
        <w:t>CRS，2</w:t>
      </w:r>
      <w:r>
        <w:rPr>
          <w:spacing w:val="-14"/>
        </w:rPr>
        <w:t> 例</w:t>
      </w:r>
    </w:p>
    <w:p>
      <w:pPr>
        <w:pStyle w:val="BodyText"/>
        <w:spacing w:before="22"/>
        <w:ind w:left="3713"/>
      </w:pPr>
      <w:r>
        <w:rPr>
          <w:w w:val="105"/>
        </w:rPr>
        <w:t>为 2 级 CRS。有 1 例患者未发生 CRS。</w:t>
      </w:r>
    </w:p>
    <w:p>
      <w:pPr>
        <w:spacing w:after="0"/>
        <w:sectPr>
          <w:headerReference w:type="default" r:id="rId12"/>
          <w:footerReference w:type="default" r:id="rId13"/>
          <w:pgSz w:w="11910" w:h="16840"/>
          <w:pgMar w:header="630" w:footer="139" w:top="1120" w:bottom="320" w:left="540" w:right="520"/>
        </w:sectPr>
      </w:pPr>
    </w:p>
    <w:p>
      <w:pPr>
        <w:pStyle w:val="BodyText"/>
        <w:spacing w:before="11"/>
        <w:rPr>
          <w:sz w:val="16"/>
        </w:rPr>
      </w:pPr>
    </w:p>
    <w:p>
      <w:pPr>
        <w:pStyle w:val="BodyText"/>
        <w:spacing w:line="218" w:lineRule="auto" w:before="26"/>
        <w:ind w:left="3713" w:right="68"/>
      </w:pPr>
      <w:r>
        <w:rPr>
          <w:rFonts w:ascii="微软雅黑" w:hAnsi="微软雅黑" w:eastAsia="微软雅黑" w:hint="eastAsia"/>
          <w:b/>
        </w:rPr>
        <w:t>② 有效性： </w:t>
      </w:r>
      <w:r>
        <w:rPr/>
        <w:t>在胃癌/食管胃结合部腺癌患者的分组中，客观缓解率（ORR）为</w:t>
      </w:r>
      <w:r>
        <w:rPr>
          <w:w w:val="105"/>
        </w:rPr>
        <w:t>60%，其中 1 例患者实现了完全缓解（CR）。此外，在 80%（4/5）的疾病稳</w:t>
      </w:r>
    </w:p>
    <w:p>
      <w:pPr>
        <w:pStyle w:val="BodyText"/>
        <w:spacing w:line="259" w:lineRule="auto" w:before="26"/>
        <w:ind w:left="3713" w:right="114"/>
      </w:pPr>
      <w:r>
        <w:rPr>
          <w:spacing w:val="-36"/>
        </w:rPr>
        <w:t>定</w:t>
      </w:r>
      <w:r>
        <w:rPr>
          <w:spacing w:val="-1"/>
        </w:rPr>
        <w:t>（4 例胰腺癌患者</w:t>
      </w:r>
      <w:r>
        <w:rPr>
          <w:spacing w:val="-34"/>
        </w:rPr>
        <w:t>）</w:t>
      </w:r>
      <w:r>
        <w:rPr>
          <w:spacing w:val="-6"/>
        </w:rPr>
        <w:t>患者中观察到了肿瘤的缩小。中位缓解持续时间</w:t>
      </w:r>
      <w:r>
        <w:rPr>
          <w:w w:val="115"/>
        </w:rPr>
        <w:t>（mDOR） </w:t>
      </w:r>
      <w:r>
        <w:rPr/>
        <w:t>和中位无进展生存期</w:t>
      </w:r>
      <w:r>
        <w:rPr>
          <w:w w:val="115"/>
        </w:rPr>
        <w:t>（mPFS）</w:t>
      </w:r>
      <w:r>
        <w:rPr/>
        <w:t>尚未达到。</w:t>
      </w:r>
    </w:p>
    <w:p>
      <w:pPr>
        <w:pStyle w:val="BodyText"/>
        <w:spacing w:line="259" w:lineRule="auto" w:before="119"/>
        <w:ind w:left="3713" w:right="114"/>
      </w:pPr>
      <w:r>
        <w:rPr>
          <w:spacing w:val="-27"/>
          <w:w w:val="105"/>
        </w:rPr>
        <w:t>接受 </w:t>
      </w:r>
      <w:r>
        <w:rPr>
          <w:w w:val="105"/>
        </w:rPr>
        <w:t>DL3</w:t>
      </w:r>
      <w:r>
        <w:rPr>
          <w:spacing w:val="-12"/>
          <w:w w:val="105"/>
        </w:rPr>
        <w:t> 的两例患者在数据截止日期前尚未进行肿瘤疗效评估；在 </w:t>
      </w:r>
      <w:r>
        <w:rPr>
          <w:w w:val="105"/>
        </w:rPr>
        <w:t>DL1</w:t>
      </w:r>
      <w:r>
        <w:rPr>
          <w:spacing w:val="-52"/>
          <w:w w:val="105"/>
        </w:rPr>
        <w:t> 和 </w:t>
      </w:r>
      <w:r>
        <w:rPr>
          <w:w w:val="105"/>
        </w:rPr>
        <w:t>DL2 </w:t>
      </w:r>
      <w:r>
        <w:rPr>
          <w:spacing w:val="-9"/>
          <w:w w:val="99"/>
        </w:rPr>
        <w:t>中观察到剂量依赖性反应。在</w:t>
      </w:r>
      <w:r>
        <w:rPr>
          <w:spacing w:val="-61"/>
        </w:rPr>
        <w:t> </w:t>
      </w:r>
      <w:r>
        <w:rPr>
          <w:spacing w:val="-1"/>
          <w:w w:val="118"/>
        </w:rPr>
        <w:t>DL</w:t>
      </w:r>
      <w:r>
        <w:rPr>
          <w:w w:val="118"/>
        </w:rPr>
        <w:t>1</w:t>
      </w:r>
      <w:r>
        <w:rPr>
          <w:spacing w:val="-62"/>
        </w:rPr>
        <w:t> </w:t>
      </w:r>
      <w:r>
        <w:rPr>
          <w:spacing w:val="7"/>
          <w:w w:val="99"/>
        </w:rPr>
        <w:t>中观察到的</w:t>
      </w:r>
      <w:r>
        <w:rPr>
          <w:w w:val="147"/>
        </w:rPr>
        <w:t>O</w:t>
      </w:r>
      <w:r>
        <w:rPr>
          <w:w w:val="126"/>
        </w:rPr>
        <w:t>RR</w:t>
      </w:r>
      <w:r>
        <w:rPr>
          <w:spacing w:val="-61"/>
        </w:rPr>
        <w:t> </w:t>
      </w:r>
      <w:r>
        <w:rPr>
          <w:w w:val="99"/>
        </w:rPr>
        <w:t>为</w:t>
      </w:r>
      <w:r>
        <w:rPr>
          <w:spacing w:val="-60"/>
        </w:rPr>
        <w:t> </w:t>
      </w:r>
      <w:r>
        <w:rPr>
          <w:w w:val="96"/>
        </w:rPr>
        <w:t>16.</w:t>
      </w:r>
      <w:r>
        <w:rPr>
          <w:spacing w:val="1"/>
          <w:w w:val="96"/>
        </w:rPr>
        <w:t>7</w:t>
      </w:r>
      <w:r>
        <w:rPr>
          <w:spacing w:val="-1"/>
          <w:w w:val="183"/>
        </w:rPr>
        <w:t>%</w:t>
      </w:r>
      <w:r>
        <w:rPr>
          <w:spacing w:val="-34"/>
          <w:w w:val="99"/>
        </w:rPr>
        <w:t>，疾病控制率</w:t>
      </w:r>
      <w:r>
        <w:rPr>
          <w:w w:val="99"/>
        </w:rPr>
        <w:t>（</w:t>
      </w:r>
      <w:r>
        <w:rPr>
          <w:spacing w:val="-1"/>
          <w:w w:val="130"/>
        </w:rPr>
        <w:t>DC</w:t>
      </w:r>
      <w:r>
        <w:rPr>
          <w:spacing w:val="3"/>
          <w:w w:val="130"/>
        </w:rPr>
        <w:t>R</w:t>
      </w:r>
      <w:r>
        <w:rPr>
          <w:w w:val="99"/>
        </w:rPr>
        <w:t>）</w:t>
      </w:r>
      <w:r>
        <w:rPr>
          <w:spacing w:val="-36"/>
          <w:w w:val="115"/>
        </w:rPr>
        <w:t>为 </w:t>
      </w:r>
      <w:r>
        <w:rPr>
          <w:w w:val="115"/>
        </w:rPr>
        <w:t>50</w:t>
      </w:r>
      <w:r>
        <w:rPr>
          <w:spacing w:val="-18"/>
          <w:w w:val="115"/>
        </w:rPr>
        <w:t>%。在 </w:t>
      </w:r>
      <w:r>
        <w:rPr>
          <w:w w:val="115"/>
        </w:rPr>
        <w:t>DL2</w:t>
      </w:r>
      <w:r>
        <w:rPr>
          <w:spacing w:val="-22"/>
          <w:w w:val="115"/>
        </w:rPr>
        <w:t> 中观察到的 </w:t>
      </w:r>
      <w:r>
        <w:rPr>
          <w:w w:val="115"/>
        </w:rPr>
        <w:t>ORR</w:t>
      </w:r>
      <w:r>
        <w:rPr>
          <w:spacing w:val="-48"/>
          <w:w w:val="115"/>
        </w:rPr>
        <w:t> 为 </w:t>
      </w:r>
      <w:r>
        <w:rPr>
          <w:w w:val="115"/>
        </w:rPr>
        <w:t>33.3</w:t>
      </w:r>
      <w:r>
        <w:rPr>
          <w:spacing w:val="-18"/>
          <w:w w:val="115"/>
        </w:rPr>
        <w:t>%以及 </w:t>
      </w:r>
      <w:r>
        <w:rPr>
          <w:w w:val="115"/>
        </w:rPr>
        <w:t>DCR</w:t>
      </w:r>
      <w:r>
        <w:rPr>
          <w:spacing w:val="-48"/>
          <w:w w:val="115"/>
        </w:rPr>
        <w:t> 为 </w:t>
      </w:r>
      <w:r>
        <w:rPr>
          <w:w w:val="115"/>
        </w:rPr>
        <w:t>83.3%。</w:t>
      </w:r>
    </w:p>
    <w:p>
      <w:pPr>
        <w:spacing w:before="63"/>
        <w:ind w:left="3713" w:right="0" w:firstLine="0"/>
        <w:jc w:val="left"/>
        <w:rPr>
          <w:rFonts w:ascii="微软雅黑" w:eastAsia="微软雅黑" w:hint="eastAsia"/>
          <w:b/>
          <w:sz w:val="18"/>
        </w:rPr>
      </w:pPr>
      <w:r>
        <w:rPr>
          <w:rFonts w:ascii="微软雅黑" w:eastAsia="微软雅黑" w:hint="eastAsia"/>
          <w:b/>
          <w:sz w:val="18"/>
        </w:rPr>
        <w:t>表 1：CT041 治疗晚期胃癌和胰腺癌患者的多中心 1b 期试验有效性数据</w:t>
      </w:r>
    </w:p>
    <w:tbl>
      <w:tblPr>
        <w:tblW w:w="0" w:type="auto"/>
        <w:jc w:val="left"/>
        <w:tblInd w:w="3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2682"/>
        <w:gridCol w:w="2417"/>
      </w:tblGrid>
      <w:tr>
        <w:trPr>
          <w:trHeight w:val="414" w:hRule="atLeast"/>
        </w:trPr>
        <w:tc>
          <w:tcPr>
            <w:tcW w:w="1818" w:type="dxa"/>
            <w:tcBorders>
              <w:top w:val="single" w:sz="4" w:space="0" w:color="000000"/>
              <w:bottom w:val="single" w:sz="4" w:space="0" w:color="000000"/>
            </w:tcBorders>
            <w:shd w:val="clear" w:color="auto" w:fill="C54322"/>
          </w:tcPr>
          <w:p>
            <w:pPr>
              <w:pStyle w:val="TableParagraph"/>
              <w:jc w:val="left"/>
              <w:rPr>
                <w:rFonts w:ascii="Times New Roman"/>
                <w:sz w:val="18"/>
              </w:rPr>
            </w:pPr>
          </w:p>
        </w:tc>
        <w:tc>
          <w:tcPr>
            <w:tcW w:w="2682" w:type="dxa"/>
            <w:tcBorders>
              <w:top w:val="single" w:sz="4" w:space="0" w:color="000000"/>
              <w:bottom w:val="single" w:sz="4" w:space="0" w:color="000000"/>
            </w:tcBorders>
            <w:shd w:val="clear" w:color="auto" w:fill="C54322"/>
          </w:tcPr>
          <w:p>
            <w:pPr>
              <w:pStyle w:val="TableParagraph"/>
              <w:spacing w:line="170" w:lineRule="exact"/>
              <w:ind w:left="127" w:right="644"/>
              <w:rPr>
                <w:rFonts w:ascii="微软雅黑" w:eastAsia="微软雅黑" w:hint="eastAsia"/>
                <w:b/>
                <w:sz w:val="15"/>
              </w:rPr>
            </w:pPr>
            <w:r>
              <w:rPr>
                <w:rFonts w:ascii="微软雅黑" w:eastAsia="微软雅黑" w:hint="eastAsia"/>
                <w:b/>
                <w:color w:val="FFFFFF"/>
                <w:sz w:val="15"/>
              </w:rPr>
              <w:t>胃癌/食管胃结合部腺癌患者</w:t>
            </w:r>
          </w:p>
          <w:p>
            <w:pPr>
              <w:pStyle w:val="TableParagraph"/>
              <w:spacing w:line="225" w:lineRule="exact"/>
              <w:ind w:left="127" w:right="643"/>
              <w:rPr>
                <w:rFonts w:ascii="微软雅黑" w:eastAsia="微软雅黑" w:hint="eastAsia"/>
                <w:b/>
                <w:sz w:val="15"/>
              </w:rPr>
            </w:pPr>
            <w:r>
              <w:rPr>
                <w:rFonts w:ascii="微软雅黑" w:eastAsia="微软雅黑" w:hint="eastAsia"/>
                <w:b/>
                <w:color w:val="FFFFFF"/>
                <w:sz w:val="15"/>
              </w:rPr>
              <w:t>（n=5）</w:t>
            </w:r>
          </w:p>
        </w:tc>
        <w:tc>
          <w:tcPr>
            <w:tcW w:w="2417" w:type="dxa"/>
            <w:tcBorders>
              <w:top w:val="single" w:sz="4" w:space="0" w:color="000000"/>
              <w:bottom w:val="single" w:sz="4" w:space="0" w:color="000000"/>
            </w:tcBorders>
            <w:shd w:val="clear" w:color="auto" w:fill="C54322"/>
          </w:tcPr>
          <w:p>
            <w:pPr>
              <w:pStyle w:val="TableParagraph"/>
              <w:spacing w:line="170" w:lineRule="exact"/>
              <w:ind w:left="701"/>
              <w:jc w:val="left"/>
              <w:rPr>
                <w:rFonts w:ascii="微软雅黑" w:eastAsia="微软雅黑" w:hint="eastAsia"/>
                <w:b/>
                <w:sz w:val="15"/>
              </w:rPr>
            </w:pPr>
            <w:r>
              <w:rPr>
                <w:rFonts w:ascii="微软雅黑" w:eastAsia="微软雅黑" w:hint="eastAsia"/>
                <w:b/>
                <w:color w:val="FFFFFF"/>
                <w:sz w:val="15"/>
              </w:rPr>
              <w:t>胰腺癌患者</w:t>
            </w:r>
          </w:p>
          <w:p>
            <w:pPr>
              <w:pStyle w:val="TableParagraph"/>
              <w:spacing w:line="225" w:lineRule="exact"/>
              <w:ind w:left="797"/>
              <w:jc w:val="left"/>
              <w:rPr>
                <w:rFonts w:ascii="微软雅黑" w:eastAsia="微软雅黑" w:hint="eastAsia"/>
                <w:b/>
                <w:sz w:val="15"/>
              </w:rPr>
            </w:pPr>
            <w:r>
              <w:rPr>
                <w:rFonts w:ascii="微软雅黑" w:eastAsia="微软雅黑" w:hint="eastAsia"/>
                <w:b/>
                <w:color w:val="FFFFFF"/>
                <w:sz w:val="15"/>
              </w:rPr>
              <w:t>（n=7）</w:t>
            </w:r>
          </w:p>
        </w:tc>
      </w:tr>
      <w:tr>
        <w:trPr>
          <w:trHeight w:val="282" w:hRule="atLeast"/>
        </w:trPr>
        <w:tc>
          <w:tcPr>
            <w:tcW w:w="1818" w:type="dxa"/>
            <w:tcBorders>
              <w:top w:val="single" w:sz="4" w:space="0" w:color="000000"/>
              <w:bottom w:val="single" w:sz="4" w:space="0" w:color="000000"/>
            </w:tcBorders>
          </w:tcPr>
          <w:p>
            <w:pPr>
              <w:pStyle w:val="TableParagraph"/>
              <w:spacing w:before="15"/>
              <w:ind w:left="480"/>
              <w:jc w:val="left"/>
              <w:rPr>
                <w:sz w:val="15"/>
              </w:rPr>
            </w:pPr>
            <w:r>
              <w:rPr>
                <w:sz w:val="15"/>
              </w:rPr>
              <w:t>完全缓解</w:t>
            </w:r>
          </w:p>
        </w:tc>
        <w:tc>
          <w:tcPr>
            <w:tcW w:w="2682" w:type="dxa"/>
            <w:tcBorders>
              <w:top w:val="single" w:sz="4" w:space="0" w:color="000000"/>
              <w:bottom w:val="single" w:sz="4" w:space="0" w:color="000000"/>
            </w:tcBorders>
          </w:tcPr>
          <w:p>
            <w:pPr>
              <w:pStyle w:val="TableParagraph"/>
              <w:spacing w:before="15"/>
              <w:ind w:left="735"/>
              <w:jc w:val="left"/>
              <w:rPr>
                <w:sz w:val="15"/>
              </w:rPr>
            </w:pPr>
            <w:r>
              <w:rPr>
                <w:w w:val="120"/>
                <w:sz w:val="15"/>
              </w:rPr>
              <w:t>1（20%）</w:t>
            </w:r>
          </w:p>
        </w:tc>
        <w:tc>
          <w:tcPr>
            <w:tcW w:w="2417" w:type="dxa"/>
            <w:tcBorders>
              <w:top w:val="single" w:sz="4" w:space="0" w:color="000000"/>
              <w:bottom w:val="single" w:sz="4" w:space="0" w:color="000000"/>
            </w:tcBorders>
          </w:tcPr>
          <w:p>
            <w:pPr>
              <w:pStyle w:val="TableParagraph"/>
              <w:spacing w:before="15"/>
              <w:ind w:left="652" w:right="907"/>
              <w:rPr>
                <w:sz w:val="15"/>
              </w:rPr>
            </w:pPr>
            <w:r>
              <w:rPr>
                <w:w w:val="120"/>
                <w:sz w:val="15"/>
              </w:rPr>
              <w:t>0（0%）</w:t>
            </w:r>
          </w:p>
        </w:tc>
      </w:tr>
      <w:tr>
        <w:trPr>
          <w:trHeight w:val="282" w:hRule="atLeast"/>
        </w:trPr>
        <w:tc>
          <w:tcPr>
            <w:tcW w:w="1818" w:type="dxa"/>
            <w:tcBorders>
              <w:top w:val="single" w:sz="4" w:space="0" w:color="000000"/>
              <w:bottom w:val="single" w:sz="4" w:space="0" w:color="000000"/>
            </w:tcBorders>
            <w:shd w:val="clear" w:color="auto" w:fill="CCCCCC"/>
          </w:tcPr>
          <w:p>
            <w:pPr>
              <w:pStyle w:val="TableParagraph"/>
              <w:spacing w:before="15"/>
              <w:ind w:left="480"/>
              <w:jc w:val="left"/>
              <w:rPr>
                <w:sz w:val="15"/>
              </w:rPr>
            </w:pPr>
            <w:r>
              <w:rPr>
                <w:sz w:val="15"/>
              </w:rPr>
              <w:t>部分缓解</w:t>
            </w:r>
          </w:p>
        </w:tc>
        <w:tc>
          <w:tcPr>
            <w:tcW w:w="2682" w:type="dxa"/>
            <w:tcBorders>
              <w:top w:val="single" w:sz="4" w:space="0" w:color="000000"/>
              <w:bottom w:val="single" w:sz="4" w:space="0" w:color="000000"/>
            </w:tcBorders>
            <w:shd w:val="clear" w:color="auto" w:fill="CCCCCC"/>
          </w:tcPr>
          <w:p>
            <w:pPr>
              <w:pStyle w:val="TableParagraph"/>
              <w:spacing w:before="15"/>
              <w:ind w:left="735"/>
              <w:jc w:val="left"/>
              <w:rPr>
                <w:sz w:val="15"/>
              </w:rPr>
            </w:pPr>
            <w:r>
              <w:rPr>
                <w:w w:val="120"/>
                <w:sz w:val="15"/>
              </w:rPr>
              <w:t>2（40%）</w:t>
            </w:r>
          </w:p>
        </w:tc>
        <w:tc>
          <w:tcPr>
            <w:tcW w:w="2417" w:type="dxa"/>
            <w:tcBorders>
              <w:top w:val="single" w:sz="4" w:space="0" w:color="000000"/>
              <w:bottom w:val="single" w:sz="4" w:space="0" w:color="000000"/>
            </w:tcBorders>
            <w:shd w:val="clear" w:color="auto" w:fill="CCCCCC"/>
          </w:tcPr>
          <w:p>
            <w:pPr>
              <w:pStyle w:val="TableParagraph"/>
              <w:spacing w:before="15"/>
              <w:ind w:left="652" w:right="907"/>
              <w:rPr>
                <w:sz w:val="15"/>
              </w:rPr>
            </w:pPr>
            <w:r>
              <w:rPr>
                <w:w w:val="120"/>
                <w:sz w:val="15"/>
              </w:rPr>
              <w:t>0（0%）</w:t>
            </w:r>
          </w:p>
        </w:tc>
      </w:tr>
      <w:tr>
        <w:trPr>
          <w:trHeight w:val="282" w:hRule="atLeast"/>
        </w:trPr>
        <w:tc>
          <w:tcPr>
            <w:tcW w:w="1818" w:type="dxa"/>
            <w:tcBorders>
              <w:top w:val="single" w:sz="4" w:space="0" w:color="000000"/>
              <w:bottom w:val="single" w:sz="4" w:space="0" w:color="000000"/>
            </w:tcBorders>
          </w:tcPr>
          <w:p>
            <w:pPr>
              <w:pStyle w:val="TableParagraph"/>
              <w:spacing w:before="15"/>
              <w:ind w:left="480"/>
              <w:jc w:val="left"/>
              <w:rPr>
                <w:sz w:val="15"/>
              </w:rPr>
            </w:pPr>
            <w:r>
              <w:rPr>
                <w:sz w:val="15"/>
              </w:rPr>
              <w:t>疾病稳定</w:t>
            </w:r>
          </w:p>
        </w:tc>
        <w:tc>
          <w:tcPr>
            <w:tcW w:w="2682" w:type="dxa"/>
            <w:tcBorders>
              <w:top w:val="single" w:sz="4" w:space="0" w:color="000000"/>
              <w:bottom w:val="single" w:sz="4" w:space="0" w:color="000000"/>
            </w:tcBorders>
          </w:tcPr>
          <w:p>
            <w:pPr>
              <w:pStyle w:val="TableParagraph"/>
              <w:spacing w:before="15"/>
              <w:ind w:left="735"/>
              <w:jc w:val="left"/>
              <w:rPr>
                <w:sz w:val="15"/>
              </w:rPr>
            </w:pPr>
            <w:r>
              <w:rPr>
                <w:w w:val="120"/>
                <w:sz w:val="15"/>
              </w:rPr>
              <w:t>1（20%）</w:t>
            </w:r>
          </w:p>
        </w:tc>
        <w:tc>
          <w:tcPr>
            <w:tcW w:w="2417" w:type="dxa"/>
            <w:tcBorders>
              <w:top w:val="single" w:sz="4" w:space="0" w:color="000000"/>
              <w:bottom w:val="single" w:sz="4" w:space="0" w:color="000000"/>
            </w:tcBorders>
          </w:tcPr>
          <w:p>
            <w:pPr>
              <w:pStyle w:val="TableParagraph"/>
              <w:spacing w:before="15"/>
              <w:ind w:left="652" w:right="909"/>
              <w:rPr>
                <w:sz w:val="15"/>
              </w:rPr>
            </w:pPr>
            <w:r>
              <w:rPr>
                <w:w w:val="111"/>
                <w:sz w:val="15"/>
              </w:rPr>
              <w:t>4</w:t>
            </w:r>
            <w:r>
              <w:rPr>
                <w:w w:val="100"/>
                <w:sz w:val="15"/>
              </w:rPr>
              <w:t>（</w:t>
            </w:r>
            <w:r>
              <w:rPr>
                <w:w w:val="111"/>
                <w:sz w:val="15"/>
              </w:rPr>
              <w:t>5</w:t>
            </w:r>
            <w:r>
              <w:rPr>
                <w:spacing w:val="-3"/>
                <w:w w:val="111"/>
                <w:sz w:val="15"/>
              </w:rPr>
              <w:t>7</w:t>
            </w:r>
            <w:r>
              <w:rPr>
                <w:spacing w:val="1"/>
                <w:w w:val="56"/>
                <w:sz w:val="15"/>
              </w:rPr>
              <w:t>.</w:t>
            </w:r>
            <w:r>
              <w:rPr>
                <w:spacing w:val="-3"/>
                <w:w w:val="111"/>
                <w:sz w:val="15"/>
              </w:rPr>
              <w:t>1</w:t>
            </w:r>
            <w:r>
              <w:rPr>
                <w:spacing w:val="-1"/>
                <w:w w:val="185"/>
                <w:sz w:val="15"/>
              </w:rPr>
              <w:t>%</w:t>
            </w:r>
            <w:r>
              <w:rPr>
                <w:w w:val="100"/>
                <w:sz w:val="15"/>
              </w:rPr>
              <w:t>）</w:t>
            </w:r>
          </w:p>
        </w:tc>
      </w:tr>
      <w:tr>
        <w:trPr>
          <w:trHeight w:val="282" w:hRule="atLeast"/>
        </w:trPr>
        <w:tc>
          <w:tcPr>
            <w:tcW w:w="1818" w:type="dxa"/>
            <w:tcBorders>
              <w:top w:val="single" w:sz="4" w:space="0" w:color="000000"/>
              <w:bottom w:val="single" w:sz="4" w:space="0" w:color="000000"/>
            </w:tcBorders>
            <w:shd w:val="clear" w:color="auto" w:fill="CCCCCC"/>
          </w:tcPr>
          <w:p>
            <w:pPr>
              <w:pStyle w:val="TableParagraph"/>
              <w:spacing w:before="15"/>
              <w:ind w:left="480"/>
              <w:jc w:val="left"/>
              <w:rPr>
                <w:sz w:val="15"/>
              </w:rPr>
            </w:pPr>
            <w:r>
              <w:rPr>
                <w:sz w:val="15"/>
              </w:rPr>
              <w:t>疾病进展</w:t>
            </w:r>
          </w:p>
        </w:tc>
        <w:tc>
          <w:tcPr>
            <w:tcW w:w="2682" w:type="dxa"/>
            <w:tcBorders>
              <w:top w:val="single" w:sz="4" w:space="0" w:color="000000"/>
              <w:bottom w:val="single" w:sz="4" w:space="0" w:color="000000"/>
            </w:tcBorders>
            <w:shd w:val="clear" w:color="auto" w:fill="CCCCCC"/>
          </w:tcPr>
          <w:p>
            <w:pPr>
              <w:pStyle w:val="TableParagraph"/>
              <w:spacing w:before="15"/>
              <w:ind w:left="735"/>
              <w:jc w:val="left"/>
              <w:rPr>
                <w:sz w:val="15"/>
              </w:rPr>
            </w:pPr>
            <w:r>
              <w:rPr>
                <w:w w:val="120"/>
                <w:sz w:val="15"/>
              </w:rPr>
              <w:t>1（20%）</w:t>
            </w:r>
          </w:p>
        </w:tc>
        <w:tc>
          <w:tcPr>
            <w:tcW w:w="2417" w:type="dxa"/>
            <w:tcBorders>
              <w:top w:val="single" w:sz="4" w:space="0" w:color="000000"/>
              <w:bottom w:val="single" w:sz="4" w:space="0" w:color="000000"/>
            </w:tcBorders>
            <w:shd w:val="clear" w:color="auto" w:fill="CCCCCC"/>
          </w:tcPr>
          <w:p>
            <w:pPr>
              <w:pStyle w:val="TableParagraph"/>
              <w:spacing w:before="15"/>
              <w:ind w:left="652" w:right="909"/>
              <w:rPr>
                <w:sz w:val="15"/>
              </w:rPr>
            </w:pPr>
            <w:r>
              <w:rPr>
                <w:w w:val="111"/>
                <w:sz w:val="15"/>
              </w:rPr>
              <w:t>3</w:t>
            </w:r>
            <w:r>
              <w:rPr>
                <w:w w:val="100"/>
                <w:sz w:val="15"/>
              </w:rPr>
              <w:t>（</w:t>
            </w:r>
            <w:r>
              <w:rPr>
                <w:w w:val="111"/>
                <w:sz w:val="15"/>
              </w:rPr>
              <w:t>4</w:t>
            </w:r>
            <w:r>
              <w:rPr>
                <w:spacing w:val="-3"/>
                <w:w w:val="111"/>
                <w:sz w:val="15"/>
              </w:rPr>
              <w:t>2</w:t>
            </w:r>
            <w:r>
              <w:rPr>
                <w:spacing w:val="1"/>
                <w:w w:val="56"/>
                <w:sz w:val="15"/>
              </w:rPr>
              <w:t>.</w:t>
            </w:r>
            <w:r>
              <w:rPr>
                <w:spacing w:val="-3"/>
                <w:w w:val="111"/>
                <w:sz w:val="15"/>
              </w:rPr>
              <w:t>9</w:t>
            </w:r>
            <w:r>
              <w:rPr>
                <w:w w:val="185"/>
                <w:sz w:val="15"/>
              </w:rPr>
              <w:t>%</w:t>
            </w:r>
            <w:r>
              <w:rPr>
                <w:w w:val="100"/>
                <w:sz w:val="15"/>
              </w:rPr>
              <w:t>）</w:t>
            </w:r>
          </w:p>
        </w:tc>
      </w:tr>
    </w:tbl>
    <w:p>
      <w:pPr>
        <w:spacing w:before="0"/>
        <w:ind w:left="3713" w:right="0" w:firstLine="0"/>
        <w:jc w:val="left"/>
        <w:rPr>
          <w:sz w:val="13"/>
        </w:rPr>
      </w:pPr>
      <w:r>
        <w:rPr>
          <w:sz w:val="13"/>
        </w:rPr>
        <w:t>资料来源：公司官网、光大证券研究所（注：共有 14 例患者入组，其中有 2 例患者在数据截止日期前尚未进行肿瘤疗效评</w:t>
      </w:r>
    </w:p>
    <w:p>
      <w:pPr>
        <w:spacing w:before="0"/>
        <w:ind w:left="3713" w:right="0" w:firstLine="0"/>
        <w:jc w:val="left"/>
        <w:rPr>
          <w:sz w:val="13"/>
        </w:rPr>
      </w:pPr>
      <w:r>
        <w:rPr>
          <w:sz w:val="13"/>
        </w:rPr>
        <w:t>估，数据截至 2022 年 5 月 6 日）</w:t>
      </w:r>
    </w:p>
    <w:p>
      <w:pPr>
        <w:pStyle w:val="BodyText"/>
        <w:rPr>
          <w:sz w:val="14"/>
        </w:rPr>
      </w:pPr>
    </w:p>
    <w:p>
      <w:pPr>
        <w:pStyle w:val="BodyText"/>
        <w:rPr>
          <w:sz w:val="14"/>
        </w:rPr>
      </w:pPr>
    </w:p>
    <w:p>
      <w:pPr>
        <w:pStyle w:val="BodyText"/>
        <w:spacing w:before="12"/>
        <w:rPr>
          <w:sz w:val="12"/>
        </w:rPr>
      </w:pPr>
    </w:p>
    <w:p>
      <w:pPr>
        <w:pStyle w:val="Heading3"/>
        <w:numPr>
          <w:ilvl w:val="0"/>
          <w:numId w:val="1"/>
        </w:numPr>
        <w:tabs>
          <w:tab w:pos="3925" w:val="left" w:leader="none"/>
        </w:tabs>
        <w:spacing w:line="180" w:lineRule="auto" w:before="1" w:after="0"/>
        <w:ind w:left="3713" w:right="215" w:firstLine="0"/>
        <w:jc w:val="left"/>
      </w:pPr>
      <w:r>
        <w:rPr>
          <w:color w:val="C54322"/>
          <w:w w:val="95"/>
        </w:rPr>
        <w:t>CT041</w:t>
      </w:r>
      <w:r>
        <w:rPr>
          <w:color w:val="C54322"/>
          <w:spacing w:val="3"/>
          <w:w w:val="95"/>
        </w:rPr>
        <w:t>  治疗晚期胃癌/</w:t>
      </w:r>
      <w:r>
        <w:rPr>
          <w:color w:val="C54322"/>
          <w:spacing w:val="-1"/>
          <w:w w:val="95"/>
        </w:rPr>
        <w:t>食管胃结合部腺癌患者中安全性、耐受性和初步疗效的</w:t>
      </w:r>
      <w:r>
        <w:rPr>
          <w:color w:val="C54322"/>
          <w:spacing w:val="-4"/>
        </w:rPr>
        <w:t>中国 </w:t>
      </w:r>
      <w:r>
        <w:rPr>
          <w:color w:val="C54322"/>
        </w:rPr>
        <w:t>Ib/II</w:t>
      </w:r>
      <w:r>
        <w:rPr>
          <w:color w:val="C54322"/>
          <w:spacing w:val="-3"/>
        </w:rPr>
        <w:t> 期研究结果</w:t>
      </w:r>
    </w:p>
    <w:p>
      <w:pPr>
        <w:pStyle w:val="BodyText"/>
        <w:spacing w:line="259" w:lineRule="auto" w:before="119"/>
        <w:ind w:left="3713" w:right="114"/>
      </w:pPr>
      <w:r>
        <w:rPr>
          <w:w w:val="99"/>
        </w:rPr>
        <w:t>该试验是一项多中心、开放标签的</w:t>
      </w:r>
      <w:r>
        <w:rPr/>
        <w:t> </w:t>
      </w:r>
      <w:r>
        <w:rPr>
          <w:spacing w:val="1"/>
          <w:w w:val="58"/>
        </w:rPr>
        <w:t>I</w:t>
      </w:r>
      <w:r>
        <w:rPr>
          <w:spacing w:val="-1"/>
          <w:w w:val="123"/>
        </w:rPr>
        <w:t>b</w:t>
      </w:r>
      <w:r>
        <w:rPr>
          <w:spacing w:val="1"/>
          <w:w w:val="78"/>
        </w:rPr>
        <w:t>/</w:t>
      </w:r>
      <w:r>
        <w:rPr>
          <w:spacing w:val="-1"/>
          <w:w w:val="58"/>
        </w:rPr>
        <w:t>I</w:t>
      </w:r>
      <w:r>
        <w:rPr>
          <w:w w:val="58"/>
        </w:rPr>
        <w:t>I</w:t>
      </w:r>
      <w:r>
        <w:rPr/>
        <w:t> </w:t>
      </w:r>
      <w:r>
        <w:rPr>
          <w:w w:val="99"/>
        </w:rPr>
        <w:t>期试验</w:t>
      </w:r>
      <w:r>
        <w:rPr>
          <w:spacing w:val="2"/>
          <w:w w:val="99"/>
        </w:rPr>
        <w:t>（</w:t>
      </w:r>
      <w:r>
        <w:rPr>
          <w:w w:val="130"/>
        </w:rPr>
        <w:t>NCT</w:t>
      </w:r>
      <w:r>
        <w:rPr>
          <w:spacing w:val="2"/>
          <w:w w:val="110"/>
        </w:rPr>
        <w:t>0</w:t>
      </w:r>
      <w:r>
        <w:rPr>
          <w:w w:val="110"/>
        </w:rPr>
        <w:t>458</w:t>
      </w:r>
      <w:r>
        <w:rPr>
          <w:spacing w:val="-1"/>
          <w:w w:val="110"/>
        </w:rPr>
        <w:t>1</w:t>
      </w:r>
      <w:r>
        <w:rPr>
          <w:spacing w:val="2"/>
          <w:w w:val="110"/>
        </w:rPr>
        <w:t>4</w:t>
      </w:r>
      <w:r>
        <w:rPr>
          <w:w w:val="110"/>
        </w:rPr>
        <w:t>73</w:t>
      </w:r>
      <w:r>
        <w:rPr>
          <w:w w:val="99"/>
        </w:rPr>
        <w:t>），旨在评估 </w:t>
      </w:r>
      <w:r>
        <w:rPr/>
        <w:t>CT041</w:t>
      </w:r>
      <w:r>
        <w:rPr>
          <w:spacing w:val="-8"/>
        </w:rPr>
        <w:t> 针对中国胃癌</w:t>
      </w:r>
      <w:r>
        <w:rPr/>
        <w:t>/</w:t>
      </w:r>
      <w:r>
        <w:rPr>
          <w:spacing w:val="-5"/>
        </w:rPr>
        <w:t>食管胃结合部腺癌患者的安全性和有效性。在 </w:t>
      </w:r>
      <w:r>
        <w:rPr/>
        <w:t>Ib</w:t>
      </w:r>
      <w:r>
        <w:rPr>
          <w:spacing w:val="-18"/>
        </w:rPr>
        <w:t> 期，该试</w:t>
      </w:r>
      <w:r>
        <w:rPr>
          <w:spacing w:val="-25"/>
        </w:rPr>
        <w:t>验使用 </w:t>
      </w:r>
      <w:r>
        <w:rPr/>
        <w:t>3+3</w:t>
      </w:r>
      <w:r>
        <w:rPr>
          <w:spacing w:val="-25"/>
        </w:rPr>
        <w:t> 设计，研究了 </w:t>
      </w:r>
      <w:r>
        <w:rPr/>
        <w:t>CT041</w:t>
      </w:r>
      <w:r>
        <w:rPr>
          <w:spacing w:val="-3"/>
        </w:rPr>
        <w:t> 在 </w:t>
      </w:r>
      <w:r>
        <w:rPr/>
        <w:t>2.5×10</w:t>
      </w:r>
      <w:r>
        <w:rPr>
          <w:vertAlign w:val="superscript"/>
        </w:rPr>
        <w:t>8</w:t>
      </w:r>
      <w:r>
        <w:rPr>
          <w:spacing w:val="-35"/>
          <w:vertAlign w:val="baseline"/>
        </w:rPr>
        <w:t> 和 </w:t>
      </w:r>
      <w:r>
        <w:rPr>
          <w:vertAlign w:val="baseline"/>
        </w:rPr>
        <w:t>3.75×10</w:t>
      </w:r>
      <w:r>
        <w:rPr>
          <w:vertAlign w:val="superscript"/>
        </w:rPr>
        <w:t>8</w:t>
      </w:r>
      <w:r>
        <w:rPr>
          <w:spacing w:val="-8"/>
          <w:vertAlign w:val="baseline"/>
        </w:rPr>
        <w:t> 细胞剂量水平的疗效。</w:t>
      </w:r>
    </w:p>
    <w:p>
      <w:pPr>
        <w:pStyle w:val="BodyText"/>
        <w:spacing w:line="259" w:lineRule="auto" w:before="120"/>
        <w:ind w:left="3713" w:right="251"/>
        <w:jc w:val="both"/>
      </w:pPr>
      <w:r>
        <w:rPr/>
        <w:t>Ib</w:t>
      </w:r>
      <w:r>
        <w:rPr>
          <w:spacing w:val="-9"/>
        </w:rPr>
        <w:t> 期研究关键入选标准：符合参与本研究资格的人群为至少二线治疗失败或不</w:t>
      </w:r>
      <w:r>
        <w:rPr>
          <w:spacing w:val="-3"/>
        </w:rPr>
        <w:t>耐受的 </w:t>
      </w:r>
      <w:r>
        <w:rPr/>
        <w:t>CLDN18.2</w:t>
      </w:r>
      <w:r>
        <w:rPr>
          <w:spacing w:val="3"/>
        </w:rPr>
        <w:t> 表达阳性</w:t>
      </w:r>
      <w:r>
        <w:rPr/>
        <w:t>（由免疫组织化学染色验证[在≥40</w:t>
      </w:r>
      <w:r>
        <w:rPr>
          <w:spacing w:val="-2"/>
        </w:rPr>
        <w:t>%的肿瘤细胞中</w:t>
      </w:r>
      <w:r>
        <w:rPr/>
        <w:t>2+/3+]）的晚期胃癌/食管胃结合部腺癌患者。HER2</w:t>
      </w:r>
      <w:r>
        <w:rPr>
          <w:spacing w:val="-5"/>
        </w:rPr>
        <w:t> 阳性患者应接受过标准抗</w:t>
      </w:r>
      <w:r>
        <w:rPr>
          <w:spacing w:val="-5"/>
          <w:w w:val="105"/>
        </w:rPr>
        <w:t>HER2</w:t>
      </w:r>
      <w:r>
        <w:rPr>
          <w:spacing w:val="-15"/>
          <w:w w:val="105"/>
        </w:rPr>
        <w:t> 治疗。</w:t>
      </w:r>
    </w:p>
    <w:p>
      <w:pPr>
        <w:pStyle w:val="BodyText"/>
        <w:spacing w:line="259" w:lineRule="auto" w:before="122"/>
        <w:ind w:left="3713" w:right="212"/>
        <w:jc w:val="both"/>
      </w:pPr>
      <w:r>
        <w:rPr>
          <w:spacing w:val="-15"/>
        </w:rPr>
        <w:t>截至 </w:t>
      </w:r>
      <w:r>
        <w:rPr/>
        <w:t>2021</w:t>
      </w:r>
      <w:r>
        <w:rPr>
          <w:spacing w:val="-29"/>
        </w:rPr>
        <w:t> 年 </w:t>
      </w:r>
      <w:r>
        <w:rPr/>
        <w:t>12</w:t>
      </w:r>
      <w:r>
        <w:rPr>
          <w:spacing w:val="-29"/>
        </w:rPr>
        <w:t> 月 </w:t>
      </w:r>
      <w:r>
        <w:rPr/>
        <w:t>22</w:t>
      </w:r>
      <w:r>
        <w:rPr>
          <w:spacing w:val="-20"/>
        </w:rPr>
        <w:t> 日，</w:t>
      </w:r>
      <w:r>
        <w:rPr>
          <w:spacing w:val="-17"/>
        </w:rPr>
        <w:t>14</w:t>
      </w:r>
      <w:r>
        <w:rPr>
          <w:spacing w:val="-7"/>
        </w:rPr>
        <w:t> 例符合条件的胃癌</w:t>
      </w:r>
      <w:r>
        <w:rPr/>
        <w:t>/</w:t>
      </w:r>
      <w:r>
        <w:rPr>
          <w:spacing w:val="-4"/>
        </w:rPr>
        <w:t>食管胃结合部腺癌患者纳入 </w:t>
      </w:r>
      <w:r>
        <w:rPr/>
        <w:t>Ib </w:t>
      </w:r>
      <w:r>
        <w:rPr>
          <w:w w:val="99"/>
        </w:rPr>
        <w:t>期研究。其中</w:t>
      </w:r>
      <w:r>
        <w:rPr>
          <w:spacing w:val="-50"/>
        </w:rPr>
        <w:t> </w:t>
      </w:r>
      <w:r>
        <w:rPr>
          <w:w w:val="110"/>
        </w:rPr>
        <w:t>5</w:t>
      </w:r>
      <w:r>
        <w:rPr>
          <w:spacing w:val="1"/>
          <w:w w:val="110"/>
        </w:rPr>
        <w:t>7</w:t>
      </w:r>
      <w:r>
        <w:rPr>
          <w:w w:val="82"/>
        </w:rPr>
        <w:t>.</w:t>
      </w:r>
      <w:r>
        <w:rPr>
          <w:spacing w:val="1"/>
          <w:w w:val="82"/>
        </w:rPr>
        <w:t>1</w:t>
      </w:r>
      <w:r>
        <w:rPr>
          <w:w w:val="183"/>
        </w:rPr>
        <w:t>%</w:t>
      </w:r>
      <w:r>
        <w:rPr/>
        <w:t> </w:t>
      </w:r>
      <w:r>
        <w:rPr>
          <w:w w:val="99"/>
        </w:rPr>
        <w:t>的患者转移器官数目</w:t>
      </w:r>
      <w:r>
        <w:rPr>
          <w:w w:val="103"/>
        </w:rPr>
        <w:t>≥3</w:t>
      </w:r>
      <w:r>
        <w:rPr>
          <w:spacing w:val="-50"/>
        </w:rPr>
        <w:t> </w:t>
      </w:r>
      <w:r>
        <w:rPr>
          <w:spacing w:val="1"/>
          <w:w w:val="99"/>
        </w:rPr>
        <w:t>个，</w:t>
      </w:r>
      <w:r>
        <w:rPr>
          <w:w w:val="92"/>
        </w:rPr>
        <w:t>92</w:t>
      </w:r>
      <w:r>
        <w:rPr>
          <w:spacing w:val="1"/>
          <w:w w:val="92"/>
        </w:rPr>
        <w:t>.</w:t>
      </w:r>
      <w:r>
        <w:rPr>
          <w:w w:val="147"/>
        </w:rPr>
        <w:t>9</w:t>
      </w:r>
      <w:r>
        <w:rPr>
          <w:spacing w:val="-1"/>
          <w:w w:val="147"/>
        </w:rPr>
        <w:t>%</w:t>
      </w:r>
      <w:r>
        <w:rPr>
          <w:w w:val="99"/>
        </w:rPr>
        <w:t>存在腹膜转移。大多</w:t>
      </w:r>
      <w:r>
        <w:rPr>
          <w:spacing w:val="-7"/>
        </w:rPr>
        <w:t>数患者</w:t>
      </w:r>
      <w:r>
        <w:rPr>
          <w:spacing w:val="-3"/>
        </w:rPr>
        <w:t>（85.7%）</w:t>
      </w:r>
      <w:r>
        <w:rPr>
          <w:spacing w:val="-2"/>
        </w:rPr>
        <w:t>之前接受过二线治疗或包含氟尿嘧啶、奥沙利铂和紫杉醇的三联疗法治疗。35.7</w:t>
      </w:r>
      <w:r>
        <w:rPr>
          <w:spacing w:val="-7"/>
        </w:rPr>
        <w:t>%的患者曾接受过 </w:t>
      </w:r>
      <w:r>
        <w:rPr/>
        <w:t>PD-1/PD-L1</w:t>
      </w:r>
      <w:r>
        <w:rPr>
          <w:spacing w:val="-8"/>
        </w:rPr>
        <w:t> 抑制剂治疗。</w:t>
      </w:r>
    </w:p>
    <w:p>
      <w:pPr>
        <w:spacing w:before="60"/>
        <w:ind w:left="3713" w:right="0" w:firstLine="0"/>
        <w:jc w:val="both"/>
        <w:rPr>
          <w:rFonts w:ascii="微软雅黑" w:eastAsia="微软雅黑" w:hint="eastAsia"/>
          <w:b/>
          <w:sz w:val="18"/>
        </w:rPr>
      </w:pPr>
      <w:r>
        <w:rPr/>
        <w:pict>
          <v:shape style="position:absolute;margin-left:212.690002pt;margin-top:18.478441pt;width:345.9pt;height:229.5pt;mso-position-horizontal-relative:page;mso-position-vertical-relative:paragraph;z-index:157322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5"/>
                    <w:gridCol w:w="3292"/>
                  </w:tblGrid>
                  <w:tr>
                    <w:trPr>
                      <w:trHeight w:val="282" w:hRule="atLeast"/>
                    </w:trPr>
                    <w:tc>
                      <w:tcPr>
                        <w:tcW w:w="3625" w:type="dxa"/>
                        <w:tcBorders>
                          <w:top w:val="single" w:sz="4" w:space="0" w:color="000000"/>
                          <w:bottom w:val="single" w:sz="4" w:space="0" w:color="000000"/>
                        </w:tcBorders>
                        <w:shd w:val="clear" w:color="auto" w:fill="C54322"/>
                      </w:tcPr>
                      <w:p>
                        <w:pPr>
                          <w:pStyle w:val="TableParagraph"/>
                          <w:spacing w:line="263" w:lineRule="exact"/>
                          <w:ind w:left="1020"/>
                          <w:jc w:val="left"/>
                          <w:rPr>
                            <w:rFonts w:ascii="微软雅黑" w:eastAsia="微软雅黑" w:hint="eastAsia"/>
                            <w:b/>
                            <w:sz w:val="15"/>
                          </w:rPr>
                        </w:pPr>
                        <w:r>
                          <w:rPr>
                            <w:rFonts w:ascii="微软雅黑" w:eastAsia="微软雅黑" w:hint="eastAsia"/>
                            <w:b/>
                            <w:color w:val="FFFFFF"/>
                            <w:sz w:val="15"/>
                          </w:rPr>
                          <w:t>人口统计学与基线特征</w:t>
                        </w:r>
                      </w:p>
                    </w:tc>
                    <w:tc>
                      <w:tcPr>
                        <w:tcW w:w="3292" w:type="dxa"/>
                        <w:tcBorders>
                          <w:top w:val="single" w:sz="4" w:space="0" w:color="000000"/>
                          <w:bottom w:val="single" w:sz="4" w:space="0" w:color="000000"/>
                        </w:tcBorders>
                        <w:shd w:val="clear" w:color="auto" w:fill="C54322"/>
                      </w:tcPr>
                      <w:p>
                        <w:pPr>
                          <w:pStyle w:val="TableParagraph"/>
                          <w:spacing w:line="263" w:lineRule="exact"/>
                          <w:ind w:left="1181" w:right="1257"/>
                          <w:rPr>
                            <w:rFonts w:ascii="微软雅黑" w:eastAsia="微软雅黑" w:hint="eastAsia"/>
                            <w:b/>
                            <w:sz w:val="15"/>
                          </w:rPr>
                        </w:pPr>
                        <w:r>
                          <w:rPr>
                            <w:rFonts w:ascii="微软雅黑" w:eastAsia="微软雅黑" w:hint="eastAsia"/>
                            <w:b/>
                            <w:color w:val="FFFFFF"/>
                            <w:sz w:val="15"/>
                          </w:rPr>
                          <w:t>合计(n=14)</w:t>
                        </w:r>
                      </w:p>
                    </w:tc>
                  </w:tr>
                  <w:tr>
                    <w:trPr>
                      <w:trHeight w:val="282" w:hRule="atLeast"/>
                    </w:trPr>
                    <w:tc>
                      <w:tcPr>
                        <w:tcW w:w="3625" w:type="dxa"/>
                        <w:tcBorders>
                          <w:top w:val="single" w:sz="4" w:space="0" w:color="000000"/>
                        </w:tcBorders>
                        <w:shd w:val="clear" w:color="auto" w:fill="F1DBDB"/>
                      </w:tcPr>
                      <w:p>
                        <w:pPr>
                          <w:pStyle w:val="TableParagraph"/>
                          <w:spacing w:before="37"/>
                          <w:jc w:val="left"/>
                          <w:rPr>
                            <w:sz w:val="15"/>
                          </w:rPr>
                        </w:pPr>
                        <w:r>
                          <w:rPr>
                            <w:spacing w:val="-1"/>
                            <w:w w:val="100"/>
                            <w:sz w:val="15"/>
                          </w:rPr>
                          <w:t>中位年龄</w:t>
                        </w:r>
                        <w:r>
                          <w:rPr>
                            <w:spacing w:val="-3"/>
                            <w:w w:val="100"/>
                            <w:sz w:val="15"/>
                          </w:rPr>
                          <w:t>（</w:t>
                        </w:r>
                        <w:r>
                          <w:rPr>
                            <w:spacing w:val="-2"/>
                            <w:w w:val="100"/>
                            <w:sz w:val="15"/>
                          </w:rPr>
                          <w:t>范围</w:t>
                        </w:r>
                        <w:r>
                          <w:rPr>
                            <w:spacing w:val="-77"/>
                            <w:w w:val="100"/>
                            <w:sz w:val="15"/>
                          </w:rPr>
                          <w:t>）</w:t>
                        </w:r>
                        <w:r>
                          <w:rPr>
                            <w:w w:val="100"/>
                            <w:sz w:val="15"/>
                          </w:rPr>
                          <w:t>，年</w:t>
                        </w:r>
                      </w:p>
                    </w:tc>
                    <w:tc>
                      <w:tcPr>
                        <w:tcW w:w="3292" w:type="dxa"/>
                        <w:tcBorders>
                          <w:top w:val="single" w:sz="4" w:space="0" w:color="000000"/>
                        </w:tcBorders>
                        <w:shd w:val="clear" w:color="auto" w:fill="F1DBDB"/>
                      </w:tcPr>
                      <w:p>
                        <w:pPr>
                          <w:pStyle w:val="TableParagraph"/>
                          <w:spacing w:before="37"/>
                          <w:ind w:right="1179"/>
                          <w:jc w:val="right"/>
                          <w:rPr>
                            <w:sz w:val="15"/>
                          </w:rPr>
                        </w:pPr>
                        <w:r>
                          <w:rPr>
                            <w:w w:val="105"/>
                            <w:sz w:val="15"/>
                          </w:rPr>
                          <w:t>44.5（23~71）</w:t>
                        </w:r>
                      </w:p>
                    </w:tc>
                  </w:tr>
                  <w:tr>
                    <w:trPr>
                      <w:trHeight w:val="283" w:hRule="atLeast"/>
                    </w:trPr>
                    <w:tc>
                      <w:tcPr>
                        <w:tcW w:w="3625" w:type="dxa"/>
                        <w:shd w:val="clear" w:color="auto" w:fill="F1DBDB"/>
                      </w:tcPr>
                      <w:p>
                        <w:pPr>
                          <w:pStyle w:val="TableParagraph"/>
                          <w:spacing w:before="37"/>
                          <w:jc w:val="left"/>
                          <w:rPr>
                            <w:sz w:val="15"/>
                          </w:rPr>
                        </w:pPr>
                        <w:r>
                          <w:rPr>
                            <w:sz w:val="15"/>
                          </w:rPr>
                          <w:t>男性，n (6)</w:t>
                        </w:r>
                      </w:p>
                    </w:tc>
                    <w:tc>
                      <w:tcPr>
                        <w:tcW w:w="3292" w:type="dxa"/>
                        <w:shd w:val="clear" w:color="auto" w:fill="F1DBDB"/>
                      </w:tcPr>
                      <w:p>
                        <w:pPr>
                          <w:pStyle w:val="TableParagraph"/>
                          <w:spacing w:before="37"/>
                          <w:ind w:right="1275"/>
                          <w:jc w:val="right"/>
                          <w:rPr>
                            <w:sz w:val="15"/>
                          </w:rPr>
                        </w:pPr>
                        <w:r>
                          <w:rPr>
                            <w:w w:val="111"/>
                            <w:sz w:val="15"/>
                          </w:rPr>
                          <w:t>6</w:t>
                        </w:r>
                        <w:r>
                          <w:rPr>
                            <w:w w:val="100"/>
                            <w:sz w:val="15"/>
                          </w:rPr>
                          <w:t>（</w:t>
                        </w:r>
                        <w:r>
                          <w:rPr>
                            <w:w w:val="111"/>
                            <w:sz w:val="15"/>
                          </w:rPr>
                          <w:t>4</w:t>
                        </w:r>
                        <w:r>
                          <w:rPr>
                            <w:spacing w:val="-3"/>
                            <w:w w:val="111"/>
                            <w:sz w:val="15"/>
                          </w:rPr>
                          <w:t>2</w:t>
                        </w:r>
                        <w:r>
                          <w:rPr>
                            <w:spacing w:val="1"/>
                            <w:w w:val="56"/>
                            <w:sz w:val="15"/>
                          </w:rPr>
                          <w:t>.</w:t>
                        </w:r>
                        <w:r>
                          <w:rPr>
                            <w:spacing w:val="-3"/>
                            <w:w w:val="111"/>
                            <w:sz w:val="15"/>
                          </w:rPr>
                          <w:t>9</w:t>
                        </w:r>
                        <w:r>
                          <w:rPr>
                            <w:w w:val="185"/>
                            <w:sz w:val="15"/>
                          </w:rPr>
                          <w:t>%</w:t>
                        </w:r>
                        <w:r>
                          <w:rPr>
                            <w:w w:val="100"/>
                            <w:sz w:val="15"/>
                          </w:rPr>
                          <w:t>）</w:t>
                        </w:r>
                      </w:p>
                    </w:tc>
                  </w:tr>
                  <w:tr>
                    <w:trPr>
                      <w:trHeight w:val="283" w:hRule="atLeast"/>
                    </w:trPr>
                    <w:tc>
                      <w:tcPr>
                        <w:tcW w:w="3625" w:type="dxa"/>
                        <w:tcBorders>
                          <w:bottom w:val="single" w:sz="4" w:space="0" w:color="000000"/>
                        </w:tcBorders>
                        <w:shd w:val="clear" w:color="auto" w:fill="F1DBDB"/>
                      </w:tcPr>
                      <w:p>
                        <w:pPr>
                          <w:pStyle w:val="TableParagraph"/>
                          <w:spacing w:before="37"/>
                          <w:jc w:val="left"/>
                          <w:rPr>
                            <w:sz w:val="15"/>
                          </w:rPr>
                        </w:pPr>
                        <w:r>
                          <w:rPr>
                            <w:sz w:val="15"/>
                          </w:rPr>
                          <w:t>东部肿瘤协作组体力状态=1，n（%）</w:t>
                        </w:r>
                      </w:p>
                    </w:tc>
                    <w:tc>
                      <w:tcPr>
                        <w:tcW w:w="3292" w:type="dxa"/>
                        <w:tcBorders>
                          <w:bottom w:val="single" w:sz="4" w:space="0" w:color="000000"/>
                        </w:tcBorders>
                        <w:shd w:val="clear" w:color="auto" w:fill="F1DBDB"/>
                      </w:tcPr>
                      <w:p>
                        <w:pPr>
                          <w:pStyle w:val="TableParagraph"/>
                          <w:spacing w:before="37"/>
                          <w:ind w:right="1233"/>
                          <w:jc w:val="right"/>
                          <w:rPr>
                            <w:sz w:val="15"/>
                          </w:rPr>
                        </w:pPr>
                        <w:r>
                          <w:rPr>
                            <w:w w:val="111"/>
                            <w:sz w:val="15"/>
                          </w:rPr>
                          <w:t>12</w:t>
                        </w:r>
                        <w:r>
                          <w:rPr>
                            <w:w w:val="100"/>
                            <w:sz w:val="15"/>
                          </w:rPr>
                          <w:t>（</w:t>
                        </w:r>
                        <w:r>
                          <w:rPr>
                            <w:spacing w:val="-3"/>
                            <w:w w:val="111"/>
                            <w:sz w:val="15"/>
                          </w:rPr>
                          <w:t>8</w:t>
                        </w:r>
                        <w:r>
                          <w:rPr>
                            <w:w w:val="83"/>
                            <w:sz w:val="15"/>
                          </w:rPr>
                          <w:t>5</w:t>
                        </w:r>
                        <w:r>
                          <w:rPr>
                            <w:spacing w:val="-2"/>
                            <w:w w:val="83"/>
                            <w:sz w:val="15"/>
                          </w:rPr>
                          <w:t>.</w:t>
                        </w:r>
                        <w:r>
                          <w:rPr>
                            <w:w w:val="111"/>
                            <w:sz w:val="15"/>
                          </w:rPr>
                          <w:t>8</w:t>
                        </w:r>
                        <w:r>
                          <w:rPr>
                            <w:spacing w:val="-3"/>
                            <w:w w:val="185"/>
                            <w:sz w:val="15"/>
                          </w:rPr>
                          <w:t>%</w:t>
                        </w:r>
                        <w:r>
                          <w:rPr>
                            <w:w w:val="100"/>
                            <w:sz w:val="15"/>
                          </w:rPr>
                          <w:t>）</w:t>
                        </w:r>
                      </w:p>
                    </w:tc>
                  </w:tr>
                  <w:tr>
                    <w:trPr>
                      <w:trHeight w:val="283" w:hRule="atLeast"/>
                    </w:trPr>
                    <w:tc>
                      <w:tcPr>
                        <w:tcW w:w="6917" w:type="dxa"/>
                        <w:gridSpan w:val="2"/>
                        <w:tcBorders>
                          <w:top w:val="single" w:sz="4" w:space="0" w:color="000000"/>
                        </w:tcBorders>
                        <w:shd w:val="clear" w:color="auto" w:fill="F9BE8F"/>
                      </w:tcPr>
                      <w:p>
                        <w:pPr>
                          <w:pStyle w:val="TableParagraph"/>
                          <w:spacing w:line="263" w:lineRule="exact"/>
                          <w:jc w:val="left"/>
                          <w:rPr>
                            <w:rFonts w:ascii="微软雅黑" w:eastAsia="微软雅黑" w:hint="eastAsia"/>
                            <w:b/>
                            <w:sz w:val="15"/>
                          </w:rPr>
                        </w:pPr>
                        <w:r>
                          <w:rPr>
                            <w:rFonts w:ascii="微软雅黑" w:eastAsia="微软雅黑" w:hint="eastAsia"/>
                            <w:b/>
                            <w:sz w:val="15"/>
                          </w:rPr>
                          <w:t>Laure 分型，n（6）</w:t>
                        </w:r>
                      </w:p>
                    </w:tc>
                  </w:tr>
                  <w:tr>
                    <w:trPr>
                      <w:trHeight w:val="283" w:hRule="atLeast"/>
                    </w:trPr>
                    <w:tc>
                      <w:tcPr>
                        <w:tcW w:w="3625" w:type="dxa"/>
                        <w:shd w:val="clear" w:color="auto" w:fill="FCE9D9"/>
                      </w:tcPr>
                      <w:p>
                        <w:pPr>
                          <w:pStyle w:val="TableParagraph"/>
                          <w:spacing w:before="37"/>
                          <w:ind w:left="1528" w:right="1603"/>
                          <w:rPr>
                            <w:sz w:val="15"/>
                          </w:rPr>
                        </w:pPr>
                        <w:r>
                          <w:rPr>
                            <w:sz w:val="15"/>
                          </w:rPr>
                          <w:t>肠型</w:t>
                        </w:r>
                      </w:p>
                    </w:tc>
                    <w:tc>
                      <w:tcPr>
                        <w:tcW w:w="3292" w:type="dxa"/>
                        <w:shd w:val="clear" w:color="auto" w:fill="FCE9D9"/>
                      </w:tcPr>
                      <w:p>
                        <w:pPr>
                          <w:pStyle w:val="TableParagraph"/>
                          <w:spacing w:before="37"/>
                          <w:ind w:right="1275"/>
                          <w:jc w:val="right"/>
                          <w:rPr>
                            <w:sz w:val="15"/>
                          </w:rPr>
                        </w:pPr>
                        <w:r>
                          <w:rPr>
                            <w:w w:val="111"/>
                            <w:sz w:val="15"/>
                          </w:rPr>
                          <w:t>3</w:t>
                        </w:r>
                        <w:r>
                          <w:rPr>
                            <w:w w:val="100"/>
                            <w:sz w:val="15"/>
                          </w:rPr>
                          <w:t>（</w:t>
                        </w:r>
                        <w:r>
                          <w:rPr>
                            <w:w w:val="111"/>
                            <w:sz w:val="15"/>
                          </w:rPr>
                          <w:t>2</w:t>
                        </w:r>
                        <w:r>
                          <w:rPr>
                            <w:spacing w:val="-3"/>
                            <w:w w:val="111"/>
                            <w:sz w:val="15"/>
                          </w:rPr>
                          <w:t>1</w:t>
                        </w:r>
                        <w:r>
                          <w:rPr>
                            <w:spacing w:val="1"/>
                            <w:w w:val="56"/>
                            <w:sz w:val="15"/>
                          </w:rPr>
                          <w:t>.</w:t>
                        </w:r>
                        <w:r>
                          <w:rPr>
                            <w:spacing w:val="-3"/>
                            <w:w w:val="111"/>
                            <w:sz w:val="15"/>
                          </w:rPr>
                          <w:t>5</w:t>
                        </w:r>
                        <w:r>
                          <w:rPr>
                            <w:w w:val="185"/>
                            <w:sz w:val="15"/>
                          </w:rPr>
                          <w:t>%</w:t>
                        </w:r>
                        <w:r>
                          <w:rPr>
                            <w:w w:val="100"/>
                            <w:sz w:val="15"/>
                          </w:rPr>
                          <w:t>）</w:t>
                        </w:r>
                      </w:p>
                    </w:tc>
                  </w:tr>
                  <w:tr>
                    <w:trPr>
                      <w:trHeight w:val="283" w:hRule="atLeast"/>
                    </w:trPr>
                    <w:tc>
                      <w:tcPr>
                        <w:tcW w:w="3625" w:type="dxa"/>
                        <w:shd w:val="clear" w:color="auto" w:fill="FCE9D9"/>
                      </w:tcPr>
                      <w:p>
                        <w:pPr>
                          <w:pStyle w:val="TableParagraph"/>
                          <w:spacing w:before="37"/>
                          <w:ind w:left="1528" w:right="1606"/>
                          <w:rPr>
                            <w:sz w:val="15"/>
                          </w:rPr>
                        </w:pPr>
                        <w:r>
                          <w:rPr>
                            <w:sz w:val="15"/>
                          </w:rPr>
                          <w:t>弥漫型</w:t>
                        </w:r>
                      </w:p>
                    </w:tc>
                    <w:tc>
                      <w:tcPr>
                        <w:tcW w:w="3292" w:type="dxa"/>
                        <w:shd w:val="clear" w:color="auto" w:fill="FCE9D9"/>
                      </w:tcPr>
                      <w:p>
                        <w:pPr>
                          <w:pStyle w:val="TableParagraph"/>
                          <w:spacing w:before="37"/>
                          <w:ind w:right="1275"/>
                          <w:jc w:val="right"/>
                          <w:rPr>
                            <w:sz w:val="15"/>
                          </w:rPr>
                        </w:pPr>
                        <w:r>
                          <w:rPr>
                            <w:w w:val="111"/>
                            <w:sz w:val="15"/>
                          </w:rPr>
                          <w:t>9</w:t>
                        </w:r>
                        <w:r>
                          <w:rPr>
                            <w:w w:val="100"/>
                            <w:sz w:val="15"/>
                          </w:rPr>
                          <w:t>（</w:t>
                        </w:r>
                        <w:r>
                          <w:rPr>
                            <w:w w:val="111"/>
                            <w:sz w:val="15"/>
                          </w:rPr>
                          <w:t>6</w:t>
                        </w:r>
                        <w:r>
                          <w:rPr>
                            <w:spacing w:val="-3"/>
                            <w:w w:val="111"/>
                            <w:sz w:val="15"/>
                          </w:rPr>
                          <w:t>4</w:t>
                        </w:r>
                        <w:r>
                          <w:rPr>
                            <w:spacing w:val="1"/>
                            <w:w w:val="56"/>
                            <w:sz w:val="15"/>
                          </w:rPr>
                          <w:t>.</w:t>
                        </w:r>
                        <w:r>
                          <w:rPr>
                            <w:spacing w:val="-3"/>
                            <w:w w:val="111"/>
                            <w:sz w:val="15"/>
                          </w:rPr>
                          <w:t>3</w:t>
                        </w:r>
                        <w:r>
                          <w:rPr>
                            <w:w w:val="185"/>
                            <w:sz w:val="15"/>
                          </w:rPr>
                          <w:t>%</w:t>
                        </w:r>
                        <w:r>
                          <w:rPr>
                            <w:w w:val="100"/>
                            <w:sz w:val="15"/>
                          </w:rPr>
                          <w:t>）</w:t>
                        </w:r>
                      </w:p>
                    </w:tc>
                  </w:tr>
                  <w:tr>
                    <w:trPr>
                      <w:trHeight w:val="283" w:hRule="atLeast"/>
                    </w:trPr>
                    <w:tc>
                      <w:tcPr>
                        <w:tcW w:w="3625" w:type="dxa"/>
                        <w:shd w:val="clear" w:color="auto" w:fill="FCE9D9"/>
                      </w:tcPr>
                      <w:p>
                        <w:pPr>
                          <w:pStyle w:val="TableParagraph"/>
                          <w:spacing w:before="37"/>
                          <w:ind w:left="1528" w:right="1606"/>
                          <w:rPr>
                            <w:sz w:val="15"/>
                          </w:rPr>
                        </w:pPr>
                        <w:r>
                          <w:rPr>
                            <w:sz w:val="15"/>
                          </w:rPr>
                          <w:t>混合型</w:t>
                        </w:r>
                      </w:p>
                    </w:tc>
                    <w:tc>
                      <w:tcPr>
                        <w:tcW w:w="3292" w:type="dxa"/>
                        <w:shd w:val="clear" w:color="auto" w:fill="FCE9D9"/>
                      </w:tcPr>
                      <w:p>
                        <w:pPr>
                          <w:pStyle w:val="TableParagraph"/>
                          <w:spacing w:before="37"/>
                          <w:ind w:right="1275"/>
                          <w:jc w:val="right"/>
                          <w:rPr>
                            <w:sz w:val="15"/>
                          </w:rPr>
                        </w:pPr>
                        <w:r>
                          <w:rPr>
                            <w:w w:val="111"/>
                            <w:sz w:val="15"/>
                          </w:rPr>
                          <w:t>2</w:t>
                        </w:r>
                        <w:r>
                          <w:rPr>
                            <w:w w:val="100"/>
                            <w:sz w:val="15"/>
                          </w:rPr>
                          <w:t>（</w:t>
                        </w:r>
                        <w:r>
                          <w:rPr>
                            <w:w w:val="111"/>
                            <w:sz w:val="15"/>
                          </w:rPr>
                          <w:t>1</w:t>
                        </w:r>
                        <w:r>
                          <w:rPr>
                            <w:spacing w:val="-3"/>
                            <w:w w:val="111"/>
                            <w:sz w:val="15"/>
                          </w:rPr>
                          <w:t>4</w:t>
                        </w:r>
                        <w:r>
                          <w:rPr>
                            <w:spacing w:val="1"/>
                            <w:w w:val="56"/>
                            <w:sz w:val="15"/>
                          </w:rPr>
                          <w:t>.</w:t>
                        </w:r>
                        <w:r>
                          <w:rPr>
                            <w:spacing w:val="-3"/>
                            <w:w w:val="111"/>
                            <w:sz w:val="15"/>
                          </w:rPr>
                          <w:t>3</w:t>
                        </w:r>
                        <w:r>
                          <w:rPr>
                            <w:w w:val="185"/>
                            <w:sz w:val="15"/>
                          </w:rPr>
                          <w:t>%</w:t>
                        </w:r>
                        <w:r>
                          <w:rPr>
                            <w:w w:val="100"/>
                            <w:sz w:val="15"/>
                          </w:rPr>
                          <w:t>）</w:t>
                        </w:r>
                      </w:p>
                    </w:tc>
                  </w:tr>
                  <w:tr>
                    <w:trPr>
                      <w:trHeight w:val="283" w:hRule="atLeast"/>
                    </w:trPr>
                    <w:tc>
                      <w:tcPr>
                        <w:tcW w:w="3625" w:type="dxa"/>
                        <w:tcBorders>
                          <w:bottom w:val="single" w:sz="4" w:space="0" w:color="000000"/>
                        </w:tcBorders>
                        <w:shd w:val="clear" w:color="auto" w:fill="F9BE8F"/>
                      </w:tcPr>
                      <w:p>
                        <w:pPr>
                          <w:pStyle w:val="TableParagraph"/>
                          <w:spacing w:line="263" w:lineRule="exact"/>
                          <w:jc w:val="left"/>
                          <w:rPr>
                            <w:rFonts w:ascii="微软雅黑" w:eastAsia="微软雅黑" w:hint="eastAsia"/>
                            <w:b/>
                            <w:sz w:val="15"/>
                          </w:rPr>
                        </w:pPr>
                        <w:r>
                          <w:rPr>
                            <w:rFonts w:ascii="微软雅黑" w:eastAsia="微软雅黑" w:hint="eastAsia"/>
                            <w:b/>
                            <w:sz w:val="15"/>
                          </w:rPr>
                          <w:t>印戒细胞癌，n（%）</w:t>
                        </w:r>
                      </w:p>
                    </w:tc>
                    <w:tc>
                      <w:tcPr>
                        <w:tcW w:w="3292" w:type="dxa"/>
                        <w:tcBorders>
                          <w:bottom w:val="single" w:sz="4" w:space="0" w:color="000000"/>
                        </w:tcBorders>
                        <w:shd w:val="clear" w:color="auto" w:fill="F9BE8F"/>
                      </w:tcPr>
                      <w:p>
                        <w:pPr>
                          <w:pStyle w:val="TableParagraph"/>
                          <w:spacing w:before="37"/>
                          <w:ind w:right="1275"/>
                          <w:jc w:val="right"/>
                          <w:rPr>
                            <w:sz w:val="15"/>
                          </w:rPr>
                        </w:pPr>
                        <w:r>
                          <w:rPr>
                            <w:w w:val="111"/>
                            <w:sz w:val="15"/>
                          </w:rPr>
                          <w:t>9</w:t>
                        </w:r>
                        <w:r>
                          <w:rPr>
                            <w:w w:val="100"/>
                            <w:sz w:val="15"/>
                          </w:rPr>
                          <w:t>（</w:t>
                        </w:r>
                        <w:r>
                          <w:rPr>
                            <w:w w:val="111"/>
                            <w:sz w:val="15"/>
                          </w:rPr>
                          <w:t>6</w:t>
                        </w:r>
                        <w:r>
                          <w:rPr>
                            <w:spacing w:val="-3"/>
                            <w:w w:val="111"/>
                            <w:sz w:val="15"/>
                          </w:rPr>
                          <w:t>4</w:t>
                        </w:r>
                        <w:r>
                          <w:rPr>
                            <w:spacing w:val="1"/>
                            <w:w w:val="56"/>
                            <w:sz w:val="15"/>
                          </w:rPr>
                          <w:t>.</w:t>
                        </w:r>
                        <w:r>
                          <w:rPr>
                            <w:spacing w:val="-3"/>
                            <w:w w:val="111"/>
                            <w:sz w:val="15"/>
                          </w:rPr>
                          <w:t>4</w:t>
                        </w:r>
                        <w:r>
                          <w:rPr>
                            <w:w w:val="185"/>
                            <w:sz w:val="15"/>
                          </w:rPr>
                          <w:t>%</w:t>
                        </w:r>
                        <w:r>
                          <w:rPr>
                            <w:w w:val="100"/>
                            <w:sz w:val="15"/>
                          </w:rPr>
                          <w:t>）</w:t>
                        </w:r>
                      </w:p>
                    </w:tc>
                  </w:tr>
                  <w:tr>
                    <w:trPr>
                      <w:trHeight w:val="283" w:hRule="atLeast"/>
                    </w:trPr>
                    <w:tc>
                      <w:tcPr>
                        <w:tcW w:w="6917" w:type="dxa"/>
                        <w:gridSpan w:val="2"/>
                        <w:tcBorders>
                          <w:top w:val="single" w:sz="4" w:space="0" w:color="000000"/>
                        </w:tcBorders>
                        <w:shd w:val="clear" w:color="auto" w:fill="94B3D6"/>
                      </w:tcPr>
                      <w:p>
                        <w:pPr>
                          <w:pStyle w:val="TableParagraph"/>
                          <w:spacing w:line="263" w:lineRule="exact"/>
                          <w:jc w:val="left"/>
                          <w:rPr>
                            <w:rFonts w:ascii="微软雅黑" w:eastAsia="微软雅黑" w:hint="eastAsia"/>
                            <w:b/>
                            <w:sz w:val="15"/>
                          </w:rPr>
                        </w:pPr>
                        <w:r>
                          <w:rPr>
                            <w:rFonts w:ascii="微软雅黑" w:eastAsia="微软雅黑" w:hint="eastAsia"/>
                            <w:b/>
                            <w:sz w:val="15"/>
                          </w:rPr>
                          <w:t>Claudin18.2 染色，n（%）</w:t>
                        </w:r>
                      </w:p>
                    </w:tc>
                  </w:tr>
                  <w:tr>
                    <w:trPr>
                      <w:trHeight w:val="283" w:hRule="atLeast"/>
                    </w:trPr>
                    <w:tc>
                      <w:tcPr>
                        <w:tcW w:w="3625" w:type="dxa"/>
                        <w:shd w:val="clear" w:color="auto" w:fill="DBE4F0"/>
                      </w:tcPr>
                      <w:p>
                        <w:pPr>
                          <w:pStyle w:val="TableParagraph"/>
                          <w:spacing w:before="37"/>
                          <w:ind w:left="1528" w:right="1603"/>
                          <w:rPr>
                            <w:sz w:val="15"/>
                          </w:rPr>
                        </w:pPr>
                        <w:r>
                          <w:rPr>
                            <w:w w:val="110"/>
                            <w:sz w:val="15"/>
                          </w:rPr>
                          <w:t>2+</w:t>
                        </w:r>
                      </w:p>
                    </w:tc>
                    <w:tc>
                      <w:tcPr>
                        <w:tcW w:w="3292" w:type="dxa"/>
                        <w:shd w:val="clear" w:color="auto" w:fill="DBE4F0"/>
                      </w:tcPr>
                      <w:p>
                        <w:pPr>
                          <w:pStyle w:val="TableParagraph"/>
                          <w:spacing w:before="37"/>
                          <w:ind w:right="1275"/>
                          <w:jc w:val="right"/>
                          <w:rPr>
                            <w:sz w:val="15"/>
                          </w:rPr>
                        </w:pPr>
                        <w:r>
                          <w:rPr>
                            <w:w w:val="111"/>
                            <w:sz w:val="15"/>
                          </w:rPr>
                          <w:t>2</w:t>
                        </w:r>
                        <w:r>
                          <w:rPr>
                            <w:w w:val="100"/>
                            <w:sz w:val="15"/>
                          </w:rPr>
                          <w:t>（</w:t>
                        </w:r>
                        <w:r>
                          <w:rPr>
                            <w:w w:val="111"/>
                            <w:sz w:val="15"/>
                          </w:rPr>
                          <w:t>1</w:t>
                        </w:r>
                        <w:r>
                          <w:rPr>
                            <w:spacing w:val="-3"/>
                            <w:w w:val="111"/>
                            <w:sz w:val="15"/>
                          </w:rPr>
                          <w:t>4</w:t>
                        </w:r>
                        <w:r>
                          <w:rPr>
                            <w:spacing w:val="1"/>
                            <w:w w:val="56"/>
                            <w:sz w:val="15"/>
                          </w:rPr>
                          <w:t>.</w:t>
                        </w:r>
                        <w:r>
                          <w:rPr>
                            <w:spacing w:val="-3"/>
                            <w:w w:val="111"/>
                            <w:sz w:val="15"/>
                          </w:rPr>
                          <w:t>4</w:t>
                        </w:r>
                        <w:r>
                          <w:rPr>
                            <w:w w:val="185"/>
                            <w:sz w:val="15"/>
                          </w:rPr>
                          <w:t>%</w:t>
                        </w:r>
                        <w:r>
                          <w:rPr>
                            <w:w w:val="100"/>
                            <w:sz w:val="15"/>
                          </w:rPr>
                          <w:t>）</w:t>
                        </w:r>
                      </w:p>
                    </w:tc>
                  </w:tr>
                  <w:tr>
                    <w:trPr>
                      <w:trHeight w:val="283" w:hRule="atLeast"/>
                    </w:trPr>
                    <w:tc>
                      <w:tcPr>
                        <w:tcW w:w="3625" w:type="dxa"/>
                        <w:tcBorders>
                          <w:bottom w:val="single" w:sz="4" w:space="0" w:color="000000"/>
                        </w:tcBorders>
                        <w:shd w:val="clear" w:color="auto" w:fill="DBE4F0"/>
                      </w:tcPr>
                      <w:p>
                        <w:pPr>
                          <w:pStyle w:val="TableParagraph"/>
                          <w:spacing w:before="37"/>
                          <w:ind w:left="1528" w:right="1603"/>
                          <w:rPr>
                            <w:sz w:val="15"/>
                          </w:rPr>
                        </w:pPr>
                        <w:r>
                          <w:rPr>
                            <w:w w:val="110"/>
                            <w:sz w:val="15"/>
                          </w:rPr>
                          <w:t>3+</w:t>
                        </w:r>
                      </w:p>
                    </w:tc>
                    <w:tc>
                      <w:tcPr>
                        <w:tcW w:w="3292" w:type="dxa"/>
                        <w:tcBorders>
                          <w:bottom w:val="single" w:sz="4" w:space="0" w:color="000000"/>
                        </w:tcBorders>
                        <w:shd w:val="clear" w:color="auto" w:fill="DBE4F0"/>
                      </w:tcPr>
                      <w:p>
                        <w:pPr>
                          <w:pStyle w:val="TableParagraph"/>
                          <w:spacing w:before="37"/>
                          <w:ind w:right="1233"/>
                          <w:jc w:val="right"/>
                          <w:rPr>
                            <w:sz w:val="15"/>
                          </w:rPr>
                        </w:pPr>
                        <w:r>
                          <w:rPr>
                            <w:w w:val="110"/>
                            <w:sz w:val="15"/>
                          </w:rPr>
                          <w:t>12（85.8%）</w:t>
                        </w:r>
                      </w:p>
                    </w:tc>
                  </w:tr>
                  <w:tr>
                    <w:trPr>
                      <w:trHeight w:val="282" w:hRule="atLeast"/>
                    </w:trPr>
                    <w:tc>
                      <w:tcPr>
                        <w:tcW w:w="6917" w:type="dxa"/>
                        <w:gridSpan w:val="2"/>
                        <w:tcBorders>
                          <w:top w:val="single" w:sz="4" w:space="0" w:color="000000"/>
                        </w:tcBorders>
                        <w:shd w:val="clear" w:color="auto" w:fill="C2D59B"/>
                      </w:tcPr>
                      <w:p>
                        <w:pPr>
                          <w:pStyle w:val="TableParagraph"/>
                          <w:spacing w:line="263" w:lineRule="exact"/>
                          <w:jc w:val="left"/>
                          <w:rPr>
                            <w:rFonts w:ascii="微软雅黑" w:eastAsia="微软雅黑" w:hint="eastAsia"/>
                            <w:b/>
                            <w:sz w:val="15"/>
                          </w:rPr>
                        </w:pPr>
                        <w:r>
                          <w:rPr>
                            <w:rFonts w:ascii="微软雅黑" w:eastAsia="微软雅黑" w:hint="eastAsia"/>
                            <w:b/>
                            <w:sz w:val="15"/>
                          </w:rPr>
                          <w:t>HER2 表达，n（%）</w:t>
                        </w:r>
                      </w:p>
                    </w:tc>
                  </w:tr>
                  <w:tr>
                    <w:trPr>
                      <w:trHeight w:val="281" w:hRule="atLeast"/>
                    </w:trPr>
                    <w:tc>
                      <w:tcPr>
                        <w:tcW w:w="3625" w:type="dxa"/>
                        <w:shd w:val="clear" w:color="auto" w:fill="EAF0DD"/>
                      </w:tcPr>
                      <w:p>
                        <w:pPr>
                          <w:pStyle w:val="TableParagraph"/>
                          <w:spacing w:before="37"/>
                          <w:ind w:left="1528" w:right="1603"/>
                          <w:rPr>
                            <w:sz w:val="15"/>
                          </w:rPr>
                        </w:pPr>
                        <w:r>
                          <w:rPr>
                            <w:sz w:val="15"/>
                          </w:rPr>
                          <w:t>阳性</w:t>
                        </w:r>
                      </w:p>
                    </w:tc>
                    <w:tc>
                      <w:tcPr>
                        <w:tcW w:w="3292" w:type="dxa"/>
                        <w:shd w:val="clear" w:color="auto" w:fill="EAF0DD"/>
                      </w:tcPr>
                      <w:p>
                        <w:pPr>
                          <w:pStyle w:val="TableParagraph"/>
                          <w:spacing w:before="37"/>
                          <w:ind w:left="1179" w:right="1257"/>
                          <w:rPr>
                            <w:sz w:val="15"/>
                          </w:rPr>
                        </w:pPr>
                        <w:r>
                          <w:rPr>
                            <w:w w:val="111"/>
                            <w:sz w:val="15"/>
                          </w:rPr>
                          <w:t>1</w:t>
                        </w:r>
                        <w:r>
                          <w:rPr>
                            <w:w w:val="100"/>
                            <w:sz w:val="15"/>
                          </w:rPr>
                          <w:t>（</w:t>
                        </w:r>
                        <w:r>
                          <w:rPr>
                            <w:spacing w:val="-3"/>
                            <w:w w:val="111"/>
                            <w:sz w:val="15"/>
                          </w:rPr>
                          <w:t>7</w:t>
                        </w:r>
                        <w:r>
                          <w:rPr>
                            <w:spacing w:val="1"/>
                            <w:w w:val="56"/>
                            <w:sz w:val="15"/>
                          </w:rPr>
                          <w:t>.</w:t>
                        </w:r>
                        <w:r>
                          <w:rPr>
                            <w:w w:val="148"/>
                            <w:sz w:val="15"/>
                          </w:rPr>
                          <w:t>2</w:t>
                        </w:r>
                        <w:r>
                          <w:rPr>
                            <w:spacing w:val="-3"/>
                            <w:w w:val="148"/>
                            <w:sz w:val="15"/>
                          </w:rPr>
                          <w:t>%</w:t>
                        </w:r>
                        <w:r>
                          <w:rPr>
                            <w:w w:val="100"/>
                            <w:sz w:val="15"/>
                          </w:rPr>
                          <w:t>）</w:t>
                        </w:r>
                      </w:p>
                    </w:tc>
                  </w:tr>
                  <w:tr>
                    <w:trPr>
                      <w:trHeight w:val="281" w:hRule="atLeast"/>
                    </w:trPr>
                    <w:tc>
                      <w:tcPr>
                        <w:tcW w:w="3625" w:type="dxa"/>
                        <w:shd w:val="clear" w:color="auto" w:fill="EAF0DD"/>
                      </w:tcPr>
                      <w:p>
                        <w:pPr>
                          <w:pStyle w:val="TableParagraph"/>
                          <w:spacing w:before="36"/>
                          <w:ind w:left="1528" w:right="1603"/>
                          <w:rPr>
                            <w:sz w:val="15"/>
                          </w:rPr>
                        </w:pPr>
                        <w:r>
                          <w:rPr>
                            <w:sz w:val="15"/>
                          </w:rPr>
                          <w:t>阴性</w:t>
                        </w:r>
                      </w:p>
                    </w:tc>
                    <w:tc>
                      <w:tcPr>
                        <w:tcW w:w="3292" w:type="dxa"/>
                        <w:shd w:val="clear" w:color="auto" w:fill="EAF0DD"/>
                      </w:tcPr>
                      <w:p>
                        <w:pPr>
                          <w:pStyle w:val="TableParagraph"/>
                          <w:spacing w:before="36"/>
                          <w:ind w:right="1233"/>
                          <w:jc w:val="right"/>
                          <w:rPr>
                            <w:sz w:val="15"/>
                          </w:rPr>
                        </w:pPr>
                        <w:r>
                          <w:rPr>
                            <w:w w:val="110"/>
                            <w:sz w:val="15"/>
                          </w:rPr>
                          <w:t>12（85.8%）</w:t>
                        </w:r>
                      </w:p>
                    </w:tc>
                  </w:tr>
                  <w:tr>
                    <w:trPr>
                      <w:trHeight w:val="285" w:hRule="atLeast"/>
                    </w:trPr>
                    <w:tc>
                      <w:tcPr>
                        <w:tcW w:w="3625" w:type="dxa"/>
                        <w:tcBorders>
                          <w:bottom w:val="single" w:sz="4" w:space="0" w:color="000000"/>
                        </w:tcBorders>
                        <w:shd w:val="clear" w:color="auto" w:fill="EAF0DD"/>
                      </w:tcPr>
                      <w:p>
                        <w:pPr>
                          <w:pStyle w:val="TableParagraph"/>
                          <w:spacing w:before="37"/>
                          <w:ind w:left="1528" w:right="1603"/>
                          <w:rPr>
                            <w:sz w:val="15"/>
                          </w:rPr>
                        </w:pPr>
                        <w:r>
                          <w:rPr>
                            <w:sz w:val="15"/>
                          </w:rPr>
                          <w:t>未知</w:t>
                        </w:r>
                      </w:p>
                    </w:tc>
                    <w:tc>
                      <w:tcPr>
                        <w:tcW w:w="3292" w:type="dxa"/>
                        <w:tcBorders>
                          <w:bottom w:val="single" w:sz="4" w:space="0" w:color="000000"/>
                        </w:tcBorders>
                        <w:shd w:val="clear" w:color="auto" w:fill="EAF0DD"/>
                      </w:tcPr>
                      <w:p>
                        <w:pPr>
                          <w:pStyle w:val="TableParagraph"/>
                          <w:spacing w:before="37"/>
                          <w:ind w:left="1179" w:right="1257"/>
                          <w:rPr>
                            <w:sz w:val="15"/>
                          </w:rPr>
                        </w:pPr>
                        <w:r>
                          <w:rPr>
                            <w:w w:val="111"/>
                            <w:sz w:val="15"/>
                          </w:rPr>
                          <w:t>1</w:t>
                        </w:r>
                        <w:r>
                          <w:rPr>
                            <w:w w:val="100"/>
                            <w:sz w:val="15"/>
                          </w:rPr>
                          <w:t>（</w:t>
                        </w:r>
                        <w:r>
                          <w:rPr>
                            <w:spacing w:val="-3"/>
                            <w:w w:val="111"/>
                            <w:sz w:val="15"/>
                          </w:rPr>
                          <w:t>7</w:t>
                        </w:r>
                        <w:r>
                          <w:rPr>
                            <w:spacing w:val="1"/>
                            <w:w w:val="56"/>
                            <w:sz w:val="15"/>
                          </w:rPr>
                          <w:t>.</w:t>
                        </w:r>
                        <w:r>
                          <w:rPr>
                            <w:w w:val="148"/>
                            <w:sz w:val="15"/>
                          </w:rPr>
                          <w:t>2</w:t>
                        </w:r>
                        <w:r>
                          <w:rPr>
                            <w:spacing w:val="-3"/>
                            <w:w w:val="148"/>
                            <w:sz w:val="15"/>
                          </w:rPr>
                          <w:t>%</w:t>
                        </w:r>
                        <w:r>
                          <w:rPr>
                            <w:w w:val="100"/>
                            <w:sz w:val="15"/>
                          </w:rPr>
                          <w:t>）</w:t>
                        </w:r>
                      </w:p>
                    </w:tc>
                  </w:tr>
                </w:tbl>
                <w:p>
                  <w:pPr>
                    <w:pStyle w:val="BodyText"/>
                  </w:pPr>
                </w:p>
              </w:txbxContent>
            </v:textbox>
            <w10:wrap type="none"/>
          </v:shape>
        </w:pict>
      </w:r>
      <w:r>
        <w:rPr>
          <w:rFonts w:ascii="微软雅黑" w:eastAsia="微软雅黑" w:hint="eastAsia"/>
          <w:b/>
          <w:sz w:val="18"/>
        </w:rPr>
        <w:t>表 2：CT041 中国 1b/II 期试验人口统计学与基线特征</w:t>
      </w:r>
    </w:p>
    <w:p>
      <w:pPr>
        <w:spacing w:after="0"/>
        <w:jc w:val="both"/>
        <w:rPr>
          <w:rFonts w:ascii="微软雅黑" w:eastAsia="微软雅黑" w:hint="eastAsia"/>
          <w:sz w:val="18"/>
        </w:rPr>
        <w:sectPr>
          <w:pgSz w:w="11910" w:h="16840"/>
          <w:pgMar w:header="630" w:footer="139" w:top="1120" w:bottom="320" w:left="540" w:right="520"/>
        </w:sectPr>
      </w:pPr>
    </w:p>
    <w:p>
      <w:pPr>
        <w:pStyle w:val="BodyText"/>
        <w:spacing w:before="6"/>
        <w:rPr>
          <w:rFonts w:ascii="微软雅黑"/>
          <w:b/>
          <w:sz w:val="15"/>
        </w:rPr>
      </w:pPr>
    </w:p>
    <w:tbl>
      <w:tblPr>
        <w:tblW w:w="0" w:type="auto"/>
        <w:jc w:val="left"/>
        <w:tblInd w:w="3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4"/>
        <w:gridCol w:w="3173"/>
      </w:tblGrid>
      <w:tr>
        <w:trPr>
          <w:trHeight w:val="282" w:hRule="atLeast"/>
        </w:trPr>
        <w:tc>
          <w:tcPr>
            <w:tcW w:w="6917" w:type="dxa"/>
            <w:gridSpan w:val="2"/>
            <w:tcBorders>
              <w:top w:val="single" w:sz="4" w:space="0" w:color="000000"/>
            </w:tcBorders>
            <w:shd w:val="clear" w:color="auto" w:fill="B1A0C6"/>
          </w:tcPr>
          <w:p>
            <w:pPr>
              <w:pStyle w:val="TableParagraph"/>
              <w:spacing w:line="263" w:lineRule="exact"/>
              <w:jc w:val="left"/>
              <w:rPr>
                <w:rFonts w:ascii="微软雅黑" w:eastAsia="微软雅黑" w:hint="eastAsia"/>
                <w:b/>
                <w:sz w:val="15"/>
              </w:rPr>
            </w:pPr>
            <w:r>
              <w:rPr>
                <w:rFonts w:ascii="微软雅黑" w:eastAsia="微软雅黑" w:hint="eastAsia"/>
                <w:b/>
                <w:sz w:val="15"/>
              </w:rPr>
              <w:t>转移器官的数量，n（%）</w:t>
            </w:r>
          </w:p>
        </w:tc>
      </w:tr>
      <w:tr>
        <w:trPr>
          <w:trHeight w:val="283" w:hRule="atLeast"/>
        </w:trPr>
        <w:tc>
          <w:tcPr>
            <w:tcW w:w="3744" w:type="dxa"/>
            <w:shd w:val="clear" w:color="auto" w:fill="E4DFEB"/>
          </w:tcPr>
          <w:p>
            <w:pPr>
              <w:pStyle w:val="TableParagraph"/>
              <w:spacing w:before="37"/>
              <w:ind w:left="1453" w:right="1647"/>
              <w:rPr>
                <w:sz w:val="15"/>
              </w:rPr>
            </w:pPr>
            <w:r>
              <w:rPr>
                <w:w w:val="105"/>
                <w:sz w:val="15"/>
              </w:rPr>
              <w:t>＜3</w:t>
            </w:r>
          </w:p>
        </w:tc>
        <w:tc>
          <w:tcPr>
            <w:tcW w:w="3173" w:type="dxa"/>
            <w:shd w:val="clear" w:color="auto" w:fill="E4DFEB"/>
          </w:tcPr>
          <w:p>
            <w:pPr>
              <w:pStyle w:val="TableParagraph"/>
              <w:spacing w:before="37"/>
              <w:ind w:left="1080"/>
              <w:jc w:val="left"/>
              <w:rPr>
                <w:sz w:val="15"/>
              </w:rPr>
            </w:pPr>
            <w:r>
              <w:rPr>
                <w:w w:val="111"/>
                <w:sz w:val="15"/>
              </w:rPr>
              <w:t>6</w:t>
            </w:r>
            <w:r>
              <w:rPr>
                <w:w w:val="100"/>
                <w:sz w:val="15"/>
              </w:rPr>
              <w:t>（</w:t>
            </w:r>
            <w:r>
              <w:rPr>
                <w:w w:val="111"/>
                <w:sz w:val="15"/>
              </w:rPr>
              <w:t>4</w:t>
            </w:r>
            <w:r>
              <w:rPr>
                <w:spacing w:val="-3"/>
                <w:w w:val="111"/>
                <w:sz w:val="15"/>
              </w:rPr>
              <w:t>2</w:t>
            </w:r>
            <w:r>
              <w:rPr>
                <w:spacing w:val="1"/>
                <w:w w:val="56"/>
                <w:sz w:val="15"/>
              </w:rPr>
              <w:t>.</w:t>
            </w:r>
            <w:r>
              <w:rPr>
                <w:spacing w:val="-3"/>
                <w:w w:val="111"/>
                <w:sz w:val="15"/>
              </w:rPr>
              <w:t>9</w:t>
            </w:r>
            <w:r>
              <w:rPr>
                <w:w w:val="185"/>
                <w:sz w:val="15"/>
              </w:rPr>
              <w:t>%</w:t>
            </w:r>
            <w:r>
              <w:rPr>
                <w:w w:val="100"/>
                <w:sz w:val="15"/>
              </w:rPr>
              <w:t>）</w:t>
            </w:r>
          </w:p>
        </w:tc>
      </w:tr>
      <w:tr>
        <w:trPr>
          <w:trHeight w:val="283" w:hRule="atLeast"/>
        </w:trPr>
        <w:tc>
          <w:tcPr>
            <w:tcW w:w="3744" w:type="dxa"/>
            <w:tcBorders>
              <w:bottom w:val="single" w:sz="4" w:space="0" w:color="000000"/>
            </w:tcBorders>
            <w:shd w:val="clear" w:color="auto" w:fill="E4DFEB"/>
          </w:tcPr>
          <w:p>
            <w:pPr>
              <w:pStyle w:val="TableParagraph"/>
              <w:spacing w:before="37"/>
              <w:ind w:left="1453" w:right="1647"/>
              <w:rPr>
                <w:sz w:val="15"/>
              </w:rPr>
            </w:pPr>
            <w:r>
              <w:rPr>
                <w:w w:val="105"/>
                <w:sz w:val="15"/>
              </w:rPr>
              <w:t>≥3</w:t>
            </w:r>
          </w:p>
        </w:tc>
        <w:tc>
          <w:tcPr>
            <w:tcW w:w="3173" w:type="dxa"/>
            <w:tcBorders>
              <w:bottom w:val="single" w:sz="4" w:space="0" w:color="000000"/>
            </w:tcBorders>
            <w:shd w:val="clear" w:color="auto" w:fill="E4DFEB"/>
          </w:tcPr>
          <w:p>
            <w:pPr>
              <w:pStyle w:val="TableParagraph"/>
              <w:spacing w:before="37"/>
              <w:ind w:left="1080"/>
              <w:jc w:val="left"/>
              <w:rPr>
                <w:sz w:val="15"/>
              </w:rPr>
            </w:pPr>
            <w:r>
              <w:rPr>
                <w:w w:val="111"/>
                <w:sz w:val="15"/>
              </w:rPr>
              <w:t>8</w:t>
            </w:r>
            <w:r>
              <w:rPr>
                <w:w w:val="100"/>
                <w:sz w:val="15"/>
              </w:rPr>
              <w:t>（</w:t>
            </w:r>
            <w:r>
              <w:rPr>
                <w:w w:val="111"/>
                <w:sz w:val="15"/>
              </w:rPr>
              <w:t>5</w:t>
            </w:r>
            <w:r>
              <w:rPr>
                <w:spacing w:val="-3"/>
                <w:w w:val="111"/>
                <w:sz w:val="15"/>
              </w:rPr>
              <w:t>7</w:t>
            </w:r>
            <w:r>
              <w:rPr>
                <w:spacing w:val="1"/>
                <w:w w:val="56"/>
                <w:sz w:val="15"/>
              </w:rPr>
              <w:t>.</w:t>
            </w:r>
            <w:r>
              <w:rPr>
                <w:spacing w:val="-3"/>
                <w:w w:val="111"/>
                <w:sz w:val="15"/>
              </w:rPr>
              <w:t>2</w:t>
            </w:r>
            <w:r>
              <w:rPr>
                <w:w w:val="185"/>
                <w:sz w:val="15"/>
              </w:rPr>
              <w:t>%</w:t>
            </w:r>
            <w:r>
              <w:rPr>
                <w:w w:val="100"/>
                <w:sz w:val="15"/>
              </w:rPr>
              <w:t>）</w:t>
            </w:r>
          </w:p>
        </w:tc>
      </w:tr>
      <w:tr>
        <w:trPr>
          <w:trHeight w:val="282" w:hRule="atLeast"/>
        </w:trPr>
        <w:tc>
          <w:tcPr>
            <w:tcW w:w="3744" w:type="dxa"/>
            <w:tcBorders>
              <w:top w:val="single" w:sz="4" w:space="0" w:color="000000"/>
            </w:tcBorders>
            <w:shd w:val="clear" w:color="auto" w:fill="F1DBDB"/>
          </w:tcPr>
          <w:p>
            <w:pPr>
              <w:pStyle w:val="TableParagraph"/>
              <w:spacing w:before="37"/>
              <w:jc w:val="left"/>
              <w:rPr>
                <w:sz w:val="15"/>
              </w:rPr>
            </w:pPr>
            <w:r>
              <w:rPr>
                <w:w w:val="110"/>
                <w:sz w:val="15"/>
              </w:rPr>
              <w:t>腹膜转移，n（%）</w:t>
            </w:r>
          </w:p>
        </w:tc>
        <w:tc>
          <w:tcPr>
            <w:tcW w:w="3173" w:type="dxa"/>
            <w:tcBorders>
              <w:top w:val="single" w:sz="4" w:space="0" w:color="000000"/>
            </w:tcBorders>
            <w:shd w:val="clear" w:color="auto" w:fill="F1DBDB"/>
          </w:tcPr>
          <w:p>
            <w:pPr>
              <w:pStyle w:val="TableParagraph"/>
              <w:spacing w:before="37"/>
              <w:ind w:left="1039"/>
              <w:jc w:val="left"/>
              <w:rPr>
                <w:sz w:val="15"/>
              </w:rPr>
            </w:pPr>
            <w:r>
              <w:rPr>
                <w:w w:val="110"/>
                <w:sz w:val="15"/>
              </w:rPr>
              <w:t>13（93.0%）</w:t>
            </w:r>
          </w:p>
        </w:tc>
      </w:tr>
      <w:tr>
        <w:trPr>
          <w:trHeight w:val="283" w:hRule="atLeast"/>
        </w:trPr>
        <w:tc>
          <w:tcPr>
            <w:tcW w:w="3744" w:type="dxa"/>
            <w:tcBorders>
              <w:bottom w:val="single" w:sz="4" w:space="0" w:color="000000"/>
            </w:tcBorders>
            <w:shd w:val="clear" w:color="auto" w:fill="F1DBDB"/>
          </w:tcPr>
          <w:p>
            <w:pPr>
              <w:pStyle w:val="TableParagraph"/>
              <w:spacing w:before="37"/>
              <w:jc w:val="left"/>
              <w:rPr>
                <w:sz w:val="15"/>
              </w:rPr>
            </w:pPr>
            <w:r>
              <w:rPr>
                <w:w w:val="110"/>
                <w:sz w:val="15"/>
              </w:rPr>
              <w:t>肝转移，n（%）</w:t>
            </w:r>
          </w:p>
        </w:tc>
        <w:tc>
          <w:tcPr>
            <w:tcW w:w="3173" w:type="dxa"/>
            <w:tcBorders>
              <w:bottom w:val="single" w:sz="4" w:space="0" w:color="000000"/>
            </w:tcBorders>
            <w:shd w:val="clear" w:color="auto" w:fill="F1DBDB"/>
          </w:tcPr>
          <w:p>
            <w:pPr>
              <w:pStyle w:val="TableParagraph"/>
              <w:spacing w:before="37"/>
              <w:ind w:left="1080"/>
              <w:jc w:val="left"/>
              <w:rPr>
                <w:sz w:val="15"/>
              </w:rPr>
            </w:pPr>
            <w:r>
              <w:rPr>
                <w:w w:val="111"/>
                <w:sz w:val="15"/>
              </w:rPr>
              <w:t>3</w:t>
            </w:r>
            <w:r>
              <w:rPr>
                <w:w w:val="100"/>
                <w:sz w:val="15"/>
              </w:rPr>
              <w:t>（</w:t>
            </w:r>
            <w:r>
              <w:rPr>
                <w:w w:val="111"/>
                <w:sz w:val="15"/>
              </w:rPr>
              <w:t>2</w:t>
            </w:r>
            <w:r>
              <w:rPr>
                <w:spacing w:val="-3"/>
                <w:w w:val="111"/>
                <w:sz w:val="15"/>
              </w:rPr>
              <w:t>1</w:t>
            </w:r>
            <w:r>
              <w:rPr>
                <w:spacing w:val="1"/>
                <w:w w:val="56"/>
                <w:sz w:val="15"/>
              </w:rPr>
              <w:t>.</w:t>
            </w:r>
            <w:r>
              <w:rPr>
                <w:spacing w:val="-3"/>
                <w:w w:val="111"/>
                <w:sz w:val="15"/>
              </w:rPr>
              <w:t>5</w:t>
            </w:r>
            <w:r>
              <w:rPr>
                <w:w w:val="185"/>
                <w:sz w:val="15"/>
              </w:rPr>
              <w:t>%</w:t>
            </w:r>
            <w:r>
              <w:rPr>
                <w:w w:val="100"/>
                <w:sz w:val="15"/>
              </w:rPr>
              <w:t>）</w:t>
            </w:r>
          </w:p>
        </w:tc>
      </w:tr>
      <w:tr>
        <w:trPr>
          <w:trHeight w:val="283" w:hRule="atLeast"/>
        </w:trPr>
        <w:tc>
          <w:tcPr>
            <w:tcW w:w="6917" w:type="dxa"/>
            <w:gridSpan w:val="2"/>
            <w:tcBorders>
              <w:top w:val="single" w:sz="4" w:space="0" w:color="000000"/>
            </w:tcBorders>
            <w:shd w:val="clear" w:color="auto" w:fill="92CDDC"/>
          </w:tcPr>
          <w:p>
            <w:pPr>
              <w:pStyle w:val="TableParagraph"/>
              <w:spacing w:line="263" w:lineRule="exact"/>
              <w:jc w:val="left"/>
              <w:rPr>
                <w:rFonts w:ascii="微软雅黑" w:eastAsia="微软雅黑" w:hint="eastAsia"/>
                <w:b/>
                <w:sz w:val="15"/>
              </w:rPr>
            </w:pPr>
            <w:r>
              <w:rPr>
                <w:rFonts w:ascii="微软雅黑" w:eastAsia="微软雅黑" w:hint="eastAsia"/>
                <w:b/>
                <w:sz w:val="15"/>
              </w:rPr>
              <w:t>前线治疗数量，n（%）</w:t>
            </w:r>
          </w:p>
        </w:tc>
      </w:tr>
      <w:tr>
        <w:trPr>
          <w:trHeight w:val="281" w:hRule="atLeast"/>
        </w:trPr>
        <w:tc>
          <w:tcPr>
            <w:tcW w:w="3744" w:type="dxa"/>
            <w:shd w:val="clear" w:color="auto" w:fill="DAEDF3"/>
          </w:tcPr>
          <w:p>
            <w:pPr>
              <w:pStyle w:val="TableParagraph"/>
              <w:spacing w:before="37"/>
              <w:ind w:left="1452" w:right="1650"/>
              <w:rPr>
                <w:sz w:val="15"/>
              </w:rPr>
            </w:pPr>
            <w:r>
              <w:rPr>
                <w:w w:val="105"/>
                <w:sz w:val="15"/>
              </w:rPr>
              <w:t>2*</w:t>
            </w:r>
          </w:p>
        </w:tc>
        <w:tc>
          <w:tcPr>
            <w:tcW w:w="3173" w:type="dxa"/>
            <w:shd w:val="clear" w:color="auto" w:fill="DAEDF3"/>
          </w:tcPr>
          <w:p>
            <w:pPr>
              <w:pStyle w:val="TableParagraph"/>
              <w:spacing w:before="37"/>
              <w:ind w:left="1039"/>
              <w:jc w:val="left"/>
              <w:rPr>
                <w:sz w:val="15"/>
              </w:rPr>
            </w:pPr>
            <w:r>
              <w:rPr>
                <w:w w:val="110"/>
                <w:sz w:val="15"/>
              </w:rPr>
              <w:t>12（85.8%）</w:t>
            </w:r>
          </w:p>
        </w:tc>
      </w:tr>
      <w:tr>
        <w:trPr>
          <w:trHeight w:val="284" w:hRule="atLeast"/>
        </w:trPr>
        <w:tc>
          <w:tcPr>
            <w:tcW w:w="3744" w:type="dxa"/>
            <w:tcBorders>
              <w:bottom w:val="single" w:sz="4" w:space="0" w:color="000000"/>
            </w:tcBorders>
            <w:shd w:val="clear" w:color="auto" w:fill="DAEDF3"/>
          </w:tcPr>
          <w:p>
            <w:pPr>
              <w:pStyle w:val="TableParagraph"/>
              <w:spacing w:before="36"/>
              <w:ind w:left="1453" w:right="1647"/>
              <w:rPr>
                <w:sz w:val="15"/>
              </w:rPr>
            </w:pPr>
            <w:r>
              <w:rPr>
                <w:w w:val="105"/>
                <w:sz w:val="15"/>
              </w:rPr>
              <w:t>≥3</w:t>
            </w:r>
          </w:p>
        </w:tc>
        <w:tc>
          <w:tcPr>
            <w:tcW w:w="3173" w:type="dxa"/>
            <w:tcBorders>
              <w:bottom w:val="single" w:sz="4" w:space="0" w:color="000000"/>
            </w:tcBorders>
            <w:shd w:val="clear" w:color="auto" w:fill="DAEDF3"/>
          </w:tcPr>
          <w:p>
            <w:pPr>
              <w:pStyle w:val="TableParagraph"/>
              <w:spacing w:before="36"/>
              <w:ind w:left="1080"/>
              <w:jc w:val="left"/>
              <w:rPr>
                <w:sz w:val="15"/>
              </w:rPr>
            </w:pPr>
            <w:r>
              <w:rPr>
                <w:w w:val="111"/>
                <w:sz w:val="15"/>
              </w:rPr>
              <w:t>2</w:t>
            </w:r>
            <w:r>
              <w:rPr>
                <w:w w:val="100"/>
                <w:sz w:val="15"/>
              </w:rPr>
              <w:t>（</w:t>
            </w:r>
            <w:r>
              <w:rPr>
                <w:w w:val="111"/>
                <w:sz w:val="15"/>
              </w:rPr>
              <w:t>1</w:t>
            </w:r>
            <w:r>
              <w:rPr>
                <w:spacing w:val="-3"/>
                <w:w w:val="111"/>
                <w:sz w:val="15"/>
              </w:rPr>
              <w:t>4</w:t>
            </w:r>
            <w:r>
              <w:rPr>
                <w:spacing w:val="1"/>
                <w:w w:val="56"/>
                <w:sz w:val="15"/>
              </w:rPr>
              <w:t>.</w:t>
            </w:r>
            <w:r>
              <w:rPr>
                <w:spacing w:val="-3"/>
                <w:w w:val="111"/>
                <w:sz w:val="15"/>
              </w:rPr>
              <w:t>4</w:t>
            </w:r>
            <w:r>
              <w:rPr>
                <w:w w:val="185"/>
                <w:sz w:val="15"/>
              </w:rPr>
              <w:t>%</w:t>
            </w:r>
            <w:r>
              <w:rPr>
                <w:w w:val="100"/>
                <w:sz w:val="15"/>
              </w:rPr>
              <w:t>）</w:t>
            </w:r>
          </w:p>
        </w:tc>
      </w:tr>
      <w:tr>
        <w:trPr>
          <w:trHeight w:val="283" w:hRule="atLeast"/>
        </w:trPr>
        <w:tc>
          <w:tcPr>
            <w:tcW w:w="6917" w:type="dxa"/>
            <w:gridSpan w:val="2"/>
            <w:tcBorders>
              <w:top w:val="single" w:sz="4" w:space="0" w:color="000000"/>
            </w:tcBorders>
            <w:shd w:val="clear" w:color="auto" w:fill="F9BE8F"/>
          </w:tcPr>
          <w:p>
            <w:pPr>
              <w:pStyle w:val="TableParagraph"/>
              <w:spacing w:line="263" w:lineRule="exact"/>
              <w:jc w:val="left"/>
              <w:rPr>
                <w:rFonts w:ascii="微软雅黑" w:eastAsia="微软雅黑" w:hint="eastAsia"/>
                <w:b/>
                <w:sz w:val="15"/>
              </w:rPr>
            </w:pPr>
            <w:r>
              <w:rPr>
                <w:rFonts w:ascii="微软雅黑" w:eastAsia="微软雅黑" w:hint="eastAsia"/>
                <w:b/>
                <w:sz w:val="15"/>
              </w:rPr>
              <w:t>既往系统性治疗，n（%）</w:t>
            </w:r>
          </w:p>
        </w:tc>
      </w:tr>
      <w:tr>
        <w:trPr>
          <w:trHeight w:val="280" w:hRule="atLeast"/>
        </w:trPr>
        <w:tc>
          <w:tcPr>
            <w:tcW w:w="3744" w:type="dxa"/>
            <w:shd w:val="clear" w:color="auto" w:fill="FCE9D9"/>
          </w:tcPr>
          <w:p>
            <w:pPr>
              <w:pStyle w:val="TableParagraph"/>
              <w:spacing w:before="34"/>
              <w:ind w:left="1453" w:right="1650"/>
              <w:rPr>
                <w:sz w:val="15"/>
              </w:rPr>
            </w:pPr>
            <w:r>
              <w:rPr>
                <w:sz w:val="15"/>
              </w:rPr>
              <w:t>氟尿咄啶</w:t>
            </w:r>
          </w:p>
        </w:tc>
        <w:tc>
          <w:tcPr>
            <w:tcW w:w="3173" w:type="dxa"/>
            <w:shd w:val="clear" w:color="auto" w:fill="FCE9D9"/>
          </w:tcPr>
          <w:p>
            <w:pPr>
              <w:pStyle w:val="TableParagraph"/>
              <w:spacing w:before="34"/>
              <w:ind w:left="1058"/>
              <w:jc w:val="left"/>
              <w:rPr>
                <w:sz w:val="15"/>
              </w:rPr>
            </w:pPr>
            <w:r>
              <w:rPr>
                <w:w w:val="120"/>
                <w:sz w:val="15"/>
              </w:rPr>
              <w:t>14（100%）</w:t>
            </w:r>
          </w:p>
        </w:tc>
      </w:tr>
      <w:tr>
        <w:trPr>
          <w:trHeight w:val="283" w:hRule="atLeast"/>
        </w:trPr>
        <w:tc>
          <w:tcPr>
            <w:tcW w:w="3744" w:type="dxa"/>
            <w:shd w:val="clear" w:color="auto" w:fill="FCE9D9"/>
          </w:tcPr>
          <w:p>
            <w:pPr>
              <w:pStyle w:val="TableParagraph"/>
              <w:spacing w:before="37"/>
              <w:ind w:left="1453" w:right="1647"/>
              <w:rPr>
                <w:sz w:val="15"/>
              </w:rPr>
            </w:pPr>
            <w:r>
              <w:rPr>
                <w:sz w:val="15"/>
              </w:rPr>
              <w:t>铂剂</w:t>
            </w:r>
          </w:p>
        </w:tc>
        <w:tc>
          <w:tcPr>
            <w:tcW w:w="3173" w:type="dxa"/>
            <w:shd w:val="clear" w:color="auto" w:fill="FCE9D9"/>
          </w:tcPr>
          <w:p>
            <w:pPr>
              <w:pStyle w:val="TableParagraph"/>
              <w:spacing w:before="37"/>
              <w:ind w:left="1058"/>
              <w:jc w:val="left"/>
              <w:rPr>
                <w:sz w:val="15"/>
              </w:rPr>
            </w:pPr>
            <w:r>
              <w:rPr>
                <w:w w:val="120"/>
                <w:sz w:val="15"/>
              </w:rPr>
              <w:t>14（100%）</w:t>
            </w:r>
          </w:p>
        </w:tc>
      </w:tr>
      <w:tr>
        <w:trPr>
          <w:trHeight w:val="283" w:hRule="atLeast"/>
        </w:trPr>
        <w:tc>
          <w:tcPr>
            <w:tcW w:w="3744" w:type="dxa"/>
            <w:shd w:val="clear" w:color="auto" w:fill="FCE9D9"/>
          </w:tcPr>
          <w:p>
            <w:pPr>
              <w:pStyle w:val="TableParagraph"/>
              <w:spacing w:before="37"/>
              <w:ind w:left="842"/>
              <w:jc w:val="left"/>
              <w:rPr>
                <w:sz w:val="15"/>
              </w:rPr>
            </w:pPr>
            <w:r>
              <w:rPr>
                <w:sz w:val="15"/>
              </w:rPr>
              <w:t>紫杉醇/白蛋白结合型紫杉醇</w:t>
            </w:r>
          </w:p>
        </w:tc>
        <w:tc>
          <w:tcPr>
            <w:tcW w:w="3173" w:type="dxa"/>
            <w:shd w:val="clear" w:color="auto" w:fill="FCE9D9"/>
          </w:tcPr>
          <w:p>
            <w:pPr>
              <w:pStyle w:val="TableParagraph"/>
              <w:spacing w:before="37"/>
              <w:ind w:left="1039"/>
              <w:jc w:val="left"/>
              <w:rPr>
                <w:sz w:val="15"/>
              </w:rPr>
            </w:pPr>
            <w:r>
              <w:rPr>
                <w:w w:val="110"/>
                <w:sz w:val="15"/>
              </w:rPr>
              <w:t>13（93.0%）</w:t>
            </w:r>
          </w:p>
        </w:tc>
      </w:tr>
      <w:tr>
        <w:trPr>
          <w:trHeight w:val="283" w:hRule="atLeast"/>
        </w:trPr>
        <w:tc>
          <w:tcPr>
            <w:tcW w:w="3744" w:type="dxa"/>
            <w:shd w:val="clear" w:color="auto" w:fill="FCE9D9"/>
          </w:tcPr>
          <w:p>
            <w:pPr>
              <w:pStyle w:val="TableParagraph"/>
              <w:spacing w:before="37"/>
              <w:ind w:left="1125"/>
              <w:jc w:val="left"/>
              <w:rPr>
                <w:sz w:val="15"/>
              </w:rPr>
            </w:pPr>
            <w:r>
              <w:rPr>
                <w:w w:val="105"/>
                <w:sz w:val="15"/>
              </w:rPr>
              <w:t>PD-1/PD-L1 抑制剂</w:t>
            </w:r>
          </w:p>
        </w:tc>
        <w:tc>
          <w:tcPr>
            <w:tcW w:w="3173" w:type="dxa"/>
            <w:shd w:val="clear" w:color="auto" w:fill="FCE9D9"/>
          </w:tcPr>
          <w:p>
            <w:pPr>
              <w:pStyle w:val="TableParagraph"/>
              <w:spacing w:before="37"/>
              <w:ind w:left="1080"/>
              <w:jc w:val="left"/>
              <w:rPr>
                <w:sz w:val="15"/>
              </w:rPr>
            </w:pPr>
            <w:r>
              <w:rPr>
                <w:w w:val="111"/>
                <w:sz w:val="15"/>
              </w:rPr>
              <w:t>5</w:t>
            </w:r>
            <w:r>
              <w:rPr>
                <w:w w:val="100"/>
                <w:sz w:val="15"/>
              </w:rPr>
              <w:t>（</w:t>
            </w:r>
            <w:r>
              <w:rPr>
                <w:w w:val="111"/>
                <w:sz w:val="15"/>
              </w:rPr>
              <w:t>3</w:t>
            </w:r>
            <w:r>
              <w:rPr>
                <w:spacing w:val="-3"/>
                <w:w w:val="111"/>
                <w:sz w:val="15"/>
              </w:rPr>
              <w:t>5</w:t>
            </w:r>
            <w:r>
              <w:rPr>
                <w:spacing w:val="1"/>
                <w:w w:val="56"/>
                <w:sz w:val="15"/>
              </w:rPr>
              <w:t>.</w:t>
            </w:r>
            <w:r>
              <w:rPr>
                <w:spacing w:val="-3"/>
                <w:w w:val="111"/>
                <w:sz w:val="15"/>
              </w:rPr>
              <w:t>8</w:t>
            </w:r>
            <w:r>
              <w:rPr>
                <w:w w:val="185"/>
                <w:sz w:val="15"/>
              </w:rPr>
              <w:t>%</w:t>
            </w:r>
            <w:r>
              <w:rPr>
                <w:w w:val="100"/>
                <w:sz w:val="15"/>
              </w:rPr>
              <w:t>）</w:t>
            </w:r>
          </w:p>
        </w:tc>
      </w:tr>
      <w:tr>
        <w:trPr>
          <w:trHeight w:val="283" w:hRule="atLeast"/>
        </w:trPr>
        <w:tc>
          <w:tcPr>
            <w:tcW w:w="3744" w:type="dxa"/>
            <w:tcBorders>
              <w:bottom w:val="single" w:sz="4" w:space="0" w:color="000000"/>
            </w:tcBorders>
            <w:shd w:val="clear" w:color="auto" w:fill="FCE9D9"/>
          </w:tcPr>
          <w:p>
            <w:pPr>
              <w:pStyle w:val="TableParagraph"/>
              <w:spacing w:before="37"/>
              <w:ind w:left="1171"/>
              <w:jc w:val="left"/>
              <w:rPr>
                <w:sz w:val="15"/>
              </w:rPr>
            </w:pPr>
            <w:r>
              <w:rPr>
                <w:sz w:val="15"/>
              </w:rPr>
              <w:t>酪氨酸激酶抑制剂</w:t>
            </w:r>
          </w:p>
        </w:tc>
        <w:tc>
          <w:tcPr>
            <w:tcW w:w="3173" w:type="dxa"/>
            <w:tcBorders>
              <w:bottom w:val="single" w:sz="4" w:space="0" w:color="000000"/>
            </w:tcBorders>
            <w:shd w:val="clear" w:color="auto" w:fill="FCE9D9"/>
          </w:tcPr>
          <w:p>
            <w:pPr>
              <w:pStyle w:val="TableParagraph"/>
              <w:spacing w:before="37"/>
              <w:ind w:left="1080"/>
              <w:jc w:val="left"/>
              <w:rPr>
                <w:sz w:val="15"/>
              </w:rPr>
            </w:pPr>
            <w:r>
              <w:rPr>
                <w:w w:val="111"/>
                <w:sz w:val="15"/>
              </w:rPr>
              <w:t>2</w:t>
            </w:r>
            <w:r>
              <w:rPr>
                <w:w w:val="100"/>
                <w:sz w:val="15"/>
              </w:rPr>
              <w:t>（</w:t>
            </w:r>
            <w:r>
              <w:rPr>
                <w:w w:val="111"/>
                <w:sz w:val="15"/>
              </w:rPr>
              <w:t>1</w:t>
            </w:r>
            <w:r>
              <w:rPr>
                <w:spacing w:val="-3"/>
                <w:w w:val="111"/>
                <w:sz w:val="15"/>
              </w:rPr>
              <w:t>4</w:t>
            </w:r>
            <w:r>
              <w:rPr>
                <w:spacing w:val="1"/>
                <w:w w:val="56"/>
                <w:sz w:val="15"/>
              </w:rPr>
              <w:t>.</w:t>
            </w:r>
            <w:r>
              <w:rPr>
                <w:spacing w:val="-3"/>
                <w:w w:val="111"/>
                <w:sz w:val="15"/>
              </w:rPr>
              <w:t>4</w:t>
            </w:r>
            <w:r>
              <w:rPr>
                <w:w w:val="185"/>
                <w:sz w:val="15"/>
              </w:rPr>
              <w:t>%</w:t>
            </w:r>
            <w:r>
              <w:rPr>
                <w:w w:val="100"/>
                <w:sz w:val="15"/>
              </w:rPr>
              <w:t>）</w:t>
            </w:r>
          </w:p>
        </w:tc>
      </w:tr>
    </w:tbl>
    <w:p>
      <w:pPr>
        <w:spacing w:line="166" w:lineRule="exact" w:before="0"/>
        <w:ind w:left="3713" w:right="0" w:firstLine="0"/>
        <w:jc w:val="left"/>
        <w:rPr>
          <w:sz w:val="13"/>
        </w:rPr>
      </w:pPr>
      <w:r>
        <w:rPr>
          <w:sz w:val="13"/>
        </w:rPr>
        <w:t>资料来源：公司官网、光大证券研究所（注：*5 例患者接受了氟尿咄啶、奥沙利铂和紫杉醇的三联疗法作为一线治疗）</w:t>
      </w:r>
    </w:p>
    <w:p>
      <w:pPr>
        <w:pStyle w:val="BodyText"/>
        <w:spacing w:before="7"/>
        <w:rPr>
          <w:sz w:val="10"/>
        </w:rPr>
      </w:pPr>
    </w:p>
    <w:p>
      <w:pPr>
        <w:pStyle w:val="BodyText"/>
        <w:spacing w:line="259" w:lineRule="auto" w:before="1"/>
        <w:ind w:left="3713" w:right="205"/>
      </w:pPr>
      <w:r>
        <w:rPr>
          <w:spacing w:val="-3"/>
        </w:rPr>
        <w:t>所有患者</w:t>
      </w:r>
      <w:r>
        <w:rPr/>
        <w:t>（14</w:t>
      </w:r>
      <w:r>
        <w:rPr>
          <w:spacing w:val="-17"/>
        </w:rPr>
        <w:t> 例</w:t>
      </w:r>
      <w:r>
        <w:rPr>
          <w:spacing w:val="-10"/>
        </w:rPr>
        <w:t>）</w:t>
      </w:r>
      <w:r>
        <w:rPr>
          <w:spacing w:val="-7"/>
        </w:rPr>
        <w:t>均接受了 </w:t>
      </w:r>
      <w:r>
        <w:rPr/>
        <w:t>1</w:t>
      </w:r>
      <w:r>
        <w:rPr>
          <w:spacing w:val="-9"/>
        </w:rPr>
        <w:t> 个周期的桥接化疗，其中 </w:t>
      </w:r>
      <w:r>
        <w:rPr/>
        <w:t>13</w:t>
      </w:r>
      <w:r>
        <w:rPr>
          <w:spacing w:val="-12"/>
        </w:rPr>
        <w:t> 例患者</w:t>
      </w:r>
      <w:r>
        <w:rPr/>
        <w:t>（92.9%）</w:t>
      </w:r>
      <w:r>
        <w:rPr>
          <w:spacing w:val="-12"/>
        </w:rPr>
        <w:t>接</w:t>
      </w:r>
      <w:r>
        <w:rPr>
          <w:spacing w:val="-6"/>
        </w:rPr>
        <w:t>受了伊立替康，只有 </w:t>
      </w:r>
      <w:r>
        <w:rPr/>
        <w:t>1</w:t>
      </w:r>
      <w:r>
        <w:rPr>
          <w:spacing w:val="-15"/>
        </w:rPr>
        <w:t> 例患者接受了 </w:t>
      </w:r>
      <w:r>
        <w:rPr/>
        <w:t>5-氟尿嘧啶联合腹腔注射白蛋白结合型紫</w:t>
      </w:r>
      <w:r>
        <w:rPr>
          <w:spacing w:val="-11"/>
          <w:w w:val="105"/>
        </w:rPr>
        <w:t>杉醇。在输注 </w:t>
      </w:r>
      <w:r>
        <w:rPr>
          <w:w w:val="105"/>
        </w:rPr>
        <w:t>CT041</w:t>
      </w:r>
      <w:r>
        <w:rPr>
          <w:spacing w:val="-9"/>
          <w:w w:val="105"/>
        </w:rPr>
        <w:t> 之前，所有患者均接受淋巴细胞耗竭处理</w:t>
      </w:r>
      <w:r>
        <w:rPr>
          <w:w w:val="105"/>
        </w:rPr>
        <w:t>（氟达拉滨</w:t>
      </w:r>
      <w:r>
        <w:rPr>
          <w:w w:val="129"/>
        </w:rPr>
        <w:t>25mg</w:t>
      </w:r>
      <w:r>
        <w:rPr>
          <w:spacing w:val="1"/>
          <w:w w:val="78"/>
        </w:rPr>
        <w:t>/</w:t>
      </w:r>
      <w:r>
        <w:rPr>
          <w:w w:val="184"/>
        </w:rPr>
        <w:t>m</w:t>
      </w:r>
      <w:r>
        <w:rPr>
          <w:w w:val="133"/>
          <w:vertAlign w:val="superscript"/>
        </w:rPr>
        <w:t>2</w:t>
      </w:r>
      <w:r>
        <w:rPr>
          <w:spacing w:val="-54"/>
          <w:vertAlign w:val="baseline"/>
        </w:rPr>
        <w:t> </w:t>
      </w:r>
      <w:r>
        <w:rPr>
          <w:spacing w:val="-2"/>
          <w:w w:val="117"/>
          <w:vertAlign w:val="baseline"/>
        </w:rPr>
        <w:t>d</w:t>
      </w:r>
      <w:r>
        <w:rPr>
          <w:spacing w:val="-1"/>
          <w:w w:val="117"/>
          <w:vertAlign w:val="baseline"/>
        </w:rPr>
        <w:t>1</w:t>
      </w:r>
      <w:r>
        <w:rPr>
          <w:w w:val="69"/>
          <w:vertAlign w:val="baseline"/>
        </w:rPr>
        <w:t>-</w:t>
      </w:r>
      <w:r>
        <w:rPr>
          <w:spacing w:val="2"/>
          <w:w w:val="110"/>
          <w:vertAlign w:val="baseline"/>
        </w:rPr>
        <w:t>2</w:t>
      </w:r>
      <w:r>
        <w:rPr>
          <w:spacing w:val="-19"/>
          <w:w w:val="99"/>
          <w:vertAlign w:val="baseline"/>
        </w:rPr>
        <w:t>、环磷酰胺</w:t>
      </w:r>
      <w:r>
        <w:rPr>
          <w:spacing w:val="-50"/>
          <w:vertAlign w:val="baseline"/>
        </w:rPr>
        <w:t> </w:t>
      </w:r>
      <w:r>
        <w:rPr>
          <w:spacing w:val="2"/>
          <w:w w:val="110"/>
          <w:vertAlign w:val="baseline"/>
        </w:rPr>
        <w:t>2</w:t>
      </w:r>
      <w:r>
        <w:rPr>
          <w:w w:val="129"/>
          <w:vertAlign w:val="baseline"/>
        </w:rPr>
        <w:t>50mg</w:t>
      </w:r>
      <w:r>
        <w:rPr>
          <w:spacing w:val="1"/>
          <w:w w:val="78"/>
          <w:vertAlign w:val="baseline"/>
        </w:rPr>
        <w:t>/</w:t>
      </w:r>
      <w:r>
        <w:rPr>
          <w:spacing w:val="1"/>
          <w:w w:val="184"/>
          <w:vertAlign w:val="baseline"/>
        </w:rPr>
        <w:t>m</w:t>
      </w:r>
      <w:r>
        <w:rPr>
          <w:w w:val="133"/>
          <w:vertAlign w:val="superscript"/>
        </w:rPr>
        <w:t>2</w:t>
      </w:r>
      <w:r>
        <w:rPr>
          <w:spacing w:val="-54"/>
          <w:vertAlign w:val="baseline"/>
        </w:rPr>
        <w:t> </w:t>
      </w:r>
      <w:r>
        <w:rPr>
          <w:spacing w:val="-2"/>
          <w:w w:val="117"/>
          <w:vertAlign w:val="baseline"/>
        </w:rPr>
        <w:t>d</w:t>
      </w:r>
      <w:r>
        <w:rPr>
          <w:spacing w:val="-1"/>
          <w:w w:val="117"/>
          <w:vertAlign w:val="baseline"/>
        </w:rPr>
        <w:t>1</w:t>
      </w:r>
      <w:r>
        <w:rPr>
          <w:w w:val="69"/>
          <w:vertAlign w:val="baseline"/>
        </w:rPr>
        <w:t>-</w:t>
      </w:r>
      <w:r>
        <w:rPr>
          <w:w w:val="110"/>
          <w:vertAlign w:val="baseline"/>
        </w:rPr>
        <w:t>3</w:t>
      </w:r>
      <w:r>
        <w:rPr>
          <w:spacing w:val="-50"/>
          <w:vertAlign w:val="baseline"/>
        </w:rPr>
        <w:t> </w:t>
      </w:r>
      <w:r>
        <w:rPr>
          <w:w w:val="99"/>
          <w:vertAlign w:val="baseline"/>
        </w:rPr>
        <w:t>和白蛋白结合型紫杉醇</w:t>
      </w:r>
      <w:r>
        <w:rPr>
          <w:spacing w:val="-49"/>
          <w:vertAlign w:val="baseline"/>
        </w:rPr>
        <w:t> </w:t>
      </w:r>
      <w:r>
        <w:rPr>
          <w:w w:val="125"/>
          <w:vertAlign w:val="baseline"/>
        </w:rPr>
        <w:t>100mg</w:t>
      </w:r>
      <w:r>
        <w:rPr>
          <w:spacing w:val="-52"/>
          <w:vertAlign w:val="baseline"/>
        </w:rPr>
        <w:t> </w:t>
      </w:r>
      <w:r>
        <w:rPr>
          <w:spacing w:val="-2"/>
          <w:w w:val="123"/>
          <w:vertAlign w:val="baseline"/>
        </w:rPr>
        <w:t>d</w:t>
      </w:r>
      <w:r>
        <w:rPr>
          <w:spacing w:val="2"/>
          <w:w w:val="110"/>
          <w:vertAlign w:val="baseline"/>
        </w:rPr>
        <w:t>2</w:t>
      </w:r>
      <w:r>
        <w:rPr>
          <w:spacing w:val="-89"/>
          <w:w w:val="99"/>
          <w:vertAlign w:val="baseline"/>
        </w:rPr>
        <w:t>）。</w:t>
      </w:r>
      <w:r>
        <w:rPr>
          <w:spacing w:val="-4"/>
          <w:vertAlign w:val="baseline"/>
        </w:rPr>
        <w:t>所有患者至少输注一次 </w:t>
      </w:r>
      <w:r>
        <w:rPr>
          <w:vertAlign w:val="baseline"/>
        </w:rPr>
        <w:t>CT041（11</w:t>
      </w:r>
      <w:r>
        <w:rPr>
          <w:spacing w:val="-23"/>
          <w:vertAlign w:val="baseline"/>
        </w:rPr>
        <w:t> 例 </w:t>
      </w:r>
      <w:r>
        <w:rPr>
          <w:vertAlign w:val="baseline"/>
        </w:rPr>
        <w:t>2.5×10</w:t>
      </w:r>
      <w:r>
        <w:rPr>
          <w:vertAlign w:val="superscript"/>
        </w:rPr>
        <w:t>8</w:t>
      </w:r>
      <w:r>
        <w:rPr>
          <w:vertAlign w:val="baseline"/>
        </w:rPr>
        <w:t>，3</w:t>
      </w:r>
      <w:r>
        <w:rPr>
          <w:spacing w:val="-22"/>
          <w:vertAlign w:val="baseline"/>
        </w:rPr>
        <w:t> 例 </w:t>
      </w:r>
      <w:r>
        <w:rPr>
          <w:vertAlign w:val="baseline"/>
        </w:rPr>
        <w:t>3.75×10</w:t>
      </w:r>
      <w:r>
        <w:rPr>
          <w:vertAlign w:val="superscript"/>
        </w:rPr>
        <w:t>8</w:t>
      </w:r>
      <w:r>
        <w:rPr>
          <w:vertAlign w:val="baseline"/>
        </w:rPr>
        <w:t>），7</w:t>
      </w:r>
      <w:r>
        <w:rPr>
          <w:spacing w:val="-8"/>
          <w:vertAlign w:val="baseline"/>
        </w:rPr>
        <w:t> 例患者输</w:t>
      </w:r>
      <w:r>
        <w:rPr>
          <w:spacing w:val="-12"/>
          <w:vertAlign w:val="baseline"/>
        </w:rPr>
        <w:t>注两次。对于接受两次输注的 </w:t>
      </w:r>
      <w:r>
        <w:rPr>
          <w:vertAlign w:val="baseline"/>
        </w:rPr>
        <w:t>7</w:t>
      </w:r>
      <w:r>
        <w:rPr>
          <w:spacing w:val="-11"/>
          <w:vertAlign w:val="baseline"/>
        </w:rPr>
        <w:t> 例患者，第一次和第二次输注之间的中位间隔为</w:t>
      </w:r>
      <w:r>
        <w:rPr>
          <w:spacing w:val="-11"/>
          <w:w w:val="110"/>
          <w:vertAlign w:val="baseline"/>
        </w:rPr>
        <w:t>132</w:t>
      </w:r>
      <w:r>
        <w:rPr>
          <w:spacing w:val="-31"/>
          <w:w w:val="110"/>
          <w:vertAlign w:val="baseline"/>
        </w:rPr>
        <w:t> 天</w:t>
      </w:r>
      <w:r>
        <w:rPr>
          <w:w w:val="110"/>
          <w:vertAlign w:val="baseline"/>
        </w:rPr>
        <w:t>（</w:t>
      </w:r>
      <w:r>
        <w:rPr>
          <w:spacing w:val="-21"/>
          <w:w w:val="110"/>
          <w:vertAlign w:val="baseline"/>
        </w:rPr>
        <w:t>范围 </w:t>
      </w:r>
      <w:r>
        <w:rPr>
          <w:w w:val="110"/>
          <w:vertAlign w:val="baseline"/>
        </w:rPr>
        <w:t>49~252</w:t>
      </w:r>
      <w:r>
        <w:rPr>
          <w:spacing w:val="-31"/>
          <w:w w:val="110"/>
          <w:vertAlign w:val="baseline"/>
        </w:rPr>
        <w:t> 天</w:t>
      </w:r>
      <w:r>
        <w:rPr>
          <w:w w:val="110"/>
          <w:vertAlign w:val="baseline"/>
        </w:rPr>
        <w:t>）。</w:t>
      </w:r>
    </w:p>
    <w:p>
      <w:pPr>
        <w:pStyle w:val="BodyText"/>
        <w:spacing w:line="237" w:lineRule="auto" w:before="58"/>
        <w:ind w:left="3713" w:right="114"/>
      </w:pPr>
      <w:r>
        <w:rPr>
          <w:spacing w:val="12"/>
        </w:rPr>
        <w:t>① </w:t>
      </w:r>
      <w:r>
        <w:rPr>
          <w:rFonts w:ascii="微软雅黑" w:hAnsi="微软雅黑" w:eastAsia="微软雅黑" w:hint="eastAsia"/>
          <w:b/>
        </w:rPr>
        <w:t>安全性</w:t>
      </w:r>
      <w:r>
        <w:rPr>
          <w:spacing w:val="-8"/>
        </w:rPr>
        <w:t>： 未发生剂量限制性毒性或治疗相关死亡。</w:t>
      </w:r>
      <w:r>
        <w:rPr/>
        <w:t>13</w:t>
      </w:r>
      <w:r>
        <w:rPr>
          <w:spacing w:val="-12"/>
        </w:rPr>
        <w:t> 例患者发生 </w:t>
      </w:r>
      <w:r>
        <w:rPr/>
        <w:t>2</w:t>
      </w:r>
      <w:r>
        <w:rPr>
          <w:spacing w:val="-25"/>
        </w:rPr>
        <w:t> 级 </w:t>
      </w:r>
      <w:r>
        <w:rPr>
          <w:spacing w:val="-3"/>
        </w:rPr>
        <w:t>CRS， </w:t>
      </w:r>
      <w:r>
        <w:rPr>
          <w:spacing w:val="-14"/>
        </w:rPr>
        <w:t>仅有 </w:t>
      </w:r>
      <w:r>
        <w:rPr/>
        <w:t>1</w:t>
      </w:r>
      <w:r>
        <w:rPr>
          <w:spacing w:val="-13"/>
        </w:rPr>
        <w:t> 例患者发生 </w:t>
      </w:r>
      <w:r>
        <w:rPr/>
        <w:t>4</w:t>
      </w:r>
      <w:r>
        <w:rPr>
          <w:spacing w:val="-26"/>
        </w:rPr>
        <w:t> 级 </w:t>
      </w:r>
      <w:r>
        <w:rPr/>
        <w:t>CRS，与患者自身的疾病负担相关，且在使用糖皮质激</w:t>
      </w:r>
      <w:r>
        <w:rPr>
          <w:w w:val="99"/>
        </w:rPr>
        <w:t>素治疗后完全恢复。未发生</w:t>
      </w:r>
      <w:r>
        <w:rPr/>
        <w:t> </w:t>
      </w:r>
      <w:r>
        <w:rPr>
          <w:spacing w:val="-1"/>
          <w:w w:val="58"/>
        </w:rPr>
        <w:t>I</w:t>
      </w:r>
      <w:r>
        <w:rPr>
          <w:w w:val="124"/>
        </w:rPr>
        <w:t>C</w:t>
      </w:r>
      <w:r>
        <w:rPr>
          <w:spacing w:val="-1"/>
          <w:w w:val="124"/>
        </w:rPr>
        <w:t>A</w:t>
      </w:r>
      <w:r>
        <w:rPr>
          <w:w w:val="131"/>
        </w:rPr>
        <w:t>NS</w:t>
      </w:r>
      <w:r>
        <w:rPr/>
        <w:t> </w:t>
      </w:r>
      <w:r>
        <w:rPr>
          <w:w w:val="99"/>
        </w:rPr>
        <w:t>或胃肠道黏膜损伤。</w:t>
      </w:r>
    </w:p>
    <w:p>
      <w:pPr>
        <w:pStyle w:val="BodyText"/>
        <w:spacing w:before="3"/>
        <w:rPr>
          <w:sz w:val="13"/>
        </w:rPr>
      </w:pPr>
    </w:p>
    <w:tbl>
      <w:tblPr>
        <w:tblW w:w="0" w:type="auto"/>
        <w:jc w:val="left"/>
        <w:tblInd w:w="3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8"/>
      </w:tblGrid>
      <w:tr>
        <w:trPr>
          <w:trHeight w:val="222" w:hRule="atLeast"/>
        </w:trPr>
        <w:tc>
          <w:tcPr>
            <w:tcW w:w="6918" w:type="dxa"/>
            <w:tcBorders>
              <w:bottom w:val="single" w:sz="4" w:space="0" w:color="000000"/>
            </w:tcBorders>
          </w:tcPr>
          <w:p>
            <w:pPr>
              <w:pStyle w:val="TableParagraph"/>
              <w:spacing w:line="202" w:lineRule="exact"/>
              <w:jc w:val="left"/>
              <w:rPr>
                <w:rFonts w:ascii="微软雅黑" w:eastAsia="微软雅黑" w:hint="eastAsia"/>
                <w:b/>
                <w:sz w:val="18"/>
              </w:rPr>
            </w:pPr>
            <w:r>
              <w:rPr>
                <w:rFonts w:ascii="微软雅黑" w:eastAsia="微软雅黑" w:hint="eastAsia"/>
                <w:b/>
                <w:sz w:val="18"/>
              </w:rPr>
              <w:t>图 2：CT041 中国 1b/II 期临床试验安全性评价</w:t>
            </w:r>
          </w:p>
        </w:tc>
      </w:tr>
      <w:tr>
        <w:trPr>
          <w:trHeight w:val="3924" w:hRule="atLeast"/>
        </w:trPr>
        <w:tc>
          <w:tcPr>
            <w:tcW w:w="6918" w:type="dxa"/>
            <w:tcBorders>
              <w:top w:val="single" w:sz="4" w:space="0" w:color="000000"/>
              <w:bottom w:val="single" w:sz="4" w:space="0" w:color="000000"/>
            </w:tcBorders>
          </w:tcPr>
          <w:p>
            <w:pPr>
              <w:pStyle w:val="TableParagraph"/>
              <w:spacing w:before="4"/>
              <w:jc w:val="left"/>
              <w:rPr>
                <w:sz w:val="10"/>
              </w:rPr>
            </w:pPr>
          </w:p>
          <w:p>
            <w:pPr>
              <w:pStyle w:val="TableParagraph"/>
              <w:ind w:left="119"/>
              <w:jc w:val="left"/>
              <w:rPr>
                <w:sz w:val="20"/>
              </w:rPr>
            </w:pPr>
            <w:r>
              <w:rPr>
                <w:sz w:val="20"/>
              </w:rPr>
              <w:drawing>
                <wp:inline distT="0" distB="0" distL="0" distR="0">
                  <wp:extent cx="4229463" cy="2315432"/>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15" cstate="print"/>
                          <a:stretch>
                            <a:fillRect/>
                          </a:stretch>
                        </pic:blipFill>
                        <pic:spPr>
                          <a:xfrm>
                            <a:off x="0" y="0"/>
                            <a:ext cx="4229463" cy="2315432"/>
                          </a:xfrm>
                          <a:prstGeom prst="rect">
                            <a:avLst/>
                          </a:prstGeom>
                        </pic:spPr>
                      </pic:pic>
                    </a:graphicData>
                  </a:graphic>
                </wp:inline>
              </w:drawing>
            </w:r>
            <w:r>
              <w:rPr>
                <w:sz w:val="20"/>
              </w:rPr>
            </w:r>
          </w:p>
        </w:tc>
      </w:tr>
      <w:tr>
        <w:trPr>
          <w:trHeight w:val="159" w:hRule="atLeast"/>
        </w:trPr>
        <w:tc>
          <w:tcPr>
            <w:tcW w:w="6918" w:type="dxa"/>
            <w:tcBorders>
              <w:top w:val="single" w:sz="4" w:space="0" w:color="000000"/>
            </w:tcBorders>
          </w:tcPr>
          <w:p>
            <w:pPr>
              <w:pStyle w:val="TableParagraph"/>
              <w:spacing w:line="139" w:lineRule="exact"/>
              <w:jc w:val="left"/>
              <w:rPr>
                <w:sz w:val="13"/>
              </w:rPr>
            </w:pPr>
            <w:r>
              <w:rPr>
                <w:sz w:val="13"/>
              </w:rPr>
              <w:t>资料来源：公司官网、光大证券研究所</w:t>
            </w:r>
          </w:p>
        </w:tc>
      </w:tr>
    </w:tbl>
    <w:p>
      <w:pPr>
        <w:pStyle w:val="BodyText"/>
        <w:spacing w:before="9"/>
        <w:rPr>
          <w:sz w:val="18"/>
        </w:rPr>
      </w:pPr>
    </w:p>
    <w:p>
      <w:pPr>
        <w:pStyle w:val="BodyText"/>
        <w:spacing w:line="237" w:lineRule="auto"/>
        <w:ind w:left="3713" w:right="214"/>
        <w:jc w:val="both"/>
      </w:pPr>
      <w:r>
        <w:rPr>
          <w:rFonts w:ascii="微软雅黑" w:hAnsi="微软雅黑" w:eastAsia="微软雅黑" w:hint="eastAsia"/>
          <w:b/>
          <w:spacing w:val="12"/>
        </w:rPr>
        <w:t>② 有效性： </w:t>
      </w:r>
      <w:r>
        <w:rPr>
          <w:spacing w:val="-7"/>
        </w:rPr>
        <w:t>该临床试验共 </w:t>
      </w:r>
      <w:r>
        <w:rPr/>
        <w:t>13</w:t>
      </w:r>
      <w:r>
        <w:rPr>
          <w:spacing w:val="-7"/>
        </w:rPr>
        <w:t> 例患者可评估，</w:t>
      </w:r>
      <w:r>
        <w:rPr/>
        <w:t>1</w:t>
      </w:r>
      <w:r>
        <w:rPr>
          <w:spacing w:val="-7"/>
        </w:rPr>
        <w:t> 例患者在进行肿瘤评估之前退</w:t>
      </w:r>
      <w:r>
        <w:rPr>
          <w:spacing w:val="-5"/>
          <w:w w:val="99"/>
        </w:rPr>
        <w:t>出研究。</w:t>
      </w:r>
      <w:r>
        <w:rPr>
          <w:spacing w:val="-1"/>
          <w:w w:val="110"/>
        </w:rPr>
        <w:t>1</w:t>
      </w:r>
      <w:r>
        <w:rPr>
          <w:w w:val="110"/>
        </w:rPr>
        <w:t>4</w:t>
      </w:r>
      <w:r>
        <w:rPr>
          <w:spacing w:val="-50"/>
        </w:rPr>
        <w:t> </w:t>
      </w:r>
      <w:r>
        <w:rPr>
          <w:w w:val="99"/>
        </w:rPr>
        <w:t>例患者中有</w:t>
      </w:r>
      <w:r>
        <w:rPr>
          <w:spacing w:val="-47"/>
        </w:rPr>
        <w:t> </w:t>
      </w:r>
      <w:r>
        <w:rPr>
          <w:w w:val="110"/>
        </w:rPr>
        <w:t>8</w:t>
      </w:r>
      <w:r>
        <w:rPr>
          <w:spacing w:val="-48"/>
        </w:rPr>
        <w:t> </w:t>
      </w:r>
      <w:r>
        <w:rPr>
          <w:spacing w:val="-8"/>
          <w:w w:val="99"/>
        </w:rPr>
        <w:t>例</w:t>
      </w:r>
      <w:r>
        <w:rPr>
          <w:w w:val="99"/>
        </w:rPr>
        <w:t>（</w:t>
      </w:r>
      <w:r>
        <w:rPr>
          <w:w w:val="110"/>
        </w:rPr>
        <w:t>5</w:t>
      </w:r>
      <w:r>
        <w:rPr>
          <w:spacing w:val="1"/>
          <w:w w:val="110"/>
        </w:rPr>
        <w:t>7</w:t>
      </w:r>
      <w:r>
        <w:rPr>
          <w:w w:val="82"/>
        </w:rPr>
        <w:t>.</w:t>
      </w:r>
      <w:r>
        <w:rPr>
          <w:spacing w:val="1"/>
          <w:w w:val="82"/>
        </w:rPr>
        <w:t>1</w:t>
      </w:r>
      <w:r>
        <w:rPr>
          <w:spacing w:val="-1"/>
          <w:w w:val="183"/>
        </w:rPr>
        <w:t>%</w:t>
      </w:r>
      <w:r>
        <w:rPr>
          <w:spacing w:val="-8"/>
          <w:w w:val="99"/>
        </w:rPr>
        <w:t>）</w:t>
      </w:r>
      <w:r>
        <w:rPr>
          <w:w w:val="99"/>
        </w:rPr>
        <w:t>在</w:t>
      </w:r>
      <w:r>
        <w:rPr>
          <w:spacing w:val="-50"/>
        </w:rPr>
        <w:t> </w:t>
      </w:r>
      <w:r>
        <w:rPr>
          <w:w w:val="123"/>
        </w:rPr>
        <w:t>C</w:t>
      </w:r>
      <w:r>
        <w:rPr>
          <w:spacing w:val="2"/>
          <w:w w:val="123"/>
        </w:rPr>
        <w:t>T</w:t>
      </w:r>
      <w:r>
        <w:rPr>
          <w:w w:val="110"/>
        </w:rPr>
        <w:t>041</w:t>
      </w:r>
      <w:r>
        <w:rPr>
          <w:spacing w:val="-50"/>
        </w:rPr>
        <w:t> </w:t>
      </w:r>
      <w:r>
        <w:rPr>
          <w:w w:val="99"/>
        </w:rPr>
        <w:t>首次输注后的首次肿瘤评估即</w:t>
      </w:r>
      <w:r>
        <w:rPr>
          <w:spacing w:val="-5"/>
          <w:w w:val="110"/>
        </w:rPr>
        <w:t>达到部分缓解，基于研究者评估 </w:t>
      </w:r>
      <w:r>
        <w:rPr>
          <w:w w:val="110"/>
        </w:rPr>
        <w:t>ORR</w:t>
      </w:r>
      <w:r>
        <w:rPr>
          <w:spacing w:val="-48"/>
          <w:w w:val="110"/>
        </w:rPr>
        <w:t> 和 </w:t>
      </w:r>
      <w:r>
        <w:rPr>
          <w:w w:val="110"/>
        </w:rPr>
        <w:t>DCR</w:t>
      </w:r>
      <w:r>
        <w:rPr>
          <w:spacing w:val="-29"/>
          <w:w w:val="110"/>
        </w:rPr>
        <w:t> 分别为 </w:t>
      </w:r>
      <w:r>
        <w:rPr>
          <w:w w:val="110"/>
        </w:rPr>
        <w:t>57.1</w:t>
      </w:r>
      <w:r>
        <w:rPr>
          <w:spacing w:val="-24"/>
          <w:w w:val="110"/>
        </w:rPr>
        <w:t>%和 </w:t>
      </w:r>
      <w:r>
        <w:rPr>
          <w:w w:val="110"/>
        </w:rPr>
        <w:t>78.6%。</w:t>
      </w:r>
    </w:p>
    <w:p>
      <w:pPr>
        <w:pStyle w:val="BodyText"/>
        <w:spacing w:before="139"/>
        <w:ind w:left="3713"/>
        <w:jc w:val="both"/>
      </w:pPr>
      <w:r>
        <w:rPr>
          <w:spacing w:val="1"/>
        </w:rPr>
        <w:t>中位随访时间为 </w:t>
      </w:r>
      <w:r>
        <w:rPr/>
        <w:t>8.8</w:t>
      </w:r>
      <w:r>
        <w:rPr>
          <w:spacing w:val="-13"/>
        </w:rPr>
        <w:t> 个月， </w:t>
      </w:r>
      <w:r>
        <w:rPr>
          <w:w w:val="115"/>
        </w:rPr>
        <w:t>mPFS</w:t>
      </w:r>
      <w:r>
        <w:rPr>
          <w:spacing w:val="-59"/>
          <w:w w:val="115"/>
        </w:rPr>
        <w:t> </w:t>
      </w:r>
      <w:r>
        <w:rPr>
          <w:spacing w:val="-4"/>
        </w:rPr>
        <w:t>和中位总生存期</w:t>
      </w:r>
      <w:r>
        <w:rPr>
          <w:spacing w:val="-5"/>
          <w:w w:val="115"/>
        </w:rPr>
        <w:t>（mOS）</w:t>
      </w:r>
      <w:r>
        <w:rPr>
          <w:spacing w:val="2"/>
        </w:rPr>
        <w:t>分别为 </w:t>
      </w:r>
      <w:r>
        <w:rPr/>
        <w:t>5.6</w:t>
      </w:r>
      <w:r>
        <w:rPr>
          <w:spacing w:val="-12"/>
        </w:rPr>
        <w:t> 个月和</w:t>
      </w:r>
    </w:p>
    <w:p>
      <w:pPr>
        <w:pStyle w:val="BodyText"/>
        <w:spacing w:before="22"/>
        <w:ind w:left="3713"/>
        <w:jc w:val="both"/>
      </w:pPr>
      <w:r>
        <w:rPr/>
        <w:t>10.8 个月。至数据截止日期，有 7 例患者仍然存活。</w:t>
      </w:r>
    </w:p>
    <w:p>
      <w:pPr>
        <w:spacing w:after="0"/>
        <w:jc w:val="both"/>
        <w:sectPr>
          <w:pgSz w:w="11910" w:h="16840"/>
          <w:pgMar w:header="630" w:footer="139" w:top="1120" w:bottom="320" w:left="540" w:right="520"/>
        </w:sectPr>
      </w:pPr>
    </w:p>
    <w:p>
      <w:pPr>
        <w:pStyle w:val="BodyText"/>
      </w:pPr>
    </w:p>
    <w:p>
      <w:pPr>
        <w:pStyle w:val="BodyText"/>
        <w:spacing w:before="8"/>
        <w:rPr>
          <w:sz w:val="27"/>
        </w:rPr>
      </w:pPr>
    </w:p>
    <w:tbl>
      <w:tblPr>
        <w:tblW w:w="0" w:type="auto"/>
        <w:jc w:val="left"/>
        <w:tblInd w:w="3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8"/>
      </w:tblGrid>
      <w:tr>
        <w:trPr>
          <w:trHeight w:val="222" w:hRule="atLeast"/>
        </w:trPr>
        <w:tc>
          <w:tcPr>
            <w:tcW w:w="6918" w:type="dxa"/>
            <w:tcBorders>
              <w:bottom w:val="single" w:sz="4" w:space="0" w:color="000000"/>
            </w:tcBorders>
          </w:tcPr>
          <w:p>
            <w:pPr>
              <w:pStyle w:val="TableParagraph"/>
              <w:spacing w:line="202" w:lineRule="exact"/>
              <w:jc w:val="left"/>
              <w:rPr>
                <w:rFonts w:ascii="微软雅黑" w:eastAsia="微软雅黑" w:hint="eastAsia"/>
                <w:b/>
                <w:sz w:val="18"/>
              </w:rPr>
            </w:pPr>
            <w:r>
              <w:rPr>
                <w:rFonts w:ascii="微软雅黑" w:eastAsia="微软雅黑" w:hint="eastAsia"/>
                <w:b/>
                <w:sz w:val="18"/>
              </w:rPr>
              <w:t>图 3：CT041 中国 1b/II 期临床试验有效性评价-1</w:t>
            </w:r>
          </w:p>
        </w:tc>
      </w:tr>
      <w:tr>
        <w:trPr>
          <w:trHeight w:val="3112" w:hRule="atLeast"/>
        </w:trPr>
        <w:tc>
          <w:tcPr>
            <w:tcW w:w="6918" w:type="dxa"/>
            <w:tcBorders>
              <w:top w:val="single" w:sz="4" w:space="0" w:color="000000"/>
              <w:bottom w:val="single" w:sz="4" w:space="0" w:color="000000"/>
            </w:tcBorders>
          </w:tcPr>
          <w:p>
            <w:pPr>
              <w:pStyle w:val="TableParagraph"/>
              <w:spacing w:before="9"/>
              <w:jc w:val="left"/>
              <w:rPr>
                <w:sz w:val="8"/>
              </w:rPr>
            </w:pPr>
          </w:p>
          <w:p>
            <w:pPr>
              <w:pStyle w:val="TableParagraph"/>
              <w:ind w:left="46"/>
              <w:jc w:val="left"/>
              <w:rPr>
                <w:sz w:val="20"/>
              </w:rPr>
            </w:pPr>
            <w:r>
              <w:rPr>
                <w:sz w:val="20"/>
              </w:rPr>
              <w:drawing>
                <wp:inline distT="0" distB="0" distL="0" distR="0">
                  <wp:extent cx="4290992" cy="1795462"/>
                  <wp:effectExtent l="0" t="0" r="0" b="0"/>
                  <wp:docPr id="9" name="image7.jpeg"/>
                  <wp:cNvGraphicFramePr>
                    <a:graphicFrameLocks noChangeAspect="1"/>
                  </wp:cNvGraphicFramePr>
                  <a:graphic>
                    <a:graphicData uri="http://schemas.openxmlformats.org/drawingml/2006/picture">
                      <pic:pic>
                        <pic:nvPicPr>
                          <pic:cNvPr id="10" name="image7.jpeg"/>
                          <pic:cNvPicPr/>
                        </pic:nvPicPr>
                        <pic:blipFill>
                          <a:blip r:embed="rId16" cstate="print"/>
                          <a:stretch>
                            <a:fillRect/>
                          </a:stretch>
                        </pic:blipFill>
                        <pic:spPr>
                          <a:xfrm>
                            <a:off x="0" y="0"/>
                            <a:ext cx="4290992" cy="1795462"/>
                          </a:xfrm>
                          <a:prstGeom prst="rect">
                            <a:avLst/>
                          </a:prstGeom>
                        </pic:spPr>
                      </pic:pic>
                    </a:graphicData>
                  </a:graphic>
                </wp:inline>
              </w:drawing>
            </w:r>
            <w:r>
              <w:rPr>
                <w:sz w:val="20"/>
              </w:rPr>
            </w:r>
          </w:p>
        </w:tc>
      </w:tr>
      <w:tr>
        <w:trPr>
          <w:trHeight w:val="159" w:hRule="atLeast"/>
        </w:trPr>
        <w:tc>
          <w:tcPr>
            <w:tcW w:w="6918" w:type="dxa"/>
            <w:tcBorders>
              <w:top w:val="single" w:sz="4" w:space="0" w:color="000000"/>
            </w:tcBorders>
          </w:tcPr>
          <w:p>
            <w:pPr>
              <w:pStyle w:val="TableParagraph"/>
              <w:spacing w:line="139" w:lineRule="exact"/>
              <w:jc w:val="left"/>
              <w:rPr>
                <w:sz w:val="13"/>
              </w:rPr>
            </w:pPr>
            <w:r>
              <w:rPr>
                <w:sz w:val="13"/>
              </w:rPr>
              <w:t>资料来源：公司官网、光大证券研究所</w:t>
            </w:r>
          </w:p>
        </w:tc>
      </w:tr>
    </w:tbl>
    <w:p>
      <w:pPr>
        <w:pStyle w:val="BodyText"/>
      </w:pPr>
    </w:p>
    <w:p>
      <w:pPr>
        <w:pStyle w:val="BodyText"/>
        <w:spacing w:before="9"/>
        <w:rPr>
          <w:sz w:val="19"/>
        </w:r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35"/>
      </w:tblGrid>
      <w:tr>
        <w:trPr>
          <w:trHeight w:val="222" w:hRule="atLeast"/>
        </w:trPr>
        <w:tc>
          <w:tcPr>
            <w:tcW w:w="10435" w:type="dxa"/>
            <w:tcBorders>
              <w:bottom w:val="single" w:sz="4" w:space="0" w:color="000000"/>
            </w:tcBorders>
          </w:tcPr>
          <w:p>
            <w:pPr>
              <w:pStyle w:val="TableParagraph"/>
              <w:spacing w:line="202" w:lineRule="exact"/>
              <w:jc w:val="left"/>
              <w:rPr>
                <w:rFonts w:ascii="微软雅黑" w:eastAsia="微软雅黑" w:hint="eastAsia"/>
                <w:b/>
                <w:sz w:val="18"/>
              </w:rPr>
            </w:pPr>
            <w:r>
              <w:rPr>
                <w:rFonts w:ascii="微软雅黑" w:eastAsia="微软雅黑" w:hint="eastAsia"/>
                <w:b/>
                <w:sz w:val="18"/>
              </w:rPr>
              <w:t>图 4：CT041 中国 1b/II 期临床试验有效性评价-2</w:t>
            </w:r>
          </w:p>
        </w:tc>
      </w:tr>
      <w:tr>
        <w:trPr>
          <w:trHeight w:val="6672" w:hRule="atLeast"/>
        </w:trPr>
        <w:tc>
          <w:tcPr>
            <w:tcW w:w="10435" w:type="dxa"/>
            <w:tcBorders>
              <w:top w:val="single" w:sz="4" w:space="0" w:color="000000"/>
              <w:bottom w:val="single" w:sz="4" w:space="0" w:color="000000"/>
            </w:tcBorders>
          </w:tcPr>
          <w:p>
            <w:pPr>
              <w:pStyle w:val="TableParagraph"/>
              <w:spacing w:after="1"/>
              <w:jc w:val="left"/>
              <w:rPr>
                <w:sz w:val="10"/>
              </w:rPr>
            </w:pPr>
          </w:p>
          <w:p>
            <w:pPr>
              <w:pStyle w:val="TableParagraph"/>
              <w:ind w:left="97"/>
              <w:jc w:val="left"/>
              <w:rPr>
                <w:sz w:val="20"/>
              </w:rPr>
            </w:pPr>
            <w:r>
              <w:rPr>
                <w:sz w:val="20"/>
              </w:rPr>
              <w:drawing>
                <wp:inline distT="0" distB="0" distL="0" distR="0">
                  <wp:extent cx="6503315" cy="1900237"/>
                  <wp:effectExtent l="0" t="0" r="0" b="0"/>
                  <wp:docPr id="11" name="image8.jpeg"/>
                  <wp:cNvGraphicFramePr>
                    <a:graphicFrameLocks noChangeAspect="1"/>
                  </wp:cNvGraphicFramePr>
                  <a:graphic>
                    <a:graphicData uri="http://schemas.openxmlformats.org/drawingml/2006/picture">
                      <pic:pic>
                        <pic:nvPicPr>
                          <pic:cNvPr id="12" name="image8.jpeg"/>
                          <pic:cNvPicPr/>
                        </pic:nvPicPr>
                        <pic:blipFill>
                          <a:blip r:embed="rId17" cstate="print"/>
                          <a:stretch>
                            <a:fillRect/>
                          </a:stretch>
                        </pic:blipFill>
                        <pic:spPr>
                          <a:xfrm>
                            <a:off x="0" y="0"/>
                            <a:ext cx="6503315" cy="1900237"/>
                          </a:xfrm>
                          <a:prstGeom prst="rect">
                            <a:avLst/>
                          </a:prstGeom>
                        </pic:spPr>
                      </pic:pic>
                    </a:graphicData>
                  </a:graphic>
                </wp:inline>
              </w:drawing>
            </w:r>
            <w:r>
              <w:rPr>
                <w:sz w:val="20"/>
              </w:rPr>
            </w:r>
          </w:p>
          <w:p>
            <w:pPr>
              <w:pStyle w:val="TableParagraph"/>
              <w:jc w:val="left"/>
              <w:rPr>
                <w:sz w:val="20"/>
              </w:rPr>
            </w:pPr>
          </w:p>
          <w:p>
            <w:pPr>
              <w:pStyle w:val="TableParagraph"/>
              <w:spacing w:before="4"/>
              <w:jc w:val="left"/>
              <w:rPr>
                <w:sz w:val="11"/>
              </w:rPr>
            </w:pPr>
          </w:p>
          <w:p>
            <w:pPr>
              <w:pStyle w:val="TableParagraph"/>
              <w:ind w:left="82"/>
              <w:jc w:val="left"/>
              <w:rPr>
                <w:sz w:val="20"/>
              </w:rPr>
            </w:pPr>
            <w:r>
              <w:rPr>
                <w:sz w:val="20"/>
              </w:rPr>
              <w:drawing>
                <wp:inline distT="0" distB="0" distL="0" distR="0">
                  <wp:extent cx="6502402" cy="1760220"/>
                  <wp:effectExtent l="0" t="0" r="0" b="0"/>
                  <wp:docPr id="13" name="image9.jpeg"/>
                  <wp:cNvGraphicFramePr>
                    <a:graphicFrameLocks noChangeAspect="1"/>
                  </wp:cNvGraphicFramePr>
                  <a:graphic>
                    <a:graphicData uri="http://schemas.openxmlformats.org/drawingml/2006/picture">
                      <pic:pic>
                        <pic:nvPicPr>
                          <pic:cNvPr id="14" name="image9.jpeg"/>
                          <pic:cNvPicPr/>
                        </pic:nvPicPr>
                        <pic:blipFill>
                          <a:blip r:embed="rId18" cstate="print"/>
                          <a:stretch>
                            <a:fillRect/>
                          </a:stretch>
                        </pic:blipFill>
                        <pic:spPr>
                          <a:xfrm>
                            <a:off x="0" y="0"/>
                            <a:ext cx="6502402" cy="1760220"/>
                          </a:xfrm>
                          <a:prstGeom prst="rect">
                            <a:avLst/>
                          </a:prstGeom>
                        </pic:spPr>
                      </pic:pic>
                    </a:graphicData>
                  </a:graphic>
                </wp:inline>
              </w:drawing>
            </w:r>
            <w:r>
              <w:rPr>
                <w:sz w:val="20"/>
              </w:rPr>
            </w:r>
          </w:p>
        </w:tc>
      </w:tr>
      <w:tr>
        <w:trPr>
          <w:trHeight w:val="159" w:hRule="atLeast"/>
        </w:trPr>
        <w:tc>
          <w:tcPr>
            <w:tcW w:w="10435" w:type="dxa"/>
            <w:tcBorders>
              <w:top w:val="single" w:sz="4" w:space="0" w:color="000000"/>
            </w:tcBorders>
          </w:tcPr>
          <w:p>
            <w:pPr>
              <w:pStyle w:val="TableParagraph"/>
              <w:spacing w:line="139" w:lineRule="exact"/>
              <w:jc w:val="left"/>
              <w:rPr>
                <w:sz w:val="13"/>
              </w:rPr>
            </w:pPr>
            <w:r>
              <w:rPr>
                <w:sz w:val="13"/>
              </w:rPr>
              <w:t>资料来源：公司官网、光大证券研究所</w:t>
            </w:r>
          </w:p>
        </w:tc>
      </w:tr>
    </w:tbl>
    <w:p>
      <w:pPr>
        <w:pStyle w:val="BodyText"/>
        <w:spacing w:before="4"/>
        <w:rPr>
          <w:sz w:val="17"/>
        </w:rPr>
      </w:pPr>
    </w:p>
    <w:p>
      <w:pPr>
        <w:pStyle w:val="Heading3"/>
        <w:numPr>
          <w:ilvl w:val="0"/>
          <w:numId w:val="1"/>
        </w:numPr>
        <w:tabs>
          <w:tab w:pos="3925" w:val="left" w:leader="none"/>
        </w:tabs>
        <w:spacing w:line="240" w:lineRule="auto" w:before="15" w:after="0"/>
        <w:ind w:left="3925" w:right="0" w:hanging="212"/>
        <w:jc w:val="left"/>
      </w:pPr>
      <w:r>
        <w:rPr>
          <w:color w:val="C54322"/>
        </w:rPr>
        <w:t>结论</w:t>
      </w:r>
    </w:p>
    <w:p>
      <w:pPr>
        <w:pStyle w:val="BodyText"/>
        <w:spacing w:line="259" w:lineRule="auto" w:before="94"/>
        <w:ind w:left="3713" w:right="114"/>
      </w:pPr>
      <w:r>
        <w:rPr/>
        <w:t>在经历过多线治疗的胃癌中，CT041</w:t>
      </w:r>
      <w:r>
        <w:rPr>
          <w:spacing w:val="35"/>
        </w:rPr>
        <w:t> </w:t>
      </w:r>
      <w:r>
        <w:rPr/>
        <w:t>CLDN18.2</w:t>
      </w:r>
      <w:r>
        <w:rPr>
          <w:spacing w:val="38"/>
        </w:rPr>
        <w:t> </w:t>
      </w:r>
      <w:r>
        <w:rPr/>
        <w:t>CAR-T</w:t>
      </w:r>
      <w:r>
        <w:rPr>
          <w:spacing w:val="2"/>
        </w:rPr>
        <w:t> 细胞与历史治疗方案相 </w:t>
      </w:r>
      <w:r>
        <w:rPr/>
        <w:t>比，可能有显著的抗肿瘤活性改善。目前初步研究结果表明，CT041</w:t>
      </w:r>
      <w:r>
        <w:rPr>
          <w:spacing w:val="2"/>
        </w:rPr>
        <w:t> 在接受过治疗的晚期胃癌/食管胃结合部腺癌患者中具有可控的安全性/耐受性和有前景 的</w:t>
      </w:r>
      <w:r>
        <w:rPr>
          <w:spacing w:val="-11"/>
        </w:rPr>
        <w:t>抗肿瘤疗效。该试验正在进行中，将对 </w:t>
      </w:r>
      <w:r>
        <w:rPr/>
        <w:t>CT041</w:t>
      </w:r>
      <w:r>
        <w:rPr>
          <w:spacing w:val="-12"/>
        </w:rPr>
        <w:t> 进行进一步的确证性 </w:t>
      </w:r>
      <w:r>
        <w:rPr>
          <w:w w:val="95"/>
        </w:rPr>
        <w:t>II</w:t>
      </w:r>
      <w:r>
        <w:rPr>
          <w:spacing w:val="-47"/>
          <w:w w:val="95"/>
        </w:rPr>
        <w:t> </w:t>
      </w:r>
      <w:r>
        <w:rPr/>
        <w:t>期试验。</w:t>
      </w:r>
    </w:p>
    <w:p>
      <w:pPr>
        <w:spacing w:after="0" w:line="259" w:lineRule="auto"/>
        <w:sectPr>
          <w:pgSz w:w="11910" w:h="16840"/>
          <w:pgMar w:header="630" w:footer="139" w:top="1120" w:bottom="320" w:left="540" w:right="520"/>
        </w:sectPr>
      </w:pPr>
    </w:p>
    <w:p>
      <w:pPr>
        <w:pStyle w:val="BodyText"/>
        <w:spacing w:before="9"/>
        <w:rPr>
          <w:sz w:val="18"/>
        </w:rPr>
      </w:pPr>
    </w:p>
    <w:p>
      <w:pPr>
        <w:pStyle w:val="Heading1"/>
        <w:spacing w:line="180" w:lineRule="auto" w:before="45"/>
        <w:ind w:right="179"/>
      </w:pPr>
      <w:bookmarkStart w:name="_TOC_250003" w:id="4"/>
      <w:r>
        <w:rPr>
          <w:color w:val="C54322"/>
          <w:w w:val="95"/>
        </w:rPr>
        <w:t>2、 药明巨诺： CD19 CAR-T( 倍诺达)展现</w:t>
      </w:r>
      <w:bookmarkEnd w:id="4"/>
      <w:r>
        <w:rPr>
          <w:color w:val="C54322"/>
        </w:rPr>
        <w:t>me-better 潜力的竞争优势</w:t>
      </w:r>
    </w:p>
    <w:p>
      <w:pPr>
        <w:pStyle w:val="BodyText"/>
        <w:spacing w:line="259" w:lineRule="auto" w:before="119"/>
        <w:ind w:left="3713" w:right="217"/>
        <w:jc w:val="both"/>
      </w:pPr>
      <w:r>
        <w:rPr>
          <w:w w:val="105"/>
        </w:rPr>
        <w:t>2022</w:t>
      </w:r>
      <w:r>
        <w:rPr>
          <w:spacing w:val="-49"/>
          <w:w w:val="105"/>
        </w:rPr>
        <w:t> 年 </w:t>
      </w:r>
      <w:r>
        <w:rPr>
          <w:w w:val="105"/>
        </w:rPr>
        <w:t>6</w:t>
      </w:r>
      <w:r>
        <w:rPr>
          <w:spacing w:val="-48"/>
          <w:w w:val="105"/>
        </w:rPr>
        <w:t> 月 </w:t>
      </w:r>
      <w:r>
        <w:rPr>
          <w:w w:val="105"/>
        </w:rPr>
        <w:t>5</w:t>
      </w:r>
      <w:r>
        <w:rPr>
          <w:spacing w:val="-18"/>
          <w:w w:val="105"/>
        </w:rPr>
        <w:t> 日，药明巨诺在 </w:t>
      </w:r>
      <w:r>
        <w:rPr>
          <w:w w:val="105"/>
        </w:rPr>
        <w:t>ASCO</w:t>
      </w:r>
      <w:r>
        <w:rPr>
          <w:spacing w:val="-9"/>
          <w:w w:val="105"/>
        </w:rPr>
        <w:t> 年会上公布了倍诺达</w:t>
      </w:r>
      <w:r>
        <w:rPr>
          <w:w w:val="105"/>
        </w:rPr>
        <w:t>®（瑞基奥仑赛注射</w:t>
      </w:r>
      <w:r>
        <w:rPr/>
        <w:t>液）的三项最新临床研究数据，包括（1）倍诺达®治疗中国难治</w:t>
      </w:r>
      <w:r>
        <w:rPr>
          <w:w w:val="95"/>
        </w:rPr>
        <w:t>/</w:t>
      </w:r>
      <w:r>
        <w:rPr/>
        <w:t>复发性弥漫大</w:t>
      </w:r>
      <w:r>
        <w:rPr>
          <w:w w:val="105"/>
        </w:rPr>
        <w:t>B</w:t>
      </w:r>
      <w:r>
        <w:rPr>
          <w:spacing w:val="-17"/>
          <w:w w:val="105"/>
        </w:rPr>
        <w:t> 淋巴瘤患者的多中心 </w:t>
      </w:r>
      <w:r>
        <w:rPr>
          <w:w w:val="95"/>
        </w:rPr>
        <w:t>II</w:t>
      </w:r>
      <w:r>
        <w:rPr>
          <w:spacing w:val="-76"/>
          <w:w w:val="95"/>
        </w:rPr>
        <w:t> </w:t>
      </w:r>
      <w:r>
        <w:rPr>
          <w:spacing w:val="-43"/>
          <w:w w:val="105"/>
        </w:rPr>
        <w:t>期 </w:t>
      </w:r>
      <w:r>
        <w:rPr>
          <w:w w:val="105"/>
        </w:rPr>
        <w:t>RELIANCE</w:t>
      </w:r>
      <w:r>
        <w:rPr>
          <w:spacing w:val="-25"/>
          <w:w w:val="105"/>
        </w:rPr>
        <w:t> 临床研究的 </w:t>
      </w:r>
      <w:r>
        <w:rPr>
          <w:w w:val="105"/>
        </w:rPr>
        <w:t>2</w:t>
      </w:r>
      <w:r>
        <w:rPr>
          <w:spacing w:val="-16"/>
          <w:w w:val="105"/>
        </w:rPr>
        <w:t> 年随访结果、</w:t>
      </w:r>
      <w:r>
        <w:rPr>
          <w:spacing w:val="-3"/>
          <w:w w:val="105"/>
        </w:rPr>
        <w:t>（2）</w:t>
      </w:r>
      <w:r>
        <w:rPr>
          <w:w w:val="105"/>
        </w:rPr>
        <w:t>倍诺达</w:t>
      </w:r>
    </w:p>
    <w:p>
      <w:pPr>
        <w:pStyle w:val="BodyText"/>
        <w:spacing w:line="259" w:lineRule="auto" w:before="2"/>
        <w:ind w:left="3713" w:right="247"/>
        <w:jc w:val="both"/>
      </w:pPr>
      <w:r>
        <w:rPr/>
        <w:t>®</w:t>
      </w:r>
      <w:r>
        <w:rPr>
          <w:spacing w:val="-4"/>
        </w:rPr>
        <w:t>二线治疗中国原发耐药性弥漫大 </w:t>
      </w:r>
      <w:r>
        <w:rPr/>
        <w:t>B</w:t>
      </w:r>
      <w:r>
        <w:rPr>
          <w:spacing w:val="-13"/>
        </w:rPr>
        <w:t> 细胞淋巴瘤患者的 </w:t>
      </w:r>
      <w:r>
        <w:rPr>
          <w:w w:val="95"/>
        </w:rPr>
        <w:t>I </w:t>
      </w:r>
      <w:r>
        <w:rPr>
          <w:spacing w:val="-2"/>
        </w:rPr>
        <w:t>期开放、单臂、多中心</w:t>
      </w:r>
      <w:r>
        <w:rPr/>
        <w:t>研究的初步有效性和安全性结果、以及（3）倍诺达®</w:t>
      </w:r>
      <w:r>
        <w:rPr>
          <w:spacing w:val="-5"/>
        </w:rPr>
        <w:t>治疗难治和复发性 </w:t>
      </w:r>
      <w:r>
        <w:rPr/>
        <w:t>B</w:t>
      </w:r>
      <w:r>
        <w:rPr>
          <w:spacing w:val="-14"/>
        </w:rPr>
        <w:t> 细胞</w:t>
      </w:r>
      <w:r>
        <w:rPr>
          <w:spacing w:val="-20"/>
          <w:w w:val="110"/>
        </w:rPr>
        <w:t>非霍奇金淋巴瘤患者的 </w:t>
      </w:r>
      <w:r>
        <w:rPr>
          <w:w w:val="110"/>
        </w:rPr>
        <w:t>1</w:t>
      </w:r>
      <w:r>
        <w:rPr>
          <w:spacing w:val="-9"/>
          <w:w w:val="110"/>
        </w:rPr>
        <w:t> 期研究的两年生存随访数据更新。</w:t>
      </w:r>
    </w:p>
    <w:p>
      <w:pPr>
        <w:pStyle w:val="BodyText"/>
        <w:spacing w:line="237" w:lineRule="auto" w:before="59"/>
        <w:ind w:left="3713" w:right="216"/>
        <w:jc w:val="both"/>
      </w:pPr>
      <w:r>
        <w:rPr>
          <w:rFonts w:ascii="微软雅黑" w:hAnsi="微软雅黑" w:eastAsia="微软雅黑" w:hint="eastAsia"/>
          <w:b/>
        </w:rPr>
        <w:t>倍诺达</w:t>
      </w:r>
      <w:r>
        <w:rPr>
          <w:rFonts w:ascii="微软雅黑" w:hAnsi="微软雅黑" w:eastAsia="微软雅黑" w:hint="eastAsia"/>
          <w:b/>
          <w:w w:val="90"/>
        </w:rPr>
        <w:t>®</w:t>
      </w:r>
      <w:r>
        <w:rPr>
          <w:spacing w:val="-6"/>
        </w:rPr>
        <w:t>是药明巨诺在 </w:t>
      </w:r>
      <w:r>
        <w:rPr/>
        <w:t>Juno Therapeutics</w:t>
      </w:r>
      <w:r>
        <w:rPr>
          <w:spacing w:val="-24"/>
        </w:rPr>
        <w:t> 的 </w:t>
      </w:r>
      <w:r>
        <w:rPr/>
        <w:t>CAR-T</w:t>
      </w:r>
      <w:r>
        <w:rPr>
          <w:spacing w:val="-12"/>
        </w:rPr>
        <w:t> 细胞工艺平台的基础上，自</w:t>
      </w:r>
      <w:r>
        <w:rPr>
          <w:spacing w:val="-14"/>
        </w:rPr>
        <w:t>主开发的一款靶向 </w:t>
      </w:r>
      <w:r>
        <w:rPr/>
        <w:t>CD19</w:t>
      </w:r>
      <w:r>
        <w:rPr>
          <w:spacing w:val="-10"/>
        </w:rPr>
        <w:t> 的自体 </w:t>
      </w:r>
      <w:r>
        <w:rPr/>
        <w:t>CAR-T</w:t>
      </w:r>
      <w:r>
        <w:rPr>
          <w:spacing w:val="-5"/>
        </w:rPr>
        <w:t> 细胞免疫治疗产品。作为药明巨诺的首款产品，倍诺达®</w:t>
      </w:r>
      <w:r>
        <w:rPr>
          <w:spacing w:val="-18"/>
        </w:rPr>
        <w:t>已于 </w:t>
      </w:r>
      <w:r>
        <w:rPr/>
        <w:t>2021</w:t>
      </w:r>
      <w:r>
        <w:rPr>
          <w:spacing w:val="-29"/>
        </w:rPr>
        <w:t> 年 </w:t>
      </w:r>
      <w:r>
        <w:rPr/>
        <w:t>9</w:t>
      </w:r>
      <w:r>
        <w:rPr>
          <w:spacing w:val="-7"/>
        </w:rPr>
        <w:t> 月被国家药监局批准用于治疗经过二线或以上</w:t>
      </w:r>
    </w:p>
    <w:p>
      <w:pPr>
        <w:pStyle w:val="BodyText"/>
        <w:spacing w:line="259" w:lineRule="auto" w:before="19"/>
        <w:ind w:left="3713" w:right="215"/>
        <w:jc w:val="both"/>
      </w:pPr>
      <w:r>
        <w:rPr>
          <w:spacing w:val="-3"/>
        </w:rPr>
        <w:t>系统性治疗后成人患者的复发或难治性大 </w:t>
      </w:r>
      <w:r>
        <w:rPr/>
        <w:t>B</w:t>
      </w:r>
      <w:r>
        <w:rPr>
          <w:spacing w:val="-12"/>
        </w:rPr>
        <w:t> 细胞淋巴瘤</w:t>
      </w:r>
      <w:r>
        <w:rPr/>
        <w:t>（r/r </w:t>
      </w:r>
      <w:r>
        <w:rPr>
          <w:spacing w:val="-7"/>
        </w:rPr>
        <w:t>LBCL）</w:t>
      </w:r>
      <w:r>
        <w:rPr>
          <w:spacing w:val="-5"/>
        </w:rPr>
        <w:t>，成为中国</w:t>
      </w:r>
      <w:r>
        <w:rPr>
          <w:spacing w:val="-9"/>
        </w:rPr>
        <w:t>首个获批为 </w:t>
      </w:r>
      <w:r>
        <w:rPr/>
        <w:t>1</w:t>
      </w:r>
      <w:r>
        <w:rPr>
          <w:spacing w:val="-14"/>
        </w:rPr>
        <w:t> 类生物制品的 </w:t>
      </w:r>
      <w:r>
        <w:rPr/>
        <w:t>CAR-T</w:t>
      </w:r>
      <w:r>
        <w:rPr>
          <w:spacing w:val="-12"/>
        </w:rPr>
        <w:t> 产品。</w:t>
      </w:r>
    </w:p>
    <w:p>
      <w:pPr>
        <w:pStyle w:val="BodyText"/>
      </w:pPr>
    </w:p>
    <w:p>
      <w:pPr>
        <w:pStyle w:val="BodyText"/>
        <w:spacing w:before="4"/>
      </w:pPr>
    </w:p>
    <w:p>
      <w:pPr>
        <w:pStyle w:val="Heading3"/>
        <w:numPr>
          <w:ilvl w:val="0"/>
          <w:numId w:val="1"/>
        </w:numPr>
        <w:tabs>
          <w:tab w:pos="3925" w:val="left" w:leader="none"/>
        </w:tabs>
        <w:spacing w:line="182" w:lineRule="auto" w:before="1" w:after="0"/>
        <w:ind w:left="3713" w:right="213" w:firstLine="0"/>
        <w:jc w:val="left"/>
      </w:pPr>
      <w:r>
        <w:rPr>
          <w:color w:val="C54322"/>
        </w:rPr>
        <w:t>治疗中国难治/</w:t>
      </w:r>
      <w:r>
        <w:rPr>
          <w:color w:val="C54322"/>
          <w:spacing w:val="-1"/>
        </w:rPr>
        <w:t>复发性弥漫大 </w:t>
      </w:r>
      <w:r>
        <w:rPr>
          <w:color w:val="C54322"/>
        </w:rPr>
        <w:t>B</w:t>
      </w:r>
      <w:r>
        <w:rPr>
          <w:color w:val="C54322"/>
          <w:spacing w:val="-3"/>
        </w:rPr>
        <w:t> 淋巴瘤患者的多中心 </w:t>
      </w:r>
      <w:r>
        <w:rPr>
          <w:color w:val="C54322"/>
        </w:rPr>
        <w:t>II</w:t>
      </w:r>
      <w:r>
        <w:rPr>
          <w:color w:val="C54322"/>
          <w:spacing w:val="-3"/>
        </w:rPr>
        <w:t> 期 </w:t>
      </w:r>
      <w:r>
        <w:rPr>
          <w:color w:val="C54322"/>
        </w:rPr>
        <w:t>RELIANCE</w:t>
      </w:r>
      <w:r>
        <w:rPr>
          <w:color w:val="C54322"/>
          <w:spacing w:val="-2"/>
        </w:rPr>
        <w:t> 临床研究：2</w:t>
      </w:r>
      <w:r>
        <w:rPr>
          <w:color w:val="C54322"/>
          <w:spacing w:val="-3"/>
        </w:rPr>
        <w:t> 年随访结果</w:t>
      </w:r>
    </w:p>
    <w:p>
      <w:pPr>
        <w:pStyle w:val="BodyText"/>
        <w:spacing w:line="259" w:lineRule="auto" w:before="114"/>
        <w:ind w:left="3713" w:right="212"/>
      </w:pPr>
      <w:r>
        <w:rPr>
          <w:w w:val="105"/>
        </w:rPr>
        <w:t>RELIACE</w:t>
      </w:r>
      <w:r>
        <w:rPr>
          <w:spacing w:val="-7"/>
          <w:w w:val="105"/>
        </w:rPr>
        <w:t> 研究是国家药监局</w:t>
      </w:r>
      <w:r>
        <w:rPr>
          <w:w w:val="105"/>
        </w:rPr>
        <w:t>（NMPA）</w:t>
      </w:r>
      <w:r>
        <w:rPr>
          <w:spacing w:val="-8"/>
          <w:w w:val="105"/>
        </w:rPr>
        <w:t>批准的首个 </w:t>
      </w:r>
      <w:r>
        <w:rPr>
          <w:w w:val="105"/>
        </w:rPr>
        <w:t>CD19</w:t>
      </w:r>
      <w:r>
        <w:rPr>
          <w:spacing w:val="-24"/>
          <w:w w:val="105"/>
        </w:rPr>
        <w:t> 靶向 </w:t>
      </w:r>
      <w:r>
        <w:rPr>
          <w:w w:val="105"/>
        </w:rPr>
        <w:t>CAR-T</w:t>
      </w:r>
      <w:r>
        <w:rPr>
          <w:spacing w:val="-10"/>
          <w:w w:val="105"/>
        </w:rPr>
        <w:t> 治疗的关</w:t>
      </w:r>
      <w:r>
        <w:rPr>
          <w:spacing w:val="-13"/>
        </w:rPr>
        <w:t>键研究。共有 </w:t>
      </w:r>
      <w:r>
        <w:rPr/>
        <w:t>59</w:t>
      </w:r>
      <w:r>
        <w:rPr>
          <w:spacing w:val="-12"/>
        </w:rPr>
        <w:t> 例复发</w:t>
      </w:r>
      <w:r>
        <w:rPr/>
        <w:t>/</w:t>
      </w:r>
      <w:r>
        <w:rPr>
          <w:spacing w:val="-2"/>
        </w:rPr>
        <w:t>难治性</w:t>
      </w:r>
      <w:r>
        <w:rPr/>
        <w:t>（r/r）</w:t>
      </w:r>
      <w:r>
        <w:rPr>
          <w:spacing w:val="-23"/>
        </w:rPr>
        <w:t>大 </w:t>
      </w:r>
      <w:r>
        <w:rPr/>
        <w:t>B</w:t>
      </w:r>
      <w:r>
        <w:rPr>
          <w:spacing w:val="-9"/>
        </w:rPr>
        <w:t> 细胞淋巴瘤</w:t>
      </w:r>
      <w:r>
        <w:rPr/>
        <w:t>（LBCL）患者接受倍诺</w:t>
      </w:r>
      <w:r>
        <w:rPr>
          <w:w w:val="105"/>
        </w:rPr>
        <w:t>达</w:t>
      </w:r>
      <w:r>
        <w:rPr/>
        <w:t>®</w:t>
      </w:r>
      <w:r>
        <w:rPr>
          <w:spacing w:val="-5"/>
          <w:w w:val="105"/>
        </w:rPr>
        <w:t>的单次输注治疗，并完成长达 </w:t>
      </w:r>
      <w:r>
        <w:rPr>
          <w:w w:val="105"/>
        </w:rPr>
        <w:t>2</w:t>
      </w:r>
      <w:r>
        <w:rPr>
          <w:spacing w:val="-8"/>
          <w:w w:val="105"/>
        </w:rPr>
        <w:t> 年随访。结果包括：</w:t>
      </w:r>
    </w:p>
    <w:p>
      <w:pPr>
        <w:spacing w:line="356" w:lineRule="exact" w:before="57"/>
        <w:ind w:left="3713" w:right="0" w:firstLine="0"/>
        <w:jc w:val="left"/>
        <w:rPr>
          <w:sz w:val="20"/>
        </w:rPr>
      </w:pPr>
      <w:r>
        <w:rPr>
          <w:sz w:val="20"/>
        </w:rPr>
        <w:t>① </w:t>
      </w:r>
      <w:r>
        <w:rPr>
          <w:rFonts w:ascii="微软雅黑" w:hAnsi="微软雅黑" w:eastAsia="微软雅黑" w:hint="eastAsia"/>
          <w:b/>
          <w:sz w:val="20"/>
        </w:rPr>
        <w:t>持续缓解并长期生存获益</w:t>
      </w:r>
      <w:r>
        <w:rPr>
          <w:sz w:val="20"/>
        </w:rPr>
        <w:t>。 在 58 例可评估有效性患者中，最佳客观缓解率</w:t>
      </w:r>
    </w:p>
    <w:p>
      <w:pPr>
        <w:pStyle w:val="BodyText"/>
        <w:spacing w:line="243" w:lineRule="exact"/>
        <w:ind w:left="3713"/>
      </w:pPr>
      <w:r>
        <w:rPr>
          <w:w w:val="105"/>
        </w:rPr>
        <w:t>（ORR）为 77.6%，最佳完全缓解率（CRR）为 53.5%，2 年总生存（OS）率</w:t>
      </w:r>
    </w:p>
    <w:p>
      <w:pPr>
        <w:pStyle w:val="BodyText"/>
        <w:spacing w:before="19"/>
        <w:ind w:left="3713"/>
      </w:pPr>
      <w:r>
        <w:rPr>
          <w:w w:val="105"/>
        </w:rPr>
        <w:t>为 69.0%。</w:t>
      </w:r>
    </w:p>
    <w:p>
      <w:pPr>
        <w:pStyle w:val="BodyText"/>
        <w:spacing w:line="235" w:lineRule="auto" w:before="84"/>
        <w:ind w:left="3713" w:right="116"/>
      </w:pPr>
      <w:r>
        <w:rPr>
          <w:spacing w:val="47"/>
        </w:rPr>
        <w:t>② </w:t>
      </w:r>
      <w:r>
        <w:rPr>
          <w:rFonts w:ascii="微软雅黑" w:hAnsi="微软雅黑" w:eastAsia="微软雅黑" w:hint="eastAsia"/>
          <w:b/>
        </w:rPr>
        <w:t>可控的安全性</w:t>
      </w:r>
      <w:r>
        <w:rPr>
          <w:spacing w:val="-7"/>
        </w:rPr>
        <w:t>。包括较低的细胞因子释放综合征</w:t>
      </w:r>
      <w:r>
        <w:rPr>
          <w:spacing w:val="-4"/>
        </w:rPr>
        <w:t>（CRS）</w:t>
      </w:r>
      <w:r>
        <w:rPr>
          <w:spacing w:val="-5"/>
        </w:rPr>
        <w:t>和神经毒性</w:t>
      </w:r>
      <w:r>
        <w:rPr>
          <w:spacing w:val="-10"/>
        </w:rPr>
        <w:t>（NT）， </w:t>
      </w:r>
      <w:r>
        <w:rPr>
          <w:w w:val="99"/>
        </w:rPr>
        <w:t>所有级别及重度（</w:t>
      </w:r>
      <w:r>
        <w:rPr>
          <w:w w:val="103"/>
        </w:rPr>
        <w:t>≥3</w:t>
      </w:r>
      <w:r>
        <w:rPr>
          <w:spacing w:val="-50"/>
        </w:rPr>
        <w:t> </w:t>
      </w:r>
      <w:r>
        <w:rPr>
          <w:spacing w:val="2"/>
          <w:w w:val="99"/>
        </w:rPr>
        <w:t>级）</w:t>
      </w:r>
      <w:r>
        <w:rPr>
          <w:w w:val="126"/>
        </w:rPr>
        <w:t>CR</w:t>
      </w:r>
      <w:r>
        <w:rPr>
          <w:w w:val="118"/>
        </w:rPr>
        <w:t>S</w:t>
      </w:r>
      <w:r>
        <w:rPr>
          <w:spacing w:val="-48"/>
        </w:rPr>
        <w:t> </w:t>
      </w:r>
      <w:r>
        <w:rPr>
          <w:w w:val="99"/>
        </w:rPr>
        <w:t>的发生率分别为</w:t>
      </w:r>
      <w:r>
        <w:rPr>
          <w:spacing w:val="-50"/>
        </w:rPr>
        <w:t> </w:t>
      </w:r>
      <w:r>
        <w:rPr>
          <w:w w:val="110"/>
        </w:rPr>
        <w:t>4</w:t>
      </w:r>
      <w:r>
        <w:rPr>
          <w:spacing w:val="1"/>
          <w:w w:val="110"/>
        </w:rPr>
        <w:t>7</w:t>
      </w:r>
      <w:r>
        <w:rPr>
          <w:w w:val="82"/>
        </w:rPr>
        <w:t>.</w:t>
      </w:r>
      <w:r>
        <w:rPr>
          <w:spacing w:val="1"/>
          <w:w w:val="82"/>
        </w:rPr>
        <w:t>5</w:t>
      </w:r>
      <w:r>
        <w:rPr>
          <w:spacing w:val="1"/>
          <w:w w:val="183"/>
        </w:rPr>
        <w:t>%</w:t>
      </w:r>
      <w:r>
        <w:rPr>
          <w:w w:val="99"/>
        </w:rPr>
        <w:t>、</w:t>
      </w:r>
      <w:r>
        <w:rPr>
          <w:w w:val="92"/>
        </w:rPr>
        <w:t>5.</w:t>
      </w:r>
      <w:r>
        <w:rPr>
          <w:spacing w:val="1"/>
          <w:w w:val="92"/>
        </w:rPr>
        <w:t>1</w:t>
      </w:r>
      <w:r>
        <w:rPr>
          <w:spacing w:val="-1"/>
          <w:w w:val="183"/>
        </w:rPr>
        <w:t>%</w:t>
      </w:r>
      <w:r>
        <w:rPr>
          <w:w w:val="99"/>
        </w:rPr>
        <w:t>；所有级别及重</w:t>
      </w:r>
      <w:r>
        <w:rPr>
          <w:spacing w:val="-29"/>
          <w:w w:val="99"/>
        </w:rPr>
        <w:t>度</w:t>
      </w:r>
      <w:r>
        <w:rPr>
          <w:w w:val="99"/>
        </w:rPr>
        <w:t>（</w:t>
      </w:r>
      <w:r>
        <w:rPr>
          <w:w w:val="103"/>
        </w:rPr>
        <w:t>≥3</w:t>
      </w:r>
      <w:r>
        <w:rPr>
          <w:spacing w:val="-50"/>
        </w:rPr>
        <w:t> </w:t>
      </w:r>
      <w:r>
        <w:rPr>
          <w:spacing w:val="2"/>
          <w:w w:val="99"/>
        </w:rPr>
        <w:t>级</w:t>
      </w:r>
      <w:r>
        <w:rPr>
          <w:spacing w:val="-29"/>
          <w:w w:val="99"/>
        </w:rPr>
        <w:t>）</w:t>
      </w:r>
      <w:r>
        <w:rPr>
          <w:w w:val="131"/>
        </w:rPr>
        <w:t>NT</w:t>
      </w:r>
      <w:r>
        <w:rPr>
          <w:spacing w:val="-49"/>
        </w:rPr>
        <w:t> </w:t>
      </w:r>
      <w:r>
        <w:rPr>
          <w:w w:val="99"/>
        </w:rPr>
        <w:t>的发生率为分别为</w:t>
      </w:r>
      <w:r>
        <w:rPr>
          <w:spacing w:val="-49"/>
        </w:rPr>
        <w:t> </w:t>
      </w:r>
      <w:r>
        <w:rPr>
          <w:w w:val="110"/>
        </w:rPr>
        <w:t>2</w:t>
      </w:r>
      <w:r>
        <w:rPr>
          <w:spacing w:val="1"/>
          <w:w w:val="110"/>
        </w:rPr>
        <w:t>0</w:t>
      </w:r>
      <w:r>
        <w:rPr>
          <w:w w:val="82"/>
        </w:rPr>
        <w:t>.</w:t>
      </w:r>
      <w:r>
        <w:rPr>
          <w:spacing w:val="1"/>
          <w:w w:val="82"/>
        </w:rPr>
        <w:t>3</w:t>
      </w:r>
      <w:r>
        <w:rPr>
          <w:spacing w:val="-1"/>
          <w:w w:val="183"/>
        </w:rPr>
        <w:t>%</w:t>
      </w:r>
      <w:r>
        <w:rPr>
          <w:spacing w:val="-29"/>
          <w:w w:val="99"/>
        </w:rPr>
        <w:t>、</w:t>
      </w:r>
      <w:r>
        <w:rPr>
          <w:w w:val="82"/>
        </w:rPr>
        <w:t>3</w:t>
      </w:r>
      <w:r>
        <w:rPr>
          <w:spacing w:val="1"/>
          <w:w w:val="82"/>
        </w:rPr>
        <w:t>.</w:t>
      </w:r>
      <w:r>
        <w:rPr>
          <w:w w:val="147"/>
        </w:rPr>
        <w:t>4</w:t>
      </w:r>
      <w:r>
        <w:rPr>
          <w:spacing w:val="1"/>
          <w:w w:val="147"/>
        </w:rPr>
        <w:t>%</w:t>
      </w:r>
      <w:r>
        <w:rPr>
          <w:spacing w:val="-8"/>
          <w:w w:val="99"/>
        </w:rPr>
        <w:t>。最常见</w:t>
      </w:r>
      <w:r>
        <w:rPr>
          <w:w w:val="103"/>
        </w:rPr>
        <w:t>≥3</w:t>
      </w:r>
      <w:r>
        <w:rPr>
          <w:spacing w:val="-50"/>
        </w:rPr>
        <w:t> </w:t>
      </w:r>
      <w:r>
        <w:rPr>
          <w:spacing w:val="-6"/>
          <w:w w:val="99"/>
        </w:rPr>
        <w:t>级不良反应</w:t>
      </w:r>
      <w:r>
        <w:rPr>
          <w:w w:val="99"/>
        </w:rPr>
        <w:t>（</w:t>
      </w:r>
      <w:r>
        <w:rPr>
          <w:spacing w:val="-1"/>
          <w:w w:val="119"/>
        </w:rPr>
        <w:t>A</w:t>
      </w:r>
      <w:r>
        <w:rPr>
          <w:spacing w:val="2"/>
          <w:w w:val="119"/>
        </w:rPr>
        <w:t>E</w:t>
      </w:r>
      <w:r>
        <w:rPr>
          <w:w w:val="99"/>
        </w:rPr>
        <w:t>）</w:t>
      </w:r>
    </w:p>
    <w:p>
      <w:pPr>
        <w:pStyle w:val="BodyText"/>
        <w:spacing w:before="26"/>
        <w:ind w:left="3713"/>
      </w:pPr>
      <w:r>
        <w:rPr/>
        <w:t>是中性粒细胞减少症、白细胞减少症。</w:t>
      </w:r>
    </w:p>
    <w:p>
      <w:pPr>
        <w:pStyle w:val="BodyText"/>
      </w:pPr>
    </w:p>
    <w:p>
      <w:pPr>
        <w:pStyle w:val="BodyText"/>
        <w:spacing w:before="2"/>
        <w:rPr>
          <w:sz w:val="22"/>
        </w:rPr>
      </w:pPr>
    </w:p>
    <w:p>
      <w:pPr>
        <w:pStyle w:val="Heading3"/>
        <w:numPr>
          <w:ilvl w:val="0"/>
          <w:numId w:val="1"/>
        </w:numPr>
        <w:tabs>
          <w:tab w:pos="3925" w:val="left" w:leader="none"/>
        </w:tabs>
        <w:spacing w:line="180" w:lineRule="auto" w:before="0" w:after="0"/>
        <w:ind w:left="3713" w:right="214" w:firstLine="0"/>
        <w:jc w:val="left"/>
      </w:pPr>
      <w:r>
        <w:rPr>
          <w:color w:val="C54322"/>
          <w:spacing w:val="1"/>
        </w:rPr>
        <w:t>二线治疗中国原发难治性弥漫大</w:t>
      </w:r>
      <w:r>
        <w:rPr>
          <w:color w:val="C54322"/>
        </w:rPr>
        <w:t>B</w:t>
      </w:r>
      <w:r>
        <w:rPr>
          <w:color w:val="C54322"/>
          <w:spacing w:val="-3"/>
        </w:rPr>
        <w:t> 细胞淋巴瘤患者的</w:t>
      </w:r>
      <w:r>
        <w:rPr>
          <w:color w:val="C54322"/>
        </w:rPr>
        <w:t>I</w:t>
      </w:r>
      <w:r>
        <w:rPr>
          <w:color w:val="C54322"/>
          <w:spacing w:val="-7"/>
        </w:rPr>
        <w:t> 期开放、多中心、单臂</w:t>
      </w:r>
      <w:r>
        <w:rPr>
          <w:color w:val="C54322"/>
        </w:rPr>
        <w:t>研究的初步安全性和有效性结果</w:t>
      </w:r>
    </w:p>
    <w:p>
      <w:pPr>
        <w:pStyle w:val="BodyText"/>
        <w:spacing w:line="259" w:lineRule="auto" w:before="119"/>
        <w:ind w:left="3713" w:right="217"/>
        <w:jc w:val="both"/>
      </w:pPr>
      <w:r>
        <w:rPr>
          <w:spacing w:val="-4"/>
        </w:rPr>
        <w:t>该研究是在中国开展的开放、单臂、多中心 </w:t>
      </w:r>
      <w:r>
        <w:rPr/>
        <w:t>I</w:t>
      </w:r>
      <w:r>
        <w:rPr>
          <w:spacing w:val="-9"/>
        </w:rPr>
        <w:t> 期临床研究，旨在评估倍诺达</w:t>
      </w:r>
      <w:r>
        <w:rPr/>
        <w:t>®用</w:t>
      </w:r>
      <w:r>
        <w:rPr>
          <w:w w:val="99"/>
        </w:rPr>
        <w:t>于治疗已接受了一线标准治疗</w:t>
      </w:r>
      <w:r>
        <w:rPr>
          <w:spacing w:val="1"/>
          <w:w w:val="99"/>
        </w:rPr>
        <w:t>（</w:t>
      </w:r>
      <w:r>
        <w:rPr>
          <w:w w:val="126"/>
        </w:rPr>
        <w:t>R</w:t>
      </w:r>
      <w:r>
        <w:rPr>
          <w:w w:val="69"/>
        </w:rPr>
        <w:t>-</w:t>
      </w:r>
      <w:r>
        <w:rPr>
          <w:w w:val="136"/>
        </w:rPr>
        <w:t>C</w:t>
      </w:r>
      <w:r>
        <w:rPr>
          <w:spacing w:val="-1"/>
          <w:w w:val="136"/>
        </w:rPr>
        <w:t>H</w:t>
      </w:r>
      <w:r>
        <w:rPr>
          <w:spacing w:val="3"/>
          <w:w w:val="147"/>
        </w:rPr>
        <w:t>O</w:t>
      </w:r>
      <w:r>
        <w:rPr>
          <w:spacing w:val="-1"/>
          <w:w w:val="125"/>
        </w:rPr>
        <w:t>P</w:t>
      </w:r>
      <w:r>
        <w:rPr>
          <w:spacing w:val="2"/>
          <w:w w:val="99"/>
        </w:rPr>
        <w:t>）</w:t>
      </w:r>
      <w:r>
        <w:rPr>
          <w:w w:val="99"/>
        </w:rPr>
        <w:t>后临床疗效不佳的原发难治性</w:t>
      </w:r>
      <w:r>
        <w:rPr/>
        <w:t> </w:t>
      </w:r>
      <w:r>
        <w:rPr>
          <w:w w:val="119"/>
        </w:rPr>
        <w:t>L</w:t>
      </w:r>
      <w:r>
        <w:rPr>
          <w:spacing w:val="1"/>
          <w:w w:val="119"/>
        </w:rPr>
        <w:t>B</w:t>
      </w:r>
      <w:r>
        <w:rPr>
          <w:w w:val="117"/>
        </w:rPr>
        <w:t>CL</w:t>
      </w:r>
      <w:r>
        <w:rPr>
          <w:spacing w:val="-10"/>
        </w:rPr>
        <w:t>患者的安全性和有效性。共有 </w:t>
      </w:r>
      <w:r>
        <w:rPr/>
        <w:t>12</w:t>
      </w:r>
      <w:r>
        <w:rPr>
          <w:spacing w:val="-9"/>
        </w:rPr>
        <w:t> 例原发难治性 </w:t>
      </w:r>
      <w:r>
        <w:rPr/>
        <w:t>LBCL</w:t>
      </w:r>
      <w:r>
        <w:rPr>
          <w:spacing w:val="-6"/>
        </w:rPr>
        <w:t> 患者接受了倍诺达</w:t>
      </w:r>
      <w:r>
        <w:rPr/>
        <w:t>®的输注</w:t>
      </w:r>
      <w:r>
        <w:rPr>
          <w:spacing w:val="-10"/>
          <w:w w:val="105"/>
        </w:rPr>
        <w:t>治疗并完成 </w:t>
      </w:r>
      <w:r>
        <w:rPr>
          <w:w w:val="105"/>
        </w:rPr>
        <w:t>9</w:t>
      </w:r>
      <w:r>
        <w:rPr>
          <w:spacing w:val="-8"/>
          <w:w w:val="105"/>
        </w:rPr>
        <w:t> 个月随访。结果包括：</w:t>
      </w:r>
    </w:p>
    <w:p>
      <w:pPr>
        <w:pStyle w:val="BodyText"/>
        <w:spacing w:line="237" w:lineRule="auto" w:before="58"/>
        <w:ind w:left="3713" w:right="218"/>
        <w:jc w:val="both"/>
      </w:pPr>
      <w:r>
        <w:rPr>
          <w:spacing w:val="-7"/>
          <w:w w:val="105"/>
        </w:rPr>
        <w:t>① </w:t>
      </w:r>
      <w:r>
        <w:rPr>
          <w:rFonts w:ascii="微软雅黑" w:hAnsi="微软雅黑" w:eastAsia="微软雅黑" w:hint="eastAsia"/>
          <w:b/>
          <w:w w:val="105"/>
        </w:rPr>
        <w:t>安全性</w:t>
      </w:r>
      <w:r>
        <w:rPr>
          <w:spacing w:val="-4"/>
          <w:w w:val="105"/>
        </w:rPr>
        <w:t>： 未观察到≥</w:t>
      </w:r>
      <w:r>
        <w:rPr>
          <w:w w:val="105"/>
        </w:rPr>
        <w:t>3</w:t>
      </w:r>
      <w:r>
        <w:rPr>
          <w:spacing w:val="-39"/>
          <w:w w:val="105"/>
        </w:rPr>
        <w:t> 级 </w:t>
      </w:r>
      <w:r>
        <w:rPr>
          <w:w w:val="105"/>
        </w:rPr>
        <w:t>CRS</w:t>
      </w:r>
      <w:r>
        <w:rPr>
          <w:spacing w:val="-40"/>
          <w:w w:val="105"/>
        </w:rPr>
        <w:t> 和 </w:t>
      </w:r>
      <w:r>
        <w:rPr>
          <w:w w:val="105"/>
        </w:rPr>
        <w:t>NT，6</w:t>
      </w:r>
      <w:r>
        <w:rPr>
          <w:spacing w:val="-18"/>
          <w:w w:val="105"/>
        </w:rPr>
        <w:t> 例患者出现 </w:t>
      </w:r>
      <w:r>
        <w:rPr>
          <w:w w:val="105"/>
        </w:rPr>
        <w:t>2</w:t>
      </w:r>
      <w:r>
        <w:rPr>
          <w:spacing w:val="-24"/>
          <w:w w:val="105"/>
        </w:rPr>
        <w:t> 级以下 </w:t>
      </w:r>
      <w:r>
        <w:rPr>
          <w:w w:val="105"/>
        </w:rPr>
        <w:t>CRS，2</w:t>
      </w:r>
      <w:r>
        <w:rPr>
          <w:spacing w:val="-20"/>
          <w:w w:val="105"/>
        </w:rPr>
        <w:t> 例患</w:t>
      </w:r>
      <w:r>
        <w:rPr>
          <w:spacing w:val="-17"/>
        </w:rPr>
        <w:t>者出现 </w:t>
      </w:r>
      <w:r>
        <w:rPr/>
        <w:t>NT（1</w:t>
      </w:r>
      <w:r>
        <w:rPr>
          <w:spacing w:val="-1"/>
        </w:rPr>
        <w:t> 级</w:t>
      </w:r>
      <w:r>
        <w:rPr/>
        <w:t>）。最常见研究治疗相关的≥3</w:t>
      </w:r>
      <w:r>
        <w:rPr>
          <w:spacing w:val="-2"/>
        </w:rPr>
        <w:t> 级不良反应</w:t>
      </w:r>
      <w:r>
        <w:rPr/>
        <w:t>（TEAE）</w:t>
      </w:r>
      <w:r>
        <w:rPr>
          <w:spacing w:val="-4"/>
        </w:rPr>
        <w:t>是血细胞</w:t>
      </w:r>
      <w:r>
        <w:rPr>
          <w:w w:val="105"/>
        </w:rPr>
        <w:t>减少症。</w:t>
      </w:r>
    </w:p>
    <w:p>
      <w:pPr>
        <w:pStyle w:val="BodyText"/>
        <w:spacing w:line="237" w:lineRule="auto" w:before="79"/>
        <w:ind w:left="3713" w:right="179"/>
      </w:pPr>
      <w:r>
        <w:rPr>
          <w:w w:val="99"/>
        </w:rPr>
        <w:t>②</w:t>
      </w:r>
      <w:r>
        <w:rPr/>
        <w:t> </w:t>
      </w:r>
      <w:r>
        <w:rPr>
          <w:rFonts w:ascii="微软雅黑" w:hAnsi="微软雅黑" w:eastAsia="微软雅黑" w:hint="eastAsia"/>
          <w:b/>
          <w:spacing w:val="1"/>
          <w:w w:val="99"/>
        </w:rPr>
        <w:t>有效性</w:t>
      </w:r>
      <w:r>
        <w:rPr>
          <w:w w:val="99"/>
        </w:rPr>
        <w:t>：</w:t>
      </w:r>
      <w:r>
        <w:rPr/>
        <w:t> </w:t>
      </w:r>
      <w:r>
        <w:rPr>
          <w:w w:val="99"/>
        </w:rPr>
        <w:t>最佳客观缓解率（</w:t>
      </w:r>
      <w:r>
        <w:rPr>
          <w:w w:val="147"/>
        </w:rPr>
        <w:t>O</w:t>
      </w:r>
      <w:r>
        <w:rPr>
          <w:w w:val="126"/>
        </w:rPr>
        <w:t>R</w:t>
      </w:r>
      <w:r>
        <w:rPr>
          <w:spacing w:val="1"/>
          <w:w w:val="126"/>
        </w:rPr>
        <w:t>R</w:t>
      </w:r>
      <w:r>
        <w:rPr>
          <w:w w:val="99"/>
        </w:rPr>
        <w:t>）为</w:t>
      </w:r>
      <w:r>
        <w:rPr/>
        <w:t> </w:t>
      </w:r>
      <w:r>
        <w:rPr>
          <w:w w:val="110"/>
        </w:rPr>
        <w:t>7</w:t>
      </w:r>
      <w:r>
        <w:rPr>
          <w:spacing w:val="1"/>
          <w:w w:val="110"/>
        </w:rPr>
        <w:t>5</w:t>
      </w:r>
      <w:r>
        <w:rPr>
          <w:w w:val="82"/>
        </w:rPr>
        <w:t>.</w:t>
      </w:r>
      <w:r>
        <w:rPr>
          <w:spacing w:val="1"/>
          <w:w w:val="82"/>
        </w:rPr>
        <w:t>0</w:t>
      </w:r>
      <w:r>
        <w:rPr>
          <w:spacing w:val="-1"/>
          <w:w w:val="183"/>
        </w:rPr>
        <w:t>%</w:t>
      </w:r>
      <w:r>
        <w:rPr>
          <w:w w:val="99"/>
        </w:rPr>
        <w:t>，最佳完全缓解率</w:t>
      </w:r>
      <w:r>
        <w:rPr>
          <w:spacing w:val="1"/>
          <w:w w:val="99"/>
        </w:rPr>
        <w:t>（</w:t>
      </w:r>
      <w:r>
        <w:rPr>
          <w:w w:val="126"/>
        </w:rPr>
        <w:t>CR</w:t>
      </w:r>
      <w:r>
        <w:rPr>
          <w:w w:val="126"/>
        </w:rPr>
        <w:t>R</w:t>
      </w:r>
      <w:r>
        <w:rPr>
          <w:spacing w:val="2"/>
          <w:w w:val="99"/>
        </w:rPr>
        <w:t>）为 </w:t>
      </w:r>
      <w:r>
        <w:rPr>
          <w:spacing w:val="-10"/>
          <w:w w:val="105"/>
        </w:rPr>
        <w:t>33.3%，3</w:t>
      </w:r>
      <w:r>
        <w:rPr>
          <w:spacing w:val="-8"/>
          <w:w w:val="105"/>
        </w:rPr>
        <w:t> 个月的 </w:t>
      </w:r>
      <w:r>
        <w:rPr>
          <w:w w:val="105"/>
        </w:rPr>
        <w:t>ORR</w:t>
      </w:r>
      <w:r>
        <w:rPr>
          <w:spacing w:val="-68"/>
          <w:w w:val="105"/>
        </w:rPr>
        <w:t>、</w:t>
      </w:r>
      <w:r>
        <w:rPr>
          <w:w w:val="105"/>
        </w:rPr>
        <w:t>CRR</w:t>
      </w:r>
      <w:r>
        <w:rPr>
          <w:spacing w:val="-8"/>
          <w:w w:val="105"/>
        </w:rPr>
        <w:t> 分别为 </w:t>
      </w:r>
      <w:r>
        <w:rPr>
          <w:w w:val="105"/>
        </w:rPr>
        <w:t>41.7</w:t>
      </w:r>
      <w:r>
        <w:rPr>
          <w:spacing w:val="-34"/>
          <w:w w:val="105"/>
        </w:rPr>
        <w:t>%、</w:t>
      </w:r>
      <w:r>
        <w:rPr>
          <w:w w:val="105"/>
        </w:rPr>
        <w:t>33.3</w:t>
      </w:r>
      <w:r>
        <w:rPr>
          <w:spacing w:val="-16"/>
          <w:w w:val="105"/>
        </w:rPr>
        <w:t>%。中位缓解持续时间</w:t>
      </w:r>
      <w:r>
        <w:rPr>
          <w:spacing w:val="-13"/>
          <w:w w:val="105"/>
        </w:rPr>
        <w:t>（DOR）</w:t>
      </w:r>
      <w:r>
        <w:rPr>
          <w:spacing w:val="-65"/>
          <w:w w:val="105"/>
        </w:rPr>
        <w:t>、</w:t>
      </w:r>
      <w:r>
        <w:rPr>
          <w:spacing w:val="-21"/>
          <w:w w:val="110"/>
        </w:rPr>
        <w:t>中位 </w:t>
      </w:r>
      <w:r>
        <w:rPr>
          <w:w w:val="110"/>
        </w:rPr>
        <w:t>OS</w:t>
      </w:r>
      <w:r>
        <w:rPr>
          <w:spacing w:val="-10"/>
          <w:w w:val="110"/>
        </w:rPr>
        <w:t> 均未达到。</w:t>
      </w:r>
    </w:p>
    <w:p>
      <w:pPr>
        <w:spacing w:after="0" w:line="237" w:lineRule="auto"/>
        <w:sectPr>
          <w:pgSz w:w="11910" w:h="16840"/>
          <w:pgMar w:header="630" w:footer="139" w:top="1120" w:bottom="320" w:left="540" w:right="520"/>
        </w:sectPr>
      </w:pPr>
    </w:p>
    <w:p>
      <w:pPr>
        <w:pStyle w:val="BodyText"/>
        <w:spacing w:before="11"/>
        <w:rPr>
          <w:sz w:val="15"/>
        </w:rPr>
      </w:pPr>
    </w:p>
    <w:p>
      <w:pPr>
        <w:pStyle w:val="Heading3"/>
        <w:numPr>
          <w:ilvl w:val="0"/>
          <w:numId w:val="1"/>
        </w:numPr>
        <w:tabs>
          <w:tab w:pos="3925" w:val="left" w:leader="none"/>
        </w:tabs>
        <w:spacing w:line="180" w:lineRule="auto" w:before="81" w:after="0"/>
        <w:ind w:left="3713" w:right="211" w:firstLine="0"/>
        <w:jc w:val="left"/>
      </w:pPr>
      <w:r>
        <w:rPr>
          <w:color w:val="C54322"/>
        </w:rPr>
        <w:t>治疗难治和复发性 B 细胞非霍奇金淋巴瘤患者的 1</w:t>
      </w:r>
      <w:r>
        <w:rPr>
          <w:color w:val="C54322"/>
          <w:spacing w:val="-1"/>
        </w:rPr>
        <w:t> 期研究的两年生存随访数</w:t>
      </w:r>
      <w:r>
        <w:rPr>
          <w:color w:val="C54322"/>
        </w:rPr>
        <w:t>据更新</w:t>
      </w:r>
    </w:p>
    <w:p>
      <w:pPr>
        <w:pStyle w:val="BodyText"/>
        <w:spacing w:line="259" w:lineRule="auto" w:before="120"/>
        <w:ind w:left="3713" w:right="116"/>
      </w:pPr>
      <w:r>
        <w:rPr>
          <w:w w:val="99"/>
        </w:rPr>
        <w:t>该研究是一项针对倍诺达</w:t>
      </w:r>
      <w:r>
        <w:rPr>
          <w:spacing w:val="1"/>
          <w:w w:val="94"/>
        </w:rPr>
        <w:t>®</w:t>
      </w:r>
      <w:r>
        <w:rPr>
          <w:w w:val="99"/>
        </w:rPr>
        <w:t>治疗复发</w:t>
      </w:r>
      <w:r>
        <w:rPr>
          <w:spacing w:val="1"/>
          <w:w w:val="78"/>
        </w:rPr>
        <w:t>/</w:t>
      </w:r>
      <w:r>
        <w:rPr>
          <w:w w:val="99"/>
        </w:rPr>
        <w:t>难治性</w:t>
      </w:r>
      <w:r>
        <w:rPr>
          <w:spacing w:val="-50"/>
        </w:rPr>
        <w:t> </w:t>
      </w:r>
      <w:r>
        <w:rPr>
          <w:w w:val="130"/>
        </w:rPr>
        <w:t>B</w:t>
      </w:r>
      <w:r>
        <w:rPr>
          <w:spacing w:val="-49"/>
        </w:rPr>
        <w:t> </w:t>
      </w:r>
      <w:r>
        <w:rPr>
          <w:spacing w:val="-8"/>
          <w:w w:val="99"/>
        </w:rPr>
        <w:t>细胞非霍奇金淋巴瘤</w:t>
      </w:r>
      <w:r>
        <w:rPr>
          <w:w w:val="99"/>
        </w:rPr>
        <w:t>（</w:t>
      </w:r>
      <w:r>
        <w:rPr>
          <w:w w:val="77"/>
        </w:rPr>
        <w:t>r/</w:t>
      </w:r>
      <w:r>
        <w:rPr>
          <w:w w:val="77"/>
        </w:rPr>
        <w:t>r</w:t>
      </w:r>
      <w:r>
        <w:rPr>
          <w:spacing w:val="-56"/>
        </w:rPr>
        <w:t> </w:t>
      </w:r>
      <w:r>
        <w:rPr>
          <w:spacing w:val="1"/>
          <w:w w:val="130"/>
        </w:rPr>
        <w:t>B</w:t>
      </w:r>
      <w:r>
        <w:rPr>
          <w:w w:val="69"/>
        </w:rPr>
        <w:t>-</w:t>
      </w:r>
      <w:r>
        <w:rPr>
          <w:w w:val="144"/>
        </w:rPr>
        <w:t>N</w:t>
      </w:r>
      <w:r>
        <w:rPr>
          <w:spacing w:val="1"/>
          <w:w w:val="144"/>
        </w:rPr>
        <w:t>H</w:t>
      </w:r>
      <w:r>
        <w:rPr>
          <w:w w:val="107"/>
        </w:rPr>
        <w:t>L</w:t>
      </w:r>
      <w:r>
        <w:rPr>
          <w:w w:val="99"/>
        </w:rPr>
        <w:t>）</w:t>
      </w:r>
      <w:r>
        <w:rPr>
          <w:spacing w:val="-3"/>
          <w:w w:val="99"/>
        </w:rPr>
        <w:t>的开放、剂量递增</w:t>
      </w:r>
      <w:r>
        <w:rPr>
          <w:spacing w:val="-50"/>
        </w:rPr>
        <w:t> </w:t>
      </w:r>
      <w:r>
        <w:rPr>
          <w:w w:val="58"/>
        </w:rPr>
        <w:t>I</w:t>
      </w:r>
      <w:r>
        <w:rPr>
          <w:spacing w:val="-51"/>
        </w:rPr>
        <w:t> </w:t>
      </w:r>
      <w:r>
        <w:rPr>
          <w:spacing w:val="-4"/>
          <w:w w:val="99"/>
        </w:rPr>
        <w:t>期研究。共有</w:t>
      </w:r>
      <w:r>
        <w:rPr>
          <w:spacing w:val="-49"/>
        </w:rPr>
        <w:t> </w:t>
      </w:r>
      <w:r>
        <w:rPr>
          <w:spacing w:val="2"/>
          <w:w w:val="110"/>
        </w:rPr>
        <w:t>2</w:t>
      </w:r>
      <w:r>
        <w:rPr>
          <w:w w:val="110"/>
        </w:rPr>
        <w:t>2</w:t>
      </w:r>
      <w:r>
        <w:rPr>
          <w:spacing w:val="-50"/>
        </w:rPr>
        <w:t> </w:t>
      </w:r>
      <w:r>
        <w:rPr>
          <w:w w:val="99"/>
        </w:rPr>
        <w:t>例</w:t>
      </w:r>
      <w:r>
        <w:rPr>
          <w:spacing w:val="-50"/>
        </w:rPr>
        <w:t> </w:t>
      </w:r>
      <w:r>
        <w:rPr>
          <w:w w:val="77"/>
        </w:rPr>
        <w:t>r/</w:t>
      </w:r>
      <w:r>
        <w:rPr>
          <w:w w:val="77"/>
        </w:rPr>
        <w:t>r</w:t>
      </w:r>
      <w:r>
        <w:rPr>
          <w:spacing w:val="-56"/>
        </w:rPr>
        <w:t> </w:t>
      </w:r>
      <w:r>
        <w:rPr>
          <w:spacing w:val="1"/>
          <w:w w:val="130"/>
        </w:rPr>
        <w:t>B</w:t>
      </w:r>
      <w:r>
        <w:rPr>
          <w:w w:val="69"/>
        </w:rPr>
        <w:t>-</w:t>
      </w:r>
      <w:r>
        <w:rPr>
          <w:w w:val="144"/>
        </w:rPr>
        <w:t>N</w:t>
      </w:r>
      <w:r>
        <w:rPr>
          <w:spacing w:val="-1"/>
          <w:w w:val="144"/>
        </w:rPr>
        <w:t>H</w:t>
      </w:r>
      <w:r>
        <w:rPr>
          <w:w w:val="107"/>
        </w:rPr>
        <w:t>L</w:t>
      </w:r>
      <w:r>
        <w:rPr>
          <w:spacing w:val="-48"/>
        </w:rPr>
        <w:t> </w:t>
      </w:r>
      <w:r>
        <w:rPr>
          <w:w w:val="99"/>
        </w:rPr>
        <w:t>患者接受了倍诺达</w:t>
      </w:r>
      <w:r>
        <w:rPr>
          <w:spacing w:val="-1"/>
          <w:w w:val="94"/>
        </w:rPr>
        <w:t>®</w:t>
      </w:r>
      <w:r>
        <w:rPr>
          <w:w w:val="99"/>
        </w:rPr>
        <w:t>的单剂量</w:t>
      </w:r>
      <w:r>
        <w:rPr>
          <w:spacing w:val="-10"/>
          <w:w w:val="105"/>
        </w:rPr>
        <w:t>输注并完成 </w:t>
      </w:r>
      <w:r>
        <w:rPr>
          <w:w w:val="105"/>
        </w:rPr>
        <w:t>2</w:t>
      </w:r>
      <w:r>
        <w:rPr>
          <w:spacing w:val="-12"/>
          <w:w w:val="105"/>
        </w:rPr>
        <w:t> 年随访。</w:t>
      </w:r>
    </w:p>
    <w:p>
      <w:pPr>
        <w:pStyle w:val="BodyText"/>
        <w:spacing w:line="259" w:lineRule="auto" w:before="120"/>
        <w:ind w:left="3713" w:right="115"/>
      </w:pPr>
      <w:r>
        <w:rPr>
          <w:spacing w:val="-25"/>
          <w:w w:val="105"/>
        </w:rPr>
        <w:t>基于 </w:t>
      </w:r>
      <w:r>
        <w:rPr>
          <w:w w:val="105"/>
        </w:rPr>
        <w:t>20</w:t>
      </w:r>
      <w:r>
        <w:rPr>
          <w:spacing w:val="-9"/>
          <w:w w:val="105"/>
        </w:rPr>
        <w:t> 例患者的有效性分析集，其最佳客观缓解率</w:t>
      </w:r>
      <w:r>
        <w:rPr>
          <w:w w:val="105"/>
        </w:rPr>
        <w:t>（ORR）</w:t>
      </w:r>
      <w:r>
        <w:rPr>
          <w:spacing w:val="-38"/>
          <w:w w:val="105"/>
        </w:rPr>
        <w:t>为 </w:t>
      </w:r>
      <w:r>
        <w:rPr>
          <w:w w:val="105"/>
        </w:rPr>
        <w:t>85.00%，最佳完全缓解率（CRR）</w:t>
      </w:r>
      <w:r>
        <w:rPr>
          <w:spacing w:val="-33"/>
          <w:w w:val="105"/>
        </w:rPr>
        <w:t>为 </w:t>
      </w:r>
      <w:r>
        <w:rPr>
          <w:w w:val="105"/>
        </w:rPr>
        <w:t>70.00%。1</w:t>
      </w:r>
      <w:r>
        <w:rPr>
          <w:spacing w:val="-33"/>
          <w:w w:val="105"/>
        </w:rPr>
        <w:t> 年和 </w:t>
      </w:r>
      <w:r>
        <w:rPr>
          <w:w w:val="105"/>
        </w:rPr>
        <w:t>2</w:t>
      </w:r>
      <w:r>
        <w:rPr>
          <w:spacing w:val="-14"/>
          <w:w w:val="105"/>
        </w:rPr>
        <w:t> 年的无进展生存率均为 </w:t>
      </w:r>
      <w:r>
        <w:rPr>
          <w:w w:val="105"/>
        </w:rPr>
        <w:t>55.0%，总生</w:t>
      </w:r>
      <w:r>
        <w:rPr>
          <w:spacing w:val="4"/>
        </w:rPr>
        <w:t>存率率均为 </w:t>
      </w:r>
      <w:r>
        <w:rPr/>
        <w:t>68.6</w:t>
      </w:r>
      <w:r>
        <w:rPr>
          <w:spacing w:val="-6"/>
        </w:rPr>
        <w:t>%。中位无进展生存期</w:t>
      </w:r>
      <w:r>
        <w:rPr>
          <w:spacing w:val="-3"/>
        </w:rPr>
        <w:t>（PFS）</w:t>
      </w:r>
      <w:r>
        <w:rPr>
          <w:spacing w:val="-17"/>
        </w:rPr>
        <w:t>、</w:t>
      </w:r>
      <w:r>
        <w:rPr/>
        <w:t>OS</w:t>
      </w:r>
      <w:r>
        <w:rPr>
          <w:spacing w:val="-1"/>
        </w:rPr>
        <w:t> 均未达到。在安全性方面， </w:t>
      </w:r>
      <w:r>
        <w:rPr>
          <w:w w:val="105"/>
        </w:rPr>
        <w:t>未发现≥3</w:t>
      </w:r>
      <w:r>
        <w:rPr>
          <w:spacing w:val="-28"/>
          <w:w w:val="105"/>
        </w:rPr>
        <w:t> 级的 </w:t>
      </w:r>
      <w:r>
        <w:rPr>
          <w:w w:val="105"/>
        </w:rPr>
        <w:t>CRS、NT。</w:t>
      </w:r>
    </w:p>
    <w:p>
      <w:pPr>
        <w:pStyle w:val="BodyText"/>
      </w:pPr>
    </w:p>
    <w:p>
      <w:pPr>
        <w:pStyle w:val="BodyText"/>
        <w:spacing w:before="5"/>
        <w:rPr>
          <w:sz w:val="15"/>
        </w:rPr>
      </w:pPr>
    </w:p>
    <w:p>
      <w:pPr>
        <w:pStyle w:val="Heading3"/>
        <w:numPr>
          <w:ilvl w:val="0"/>
          <w:numId w:val="1"/>
        </w:numPr>
        <w:tabs>
          <w:tab w:pos="3925" w:val="left" w:leader="none"/>
        </w:tabs>
        <w:spacing w:line="240" w:lineRule="auto" w:before="0" w:after="0"/>
        <w:ind w:left="3925" w:right="0" w:hanging="212"/>
        <w:jc w:val="left"/>
      </w:pPr>
      <w:r>
        <w:rPr>
          <w:color w:val="C54322"/>
        </w:rPr>
        <w:t>结论</w:t>
      </w:r>
    </w:p>
    <w:p>
      <w:pPr>
        <w:pStyle w:val="BodyText"/>
        <w:spacing w:line="259" w:lineRule="auto" w:before="92"/>
        <w:ind w:left="3713" w:right="213"/>
      </w:pPr>
      <w:r>
        <w:rPr/>
        <w:t>RELIANCE 临床研究两年随访数据表明，倍诺达®为患者带来了持续缓解和长期</w:t>
      </w:r>
      <w:r>
        <w:rPr>
          <w:spacing w:val="-4"/>
        </w:rPr>
        <w:t>生存，并具有良好的安全性、相关毒性发生率较低。在 </w:t>
      </w:r>
      <w:r>
        <w:rPr/>
        <w:t>58</w:t>
      </w:r>
      <w:r>
        <w:rPr>
          <w:spacing w:val="-7"/>
        </w:rPr>
        <w:t> 例可评估有效性的患者中，其两年随访数据的最佳客观缓解率（ORR）</w:t>
      </w:r>
      <w:r>
        <w:rPr>
          <w:spacing w:val="-2"/>
        </w:rPr>
        <w:t>为 </w:t>
      </w:r>
      <w:r>
        <w:rPr/>
        <w:t>77.6%，不仅优于其上市</w:t>
      </w:r>
      <w:r>
        <w:rPr>
          <w:w w:val="99"/>
        </w:rPr>
        <w:t>时提交</w:t>
      </w:r>
      <w:r>
        <w:rPr>
          <w:spacing w:val="-50"/>
        </w:rPr>
        <w:t> </w:t>
      </w:r>
      <w:r>
        <w:rPr>
          <w:w w:val="140"/>
        </w:rPr>
        <w:t>N</w:t>
      </w:r>
      <w:r>
        <w:rPr>
          <w:spacing w:val="2"/>
          <w:w w:val="140"/>
        </w:rPr>
        <w:t>D</w:t>
      </w:r>
      <w:r>
        <w:rPr>
          <w:w w:val="120"/>
        </w:rPr>
        <w:t>A</w:t>
      </w:r>
      <w:r>
        <w:rPr>
          <w:spacing w:val="-51"/>
        </w:rPr>
        <w:t> </w:t>
      </w:r>
      <w:r>
        <w:rPr>
          <w:spacing w:val="-32"/>
          <w:w w:val="99"/>
        </w:rPr>
        <w:t>的数据</w:t>
      </w:r>
      <w:r>
        <w:rPr>
          <w:w w:val="99"/>
        </w:rPr>
        <w:t>（</w:t>
      </w:r>
      <w:r>
        <w:rPr>
          <w:w w:val="147"/>
        </w:rPr>
        <w:t>O</w:t>
      </w:r>
      <w:r>
        <w:rPr>
          <w:w w:val="126"/>
        </w:rPr>
        <w:t>RR</w:t>
      </w:r>
      <w:r>
        <w:rPr>
          <w:spacing w:val="-47"/>
        </w:rPr>
        <w:t> </w:t>
      </w:r>
      <w:r>
        <w:rPr>
          <w:w w:val="99"/>
        </w:rPr>
        <w:t>为</w:t>
      </w:r>
      <w:r>
        <w:rPr>
          <w:spacing w:val="-50"/>
        </w:rPr>
        <w:t> </w:t>
      </w:r>
      <w:r>
        <w:rPr>
          <w:w w:val="96"/>
        </w:rPr>
        <w:t>75.</w:t>
      </w:r>
      <w:r>
        <w:rPr>
          <w:spacing w:val="1"/>
          <w:w w:val="96"/>
        </w:rPr>
        <w:t>9</w:t>
      </w:r>
      <w:r>
        <w:rPr>
          <w:spacing w:val="-1"/>
          <w:w w:val="183"/>
        </w:rPr>
        <w:t>%</w:t>
      </w:r>
      <w:r>
        <w:rPr>
          <w:spacing w:val="-97"/>
          <w:w w:val="99"/>
        </w:rPr>
        <w:t>）</w:t>
      </w:r>
      <w:r>
        <w:rPr>
          <w:spacing w:val="-11"/>
          <w:w w:val="99"/>
        </w:rPr>
        <w:t>，还优于同类竞争对手</w:t>
      </w:r>
      <w:r>
        <w:rPr>
          <w:spacing w:val="-49"/>
        </w:rPr>
        <w:t> </w:t>
      </w:r>
      <w:r>
        <w:rPr>
          <w:spacing w:val="1"/>
          <w:w w:val="130"/>
        </w:rPr>
        <w:t>B</w:t>
      </w:r>
      <w:r>
        <w:rPr>
          <w:spacing w:val="-1"/>
          <w:w w:val="161"/>
        </w:rPr>
        <w:t>M</w:t>
      </w:r>
      <w:r>
        <w:rPr>
          <w:spacing w:val="-95"/>
          <w:w w:val="118"/>
        </w:rPr>
        <w:t>S</w:t>
      </w:r>
      <w:r>
        <w:rPr>
          <w:w w:val="99"/>
        </w:rPr>
        <w:t>（</w:t>
      </w:r>
      <w:r>
        <w:rPr>
          <w:spacing w:val="1"/>
          <w:w w:val="99"/>
        </w:rPr>
        <w:t>产品</w:t>
      </w:r>
      <w:r>
        <w:rPr>
          <w:spacing w:val="-50"/>
        </w:rPr>
        <w:t> </w:t>
      </w:r>
      <w:r>
        <w:rPr>
          <w:spacing w:val="1"/>
          <w:w w:val="130"/>
        </w:rPr>
        <w:t>B</w:t>
      </w:r>
      <w:r>
        <w:rPr>
          <w:w w:val="97"/>
        </w:rPr>
        <w:t>re</w:t>
      </w:r>
      <w:r>
        <w:rPr>
          <w:spacing w:val="-1"/>
          <w:w w:val="97"/>
        </w:rPr>
        <w:t>y</w:t>
      </w:r>
      <w:r>
        <w:rPr>
          <w:w w:val="117"/>
        </w:rPr>
        <w:t>a</w:t>
      </w:r>
      <w:r>
        <w:rPr>
          <w:spacing w:val="3"/>
          <w:w w:val="117"/>
        </w:rPr>
        <w:t>n</w:t>
      </w:r>
      <w:r>
        <w:rPr>
          <w:spacing w:val="-1"/>
          <w:w w:val="94"/>
        </w:rPr>
        <w:t>z</w:t>
      </w:r>
      <w:r>
        <w:rPr>
          <w:w w:val="54"/>
        </w:rPr>
        <w:t>i </w:t>
      </w:r>
      <w:r>
        <w:rPr>
          <w:w w:val="105"/>
        </w:rPr>
        <w:t>ORR</w:t>
      </w:r>
      <w:r>
        <w:rPr>
          <w:spacing w:val="-30"/>
          <w:w w:val="105"/>
        </w:rPr>
        <w:t> 为 </w:t>
      </w:r>
      <w:r>
        <w:rPr>
          <w:spacing w:val="-6"/>
          <w:w w:val="105"/>
        </w:rPr>
        <w:t>73%）</w:t>
      </w:r>
      <w:r>
        <w:rPr>
          <w:spacing w:val="-4"/>
          <w:w w:val="105"/>
        </w:rPr>
        <w:t>以及吉利德</w:t>
      </w:r>
      <w:r>
        <w:rPr>
          <w:w w:val="105"/>
        </w:rPr>
        <w:t>（</w:t>
      </w:r>
      <w:r>
        <w:rPr>
          <w:spacing w:val="-15"/>
          <w:w w:val="105"/>
        </w:rPr>
        <w:t>产品 </w:t>
      </w:r>
      <w:r>
        <w:rPr>
          <w:w w:val="105"/>
        </w:rPr>
        <w:t>Yescarta</w:t>
      </w:r>
      <w:r>
        <w:rPr>
          <w:spacing w:val="-49"/>
          <w:w w:val="105"/>
        </w:rPr>
        <w:t> </w:t>
      </w:r>
      <w:r>
        <w:rPr>
          <w:w w:val="105"/>
        </w:rPr>
        <w:t>ORR</w:t>
      </w:r>
      <w:r>
        <w:rPr>
          <w:spacing w:val="-30"/>
          <w:w w:val="105"/>
        </w:rPr>
        <w:t> 为 </w:t>
      </w:r>
      <w:r>
        <w:rPr>
          <w:spacing w:val="-8"/>
          <w:w w:val="105"/>
        </w:rPr>
        <w:t>72%），</w:t>
      </w:r>
      <w:r>
        <w:rPr>
          <w:w w:val="105"/>
        </w:rPr>
        <w:t>即倍诺达®针对三线</w:t>
      </w:r>
      <w:r>
        <w:rPr>
          <w:w w:val="110"/>
        </w:rPr>
        <w:t>LBCL</w:t>
      </w:r>
      <w:r>
        <w:rPr>
          <w:spacing w:val="-9"/>
          <w:w w:val="110"/>
        </w:rPr>
        <w:t> 患者的疗效极具竞争优势。</w:t>
      </w:r>
    </w:p>
    <w:p>
      <w:pPr>
        <w:pStyle w:val="BodyText"/>
        <w:spacing w:line="259" w:lineRule="auto" w:before="123"/>
        <w:ind w:left="3713" w:right="237"/>
      </w:pPr>
      <w:r>
        <w:rPr>
          <w:w w:val="105"/>
        </w:rPr>
        <w:t>此外，目前初步研究结果表明，倍诺达®</w:t>
      </w:r>
      <w:r>
        <w:rPr>
          <w:spacing w:val="-22"/>
          <w:w w:val="105"/>
        </w:rPr>
        <w:t>在二线 </w:t>
      </w:r>
      <w:r>
        <w:rPr>
          <w:w w:val="105"/>
        </w:rPr>
        <w:t>LBCL</w:t>
      </w:r>
      <w:r>
        <w:rPr>
          <w:spacing w:val="-44"/>
          <w:w w:val="105"/>
        </w:rPr>
        <w:t> 以及 </w:t>
      </w:r>
      <w:r>
        <w:rPr>
          <w:w w:val="95"/>
        </w:rPr>
        <w:t>r/r</w:t>
      </w:r>
      <w:r>
        <w:rPr>
          <w:spacing w:val="-79"/>
          <w:w w:val="95"/>
        </w:rPr>
        <w:t> </w:t>
      </w:r>
      <w:r>
        <w:rPr>
          <w:w w:val="105"/>
        </w:rPr>
        <w:t>B</w:t>
      </w:r>
      <w:r>
        <w:rPr>
          <w:spacing w:val="-44"/>
          <w:w w:val="105"/>
        </w:rPr>
        <w:t>- </w:t>
      </w:r>
      <w:r>
        <w:rPr>
          <w:w w:val="105"/>
        </w:rPr>
        <w:t>NHL</w:t>
      </w:r>
      <w:r>
        <w:rPr>
          <w:spacing w:val="-21"/>
          <w:w w:val="105"/>
        </w:rPr>
        <w:t> 患者的治</w:t>
      </w:r>
      <w:r>
        <w:rPr>
          <w:w w:val="95"/>
        </w:rPr>
        <w:t>疗中具有可控的安全性/</w:t>
      </w:r>
      <w:r>
        <w:rPr>
          <w:spacing w:val="3"/>
          <w:w w:val="95"/>
        </w:rPr>
        <w:t>耐受性以及有效性，相关确证性 </w:t>
      </w:r>
      <w:r>
        <w:rPr>
          <w:w w:val="95"/>
        </w:rPr>
        <w:t>II</w:t>
      </w:r>
      <w:r>
        <w:rPr>
          <w:spacing w:val="2"/>
          <w:w w:val="95"/>
        </w:rPr>
        <w:t> 期试验将有序推进。</w:t>
      </w:r>
    </w:p>
    <w:p>
      <w:pPr>
        <w:spacing w:after="0" w:line="259" w:lineRule="auto"/>
        <w:sectPr>
          <w:pgSz w:w="11910" w:h="16840"/>
          <w:pgMar w:header="630" w:footer="139" w:top="1120" w:bottom="320" w:left="540" w:right="520"/>
        </w:sectPr>
      </w:pPr>
    </w:p>
    <w:p>
      <w:pPr>
        <w:pStyle w:val="BodyText"/>
        <w:spacing w:before="1"/>
        <w:rPr>
          <w:sz w:val="28"/>
        </w:rPr>
      </w:pPr>
    </w:p>
    <w:p>
      <w:pPr>
        <w:pStyle w:val="Heading1"/>
        <w:spacing w:line="180" w:lineRule="auto" w:before="45"/>
        <w:ind w:right="212"/>
      </w:pPr>
      <w:bookmarkStart w:name="_TOC_250002" w:id="5"/>
      <w:bookmarkEnd w:id="5"/>
      <w:r>
        <w:rPr>
          <w:color w:val="C54322"/>
        </w:rPr>
        <w:t>3、 香雪制药：首个国产 TCR-T 细胞疗法 I 期数据优秀</w:t>
      </w:r>
    </w:p>
    <w:p>
      <w:pPr>
        <w:pStyle w:val="BodyText"/>
        <w:spacing w:line="259" w:lineRule="auto" w:before="118"/>
        <w:ind w:left="3713" w:right="216"/>
        <w:jc w:val="both"/>
      </w:pPr>
      <w:r>
        <w:rPr>
          <w:w w:val="110"/>
        </w:rPr>
        <w:t>2022</w:t>
      </w:r>
      <w:r>
        <w:rPr>
          <w:spacing w:val="-52"/>
          <w:w w:val="110"/>
        </w:rPr>
        <w:t> 年 </w:t>
      </w:r>
      <w:r>
        <w:rPr>
          <w:w w:val="110"/>
        </w:rPr>
        <w:t>6</w:t>
      </w:r>
      <w:r>
        <w:rPr>
          <w:spacing w:val="-52"/>
          <w:w w:val="110"/>
        </w:rPr>
        <w:t> 月 </w:t>
      </w:r>
      <w:r>
        <w:rPr>
          <w:w w:val="110"/>
        </w:rPr>
        <w:t>5</w:t>
      </w:r>
      <w:r>
        <w:rPr>
          <w:spacing w:val="-19"/>
          <w:w w:val="110"/>
        </w:rPr>
        <w:t> 日，香雪制药的 </w:t>
      </w:r>
      <w:r>
        <w:rPr>
          <w:w w:val="110"/>
        </w:rPr>
        <w:t>TCR-T</w:t>
      </w:r>
      <w:r>
        <w:rPr>
          <w:spacing w:val="-20"/>
          <w:w w:val="110"/>
        </w:rPr>
        <w:t> 免疫细胞疗法 </w:t>
      </w:r>
      <w:r>
        <w:rPr>
          <w:w w:val="110"/>
        </w:rPr>
        <w:t>TAEST16001</w:t>
      </w:r>
      <w:r>
        <w:rPr>
          <w:spacing w:val="-51"/>
          <w:w w:val="110"/>
        </w:rPr>
        <w:t> 在 </w:t>
      </w:r>
      <w:r>
        <w:rPr>
          <w:w w:val="110"/>
        </w:rPr>
        <w:t>ASCO</w:t>
      </w:r>
      <w:r>
        <w:rPr>
          <w:spacing w:val="-38"/>
          <w:w w:val="110"/>
        </w:rPr>
        <w:t> 大</w:t>
      </w:r>
      <w:r>
        <w:rPr>
          <w:spacing w:val="-38"/>
          <w:w w:val="99"/>
        </w:rPr>
        <w:t>会上发布</w:t>
      </w:r>
      <w:r>
        <w:rPr>
          <w:spacing w:val="-50"/>
        </w:rPr>
        <w:t> </w:t>
      </w:r>
      <w:r>
        <w:rPr>
          <w:w w:val="58"/>
        </w:rPr>
        <w:t>I</w:t>
      </w:r>
      <w:r>
        <w:rPr>
          <w:spacing w:val="-48"/>
        </w:rPr>
        <w:t> </w:t>
      </w:r>
      <w:r>
        <w:rPr>
          <w:w w:val="99"/>
        </w:rPr>
        <w:t>期临床试验结果。作为中国首个获得</w:t>
      </w:r>
      <w:r>
        <w:rPr>
          <w:spacing w:val="-49"/>
        </w:rPr>
        <w:t> </w:t>
      </w:r>
      <w:r>
        <w:rPr>
          <w:spacing w:val="-1"/>
          <w:w w:val="58"/>
        </w:rPr>
        <w:t>I</w:t>
      </w:r>
      <w:r>
        <w:rPr>
          <w:spacing w:val="2"/>
          <w:w w:val="143"/>
        </w:rPr>
        <w:t>N</w:t>
      </w:r>
      <w:r>
        <w:rPr>
          <w:w w:val="136"/>
        </w:rPr>
        <w:t>D</w:t>
      </w:r>
      <w:r>
        <w:rPr>
          <w:spacing w:val="-50"/>
        </w:rPr>
        <w:t> </w:t>
      </w:r>
      <w:r>
        <w:rPr>
          <w:w w:val="99"/>
        </w:rPr>
        <w:t>批件的</w:t>
      </w:r>
      <w:r>
        <w:rPr>
          <w:spacing w:val="-49"/>
        </w:rPr>
        <w:t> </w:t>
      </w:r>
      <w:r>
        <w:rPr>
          <w:w w:val="119"/>
        </w:rPr>
        <w:t>T</w:t>
      </w:r>
      <w:r>
        <w:rPr>
          <w:w w:val="126"/>
        </w:rPr>
        <w:t>C</w:t>
      </w:r>
      <w:r>
        <w:rPr>
          <w:spacing w:val="1"/>
          <w:w w:val="126"/>
        </w:rPr>
        <w:t>R</w:t>
      </w:r>
      <w:r>
        <w:rPr>
          <w:w w:val="69"/>
        </w:rPr>
        <w:t>-</w:t>
      </w:r>
      <w:r>
        <w:rPr>
          <w:w w:val="119"/>
        </w:rPr>
        <w:t>T</w:t>
      </w:r>
      <w:r>
        <w:rPr>
          <w:spacing w:val="-49"/>
        </w:rPr>
        <w:t> </w:t>
      </w:r>
      <w:r>
        <w:rPr>
          <w:w w:val="99"/>
        </w:rPr>
        <w:t>免疫细胞疗</w:t>
      </w:r>
      <w:r>
        <w:rPr>
          <w:spacing w:val="-8"/>
          <w:w w:val="99"/>
        </w:rPr>
        <w:t>法，该产品已于</w:t>
      </w:r>
      <w:r>
        <w:rPr>
          <w:spacing w:val="-50"/>
        </w:rPr>
        <w:t> </w:t>
      </w:r>
      <w:r>
        <w:rPr>
          <w:spacing w:val="2"/>
          <w:w w:val="110"/>
        </w:rPr>
        <w:t>2</w:t>
      </w:r>
      <w:r>
        <w:rPr>
          <w:w w:val="110"/>
        </w:rPr>
        <w:t>020</w:t>
      </w:r>
      <w:r>
        <w:rPr>
          <w:spacing w:val="-50"/>
        </w:rPr>
        <w:t> </w:t>
      </w:r>
      <w:r>
        <w:rPr>
          <w:w w:val="99"/>
        </w:rPr>
        <w:t>年获得美国</w:t>
      </w:r>
      <w:r>
        <w:rPr>
          <w:spacing w:val="-49"/>
        </w:rPr>
        <w:t> </w:t>
      </w:r>
      <w:r>
        <w:rPr>
          <w:w w:val="123"/>
        </w:rPr>
        <w:t>F</w:t>
      </w:r>
      <w:r>
        <w:rPr>
          <w:spacing w:val="2"/>
          <w:w w:val="123"/>
        </w:rPr>
        <w:t>D</w:t>
      </w:r>
      <w:r>
        <w:rPr>
          <w:w w:val="120"/>
        </w:rPr>
        <w:t>A</w:t>
      </w:r>
      <w:r>
        <w:rPr>
          <w:spacing w:val="-51"/>
        </w:rPr>
        <w:t> </w:t>
      </w:r>
      <w:r>
        <w:rPr>
          <w:w w:val="99"/>
        </w:rPr>
        <w:t>的</w:t>
      </w:r>
      <w:r>
        <w:rPr>
          <w:spacing w:val="-50"/>
        </w:rPr>
        <w:t> </w:t>
      </w:r>
      <w:r>
        <w:rPr>
          <w:spacing w:val="-1"/>
          <w:w w:val="58"/>
        </w:rPr>
        <w:t>I</w:t>
      </w:r>
      <w:r>
        <w:rPr>
          <w:w w:val="140"/>
        </w:rPr>
        <w:t>ND</w:t>
      </w:r>
      <w:r>
        <w:rPr>
          <w:spacing w:val="-48"/>
        </w:rPr>
        <w:t> </w:t>
      </w:r>
      <w:r>
        <w:rPr>
          <w:spacing w:val="-12"/>
          <w:w w:val="99"/>
        </w:rPr>
        <w:t>批件。其</w:t>
      </w:r>
      <w:r>
        <w:rPr>
          <w:spacing w:val="-50"/>
        </w:rPr>
        <w:t> </w:t>
      </w:r>
      <w:r>
        <w:rPr>
          <w:w w:val="58"/>
        </w:rPr>
        <w:t>I</w:t>
      </w:r>
      <w:r>
        <w:rPr>
          <w:spacing w:val="-51"/>
        </w:rPr>
        <w:t> </w:t>
      </w:r>
      <w:r>
        <w:rPr>
          <w:spacing w:val="-2"/>
          <w:w w:val="99"/>
        </w:rPr>
        <w:t>期临床已初步验证该产</w:t>
      </w:r>
      <w:r>
        <w:rPr>
          <w:spacing w:val="-4"/>
          <w:w w:val="110"/>
        </w:rPr>
        <w:t>品具有良好的安全性及有效性，即将启动 </w:t>
      </w:r>
      <w:r>
        <w:rPr>
          <w:w w:val="95"/>
        </w:rPr>
        <w:t>II</w:t>
      </w:r>
      <w:r>
        <w:rPr>
          <w:spacing w:val="-61"/>
          <w:w w:val="95"/>
        </w:rPr>
        <w:t> </w:t>
      </w:r>
      <w:r>
        <w:rPr>
          <w:w w:val="110"/>
        </w:rPr>
        <w:t>期验证性临床。</w:t>
      </w:r>
    </w:p>
    <w:p>
      <w:pPr>
        <w:pStyle w:val="BodyText"/>
        <w:spacing w:line="218" w:lineRule="auto" w:before="82"/>
        <w:ind w:left="3713" w:right="114"/>
        <w:jc w:val="both"/>
      </w:pPr>
      <w:r>
        <w:rPr>
          <w:rFonts w:ascii="微软雅黑" w:eastAsia="微软雅黑" w:hint="eastAsia"/>
          <w:b/>
          <w:spacing w:val="2"/>
          <w:w w:val="95"/>
        </w:rPr>
        <w:t>T</w:t>
      </w:r>
      <w:r>
        <w:rPr>
          <w:rFonts w:ascii="微软雅黑" w:eastAsia="微软雅黑" w:hint="eastAsia"/>
          <w:b/>
          <w:spacing w:val="-1"/>
          <w:w w:val="80"/>
        </w:rPr>
        <w:t>A</w:t>
      </w:r>
      <w:r>
        <w:rPr>
          <w:rFonts w:ascii="微软雅黑" w:eastAsia="微软雅黑" w:hint="eastAsia"/>
          <w:b/>
          <w:w w:val="100"/>
        </w:rPr>
        <w:t>E</w:t>
      </w:r>
      <w:r>
        <w:rPr>
          <w:rFonts w:ascii="微软雅黑" w:eastAsia="微软雅黑" w:hint="eastAsia"/>
          <w:b/>
          <w:spacing w:val="1"/>
          <w:w w:val="100"/>
        </w:rPr>
        <w:t>S</w:t>
      </w:r>
      <w:r>
        <w:rPr>
          <w:rFonts w:ascii="微软雅黑" w:eastAsia="微软雅黑" w:hint="eastAsia"/>
          <w:b/>
          <w:w w:val="95"/>
        </w:rPr>
        <w:t>T</w:t>
      </w:r>
      <w:r>
        <w:rPr>
          <w:rFonts w:ascii="微软雅黑" w:eastAsia="微软雅黑" w:hint="eastAsia"/>
          <w:b/>
          <w:w w:val="89"/>
        </w:rPr>
        <w:t>1</w:t>
      </w:r>
      <w:r>
        <w:rPr>
          <w:rFonts w:ascii="微软雅黑" w:eastAsia="微软雅黑" w:hint="eastAsia"/>
          <w:b/>
          <w:spacing w:val="1"/>
          <w:w w:val="89"/>
        </w:rPr>
        <w:t>6</w:t>
      </w:r>
      <w:r>
        <w:rPr>
          <w:rFonts w:ascii="微软雅黑" w:eastAsia="微软雅黑" w:hint="eastAsia"/>
          <w:b/>
          <w:w w:val="89"/>
        </w:rPr>
        <w:t>001</w:t>
      </w:r>
      <w:r>
        <w:rPr>
          <w:rFonts w:ascii="微软雅黑" w:eastAsia="微软雅黑" w:hint="eastAsia"/>
          <w:b/>
          <w:spacing w:val="-7"/>
        </w:rPr>
        <w:t> </w:t>
      </w:r>
      <w:r>
        <w:rPr>
          <w:w w:val="99"/>
        </w:rPr>
        <w:t>细胞是经基因工程改造的自体</w:t>
      </w:r>
      <w:r>
        <w:rPr>
          <w:spacing w:val="-49"/>
        </w:rPr>
        <w:t> </w:t>
      </w:r>
      <w:r>
        <w:rPr>
          <w:w w:val="119"/>
        </w:rPr>
        <w:t>T</w:t>
      </w:r>
      <w:r>
        <w:rPr>
          <w:spacing w:val="-49"/>
        </w:rPr>
        <w:t> </w:t>
      </w:r>
      <w:r>
        <w:rPr>
          <w:spacing w:val="-13"/>
          <w:w w:val="99"/>
        </w:rPr>
        <w:t>细胞，该细胞针对</w:t>
      </w:r>
      <w:r>
        <w:rPr>
          <w:spacing w:val="-49"/>
        </w:rPr>
        <w:t> </w:t>
      </w:r>
      <w:r>
        <w:rPr>
          <w:spacing w:val="2"/>
          <w:w w:val="124"/>
        </w:rPr>
        <w:t>N</w:t>
      </w:r>
      <w:r>
        <w:rPr>
          <w:spacing w:val="-1"/>
          <w:w w:val="124"/>
        </w:rPr>
        <w:t>Y</w:t>
      </w:r>
      <w:r>
        <w:rPr>
          <w:w w:val="69"/>
        </w:rPr>
        <w:t>-</w:t>
      </w:r>
      <w:r>
        <w:rPr>
          <w:w w:val="118"/>
        </w:rPr>
        <w:t>E</w:t>
      </w:r>
      <w:r>
        <w:rPr>
          <w:spacing w:val="1"/>
          <w:w w:val="118"/>
        </w:rPr>
        <w:t>S</w:t>
      </w:r>
      <w:r>
        <w:rPr>
          <w:spacing w:val="1"/>
          <w:w w:val="147"/>
        </w:rPr>
        <w:t>O</w:t>
      </w:r>
      <w:r>
        <w:rPr>
          <w:w w:val="69"/>
        </w:rPr>
        <w:t>-</w:t>
      </w:r>
      <w:r>
        <w:rPr>
          <w:w w:val="110"/>
        </w:rPr>
        <w:t>1</w:t>
      </w:r>
      <w:r>
        <w:rPr>
          <w:spacing w:val="-50"/>
        </w:rPr>
        <w:t> </w:t>
      </w:r>
      <w:r>
        <w:rPr>
          <w:w w:val="99"/>
        </w:rPr>
        <w:t>阳性的软组织肉瘤</w:t>
      </w:r>
      <w:r>
        <w:rPr>
          <w:spacing w:val="2"/>
          <w:w w:val="99"/>
        </w:rPr>
        <w:t>（</w:t>
      </w:r>
      <w:r>
        <w:rPr>
          <w:w w:val="99"/>
        </w:rPr>
        <w:t>基因型为</w:t>
      </w:r>
      <w:r>
        <w:rPr>
          <w:spacing w:val="-49"/>
        </w:rPr>
        <w:t> </w:t>
      </w:r>
      <w:r>
        <w:rPr>
          <w:spacing w:val="1"/>
          <w:w w:val="145"/>
        </w:rPr>
        <w:t>H</w:t>
      </w:r>
      <w:r>
        <w:rPr>
          <w:w w:val="114"/>
        </w:rPr>
        <w:t>L</w:t>
      </w:r>
      <w:r>
        <w:rPr>
          <w:spacing w:val="-1"/>
          <w:w w:val="114"/>
        </w:rPr>
        <w:t>A</w:t>
      </w:r>
      <w:r>
        <w:rPr>
          <w:w w:val="69"/>
        </w:rPr>
        <w:t>-</w:t>
      </w:r>
      <w:r>
        <w:rPr>
          <w:spacing w:val="-1"/>
          <w:w w:val="120"/>
        </w:rPr>
        <w:t>A</w:t>
      </w:r>
      <w:r>
        <w:rPr>
          <w:w w:val="101"/>
        </w:rPr>
        <w:t>*</w:t>
      </w:r>
      <w:r>
        <w:rPr>
          <w:spacing w:val="2"/>
          <w:w w:val="101"/>
        </w:rPr>
        <w:t>0</w:t>
      </w:r>
      <w:r>
        <w:rPr>
          <w:w w:val="96"/>
        </w:rPr>
        <w:t>2:01</w:t>
      </w:r>
      <w:r>
        <w:rPr>
          <w:spacing w:val="-48"/>
        </w:rPr>
        <w:t> </w:t>
      </w:r>
      <w:r>
        <w:rPr>
          <w:w w:val="99"/>
        </w:rPr>
        <w:t>的患者群），表达高亲和性</w:t>
      </w:r>
      <w:r>
        <w:rPr>
          <w:spacing w:val="2"/>
        </w:rPr>
        <w:t> </w:t>
      </w:r>
      <w:r>
        <w:rPr>
          <w:w w:val="124"/>
        </w:rPr>
        <w:t>N</w:t>
      </w:r>
      <w:r>
        <w:rPr>
          <w:spacing w:val="-1"/>
          <w:w w:val="124"/>
        </w:rPr>
        <w:t>Y</w:t>
      </w:r>
      <w:r>
        <w:rPr>
          <w:w w:val="69"/>
        </w:rPr>
        <w:t>-</w:t>
      </w:r>
      <w:r>
        <w:rPr>
          <w:w w:val="118"/>
        </w:rPr>
        <w:t>E</w:t>
      </w:r>
      <w:r>
        <w:rPr>
          <w:spacing w:val="1"/>
          <w:w w:val="118"/>
        </w:rPr>
        <w:t>S</w:t>
      </w:r>
      <w:r>
        <w:rPr>
          <w:spacing w:val="1"/>
          <w:w w:val="147"/>
        </w:rPr>
        <w:t>O</w:t>
      </w:r>
      <w:r>
        <w:rPr>
          <w:w w:val="69"/>
        </w:rPr>
        <w:t>-</w:t>
      </w:r>
      <w:r>
        <w:rPr>
          <w:w w:val="110"/>
        </w:rPr>
        <w:t>1</w:t>
      </w:r>
    </w:p>
    <w:p>
      <w:pPr>
        <w:pStyle w:val="BodyText"/>
        <w:spacing w:line="259" w:lineRule="auto" w:before="26"/>
        <w:ind w:left="3713" w:right="114"/>
      </w:pPr>
      <w:r>
        <w:rPr>
          <w:spacing w:val="-19"/>
          <w:w w:val="105"/>
        </w:rPr>
        <w:t>特异性 </w:t>
      </w:r>
      <w:r>
        <w:rPr>
          <w:w w:val="105"/>
        </w:rPr>
        <w:t>T</w:t>
      </w:r>
      <w:r>
        <w:rPr>
          <w:spacing w:val="-22"/>
          <w:w w:val="105"/>
        </w:rPr>
        <w:t> 细胞受体</w:t>
      </w:r>
      <w:r>
        <w:rPr>
          <w:spacing w:val="-6"/>
          <w:w w:val="105"/>
        </w:rPr>
        <w:t>（TCR）</w:t>
      </w:r>
      <w:r>
        <w:rPr>
          <w:spacing w:val="-27"/>
          <w:w w:val="105"/>
        </w:rPr>
        <w:t>。根据 </w:t>
      </w:r>
      <w:r>
        <w:rPr>
          <w:w w:val="95"/>
        </w:rPr>
        <w:t>I</w:t>
      </w:r>
      <w:r>
        <w:rPr>
          <w:spacing w:val="-65"/>
          <w:w w:val="95"/>
        </w:rPr>
        <w:t> </w:t>
      </w:r>
      <w:r>
        <w:rPr>
          <w:spacing w:val="-11"/>
          <w:w w:val="105"/>
        </w:rPr>
        <w:t>期临床数据显示，截至 </w:t>
      </w:r>
      <w:r>
        <w:rPr>
          <w:w w:val="105"/>
        </w:rPr>
        <w:t>2021</w:t>
      </w:r>
      <w:r>
        <w:rPr>
          <w:spacing w:val="-49"/>
          <w:w w:val="105"/>
        </w:rPr>
        <w:t> 年 </w:t>
      </w:r>
      <w:r>
        <w:rPr>
          <w:w w:val="105"/>
        </w:rPr>
        <w:t>12</w:t>
      </w:r>
      <w:r>
        <w:rPr>
          <w:spacing w:val="-49"/>
          <w:w w:val="105"/>
        </w:rPr>
        <w:t> 月 </w:t>
      </w:r>
      <w:r>
        <w:rPr>
          <w:w w:val="105"/>
        </w:rPr>
        <w:t>31</w:t>
      </w:r>
      <w:r>
        <w:rPr>
          <w:spacing w:val="-25"/>
          <w:w w:val="105"/>
        </w:rPr>
        <w:t> 日， </w:t>
      </w:r>
      <w:r>
        <w:rPr>
          <w:spacing w:val="-36"/>
        </w:rPr>
        <w:t>共 </w:t>
      </w:r>
      <w:r>
        <w:rPr/>
        <w:t>12</w:t>
      </w:r>
      <w:r>
        <w:rPr>
          <w:spacing w:val="-9"/>
        </w:rPr>
        <w:t> 名晚期软组织肉瘤患者入组。男：女比例为 </w:t>
      </w:r>
      <w:r>
        <w:rPr/>
        <w:t>7：5</w:t>
      </w:r>
      <w:r>
        <w:rPr>
          <w:spacing w:val="-7"/>
        </w:rPr>
        <w:t>，平均年龄为 </w:t>
      </w:r>
      <w:r>
        <w:rPr/>
        <w:t>37.9</w:t>
      </w:r>
      <w:r>
        <w:rPr>
          <w:spacing w:val="-16"/>
        </w:rPr>
        <w:t> 岁， </w:t>
      </w:r>
      <w:r>
        <w:rPr>
          <w:spacing w:val="-20"/>
          <w:w w:val="105"/>
        </w:rPr>
        <w:t>既往治疗方案中位线数为 </w:t>
      </w:r>
      <w:r>
        <w:rPr>
          <w:w w:val="105"/>
        </w:rPr>
        <w:t>2（</w:t>
      </w:r>
      <w:r>
        <w:rPr>
          <w:spacing w:val="-20"/>
          <w:w w:val="105"/>
        </w:rPr>
        <w:t>范围 </w:t>
      </w:r>
      <w:r>
        <w:rPr>
          <w:w w:val="105"/>
        </w:rPr>
        <w:t>1-3）。</w:t>
      </w:r>
    </w:p>
    <w:p>
      <w:pPr>
        <w:pStyle w:val="BodyText"/>
      </w:pPr>
    </w:p>
    <w:p>
      <w:pPr>
        <w:pStyle w:val="BodyText"/>
        <w:spacing w:before="4"/>
        <w:rPr>
          <w:sz w:val="15"/>
        </w:rPr>
      </w:pPr>
    </w:p>
    <w:p>
      <w:pPr>
        <w:pStyle w:val="Heading3"/>
        <w:numPr>
          <w:ilvl w:val="0"/>
          <w:numId w:val="1"/>
        </w:numPr>
        <w:tabs>
          <w:tab w:pos="3925" w:val="left" w:leader="none"/>
        </w:tabs>
        <w:spacing w:line="240" w:lineRule="auto" w:before="0" w:after="0"/>
        <w:ind w:left="3925" w:right="0" w:hanging="212"/>
        <w:jc w:val="left"/>
      </w:pPr>
      <w:r>
        <w:rPr>
          <w:color w:val="C54322"/>
        </w:rPr>
        <w:t>安全性</w:t>
      </w:r>
    </w:p>
    <w:p>
      <w:pPr>
        <w:pStyle w:val="BodyText"/>
        <w:spacing w:line="259" w:lineRule="auto" w:before="94"/>
        <w:ind w:left="3713" w:right="212"/>
        <w:jc w:val="both"/>
      </w:pPr>
      <w:r>
        <w:rPr>
          <w:spacing w:val="-1"/>
        </w:rPr>
        <w:t>在安全性评价方面，</w:t>
      </w:r>
      <w:r>
        <w:rPr>
          <w:spacing w:val="-3"/>
        </w:rPr>
        <w:t>TAEST16001 细胞耐受性良好，无剂量限制性毒性。其最常</w:t>
      </w:r>
      <w:r>
        <w:rPr>
          <w:spacing w:val="-1"/>
        </w:rPr>
        <w:t>见的 </w:t>
      </w:r>
      <w:r>
        <w:rPr/>
        <w:t>3</w:t>
      </w:r>
      <w:r>
        <w:rPr>
          <w:spacing w:val="-1"/>
        </w:rPr>
        <w:t> 级不良事件为淋巴细胞减少症</w:t>
      </w:r>
      <w:r>
        <w:rPr/>
        <w:t>（n=12）、白细胞减少症（n=10）、中性</w:t>
      </w:r>
      <w:r>
        <w:rPr>
          <w:spacing w:val="-3"/>
        </w:rPr>
        <w:t>粒细胞减少症</w:t>
      </w:r>
      <w:r>
        <w:rPr>
          <w:spacing w:val="-2"/>
        </w:rPr>
        <w:t>（n=11）；其次为贫血</w:t>
      </w:r>
      <w:r>
        <w:rPr>
          <w:spacing w:val="-1"/>
        </w:rPr>
        <w:t>（n=4）</w:t>
      </w:r>
      <w:r>
        <w:rPr>
          <w:spacing w:val="-2"/>
        </w:rPr>
        <w:t>、血小板减少症</w:t>
      </w:r>
      <w:r>
        <w:rPr>
          <w:spacing w:val="-1"/>
        </w:rPr>
        <w:t>（n=1）</w:t>
      </w:r>
      <w:r>
        <w:rPr>
          <w:spacing w:val="-2"/>
        </w:rPr>
        <w:t>、低钾血</w:t>
      </w:r>
      <w:r>
        <w:rPr/>
        <w:t>症（n=1）</w:t>
      </w:r>
      <w:r>
        <w:rPr>
          <w:spacing w:val="23"/>
        </w:rPr>
        <w:t> 和发热</w:t>
      </w:r>
      <w:r>
        <w:rPr/>
        <w:t>（n=1）。I</w:t>
      </w:r>
      <w:r>
        <w:rPr>
          <w:spacing w:val="-2"/>
        </w:rPr>
        <w:t> 期临床试验中未达到最大耐受剂量</w:t>
      </w:r>
      <w:r>
        <w:rPr/>
        <w:t>（MTD）。此</w:t>
      </w:r>
      <w:r>
        <w:rPr>
          <w:spacing w:val="-4"/>
        </w:rPr>
        <w:t>外，两名患者出现细胞因子释放综合征</w:t>
      </w:r>
      <w:r>
        <w:rPr/>
        <w:t>（2</w:t>
      </w:r>
      <w:r>
        <w:rPr>
          <w:spacing w:val="-24"/>
        </w:rPr>
        <w:t> 级</w:t>
      </w:r>
      <w:r>
        <w:rPr>
          <w:spacing w:val="-10"/>
        </w:rPr>
        <w:t>）</w:t>
      </w:r>
      <w:r>
        <w:rPr>
          <w:spacing w:val="-1"/>
        </w:rPr>
        <w:t>并在给予对症治疗后消退；所有</w:t>
      </w:r>
      <w:r>
        <w:rPr>
          <w:spacing w:val="-1"/>
          <w:w w:val="105"/>
        </w:rPr>
        <w:t>患者均未出现神经毒性或与细胞输注相关的严重不良事件。</w:t>
      </w:r>
    </w:p>
    <w:p>
      <w:pPr>
        <w:spacing w:before="61"/>
        <w:ind w:left="3713" w:right="0" w:firstLine="0"/>
        <w:jc w:val="left"/>
        <w:rPr>
          <w:rFonts w:ascii="微软雅黑" w:eastAsia="微软雅黑" w:hint="eastAsia"/>
          <w:b/>
          <w:sz w:val="18"/>
        </w:rPr>
      </w:pPr>
      <w:r>
        <w:rPr>
          <w:rFonts w:ascii="微软雅黑" w:eastAsia="微软雅黑" w:hint="eastAsia"/>
          <w:b/>
          <w:sz w:val="18"/>
        </w:rPr>
        <w:t>表 3：TAEST16001 I 期临床试验安全性评价</w:t>
      </w:r>
    </w:p>
    <w:tbl>
      <w:tblPr>
        <w:tblW w:w="0" w:type="auto"/>
        <w:jc w:val="left"/>
        <w:tblInd w:w="3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5"/>
        <w:gridCol w:w="1066"/>
        <w:gridCol w:w="1051"/>
        <w:gridCol w:w="1051"/>
        <w:gridCol w:w="1071"/>
        <w:gridCol w:w="1093"/>
      </w:tblGrid>
      <w:tr>
        <w:trPr>
          <w:trHeight w:val="282" w:hRule="atLeast"/>
        </w:trPr>
        <w:tc>
          <w:tcPr>
            <w:tcW w:w="1585" w:type="dxa"/>
            <w:tcBorders>
              <w:top w:val="single" w:sz="4" w:space="0" w:color="000000"/>
              <w:bottom w:val="single" w:sz="4" w:space="0" w:color="000000"/>
            </w:tcBorders>
            <w:shd w:val="clear" w:color="auto" w:fill="C54322"/>
          </w:tcPr>
          <w:p>
            <w:pPr>
              <w:pStyle w:val="TableParagraph"/>
              <w:spacing w:line="244" w:lineRule="exact"/>
              <w:ind w:left="72" w:right="92"/>
              <w:rPr>
                <w:rFonts w:ascii="微软雅黑" w:eastAsia="微软雅黑" w:hint="eastAsia"/>
                <w:b/>
                <w:sz w:val="15"/>
              </w:rPr>
            </w:pPr>
            <w:r>
              <w:rPr>
                <w:rFonts w:ascii="微软雅黑" w:eastAsia="微软雅黑" w:hint="eastAsia"/>
                <w:b/>
                <w:color w:val="FFFFFF"/>
                <w:sz w:val="15"/>
              </w:rPr>
              <w:t>不良反应</w:t>
            </w:r>
          </w:p>
        </w:tc>
        <w:tc>
          <w:tcPr>
            <w:tcW w:w="1066" w:type="dxa"/>
            <w:tcBorders>
              <w:top w:val="single" w:sz="4" w:space="0" w:color="000000"/>
              <w:bottom w:val="single" w:sz="4" w:space="0" w:color="000000"/>
            </w:tcBorders>
            <w:shd w:val="clear" w:color="auto" w:fill="C54322"/>
          </w:tcPr>
          <w:p>
            <w:pPr>
              <w:pStyle w:val="TableParagraph"/>
              <w:spacing w:line="244" w:lineRule="exact"/>
              <w:ind w:left="86" w:right="129"/>
              <w:rPr>
                <w:rFonts w:ascii="微软雅黑" w:eastAsia="微软雅黑" w:hint="eastAsia"/>
                <w:b/>
                <w:sz w:val="15"/>
              </w:rPr>
            </w:pPr>
            <w:r>
              <w:rPr>
                <w:rFonts w:ascii="微软雅黑" w:eastAsia="微软雅黑" w:hint="eastAsia"/>
                <w:b/>
                <w:color w:val="FFFFFF"/>
                <w:sz w:val="15"/>
              </w:rPr>
              <w:t>1 级</w:t>
            </w:r>
          </w:p>
        </w:tc>
        <w:tc>
          <w:tcPr>
            <w:tcW w:w="1051" w:type="dxa"/>
            <w:tcBorders>
              <w:top w:val="single" w:sz="4" w:space="0" w:color="000000"/>
              <w:bottom w:val="single" w:sz="4" w:space="0" w:color="000000"/>
            </w:tcBorders>
            <w:shd w:val="clear" w:color="auto" w:fill="C54322"/>
          </w:tcPr>
          <w:p>
            <w:pPr>
              <w:pStyle w:val="TableParagraph"/>
              <w:spacing w:line="244" w:lineRule="exact"/>
              <w:ind w:left="114" w:right="134"/>
              <w:rPr>
                <w:rFonts w:ascii="微软雅黑" w:eastAsia="微软雅黑" w:hint="eastAsia"/>
                <w:b/>
                <w:sz w:val="15"/>
              </w:rPr>
            </w:pPr>
            <w:r>
              <w:rPr>
                <w:rFonts w:ascii="微软雅黑" w:eastAsia="微软雅黑" w:hint="eastAsia"/>
                <w:b/>
                <w:color w:val="FFFFFF"/>
                <w:sz w:val="15"/>
              </w:rPr>
              <w:t>2 级</w:t>
            </w:r>
          </w:p>
        </w:tc>
        <w:tc>
          <w:tcPr>
            <w:tcW w:w="1051" w:type="dxa"/>
            <w:tcBorders>
              <w:top w:val="single" w:sz="4" w:space="0" w:color="000000"/>
              <w:bottom w:val="single" w:sz="4" w:space="0" w:color="000000"/>
            </w:tcBorders>
            <w:shd w:val="clear" w:color="auto" w:fill="C54322"/>
          </w:tcPr>
          <w:p>
            <w:pPr>
              <w:pStyle w:val="TableParagraph"/>
              <w:spacing w:line="244" w:lineRule="exact"/>
              <w:ind w:left="135" w:right="113"/>
              <w:rPr>
                <w:rFonts w:ascii="微软雅黑" w:eastAsia="微软雅黑" w:hint="eastAsia"/>
                <w:b/>
                <w:sz w:val="15"/>
              </w:rPr>
            </w:pPr>
            <w:r>
              <w:rPr>
                <w:rFonts w:ascii="微软雅黑" w:eastAsia="微软雅黑" w:hint="eastAsia"/>
                <w:b/>
                <w:color w:val="FFFFFF"/>
                <w:sz w:val="15"/>
              </w:rPr>
              <w:t>3 级</w:t>
            </w:r>
          </w:p>
        </w:tc>
        <w:tc>
          <w:tcPr>
            <w:tcW w:w="1071" w:type="dxa"/>
            <w:tcBorders>
              <w:top w:val="single" w:sz="4" w:space="0" w:color="000000"/>
              <w:bottom w:val="single" w:sz="4" w:space="0" w:color="000000"/>
            </w:tcBorders>
            <w:shd w:val="clear" w:color="auto" w:fill="C54322"/>
          </w:tcPr>
          <w:p>
            <w:pPr>
              <w:pStyle w:val="TableParagraph"/>
              <w:spacing w:line="244" w:lineRule="exact"/>
              <w:ind w:left="131" w:right="89"/>
              <w:rPr>
                <w:rFonts w:ascii="微软雅黑" w:eastAsia="微软雅黑" w:hint="eastAsia"/>
                <w:b/>
                <w:sz w:val="15"/>
              </w:rPr>
            </w:pPr>
            <w:r>
              <w:rPr>
                <w:rFonts w:ascii="微软雅黑" w:eastAsia="微软雅黑" w:hint="eastAsia"/>
                <w:b/>
                <w:color w:val="FFFFFF"/>
                <w:sz w:val="15"/>
              </w:rPr>
              <w:t>4 级</w:t>
            </w:r>
          </w:p>
        </w:tc>
        <w:tc>
          <w:tcPr>
            <w:tcW w:w="1093" w:type="dxa"/>
            <w:tcBorders>
              <w:top w:val="single" w:sz="4" w:space="0" w:color="000000"/>
              <w:bottom w:val="single" w:sz="4" w:space="0" w:color="000000"/>
            </w:tcBorders>
            <w:shd w:val="clear" w:color="auto" w:fill="C54322"/>
          </w:tcPr>
          <w:p>
            <w:pPr>
              <w:pStyle w:val="TableParagraph"/>
              <w:spacing w:line="244" w:lineRule="exact"/>
              <w:ind w:left="87" w:right="63"/>
              <w:rPr>
                <w:rFonts w:ascii="微软雅黑" w:eastAsia="微软雅黑" w:hint="eastAsia"/>
                <w:b/>
                <w:sz w:val="15"/>
              </w:rPr>
            </w:pPr>
            <w:r>
              <w:rPr>
                <w:rFonts w:ascii="微软雅黑" w:eastAsia="微软雅黑" w:hint="eastAsia"/>
                <w:b/>
                <w:color w:val="FFFFFF"/>
                <w:sz w:val="15"/>
              </w:rPr>
              <w:t>合计</w:t>
            </w:r>
          </w:p>
        </w:tc>
      </w:tr>
      <w:tr>
        <w:trPr>
          <w:trHeight w:val="282" w:hRule="atLeast"/>
        </w:trPr>
        <w:tc>
          <w:tcPr>
            <w:tcW w:w="1585" w:type="dxa"/>
            <w:tcBorders>
              <w:top w:val="single" w:sz="4" w:space="0" w:color="000000"/>
              <w:bottom w:val="single" w:sz="4" w:space="0" w:color="000000"/>
            </w:tcBorders>
          </w:tcPr>
          <w:p>
            <w:pPr>
              <w:pStyle w:val="TableParagraph"/>
              <w:spacing w:before="15"/>
              <w:ind w:left="72" w:right="96"/>
              <w:rPr>
                <w:sz w:val="15"/>
              </w:rPr>
            </w:pPr>
            <w:r>
              <w:rPr>
                <w:spacing w:val="-2"/>
                <w:w w:val="145"/>
                <w:sz w:val="15"/>
              </w:rPr>
              <w:t>N</w:t>
            </w:r>
            <w:r>
              <w:rPr>
                <w:w w:val="97"/>
                <w:sz w:val="15"/>
              </w:rPr>
              <w:t>eut</w:t>
            </w:r>
            <w:r>
              <w:rPr>
                <w:spacing w:val="-1"/>
                <w:w w:val="97"/>
                <w:sz w:val="15"/>
              </w:rPr>
              <w:t>r</w:t>
            </w:r>
            <w:r>
              <w:rPr>
                <w:w w:val="123"/>
                <w:sz w:val="15"/>
              </w:rPr>
              <w:t>o</w:t>
            </w:r>
            <w:r>
              <w:rPr>
                <w:spacing w:val="-1"/>
                <w:w w:val="123"/>
                <w:sz w:val="15"/>
              </w:rPr>
              <w:t>p</w:t>
            </w:r>
            <w:r>
              <w:rPr>
                <w:w w:val="112"/>
                <w:sz w:val="15"/>
              </w:rPr>
              <w:t>c</w:t>
            </w:r>
            <w:r>
              <w:rPr>
                <w:spacing w:val="-2"/>
                <w:w w:val="112"/>
                <w:sz w:val="15"/>
              </w:rPr>
              <w:t>n</w:t>
            </w:r>
            <w:r>
              <w:rPr>
                <w:spacing w:val="-1"/>
                <w:w w:val="55"/>
                <w:sz w:val="15"/>
              </w:rPr>
              <w:t>i</w:t>
            </w:r>
            <w:r>
              <w:rPr>
                <w:w w:val="113"/>
                <w:sz w:val="15"/>
              </w:rPr>
              <w:t>a</w:t>
            </w:r>
          </w:p>
        </w:tc>
        <w:tc>
          <w:tcPr>
            <w:tcW w:w="1066" w:type="dxa"/>
            <w:tcBorders>
              <w:top w:val="single" w:sz="4" w:space="0" w:color="000000"/>
              <w:bottom w:val="single" w:sz="4" w:space="0" w:color="000000"/>
            </w:tcBorders>
          </w:tcPr>
          <w:p>
            <w:pPr>
              <w:pStyle w:val="TableParagraph"/>
              <w:spacing w:before="15"/>
              <w:ind w:right="46"/>
              <w:rPr>
                <w:sz w:val="15"/>
              </w:rPr>
            </w:pPr>
            <w:r>
              <w:rPr>
                <w:w w:val="111"/>
                <w:sz w:val="15"/>
              </w:rPr>
              <w:t>0</w:t>
            </w:r>
          </w:p>
        </w:tc>
        <w:tc>
          <w:tcPr>
            <w:tcW w:w="1051" w:type="dxa"/>
            <w:tcBorders>
              <w:top w:val="single" w:sz="4" w:space="0" w:color="000000"/>
              <w:bottom w:val="single" w:sz="4" w:space="0" w:color="000000"/>
            </w:tcBorders>
          </w:tcPr>
          <w:p>
            <w:pPr>
              <w:pStyle w:val="TableParagraph"/>
              <w:spacing w:before="15"/>
              <w:ind w:left="118" w:right="134"/>
              <w:rPr>
                <w:sz w:val="15"/>
              </w:rPr>
            </w:pPr>
            <w:r>
              <w:rPr>
                <w:w w:val="120"/>
                <w:sz w:val="15"/>
              </w:rPr>
              <w:t>1（8%）</w:t>
            </w:r>
          </w:p>
        </w:tc>
        <w:tc>
          <w:tcPr>
            <w:tcW w:w="1051" w:type="dxa"/>
            <w:tcBorders>
              <w:top w:val="single" w:sz="4" w:space="0" w:color="000000"/>
              <w:bottom w:val="single" w:sz="4" w:space="0" w:color="000000"/>
            </w:tcBorders>
          </w:tcPr>
          <w:p>
            <w:pPr>
              <w:pStyle w:val="TableParagraph"/>
              <w:spacing w:before="15"/>
              <w:ind w:left="135" w:right="113"/>
              <w:rPr>
                <w:sz w:val="15"/>
              </w:rPr>
            </w:pPr>
            <w:r>
              <w:rPr>
                <w:w w:val="120"/>
                <w:sz w:val="15"/>
              </w:rPr>
              <w:t>5（42%）</w:t>
            </w:r>
          </w:p>
        </w:tc>
        <w:tc>
          <w:tcPr>
            <w:tcW w:w="1071" w:type="dxa"/>
            <w:tcBorders>
              <w:top w:val="single" w:sz="4" w:space="0" w:color="000000"/>
              <w:bottom w:val="single" w:sz="4" w:space="0" w:color="000000"/>
            </w:tcBorders>
          </w:tcPr>
          <w:p>
            <w:pPr>
              <w:pStyle w:val="TableParagraph"/>
              <w:spacing w:before="15"/>
              <w:ind w:left="131" w:right="89"/>
              <w:rPr>
                <w:sz w:val="15"/>
              </w:rPr>
            </w:pPr>
            <w:r>
              <w:rPr>
                <w:w w:val="120"/>
                <w:sz w:val="15"/>
              </w:rPr>
              <w:t>6（50%）</w:t>
            </w:r>
          </w:p>
        </w:tc>
        <w:tc>
          <w:tcPr>
            <w:tcW w:w="1093" w:type="dxa"/>
            <w:tcBorders>
              <w:top w:val="single" w:sz="4" w:space="0" w:color="000000"/>
              <w:bottom w:val="single" w:sz="4" w:space="0" w:color="000000"/>
            </w:tcBorders>
          </w:tcPr>
          <w:p>
            <w:pPr>
              <w:pStyle w:val="TableParagraph"/>
              <w:spacing w:before="15"/>
              <w:ind w:left="87" w:right="66"/>
              <w:rPr>
                <w:sz w:val="15"/>
              </w:rPr>
            </w:pPr>
            <w:r>
              <w:rPr>
                <w:w w:val="120"/>
                <w:sz w:val="15"/>
              </w:rPr>
              <w:t>12（100%）</w:t>
            </w:r>
          </w:p>
        </w:tc>
      </w:tr>
      <w:tr>
        <w:trPr>
          <w:trHeight w:val="285" w:hRule="atLeast"/>
        </w:trPr>
        <w:tc>
          <w:tcPr>
            <w:tcW w:w="1585" w:type="dxa"/>
            <w:tcBorders>
              <w:top w:val="single" w:sz="4" w:space="0" w:color="000000"/>
              <w:bottom w:val="single" w:sz="4" w:space="0" w:color="000000"/>
            </w:tcBorders>
            <w:shd w:val="clear" w:color="auto" w:fill="CCCCCC"/>
          </w:tcPr>
          <w:p>
            <w:pPr>
              <w:pStyle w:val="TableParagraph"/>
              <w:spacing w:before="15"/>
              <w:ind w:left="72" w:right="93"/>
              <w:rPr>
                <w:sz w:val="15"/>
              </w:rPr>
            </w:pPr>
            <w:r>
              <w:rPr>
                <w:w w:val="133"/>
                <w:sz w:val="15"/>
              </w:rPr>
              <w:t>Ly</w:t>
            </w:r>
            <w:r>
              <w:rPr>
                <w:spacing w:val="-1"/>
                <w:w w:val="133"/>
                <w:sz w:val="15"/>
              </w:rPr>
              <w:t>m</w:t>
            </w:r>
            <w:r>
              <w:rPr>
                <w:w w:val="123"/>
                <w:sz w:val="15"/>
              </w:rPr>
              <w:t>p</w:t>
            </w:r>
            <w:r>
              <w:rPr>
                <w:spacing w:val="-1"/>
                <w:w w:val="123"/>
                <w:sz w:val="15"/>
              </w:rPr>
              <w:t>h</w:t>
            </w:r>
            <w:r>
              <w:rPr>
                <w:w w:val="123"/>
                <w:sz w:val="15"/>
              </w:rPr>
              <w:t>o</w:t>
            </w:r>
            <w:r>
              <w:rPr>
                <w:spacing w:val="-4"/>
                <w:w w:val="123"/>
                <w:sz w:val="15"/>
              </w:rPr>
              <w:t>p</w:t>
            </w:r>
            <w:r>
              <w:rPr>
                <w:w w:val="112"/>
                <w:sz w:val="15"/>
              </w:rPr>
              <w:t>c</w:t>
            </w:r>
            <w:r>
              <w:rPr>
                <w:spacing w:val="-2"/>
                <w:w w:val="112"/>
                <w:sz w:val="15"/>
              </w:rPr>
              <w:t>n</w:t>
            </w:r>
            <w:r>
              <w:rPr>
                <w:spacing w:val="-1"/>
                <w:w w:val="55"/>
                <w:sz w:val="15"/>
              </w:rPr>
              <w:t>i</w:t>
            </w:r>
            <w:r>
              <w:rPr>
                <w:w w:val="113"/>
                <w:sz w:val="15"/>
              </w:rPr>
              <w:t>a</w:t>
            </w:r>
          </w:p>
        </w:tc>
        <w:tc>
          <w:tcPr>
            <w:tcW w:w="1066" w:type="dxa"/>
            <w:tcBorders>
              <w:top w:val="single" w:sz="4" w:space="0" w:color="000000"/>
              <w:bottom w:val="single" w:sz="4" w:space="0" w:color="000000"/>
            </w:tcBorders>
            <w:shd w:val="clear" w:color="auto" w:fill="CCCCCC"/>
          </w:tcPr>
          <w:p>
            <w:pPr>
              <w:pStyle w:val="TableParagraph"/>
              <w:spacing w:before="15"/>
              <w:ind w:right="46"/>
              <w:rPr>
                <w:sz w:val="15"/>
              </w:rPr>
            </w:pPr>
            <w:r>
              <w:rPr>
                <w:w w:val="111"/>
                <w:sz w:val="15"/>
              </w:rPr>
              <w:t>0</w:t>
            </w:r>
          </w:p>
        </w:tc>
        <w:tc>
          <w:tcPr>
            <w:tcW w:w="1051" w:type="dxa"/>
            <w:tcBorders>
              <w:top w:val="single" w:sz="4" w:space="0" w:color="000000"/>
              <w:bottom w:val="single" w:sz="4" w:space="0" w:color="000000"/>
            </w:tcBorders>
            <w:shd w:val="clear" w:color="auto" w:fill="CCCCCC"/>
          </w:tcPr>
          <w:p>
            <w:pPr>
              <w:pStyle w:val="TableParagraph"/>
              <w:spacing w:before="15"/>
              <w:ind w:right="21"/>
              <w:rPr>
                <w:sz w:val="15"/>
              </w:rPr>
            </w:pPr>
            <w:r>
              <w:rPr>
                <w:w w:val="111"/>
                <w:sz w:val="15"/>
              </w:rPr>
              <w:t>0</w:t>
            </w:r>
          </w:p>
        </w:tc>
        <w:tc>
          <w:tcPr>
            <w:tcW w:w="1051" w:type="dxa"/>
            <w:tcBorders>
              <w:top w:val="single" w:sz="4" w:space="0" w:color="000000"/>
              <w:bottom w:val="single" w:sz="4" w:space="0" w:color="000000"/>
            </w:tcBorders>
            <w:shd w:val="clear" w:color="auto" w:fill="CCCCCC"/>
          </w:tcPr>
          <w:p>
            <w:pPr>
              <w:pStyle w:val="TableParagraph"/>
              <w:spacing w:before="15"/>
              <w:ind w:left="135" w:right="110"/>
              <w:rPr>
                <w:sz w:val="15"/>
              </w:rPr>
            </w:pPr>
            <w:r>
              <w:rPr>
                <w:w w:val="120"/>
                <w:sz w:val="15"/>
              </w:rPr>
              <w:t>1（8%）</w:t>
            </w:r>
          </w:p>
        </w:tc>
        <w:tc>
          <w:tcPr>
            <w:tcW w:w="1071" w:type="dxa"/>
            <w:tcBorders>
              <w:top w:val="single" w:sz="4" w:space="0" w:color="000000"/>
              <w:bottom w:val="single" w:sz="4" w:space="0" w:color="000000"/>
            </w:tcBorders>
            <w:shd w:val="clear" w:color="auto" w:fill="CCCCCC"/>
          </w:tcPr>
          <w:p>
            <w:pPr>
              <w:pStyle w:val="TableParagraph"/>
              <w:spacing w:before="15"/>
              <w:ind w:left="131" w:right="89"/>
              <w:rPr>
                <w:sz w:val="15"/>
              </w:rPr>
            </w:pPr>
            <w:r>
              <w:rPr>
                <w:w w:val="120"/>
                <w:sz w:val="15"/>
              </w:rPr>
              <w:t>11（92%）</w:t>
            </w:r>
          </w:p>
        </w:tc>
        <w:tc>
          <w:tcPr>
            <w:tcW w:w="1093" w:type="dxa"/>
            <w:tcBorders>
              <w:top w:val="single" w:sz="4" w:space="0" w:color="000000"/>
              <w:bottom w:val="single" w:sz="4" w:space="0" w:color="000000"/>
            </w:tcBorders>
            <w:shd w:val="clear" w:color="auto" w:fill="CCCCCC"/>
          </w:tcPr>
          <w:p>
            <w:pPr>
              <w:pStyle w:val="TableParagraph"/>
              <w:spacing w:before="15"/>
              <w:ind w:left="87" w:right="66"/>
              <w:rPr>
                <w:sz w:val="15"/>
              </w:rPr>
            </w:pPr>
            <w:r>
              <w:rPr>
                <w:w w:val="120"/>
                <w:sz w:val="15"/>
              </w:rPr>
              <w:t>12（100%）</w:t>
            </w:r>
          </w:p>
        </w:tc>
      </w:tr>
      <w:tr>
        <w:trPr>
          <w:trHeight w:val="282" w:hRule="atLeast"/>
        </w:trPr>
        <w:tc>
          <w:tcPr>
            <w:tcW w:w="1585" w:type="dxa"/>
            <w:tcBorders>
              <w:top w:val="single" w:sz="4" w:space="0" w:color="000000"/>
              <w:bottom w:val="single" w:sz="4" w:space="0" w:color="000000"/>
            </w:tcBorders>
          </w:tcPr>
          <w:p>
            <w:pPr>
              <w:pStyle w:val="TableParagraph"/>
              <w:spacing w:before="13"/>
              <w:ind w:left="72" w:right="96"/>
              <w:rPr>
                <w:sz w:val="15"/>
              </w:rPr>
            </w:pPr>
            <w:r>
              <w:rPr>
                <w:w w:val="114"/>
                <w:sz w:val="15"/>
              </w:rPr>
              <w:t>Le</w:t>
            </w:r>
            <w:r>
              <w:rPr>
                <w:spacing w:val="-1"/>
                <w:w w:val="114"/>
                <w:sz w:val="15"/>
              </w:rPr>
              <w:t>u</w:t>
            </w:r>
            <w:r>
              <w:rPr>
                <w:w w:val="111"/>
                <w:sz w:val="15"/>
              </w:rPr>
              <w:t>k</w:t>
            </w:r>
            <w:r>
              <w:rPr>
                <w:w w:val="123"/>
                <w:sz w:val="15"/>
              </w:rPr>
              <w:t>o</w:t>
            </w:r>
            <w:r>
              <w:rPr>
                <w:spacing w:val="-4"/>
                <w:w w:val="123"/>
                <w:sz w:val="15"/>
              </w:rPr>
              <w:t>p</w:t>
            </w:r>
            <w:r>
              <w:rPr>
                <w:w w:val="117"/>
                <w:sz w:val="15"/>
              </w:rPr>
              <w:t>e</w:t>
            </w:r>
            <w:r>
              <w:rPr>
                <w:spacing w:val="-1"/>
                <w:w w:val="117"/>
                <w:sz w:val="15"/>
              </w:rPr>
              <w:t>n</w:t>
            </w:r>
            <w:r>
              <w:rPr>
                <w:spacing w:val="-1"/>
                <w:w w:val="55"/>
                <w:sz w:val="15"/>
              </w:rPr>
              <w:t>i</w:t>
            </w:r>
            <w:r>
              <w:rPr>
                <w:w w:val="113"/>
                <w:sz w:val="15"/>
              </w:rPr>
              <w:t>a</w:t>
            </w:r>
          </w:p>
        </w:tc>
        <w:tc>
          <w:tcPr>
            <w:tcW w:w="1066" w:type="dxa"/>
            <w:tcBorders>
              <w:top w:val="single" w:sz="4" w:space="0" w:color="000000"/>
              <w:bottom w:val="single" w:sz="4" w:space="0" w:color="000000"/>
            </w:tcBorders>
          </w:tcPr>
          <w:p>
            <w:pPr>
              <w:pStyle w:val="TableParagraph"/>
              <w:spacing w:before="13"/>
              <w:ind w:right="46"/>
              <w:rPr>
                <w:sz w:val="15"/>
              </w:rPr>
            </w:pPr>
            <w:r>
              <w:rPr>
                <w:w w:val="111"/>
                <w:sz w:val="15"/>
              </w:rPr>
              <w:t>0</w:t>
            </w:r>
          </w:p>
        </w:tc>
        <w:tc>
          <w:tcPr>
            <w:tcW w:w="1051" w:type="dxa"/>
            <w:tcBorders>
              <w:top w:val="single" w:sz="4" w:space="0" w:color="000000"/>
              <w:bottom w:val="single" w:sz="4" w:space="0" w:color="000000"/>
            </w:tcBorders>
          </w:tcPr>
          <w:p>
            <w:pPr>
              <w:pStyle w:val="TableParagraph"/>
              <w:spacing w:before="13"/>
              <w:ind w:left="114" w:right="134"/>
              <w:rPr>
                <w:sz w:val="15"/>
              </w:rPr>
            </w:pPr>
            <w:r>
              <w:rPr>
                <w:w w:val="120"/>
                <w:sz w:val="15"/>
              </w:rPr>
              <w:t>2（17%）</w:t>
            </w:r>
          </w:p>
        </w:tc>
        <w:tc>
          <w:tcPr>
            <w:tcW w:w="1051" w:type="dxa"/>
            <w:tcBorders>
              <w:top w:val="single" w:sz="4" w:space="0" w:color="000000"/>
              <w:bottom w:val="single" w:sz="4" w:space="0" w:color="000000"/>
            </w:tcBorders>
          </w:tcPr>
          <w:p>
            <w:pPr>
              <w:pStyle w:val="TableParagraph"/>
              <w:spacing w:before="13"/>
              <w:ind w:left="135" w:right="113"/>
              <w:rPr>
                <w:sz w:val="15"/>
              </w:rPr>
            </w:pPr>
            <w:r>
              <w:rPr>
                <w:w w:val="120"/>
                <w:sz w:val="15"/>
              </w:rPr>
              <w:t>4（33%）</w:t>
            </w:r>
          </w:p>
        </w:tc>
        <w:tc>
          <w:tcPr>
            <w:tcW w:w="1071" w:type="dxa"/>
            <w:tcBorders>
              <w:top w:val="single" w:sz="4" w:space="0" w:color="000000"/>
              <w:bottom w:val="single" w:sz="4" w:space="0" w:color="000000"/>
            </w:tcBorders>
          </w:tcPr>
          <w:p>
            <w:pPr>
              <w:pStyle w:val="TableParagraph"/>
              <w:spacing w:before="13"/>
              <w:ind w:left="131" w:right="89"/>
              <w:rPr>
                <w:sz w:val="15"/>
              </w:rPr>
            </w:pPr>
            <w:r>
              <w:rPr>
                <w:w w:val="120"/>
                <w:sz w:val="15"/>
              </w:rPr>
              <w:t>6（50%）</w:t>
            </w:r>
          </w:p>
        </w:tc>
        <w:tc>
          <w:tcPr>
            <w:tcW w:w="1093" w:type="dxa"/>
            <w:tcBorders>
              <w:top w:val="single" w:sz="4" w:space="0" w:color="000000"/>
              <w:bottom w:val="single" w:sz="4" w:space="0" w:color="000000"/>
            </w:tcBorders>
          </w:tcPr>
          <w:p>
            <w:pPr>
              <w:pStyle w:val="TableParagraph"/>
              <w:spacing w:before="13"/>
              <w:ind w:left="87" w:right="66"/>
              <w:rPr>
                <w:sz w:val="15"/>
              </w:rPr>
            </w:pPr>
            <w:r>
              <w:rPr>
                <w:w w:val="120"/>
                <w:sz w:val="15"/>
              </w:rPr>
              <w:t>12（100%）</w:t>
            </w:r>
          </w:p>
        </w:tc>
      </w:tr>
      <w:tr>
        <w:trPr>
          <w:trHeight w:val="283" w:hRule="atLeast"/>
        </w:trPr>
        <w:tc>
          <w:tcPr>
            <w:tcW w:w="1585" w:type="dxa"/>
            <w:tcBorders>
              <w:top w:val="single" w:sz="4" w:space="0" w:color="000000"/>
              <w:bottom w:val="single" w:sz="4" w:space="0" w:color="000000"/>
            </w:tcBorders>
            <w:shd w:val="clear" w:color="auto" w:fill="CCCCCC"/>
          </w:tcPr>
          <w:p>
            <w:pPr>
              <w:pStyle w:val="TableParagraph"/>
              <w:spacing w:before="13"/>
              <w:ind w:left="72" w:right="96"/>
              <w:rPr>
                <w:sz w:val="15"/>
              </w:rPr>
            </w:pPr>
            <w:r>
              <w:rPr>
                <w:w w:val="105"/>
                <w:sz w:val="15"/>
              </w:rPr>
              <w:t>Fever</w:t>
            </w:r>
          </w:p>
        </w:tc>
        <w:tc>
          <w:tcPr>
            <w:tcW w:w="1066" w:type="dxa"/>
            <w:tcBorders>
              <w:top w:val="single" w:sz="4" w:space="0" w:color="000000"/>
              <w:bottom w:val="single" w:sz="4" w:space="0" w:color="000000"/>
            </w:tcBorders>
            <w:shd w:val="clear" w:color="auto" w:fill="CCCCCC"/>
          </w:tcPr>
          <w:p>
            <w:pPr>
              <w:pStyle w:val="TableParagraph"/>
              <w:spacing w:before="13"/>
              <w:ind w:left="86" w:right="129"/>
              <w:rPr>
                <w:sz w:val="15"/>
              </w:rPr>
            </w:pPr>
            <w:r>
              <w:rPr>
                <w:w w:val="120"/>
                <w:sz w:val="15"/>
              </w:rPr>
              <w:t>4（33%）</w:t>
            </w:r>
          </w:p>
        </w:tc>
        <w:tc>
          <w:tcPr>
            <w:tcW w:w="1051" w:type="dxa"/>
            <w:tcBorders>
              <w:top w:val="single" w:sz="4" w:space="0" w:color="000000"/>
              <w:bottom w:val="single" w:sz="4" w:space="0" w:color="000000"/>
            </w:tcBorders>
            <w:shd w:val="clear" w:color="auto" w:fill="CCCCCC"/>
          </w:tcPr>
          <w:p>
            <w:pPr>
              <w:pStyle w:val="TableParagraph"/>
              <w:spacing w:before="13"/>
              <w:ind w:left="114" w:right="134"/>
              <w:rPr>
                <w:sz w:val="15"/>
              </w:rPr>
            </w:pPr>
            <w:r>
              <w:rPr>
                <w:w w:val="120"/>
                <w:sz w:val="15"/>
              </w:rPr>
              <w:t>7（58%）</w:t>
            </w:r>
          </w:p>
        </w:tc>
        <w:tc>
          <w:tcPr>
            <w:tcW w:w="1051" w:type="dxa"/>
            <w:tcBorders>
              <w:top w:val="single" w:sz="4" w:space="0" w:color="000000"/>
              <w:bottom w:val="single" w:sz="4" w:space="0" w:color="000000"/>
            </w:tcBorders>
            <w:shd w:val="clear" w:color="auto" w:fill="CCCCCC"/>
          </w:tcPr>
          <w:p>
            <w:pPr>
              <w:pStyle w:val="TableParagraph"/>
              <w:spacing w:before="13"/>
              <w:ind w:left="135" w:right="110"/>
              <w:rPr>
                <w:sz w:val="15"/>
              </w:rPr>
            </w:pPr>
            <w:r>
              <w:rPr>
                <w:w w:val="120"/>
                <w:sz w:val="15"/>
              </w:rPr>
              <w:t>1（8%）</w:t>
            </w:r>
          </w:p>
        </w:tc>
        <w:tc>
          <w:tcPr>
            <w:tcW w:w="1071" w:type="dxa"/>
            <w:tcBorders>
              <w:top w:val="single" w:sz="4" w:space="0" w:color="000000"/>
              <w:bottom w:val="single" w:sz="4" w:space="0" w:color="000000"/>
            </w:tcBorders>
            <w:shd w:val="clear" w:color="auto" w:fill="CCCCCC"/>
          </w:tcPr>
          <w:p>
            <w:pPr>
              <w:pStyle w:val="TableParagraph"/>
              <w:spacing w:before="13"/>
              <w:ind w:left="40"/>
              <w:rPr>
                <w:sz w:val="15"/>
              </w:rPr>
            </w:pPr>
            <w:r>
              <w:rPr>
                <w:w w:val="111"/>
                <w:sz w:val="15"/>
              </w:rPr>
              <w:t>0</w:t>
            </w:r>
          </w:p>
        </w:tc>
        <w:tc>
          <w:tcPr>
            <w:tcW w:w="1093" w:type="dxa"/>
            <w:tcBorders>
              <w:top w:val="single" w:sz="4" w:space="0" w:color="000000"/>
              <w:bottom w:val="single" w:sz="4" w:space="0" w:color="000000"/>
            </w:tcBorders>
            <w:shd w:val="clear" w:color="auto" w:fill="CCCCCC"/>
          </w:tcPr>
          <w:p>
            <w:pPr>
              <w:pStyle w:val="TableParagraph"/>
              <w:spacing w:before="13"/>
              <w:ind w:left="87" w:right="66"/>
              <w:rPr>
                <w:sz w:val="15"/>
              </w:rPr>
            </w:pPr>
            <w:r>
              <w:rPr>
                <w:w w:val="120"/>
                <w:sz w:val="15"/>
              </w:rPr>
              <w:t>12（100%）</w:t>
            </w:r>
          </w:p>
        </w:tc>
      </w:tr>
      <w:tr>
        <w:trPr>
          <w:trHeight w:val="282" w:hRule="atLeast"/>
        </w:trPr>
        <w:tc>
          <w:tcPr>
            <w:tcW w:w="1585" w:type="dxa"/>
            <w:tcBorders>
              <w:top w:val="single" w:sz="4" w:space="0" w:color="000000"/>
              <w:bottom w:val="single" w:sz="4" w:space="0" w:color="000000"/>
            </w:tcBorders>
          </w:tcPr>
          <w:p>
            <w:pPr>
              <w:pStyle w:val="TableParagraph"/>
              <w:spacing w:before="15"/>
              <w:ind w:left="72" w:right="96"/>
              <w:rPr>
                <w:sz w:val="15"/>
              </w:rPr>
            </w:pPr>
            <w:r>
              <w:rPr>
                <w:w w:val="125"/>
                <w:sz w:val="15"/>
              </w:rPr>
              <w:t>Hy</w:t>
            </w:r>
            <w:r>
              <w:rPr>
                <w:w w:val="123"/>
                <w:sz w:val="15"/>
              </w:rPr>
              <w:t>p</w:t>
            </w:r>
            <w:r>
              <w:rPr>
                <w:spacing w:val="-4"/>
                <w:w w:val="123"/>
                <w:sz w:val="15"/>
              </w:rPr>
              <w:t>o</w:t>
            </w:r>
            <w:r>
              <w:rPr>
                <w:w w:val="113"/>
                <w:sz w:val="15"/>
              </w:rPr>
              <w:t>a</w:t>
            </w:r>
            <w:r>
              <w:rPr>
                <w:spacing w:val="-3"/>
                <w:w w:val="57"/>
                <w:sz w:val="15"/>
              </w:rPr>
              <w:t>l</w:t>
            </w:r>
            <w:r>
              <w:rPr>
                <w:w w:val="144"/>
                <w:sz w:val="15"/>
              </w:rPr>
              <w:t>bu</w:t>
            </w:r>
            <w:r>
              <w:rPr>
                <w:spacing w:val="-2"/>
                <w:w w:val="144"/>
                <w:sz w:val="15"/>
              </w:rPr>
              <w:t>m</w:t>
            </w:r>
            <w:r>
              <w:rPr>
                <w:spacing w:val="-1"/>
                <w:w w:val="55"/>
                <w:sz w:val="15"/>
              </w:rPr>
              <w:t>i</w:t>
            </w:r>
            <w:r>
              <w:rPr>
                <w:spacing w:val="-2"/>
                <w:w w:val="123"/>
                <w:sz w:val="15"/>
              </w:rPr>
              <w:t>n</w:t>
            </w:r>
            <w:r>
              <w:rPr>
                <w:w w:val="149"/>
                <w:sz w:val="15"/>
              </w:rPr>
              <w:t>e</w:t>
            </w:r>
            <w:r>
              <w:rPr>
                <w:spacing w:val="-1"/>
                <w:w w:val="149"/>
                <w:sz w:val="15"/>
              </w:rPr>
              <w:t>m</w:t>
            </w:r>
            <w:r>
              <w:rPr>
                <w:spacing w:val="-1"/>
                <w:w w:val="55"/>
                <w:sz w:val="15"/>
              </w:rPr>
              <w:t>i</w:t>
            </w:r>
            <w:r>
              <w:rPr>
                <w:w w:val="113"/>
                <w:sz w:val="15"/>
              </w:rPr>
              <w:t>a</w:t>
            </w:r>
          </w:p>
        </w:tc>
        <w:tc>
          <w:tcPr>
            <w:tcW w:w="1066" w:type="dxa"/>
            <w:tcBorders>
              <w:top w:val="single" w:sz="4" w:space="0" w:color="000000"/>
              <w:bottom w:val="single" w:sz="4" w:space="0" w:color="000000"/>
            </w:tcBorders>
          </w:tcPr>
          <w:p>
            <w:pPr>
              <w:pStyle w:val="TableParagraph"/>
              <w:spacing w:before="15"/>
              <w:ind w:left="86" w:right="129"/>
              <w:rPr>
                <w:sz w:val="15"/>
              </w:rPr>
            </w:pPr>
            <w:r>
              <w:rPr>
                <w:w w:val="120"/>
                <w:sz w:val="15"/>
              </w:rPr>
              <w:t>10（83%）</w:t>
            </w:r>
          </w:p>
        </w:tc>
        <w:tc>
          <w:tcPr>
            <w:tcW w:w="1051" w:type="dxa"/>
            <w:tcBorders>
              <w:top w:val="single" w:sz="4" w:space="0" w:color="000000"/>
              <w:bottom w:val="single" w:sz="4" w:space="0" w:color="000000"/>
            </w:tcBorders>
          </w:tcPr>
          <w:p>
            <w:pPr>
              <w:pStyle w:val="TableParagraph"/>
              <w:spacing w:before="15"/>
              <w:ind w:left="114" w:right="134"/>
              <w:rPr>
                <w:sz w:val="15"/>
              </w:rPr>
            </w:pPr>
            <w:r>
              <w:rPr>
                <w:w w:val="120"/>
                <w:sz w:val="15"/>
              </w:rPr>
              <w:t>2（17%）</w:t>
            </w:r>
          </w:p>
        </w:tc>
        <w:tc>
          <w:tcPr>
            <w:tcW w:w="1051" w:type="dxa"/>
            <w:tcBorders>
              <w:top w:val="single" w:sz="4" w:space="0" w:color="000000"/>
              <w:bottom w:val="single" w:sz="4" w:space="0" w:color="000000"/>
            </w:tcBorders>
          </w:tcPr>
          <w:p>
            <w:pPr>
              <w:pStyle w:val="TableParagraph"/>
              <w:spacing w:before="15"/>
              <w:ind w:left="20"/>
              <w:rPr>
                <w:sz w:val="15"/>
              </w:rPr>
            </w:pPr>
            <w:r>
              <w:rPr>
                <w:w w:val="111"/>
                <w:sz w:val="15"/>
              </w:rPr>
              <w:t>0</w:t>
            </w:r>
          </w:p>
        </w:tc>
        <w:tc>
          <w:tcPr>
            <w:tcW w:w="1071" w:type="dxa"/>
            <w:tcBorders>
              <w:top w:val="single" w:sz="4" w:space="0" w:color="000000"/>
              <w:bottom w:val="single" w:sz="4" w:space="0" w:color="000000"/>
            </w:tcBorders>
          </w:tcPr>
          <w:p>
            <w:pPr>
              <w:pStyle w:val="TableParagraph"/>
              <w:spacing w:before="15"/>
              <w:ind w:left="40"/>
              <w:rPr>
                <w:sz w:val="15"/>
              </w:rPr>
            </w:pPr>
            <w:r>
              <w:rPr>
                <w:w w:val="111"/>
                <w:sz w:val="15"/>
              </w:rPr>
              <w:t>0</w:t>
            </w:r>
          </w:p>
        </w:tc>
        <w:tc>
          <w:tcPr>
            <w:tcW w:w="1093" w:type="dxa"/>
            <w:tcBorders>
              <w:top w:val="single" w:sz="4" w:space="0" w:color="000000"/>
              <w:bottom w:val="single" w:sz="4" w:space="0" w:color="000000"/>
            </w:tcBorders>
          </w:tcPr>
          <w:p>
            <w:pPr>
              <w:pStyle w:val="TableParagraph"/>
              <w:spacing w:before="15"/>
              <w:ind w:left="87" w:right="66"/>
              <w:rPr>
                <w:sz w:val="15"/>
              </w:rPr>
            </w:pPr>
            <w:r>
              <w:rPr>
                <w:w w:val="120"/>
                <w:sz w:val="15"/>
              </w:rPr>
              <w:t>12（100%）</w:t>
            </w:r>
          </w:p>
        </w:tc>
      </w:tr>
      <w:tr>
        <w:trPr>
          <w:trHeight w:val="282" w:hRule="atLeast"/>
        </w:trPr>
        <w:tc>
          <w:tcPr>
            <w:tcW w:w="1585" w:type="dxa"/>
            <w:tcBorders>
              <w:top w:val="single" w:sz="4" w:space="0" w:color="000000"/>
              <w:bottom w:val="single" w:sz="4" w:space="0" w:color="000000"/>
            </w:tcBorders>
            <w:shd w:val="clear" w:color="auto" w:fill="CCCCCC"/>
          </w:tcPr>
          <w:p>
            <w:pPr>
              <w:pStyle w:val="TableParagraph"/>
              <w:spacing w:before="15"/>
              <w:ind w:left="72" w:right="96"/>
              <w:rPr>
                <w:sz w:val="15"/>
              </w:rPr>
            </w:pPr>
            <w:r>
              <w:rPr>
                <w:spacing w:val="-1"/>
                <w:w w:val="122"/>
                <w:sz w:val="15"/>
              </w:rPr>
              <w:t>A</w:t>
            </w:r>
            <w:r>
              <w:rPr>
                <w:spacing w:val="-2"/>
                <w:w w:val="123"/>
                <w:sz w:val="15"/>
              </w:rPr>
              <w:t>n</w:t>
            </w:r>
            <w:r>
              <w:rPr>
                <w:w w:val="149"/>
                <w:sz w:val="15"/>
              </w:rPr>
              <w:t>e</w:t>
            </w:r>
            <w:r>
              <w:rPr>
                <w:spacing w:val="-1"/>
                <w:w w:val="149"/>
                <w:sz w:val="15"/>
              </w:rPr>
              <w:t>m</w:t>
            </w:r>
            <w:r>
              <w:rPr>
                <w:spacing w:val="-1"/>
                <w:w w:val="55"/>
                <w:sz w:val="15"/>
              </w:rPr>
              <w:t>i</w:t>
            </w:r>
            <w:r>
              <w:rPr>
                <w:w w:val="113"/>
                <w:sz w:val="15"/>
              </w:rPr>
              <w:t>a</w:t>
            </w:r>
          </w:p>
        </w:tc>
        <w:tc>
          <w:tcPr>
            <w:tcW w:w="1066" w:type="dxa"/>
            <w:tcBorders>
              <w:top w:val="single" w:sz="4" w:space="0" w:color="000000"/>
              <w:bottom w:val="single" w:sz="4" w:space="0" w:color="000000"/>
            </w:tcBorders>
            <w:shd w:val="clear" w:color="auto" w:fill="CCCCCC"/>
          </w:tcPr>
          <w:p>
            <w:pPr>
              <w:pStyle w:val="TableParagraph"/>
              <w:spacing w:before="15"/>
              <w:ind w:left="86" w:right="129"/>
              <w:rPr>
                <w:sz w:val="15"/>
              </w:rPr>
            </w:pPr>
            <w:r>
              <w:rPr>
                <w:w w:val="120"/>
                <w:sz w:val="15"/>
              </w:rPr>
              <w:t>3（25%）</w:t>
            </w:r>
          </w:p>
        </w:tc>
        <w:tc>
          <w:tcPr>
            <w:tcW w:w="1051" w:type="dxa"/>
            <w:tcBorders>
              <w:top w:val="single" w:sz="4" w:space="0" w:color="000000"/>
              <w:bottom w:val="single" w:sz="4" w:space="0" w:color="000000"/>
            </w:tcBorders>
            <w:shd w:val="clear" w:color="auto" w:fill="CCCCCC"/>
          </w:tcPr>
          <w:p>
            <w:pPr>
              <w:pStyle w:val="TableParagraph"/>
              <w:spacing w:before="15"/>
              <w:ind w:left="114" w:right="134"/>
              <w:rPr>
                <w:sz w:val="15"/>
              </w:rPr>
            </w:pPr>
            <w:r>
              <w:rPr>
                <w:w w:val="120"/>
                <w:sz w:val="15"/>
              </w:rPr>
              <w:t>3（25%）</w:t>
            </w:r>
          </w:p>
        </w:tc>
        <w:tc>
          <w:tcPr>
            <w:tcW w:w="1051" w:type="dxa"/>
            <w:tcBorders>
              <w:top w:val="single" w:sz="4" w:space="0" w:color="000000"/>
              <w:bottom w:val="single" w:sz="4" w:space="0" w:color="000000"/>
            </w:tcBorders>
            <w:shd w:val="clear" w:color="auto" w:fill="CCCCCC"/>
          </w:tcPr>
          <w:p>
            <w:pPr>
              <w:pStyle w:val="TableParagraph"/>
              <w:spacing w:before="15"/>
              <w:ind w:left="135" w:right="113"/>
              <w:rPr>
                <w:sz w:val="15"/>
              </w:rPr>
            </w:pPr>
            <w:r>
              <w:rPr>
                <w:w w:val="120"/>
                <w:sz w:val="15"/>
              </w:rPr>
              <w:t>4（33%）</w:t>
            </w:r>
          </w:p>
        </w:tc>
        <w:tc>
          <w:tcPr>
            <w:tcW w:w="1071" w:type="dxa"/>
            <w:tcBorders>
              <w:top w:val="single" w:sz="4" w:space="0" w:color="000000"/>
              <w:bottom w:val="single" w:sz="4" w:space="0" w:color="000000"/>
            </w:tcBorders>
            <w:shd w:val="clear" w:color="auto" w:fill="CCCCCC"/>
          </w:tcPr>
          <w:p>
            <w:pPr>
              <w:pStyle w:val="TableParagraph"/>
              <w:spacing w:before="15"/>
              <w:ind w:left="40"/>
              <w:rPr>
                <w:sz w:val="15"/>
              </w:rPr>
            </w:pPr>
            <w:r>
              <w:rPr>
                <w:w w:val="111"/>
                <w:sz w:val="15"/>
              </w:rPr>
              <w:t>0</w:t>
            </w:r>
          </w:p>
        </w:tc>
        <w:tc>
          <w:tcPr>
            <w:tcW w:w="1093" w:type="dxa"/>
            <w:tcBorders>
              <w:top w:val="single" w:sz="4" w:space="0" w:color="000000"/>
              <w:bottom w:val="single" w:sz="4" w:space="0" w:color="000000"/>
            </w:tcBorders>
            <w:shd w:val="clear" w:color="auto" w:fill="CCCCCC"/>
          </w:tcPr>
          <w:p>
            <w:pPr>
              <w:pStyle w:val="TableParagraph"/>
              <w:spacing w:before="15"/>
              <w:ind w:left="87" w:right="63"/>
              <w:rPr>
                <w:sz w:val="15"/>
              </w:rPr>
            </w:pPr>
            <w:r>
              <w:rPr>
                <w:w w:val="120"/>
                <w:sz w:val="15"/>
              </w:rPr>
              <w:t>10（83%）</w:t>
            </w:r>
          </w:p>
        </w:tc>
      </w:tr>
      <w:tr>
        <w:trPr>
          <w:trHeight w:val="282" w:hRule="atLeast"/>
        </w:trPr>
        <w:tc>
          <w:tcPr>
            <w:tcW w:w="1585" w:type="dxa"/>
            <w:tcBorders>
              <w:top w:val="single" w:sz="4" w:space="0" w:color="000000"/>
              <w:bottom w:val="single" w:sz="4" w:space="0" w:color="000000"/>
            </w:tcBorders>
          </w:tcPr>
          <w:p>
            <w:pPr>
              <w:pStyle w:val="TableParagraph"/>
              <w:spacing w:before="15"/>
              <w:ind w:left="72" w:right="94"/>
              <w:rPr>
                <w:sz w:val="15"/>
              </w:rPr>
            </w:pPr>
            <w:r>
              <w:rPr>
                <w:w w:val="125"/>
                <w:sz w:val="15"/>
              </w:rPr>
              <w:t>Hy</w:t>
            </w:r>
            <w:r>
              <w:rPr>
                <w:w w:val="123"/>
                <w:sz w:val="15"/>
              </w:rPr>
              <w:t>p</w:t>
            </w:r>
            <w:r>
              <w:rPr>
                <w:spacing w:val="-1"/>
                <w:w w:val="123"/>
                <w:sz w:val="15"/>
              </w:rPr>
              <w:t>o</w:t>
            </w:r>
            <w:r>
              <w:rPr>
                <w:spacing w:val="-4"/>
                <w:w w:val="123"/>
                <w:sz w:val="15"/>
              </w:rPr>
              <w:t>n</w:t>
            </w:r>
            <w:r>
              <w:rPr>
                <w:w w:val="113"/>
                <w:sz w:val="15"/>
              </w:rPr>
              <w:t>a</w:t>
            </w:r>
            <w:r>
              <w:rPr>
                <w:w w:val="76"/>
                <w:sz w:val="15"/>
              </w:rPr>
              <w:t>t</w:t>
            </w:r>
            <w:r>
              <w:rPr>
                <w:spacing w:val="-2"/>
                <w:w w:val="78"/>
                <w:sz w:val="15"/>
              </w:rPr>
              <w:t>r</w:t>
            </w:r>
            <w:r>
              <w:rPr>
                <w:spacing w:val="-3"/>
                <w:w w:val="111"/>
                <w:sz w:val="15"/>
              </w:rPr>
              <w:t>e</w:t>
            </w:r>
            <w:r>
              <w:rPr>
                <w:spacing w:val="-1"/>
                <w:w w:val="186"/>
                <w:sz w:val="15"/>
              </w:rPr>
              <w:t>m</w:t>
            </w:r>
            <w:r>
              <w:rPr>
                <w:spacing w:val="-2"/>
                <w:w w:val="94"/>
                <w:sz w:val="15"/>
              </w:rPr>
              <w:t>s</w:t>
            </w:r>
            <w:r>
              <w:rPr>
                <w:spacing w:val="-1"/>
                <w:w w:val="55"/>
                <w:sz w:val="15"/>
              </w:rPr>
              <w:t>i</w:t>
            </w:r>
            <w:r>
              <w:rPr>
                <w:w w:val="113"/>
                <w:sz w:val="15"/>
              </w:rPr>
              <w:t>a</w:t>
            </w:r>
          </w:p>
        </w:tc>
        <w:tc>
          <w:tcPr>
            <w:tcW w:w="1066" w:type="dxa"/>
            <w:tcBorders>
              <w:top w:val="single" w:sz="4" w:space="0" w:color="000000"/>
              <w:bottom w:val="single" w:sz="4" w:space="0" w:color="000000"/>
            </w:tcBorders>
          </w:tcPr>
          <w:p>
            <w:pPr>
              <w:pStyle w:val="TableParagraph"/>
              <w:spacing w:before="15"/>
              <w:ind w:left="86" w:right="129"/>
              <w:rPr>
                <w:sz w:val="15"/>
              </w:rPr>
            </w:pPr>
            <w:r>
              <w:rPr>
                <w:w w:val="120"/>
                <w:sz w:val="15"/>
              </w:rPr>
              <w:t>8（67%）</w:t>
            </w:r>
          </w:p>
        </w:tc>
        <w:tc>
          <w:tcPr>
            <w:tcW w:w="1051" w:type="dxa"/>
            <w:tcBorders>
              <w:top w:val="single" w:sz="4" w:space="0" w:color="000000"/>
              <w:bottom w:val="single" w:sz="4" w:space="0" w:color="000000"/>
            </w:tcBorders>
          </w:tcPr>
          <w:p>
            <w:pPr>
              <w:pStyle w:val="TableParagraph"/>
              <w:spacing w:before="15"/>
              <w:ind w:left="118" w:right="134"/>
              <w:rPr>
                <w:sz w:val="15"/>
              </w:rPr>
            </w:pPr>
            <w:r>
              <w:rPr>
                <w:w w:val="120"/>
                <w:sz w:val="15"/>
              </w:rPr>
              <w:t>1（8%）</w:t>
            </w:r>
          </w:p>
        </w:tc>
        <w:tc>
          <w:tcPr>
            <w:tcW w:w="1051" w:type="dxa"/>
            <w:tcBorders>
              <w:top w:val="single" w:sz="4" w:space="0" w:color="000000"/>
              <w:bottom w:val="single" w:sz="4" w:space="0" w:color="000000"/>
            </w:tcBorders>
          </w:tcPr>
          <w:p>
            <w:pPr>
              <w:pStyle w:val="TableParagraph"/>
              <w:spacing w:before="15"/>
              <w:ind w:left="20"/>
              <w:rPr>
                <w:sz w:val="15"/>
              </w:rPr>
            </w:pPr>
            <w:r>
              <w:rPr>
                <w:w w:val="111"/>
                <w:sz w:val="15"/>
              </w:rPr>
              <w:t>0</w:t>
            </w:r>
          </w:p>
        </w:tc>
        <w:tc>
          <w:tcPr>
            <w:tcW w:w="1071" w:type="dxa"/>
            <w:tcBorders>
              <w:top w:val="single" w:sz="4" w:space="0" w:color="000000"/>
              <w:bottom w:val="single" w:sz="4" w:space="0" w:color="000000"/>
            </w:tcBorders>
          </w:tcPr>
          <w:p>
            <w:pPr>
              <w:pStyle w:val="TableParagraph"/>
              <w:spacing w:before="15"/>
              <w:ind w:left="40"/>
              <w:rPr>
                <w:sz w:val="15"/>
              </w:rPr>
            </w:pPr>
            <w:r>
              <w:rPr>
                <w:w w:val="111"/>
                <w:sz w:val="15"/>
              </w:rPr>
              <w:t>0</w:t>
            </w:r>
          </w:p>
        </w:tc>
        <w:tc>
          <w:tcPr>
            <w:tcW w:w="1093" w:type="dxa"/>
            <w:tcBorders>
              <w:top w:val="single" w:sz="4" w:space="0" w:color="000000"/>
              <w:bottom w:val="single" w:sz="4" w:space="0" w:color="000000"/>
            </w:tcBorders>
          </w:tcPr>
          <w:p>
            <w:pPr>
              <w:pStyle w:val="TableParagraph"/>
              <w:spacing w:before="15"/>
              <w:ind w:left="87" w:right="63"/>
              <w:rPr>
                <w:sz w:val="15"/>
              </w:rPr>
            </w:pPr>
            <w:r>
              <w:rPr>
                <w:w w:val="120"/>
                <w:sz w:val="15"/>
              </w:rPr>
              <w:t>9（75%）</w:t>
            </w:r>
          </w:p>
        </w:tc>
      </w:tr>
      <w:tr>
        <w:trPr>
          <w:trHeight w:val="282" w:hRule="atLeast"/>
        </w:trPr>
        <w:tc>
          <w:tcPr>
            <w:tcW w:w="1585" w:type="dxa"/>
            <w:tcBorders>
              <w:top w:val="single" w:sz="4" w:space="0" w:color="000000"/>
              <w:bottom w:val="single" w:sz="4" w:space="0" w:color="000000"/>
            </w:tcBorders>
            <w:shd w:val="clear" w:color="auto" w:fill="CCCCCC"/>
          </w:tcPr>
          <w:p>
            <w:pPr>
              <w:pStyle w:val="TableParagraph"/>
              <w:spacing w:before="15"/>
              <w:ind w:left="72" w:right="93"/>
              <w:rPr>
                <w:sz w:val="15"/>
              </w:rPr>
            </w:pPr>
            <w:r>
              <w:rPr>
                <w:w w:val="110"/>
                <w:sz w:val="15"/>
              </w:rPr>
              <w:t>lncreased</w:t>
            </w:r>
            <w:r>
              <w:rPr>
                <w:spacing w:val="54"/>
                <w:w w:val="110"/>
                <w:sz w:val="15"/>
              </w:rPr>
              <w:t> </w:t>
            </w:r>
            <w:r>
              <w:rPr>
                <w:w w:val="110"/>
                <w:sz w:val="15"/>
              </w:rPr>
              <w:t>ALT</w:t>
            </w:r>
          </w:p>
        </w:tc>
        <w:tc>
          <w:tcPr>
            <w:tcW w:w="1066" w:type="dxa"/>
            <w:tcBorders>
              <w:top w:val="single" w:sz="4" w:space="0" w:color="000000"/>
              <w:bottom w:val="single" w:sz="4" w:space="0" w:color="000000"/>
            </w:tcBorders>
            <w:shd w:val="clear" w:color="auto" w:fill="CCCCCC"/>
          </w:tcPr>
          <w:p>
            <w:pPr>
              <w:pStyle w:val="TableParagraph"/>
              <w:spacing w:before="15"/>
              <w:ind w:left="86" w:right="129"/>
              <w:rPr>
                <w:sz w:val="15"/>
              </w:rPr>
            </w:pPr>
            <w:r>
              <w:rPr>
                <w:w w:val="120"/>
                <w:sz w:val="15"/>
              </w:rPr>
              <w:t>7（58%）</w:t>
            </w:r>
          </w:p>
        </w:tc>
        <w:tc>
          <w:tcPr>
            <w:tcW w:w="1051" w:type="dxa"/>
            <w:tcBorders>
              <w:top w:val="single" w:sz="4" w:space="0" w:color="000000"/>
              <w:bottom w:val="single" w:sz="4" w:space="0" w:color="000000"/>
            </w:tcBorders>
            <w:shd w:val="clear" w:color="auto" w:fill="CCCCCC"/>
          </w:tcPr>
          <w:p>
            <w:pPr>
              <w:pStyle w:val="TableParagraph"/>
              <w:spacing w:before="15"/>
              <w:ind w:right="21"/>
              <w:rPr>
                <w:sz w:val="15"/>
              </w:rPr>
            </w:pPr>
            <w:r>
              <w:rPr>
                <w:w w:val="111"/>
                <w:sz w:val="15"/>
              </w:rPr>
              <w:t>0</w:t>
            </w:r>
          </w:p>
        </w:tc>
        <w:tc>
          <w:tcPr>
            <w:tcW w:w="1051" w:type="dxa"/>
            <w:tcBorders>
              <w:top w:val="single" w:sz="4" w:space="0" w:color="000000"/>
              <w:bottom w:val="single" w:sz="4" w:space="0" w:color="000000"/>
            </w:tcBorders>
            <w:shd w:val="clear" w:color="auto" w:fill="CCCCCC"/>
          </w:tcPr>
          <w:p>
            <w:pPr>
              <w:pStyle w:val="TableParagraph"/>
              <w:spacing w:before="15"/>
              <w:ind w:left="135" w:right="110"/>
              <w:rPr>
                <w:sz w:val="15"/>
              </w:rPr>
            </w:pPr>
            <w:r>
              <w:rPr>
                <w:w w:val="120"/>
                <w:sz w:val="15"/>
              </w:rPr>
              <w:t>1（8%）</w:t>
            </w:r>
          </w:p>
        </w:tc>
        <w:tc>
          <w:tcPr>
            <w:tcW w:w="1071" w:type="dxa"/>
            <w:tcBorders>
              <w:top w:val="single" w:sz="4" w:space="0" w:color="000000"/>
              <w:bottom w:val="single" w:sz="4" w:space="0" w:color="000000"/>
            </w:tcBorders>
            <w:shd w:val="clear" w:color="auto" w:fill="CCCCCC"/>
          </w:tcPr>
          <w:p>
            <w:pPr>
              <w:pStyle w:val="TableParagraph"/>
              <w:spacing w:before="15"/>
              <w:ind w:left="40"/>
              <w:rPr>
                <w:sz w:val="15"/>
              </w:rPr>
            </w:pPr>
            <w:r>
              <w:rPr>
                <w:w w:val="111"/>
                <w:sz w:val="15"/>
              </w:rPr>
              <w:t>0</w:t>
            </w:r>
          </w:p>
        </w:tc>
        <w:tc>
          <w:tcPr>
            <w:tcW w:w="1093" w:type="dxa"/>
            <w:tcBorders>
              <w:top w:val="single" w:sz="4" w:space="0" w:color="000000"/>
              <w:bottom w:val="single" w:sz="4" w:space="0" w:color="000000"/>
            </w:tcBorders>
            <w:shd w:val="clear" w:color="auto" w:fill="CCCCCC"/>
          </w:tcPr>
          <w:p>
            <w:pPr>
              <w:pStyle w:val="TableParagraph"/>
              <w:spacing w:before="15"/>
              <w:ind w:left="87" w:right="63"/>
              <w:rPr>
                <w:sz w:val="15"/>
              </w:rPr>
            </w:pPr>
            <w:r>
              <w:rPr>
                <w:w w:val="120"/>
                <w:sz w:val="15"/>
              </w:rPr>
              <w:t>8（67%）</w:t>
            </w:r>
          </w:p>
        </w:tc>
      </w:tr>
      <w:tr>
        <w:trPr>
          <w:trHeight w:val="282" w:hRule="atLeast"/>
        </w:trPr>
        <w:tc>
          <w:tcPr>
            <w:tcW w:w="1585" w:type="dxa"/>
            <w:tcBorders>
              <w:top w:val="single" w:sz="4" w:space="0" w:color="000000"/>
              <w:bottom w:val="single" w:sz="4" w:space="0" w:color="000000"/>
            </w:tcBorders>
          </w:tcPr>
          <w:p>
            <w:pPr>
              <w:pStyle w:val="TableParagraph"/>
              <w:spacing w:before="15"/>
              <w:ind w:left="72" w:right="96"/>
              <w:rPr>
                <w:sz w:val="15"/>
              </w:rPr>
            </w:pPr>
            <w:r>
              <w:rPr>
                <w:w w:val="125"/>
                <w:sz w:val="15"/>
              </w:rPr>
              <w:t>Hy</w:t>
            </w:r>
            <w:r>
              <w:rPr>
                <w:w w:val="123"/>
                <w:sz w:val="15"/>
              </w:rPr>
              <w:t>p</w:t>
            </w:r>
            <w:r>
              <w:rPr>
                <w:spacing w:val="-4"/>
                <w:w w:val="123"/>
                <w:sz w:val="15"/>
              </w:rPr>
              <w:t>o</w:t>
            </w:r>
            <w:r>
              <w:rPr>
                <w:spacing w:val="-2"/>
                <w:w w:val="111"/>
                <w:sz w:val="15"/>
              </w:rPr>
              <w:t>k</w:t>
            </w:r>
            <w:r>
              <w:rPr>
                <w:w w:val="113"/>
                <w:sz w:val="15"/>
              </w:rPr>
              <w:t>a</w:t>
            </w:r>
            <w:r>
              <w:rPr>
                <w:w w:val="118"/>
                <w:sz w:val="15"/>
              </w:rPr>
              <w:t>le</w:t>
            </w:r>
            <w:r>
              <w:rPr>
                <w:spacing w:val="-1"/>
                <w:w w:val="118"/>
                <w:sz w:val="15"/>
              </w:rPr>
              <w:t>m</w:t>
            </w:r>
            <w:r>
              <w:rPr>
                <w:spacing w:val="-4"/>
                <w:w w:val="55"/>
                <w:sz w:val="15"/>
              </w:rPr>
              <w:t>i</w:t>
            </w:r>
            <w:r>
              <w:rPr>
                <w:w w:val="113"/>
                <w:sz w:val="15"/>
              </w:rPr>
              <w:t>a</w:t>
            </w:r>
          </w:p>
        </w:tc>
        <w:tc>
          <w:tcPr>
            <w:tcW w:w="1066" w:type="dxa"/>
            <w:tcBorders>
              <w:top w:val="single" w:sz="4" w:space="0" w:color="000000"/>
              <w:bottom w:val="single" w:sz="4" w:space="0" w:color="000000"/>
            </w:tcBorders>
          </w:tcPr>
          <w:p>
            <w:pPr>
              <w:pStyle w:val="TableParagraph"/>
              <w:spacing w:before="15"/>
              <w:ind w:left="86" w:right="129"/>
              <w:rPr>
                <w:sz w:val="15"/>
              </w:rPr>
            </w:pPr>
            <w:r>
              <w:rPr>
                <w:w w:val="120"/>
                <w:sz w:val="15"/>
              </w:rPr>
              <w:t>5（42%）</w:t>
            </w:r>
          </w:p>
        </w:tc>
        <w:tc>
          <w:tcPr>
            <w:tcW w:w="1051" w:type="dxa"/>
            <w:tcBorders>
              <w:top w:val="single" w:sz="4" w:space="0" w:color="000000"/>
              <w:bottom w:val="single" w:sz="4" w:space="0" w:color="000000"/>
            </w:tcBorders>
          </w:tcPr>
          <w:p>
            <w:pPr>
              <w:pStyle w:val="TableParagraph"/>
              <w:spacing w:before="15"/>
              <w:ind w:left="118" w:right="134"/>
              <w:rPr>
                <w:sz w:val="15"/>
              </w:rPr>
            </w:pPr>
            <w:r>
              <w:rPr>
                <w:w w:val="120"/>
                <w:sz w:val="15"/>
              </w:rPr>
              <w:t>1（8%）</w:t>
            </w:r>
          </w:p>
        </w:tc>
        <w:tc>
          <w:tcPr>
            <w:tcW w:w="1051" w:type="dxa"/>
            <w:tcBorders>
              <w:top w:val="single" w:sz="4" w:space="0" w:color="000000"/>
              <w:bottom w:val="single" w:sz="4" w:space="0" w:color="000000"/>
            </w:tcBorders>
          </w:tcPr>
          <w:p>
            <w:pPr>
              <w:pStyle w:val="TableParagraph"/>
              <w:spacing w:before="15"/>
              <w:ind w:left="135" w:right="110"/>
              <w:rPr>
                <w:sz w:val="15"/>
              </w:rPr>
            </w:pPr>
            <w:r>
              <w:rPr>
                <w:w w:val="120"/>
                <w:sz w:val="15"/>
              </w:rPr>
              <w:t>1（8%）</w:t>
            </w:r>
          </w:p>
        </w:tc>
        <w:tc>
          <w:tcPr>
            <w:tcW w:w="1071" w:type="dxa"/>
            <w:tcBorders>
              <w:top w:val="single" w:sz="4" w:space="0" w:color="000000"/>
              <w:bottom w:val="single" w:sz="4" w:space="0" w:color="000000"/>
            </w:tcBorders>
          </w:tcPr>
          <w:p>
            <w:pPr>
              <w:pStyle w:val="TableParagraph"/>
              <w:spacing w:before="15"/>
              <w:ind w:left="40"/>
              <w:rPr>
                <w:sz w:val="15"/>
              </w:rPr>
            </w:pPr>
            <w:r>
              <w:rPr>
                <w:w w:val="111"/>
                <w:sz w:val="15"/>
              </w:rPr>
              <w:t>0</w:t>
            </w:r>
          </w:p>
        </w:tc>
        <w:tc>
          <w:tcPr>
            <w:tcW w:w="1093" w:type="dxa"/>
            <w:tcBorders>
              <w:top w:val="single" w:sz="4" w:space="0" w:color="000000"/>
              <w:bottom w:val="single" w:sz="4" w:space="0" w:color="000000"/>
            </w:tcBorders>
          </w:tcPr>
          <w:p>
            <w:pPr>
              <w:pStyle w:val="TableParagraph"/>
              <w:spacing w:before="15"/>
              <w:ind w:left="87" w:right="63"/>
              <w:rPr>
                <w:sz w:val="15"/>
              </w:rPr>
            </w:pPr>
            <w:r>
              <w:rPr>
                <w:w w:val="120"/>
                <w:sz w:val="15"/>
              </w:rPr>
              <w:t>7（58%）</w:t>
            </w:r>
          </w:p>
        </w:tc>
      </w:tr>
      <w:tr>
        <w:trPr>
          <w:trHeight w:val="282" w:hRule="atLeast"/>
        </w:trPr>
        <w:tc>
          <w:tcPr>
            <w:tcW w:w="1585" w:type="dxa"/>
            <w:tcBorders>
              <w:top w:val="single" w:sz="4" w:space="0" w:color="000000"/>
              <w:bottom w:val="single" w:sz="4" w:space="0" w:color="000000"/>
            </w:tcBorders>
            <w:shd w:val="clear" w:color="auto" w:fill="CCCCCC"/>
          </w:tcPr>
          <w:p>
            <w:pPr>
              <w:pStyle w:val="TableParagraph"/>
              <w:spacing w:before="15"/>
              <w:ind w:left="72" w:right="96"/>
              <w:rPr>
                <w:sz w:val="15"/>
              </w:rPr>
            </w:pPr>
            <w:r>
              <w:rPr>
                <w:w w:val="102"/>
                <w:sz w:val="15"/>
              </w:rPr>
              <w:t>P</w:t>
            </w:r>
            <w:r>
              <w:rPr>
                <w:spacing w:val="-1"/>
                <w:w w:val="102"/>
                <w:sz w:val="15"/>
              </w:rPr>
              <w:t>r</w:t>
            </w:r>
            <w:r>
              <w:rPr>
                <w:w w:val="89"/>
                <w:sz w:val="15"/>
              </w:rPr>
              <w:t>otc</w:t>
            </w:r>
            <w:r>
              <w:rPr>
                <w:spacing w:val="-1"/>
                <w:w w:val="89"/>
                <w:sz w:val="15"/>
              </w:rPr>
              <w:t>i</w:t>
            </w:r>
            <w:r>
              <w:rPr>
                <w:spacing w:val="-2"/>
                <w:w w:val="123"/>
                <w:sz w:val="15"/>
              </w:rPr>
              <w:t>n</w:t>
            </w:r>
            <w:r>
              <w:rPr>
                <w:spacing w:val="-1"/>
                <w:w w:val="122"/>
                <w:sz w:val="15"/>
              </w:rPr>
              <w:t>u</w:t>
            </w:r>
            <w:r>
              <w:rPr>
                <w:spacing w:val="-2"/>
                <w:w w:val="78"/>
                <w:sz w:val="15"/>
              </w:rPr>
              <w:t>r</w:t>
            </w:r>
            <w:r>
              <w:rPr>
                <w:spacing w:val="-1"/>
                <w:w w:val="55"/>
                <w:sz w:val="15"/>
              </w:rPr>
              <w:t>i</w:t>
            </w:r>
            <w:r>
              <w:rPr>
                <w:w w:val="113"/>
                <w:sz w:val="15"/>
              </w:rPr>
              <w:t>a</w:t>
            </w:r>
          </w:p>
        </w:tc>
        <w:tc>
          <w:tcPr>
            <w:tcW w:w="1066" w:type="dxa"/>
            <w:tcBorders>
              <w:top w:val="single" w:sz="4" w:space="0" w:color="000000"/>
              <w:bottom w:val="single" w:sz="4" w:space="0" w:color="000000"/>
            </w:tcBorders>
            <w:shd w:val="clear" w:color="auto" w:fill="CCCCCC"/>
          </w:tcPr>
          <w:p>
            <w:pPr>
              <w:pStyle w:val="TableParagraph"/>
              <w:spacing w:before="15"/>
              <w:ind w:left="86" w:right="129"/>
              <w:rPr>
                <w:sz w:val="15"/>
              </w:rPr>
            </w:pPr>
            <w:r>
              <w:rPr>
                <w:w w:val="120"/>
                <w:sz w:val="15"/>
              </w:rPr>
              <w:t>5（42%）</w:t>
            </w:r>
          </w:p>
        </w:tc>
        <w:tc>
          <w:tcPr>
            <w:tcW w:w="1051" w:type="dxa"/>
            <w:tcBorders>
              <w:top w:val="single" w:sz="4" w:space="0" w:color="000000"/>
              <w:bottom w:val="single" w:sz="4" w:space="0" w:color="000000"/>
            </w:tcBorders>
            <w:shd w:val="clear" w:color="auto" w:fill="CCCCCC"/>
          </w:tcPr>
          <w:p>
            <w:pPr>
              <w:pStyle w:val="TableParagraph"/>
              <w:spacing w:before="15"/>
              <w:ind w:left="118" w:right="134"/>
              <w:rPr>
                <w:sz w:val="15"/>
              </w:rPr>
            </w:pPr>
            <w:r>
              <w:rPr>
                <w:w w:val="120"/>
                <w:sz w:val="15"/>
              </w:rPr>
              <w:t>1（8%）</w:t>
            </w:r>
          </w:p>
        </w:tc>
        <w:tc>
          <w:tcPr>
            <w:tcW w:w="1051" w:type="dxa"/>
            <w:tcBorders>
              <w:top w:val="single" w:sz="4" w:space="0" w:color="000000"/>
              <w:bottom w:val="single" w:sz="4" w:space="0" w:color="000000"/>
            </w:tcBorders>
            <w:shd w:val="clear" w:color="auto" w:fill="CCCCCC"/>
          </w:tcPr>
          <w:p>
            <w:pPr>
              <w:pStyle w:val="TableParagraph"/>
              <w:spacing w:before="15"/>
              <w:ind w:left="135" w:right="110"/>
              <w:rPr>
                <w:sz w:val="15"/>
              </w:rPr>
            </w:pPr>
            <w:r>
              <w:rPr>
                <w:w w:val="120"/>
                <w:sz w:val="15"/>
              </w:rPr>
              <w:t>1（8%）</w:t>
            </w:r>
          </w:p>
        </w:tc>
        <w:tc>
          <w:tcPr>
            <w:tcW w:w="1071" w:type="dxa"/>
            <w:tcBorders>
              <w:top w:val="single" w:sz="4" w:space="0" w:color="000000"/>
              <w:bottom w:val="single" w:sz="4" w:space="0" w:color="000000"/>
            </w:tcBorders>
            <w:shd w:val="clear" w:color="auto" w:fill="CCCCCC"/>
          </w:tcPr>
          <w:p>
            <w:pPr>
              <w:pStyle w:val="TableParagraph"/>
              <w:spacing w:before="15"/>
              <w:ind w:left="40"/>
              <w:rPr>
                <w:sz w:val="15"/>
              </w:rPr>
            </w:pPr>
            <w:r>
              <w:rPr>
                <w:w w:val="111"/>
                <w:sz w:val="15"/>
              </w:rPr>
              <w:t>0</w:t>
            </w:r>
          </w:p>
        </w:tc>
        <w:tc>
          <w:tcPr>
            <w:tcW w:w="1093" w:type="dxa"/>
            <w:tcBorders>
              <w:top w:val="single" w:sz="4" w:space="0" w:color="000000"/>
              <w:bottom w:val="single" w:sz="4" w:space="0" w:color="000000"/>
            </w:tcBorders>
            <w:shd w:val="clear" w:color="auto" w:fill="CCCCCC"/>
          </w:tcPr>
          <w:p>
            <w:pPr>
              <w:pStyle w:val="TableParagraph"/>
              <w:spacing w:before="15"/>
              <w:ind w:left="87" w:right="63"/>
              <w:rPr>
                <w:sz w:val="15"/>
              </w:rPr>
            </w:pPr>
            <w:r>
              <w:rPr>
                <w:w w:val="120"/>
                <w:sz w:val="15"/>
              </w:rPr>
              <w:t>7（58%）</w:t>
            </w:r>
          </w:p>
        </w:tc>
      </w:tr>
      <w:tr>
        <w:trPr>
          <w:trHeight w:val="282" w:hRule="atLeast"/>
        </w:trPr>
        <w:tc>
          <w:tcPr>
            <w:tcW w:w="1585" w:type="dxa"/>
            <w:tcBorders>
              <w:top w:val="single" w:sz="4" w:space="0" w:color="000000"/>
              <w:bottom w:val="single" w:sz="4" w:space="0" w:color="000000"/>
            </w:tcBorders>
          </w:tcPr>
          <w:p>
            <w:pPr>
              <w:pStyle w:val="TableParagraph"/>
              <w:spacing w:before="15"/>
              <w:ind w:left="72" w:right="93"/>
              <w:rPr>
                <w:sz w:val="15"/>
              </w:rPr>
            </w:pPr>
            <w:r>
              <w:rPr>
                <w:spacing w:val="-1"/>
                <w:w w:val="138"/>
                <w:sz w:val="15"/>
              </w:rPr>
              <w:t>D</w:t>
            </w:r>
            <w:r>
              <w:rPr>
                <w:w w:val="97"/>
                <w:sz w:val="15"/>
              </w:rPr>
              <w:t>ec</w:t>
            </w:r>
            <w:r>
              <w:rPr>
                <w:spacing w:val="-2"/>
                <w:w w:val="97"/>
                <w:sz w:val="15"/>
              </w:rPr>
              <w:t>r</w:t>
            </w:r>
            <w:r>
              <w:rPr>
                <w:w w:val="112"/>
                <w:sz w:val="15"/>
              </w:rPr>
              <w:t>e</w:t>
            </w:r>
            <w:r>
              <w:rPr>
                <w:spacing w:val="1"/>
                <w:w w:val="112"/>
                <w:sz w:val="15"/>
              </w:rPr>
              <w:t>a</w:t>
            </w:r>
            <w:r>
              <w:rPr>
                <w:spacing w:val="-4"/>
                <w:w w:val="94"/>
                <w:sz w:val="15"/>
              </w:rPr>
              <w:t>s</w:t>
            </w:r>
            <w:r>
              <w:rPr>
                <w:w w:val="118"/>
                <w:sz w:val="15"/>
              </w:rPr>
              <w:t>ed</w:t>
            </w:r>
            <w:r>
              <w:rPr>
                <w:spacing w:val="-44"/>
                <w:sz w:val="15"/>
              </w:rPr>
              <w:t> </w:t>
            </w:r>
            <w:r>
              <w:rPr>
                <w:w w:val="113"/>
                <w:sz w:val="15"/>
              </w:rPr>
              <w:t>a</w:t>
            </w:r>
            <w:r>
              <w:rPr>
                <w:w w:val="120"/>
                <w:sz w:val="15"/>
              </w:rPr>
              <w:t>pp</w:t>
            </w:r>
            <w:r>
              <w:rPr>
                <w:spacing w:val="-3"/>
                <w:w w:val="120"/>
                <w:sz w:val="15"/>
              </w:rPr>
              <w:t>e</w:t>
            </w:r>
            <w:r>
              <w:rPr>
                <w:w w:val="76"/>
                <w:sz w:val="15"/>
              </w:rPr>
              <w:t>t</w:t>
            </w:r>
            <w:r>
              <w:rPr>
                <w:spacing w:val="-1"/>
                <w:w w:val="55"/>
                <w:sz w:val="15"/>
              </w:rPr>
              <w:t>i</w:t>
            </w:r>
            <w:r>
              <w:rPr>
                <w:spacing w:val="-2"/>
                <w:w w:val="76"/>
                <w:sz w:val="15"/>
              </w:rPr>
              <w:t>t</w:t>
            </w:r>
            <w:r>
              <w:rPr>
                <w:w w:val="111"/>
                <w:sz w:val="15"/>
              </w:rPr>
              <w:t>e</w:t>
            </w:r>
          </w:p>
        </w:tc>
        <w:tc>
          <w:tcPr>
            <w:tcW w:w="1066" w:type="dxa"/>
            <w:tcBorders>
              <w:top w:val="single" w:sz="4" w:space="0" w:color="000000"/>
              <w:bottom w:val="single" w:sz="4" w:space="0" w:color="000000"/>
            </w:tcBorders>
          </w:tcPr>
          <w:p>
            <w:pPr>
              <w:pStyle w:val="TableParagraph"/>
              <w:spacing w:before="15"/>
              <w:ind w:left="86" w:right="129"/>
              <w:rPr>
                <w:sz w:val="15"/>
              </w:rPr>
            </w:pPr>
            <w:r>
              <w:rPr>
                <w:w w:val="120"/>
                <w:sz w:val="15"/>
              </w:rPr>
              <w:t>5（42%）</w:t>
            </w:r>
          </w:p>
        </w:tc>
        <w:tc>
          <w:tcPr>
            <w:tcW w:w="1051" w:type="dxa"/>
            <w:tcBorders>
              <w:top w:val="single" w:sz="4" w:space="0" w:color="000000"/>
              <w:bottom w:val="single" w:sz="4" w:space="0" w:color="000000"/>
            </w:tcBorders>
          </w:tcPr>
          <w:p>
            <w:pPr>
              <w:pStyle w:val="TableParagraph"/>
              <w:spacing w:before="15"/>
              <w:ind w:left="114" w:right="134"/>
              <w:rPr>
                <w:sz w:val="15"/>
              </w:rPr>
            </w:pPr>
            <w:r>
              <w:rPr>
                <w:w w:val="120"/>
                <w:sz w:val="15"/>
              </w:rPr>
              <w:t>2（17%）</w:t>
            </w:r>
          </w:p>
        </w:tc>
        <w:tc>
          <w:tcPr>
            <w:tcW w:w="1051" w:type="dxa"/>
            <w:tcBorders>
              <w:top w:val="single" w:sz="4" w:space="0" w:color="000000"/>
              <w:bottom w:val="single" w:sz="4" w:space="0" w:color="000000"/>
            </w:tcBorders>
          </w:tcPr>
          <w:p>
            <w:pPr>
              <w:pStyle w:val="TableParagraph"/>
              <w:spacing w:before="15"/>
              <w:ind w:left="20"/>
              <w:rPr>
                <w:sz w:val="15"/>
              </w:rPr>
            </w:pPr>
            <w:r>
              <w:rPr>
                <w:w w:val="111"/>
                <w:sz w:val="15"/>
              </w:rPr>
              <w:t>0</w:t>
            </w:r>
          </w:p>
        </w:tc>
        <w:tc>
          <w:tcPr>
            <w:tcW w:w="1071" w:type="dxa"/>
            <w:tcBorders>
              <w:top w:val="single" w:sz="4" w:space="0" w:color="000000"/>
              <w:bottom w:val="single" w:sz="4" w:space="0" w:color="000000"/>
            </w:tcBorders>
          </w:tcPr>
          <w:p>
            <w:pPr>
              <w:pStyle w:val="TableParagraph"/>
              <w:spacing w:before="15"/>
              <w:ind w:left="40"/>
              <w:rPr>
                <w:sz w:val="15"/>
              </w:rPr>
            </w:pPr>
            <w:r>
              <w:rPr>
                <w:w w:val="111"/>
                <w:sz w:val="15"/>
              </w:rPr>
              <w:t>0</w:t>
            </w:r>
          </w:p>
        </w:tc>
        <w:tc>
          <w:tcPr>
            <w:tcW w:w="1093" w:type="dxa"/>
            <w:tcBorders>
              <w:top w:val="single" w:sz="4" w:space="0" w:color="000000"/>
              <w:bottom w:val="single" w:sz="4" w:space="0" w:color="000000"/>
            </w:tcBorders>
          </w:tcPr>
          <w:p>
            <w:pPr>
              <w:pStyle w:val="TableParagraph"/>
              <w:spacing w:before="15"/>
              <w:ind w:left="87" w:right="63"/>
              <w:rPr>
                <w:sz w:val="15"/>
              </w:rPr>
            </w:pPr>
            <w:r>
              <w:rPr>
                <w:w w:val="120"/>
                <w:sz w:val="15"/>
              </w:rPr>
              <w:t>7（58%）</w:t>
            </w:r>
          </w:p>
        </w:tc>
      </w:tr>
      <w:tr>
        <w:trPr>
          <w:trHeight w:val="282" w:hRule="atLeast"/>
        </w:trPr>
        <w:tc>
          <w:tcPr>
            <w:tcW w:w="1585" w:type="dxa"/>
            <w:tcBorders>
              <w:top w:val="single" w:sz="4" w:space="0" w:color="000000"/>
              <w:bottom w:val="single" w:sz="4" w:space="0" w:color="000000"/>
            </w:tcBorders>
            <w:shd w:val="clear" w:color="auto" w:fill="CCCCCC"/>
          </w:tcPr>
          <w:p>
            <w:pPr>
              <w:pStyle w:val="TableParagraph"/>
              <w:spacing w:before="15"/>
              <w:ind w:left="72" w:right="92"/>
              <w:rPr>
                <w:sz w:val="15"/>
              </w:rPr>
            </w:pPr>
            <w:r>
              <w:rPr>
                <w:w w:val="111"/>
                <w:sz w:val="15"/>
              </w:rPr>
              <w:t>F</w:t>
            </w:r>
            <w:r>
              <w:rPr>
                <w:spacing w:val="-2"/>
                <w:w w:val="113"/>
                <w:sz w:val="15"/>
              </w:rPr>
              <w:t>a</w:t>
            </w:r>
            <w:r>
              <w:rPr>
                <w:w w:val="76"/>
                <w:sz w:val="15"/>
              </w:rPr>
              <w:t>t</w:t>
            </w:r>
            <w:r>
              <w:rPr>
                <w:spacing w:val="-1"/>
                <w:w w:val="55"/>
                <w:sz w:val="15"/>
              </w:rPr>
              <w:t>i</w:t>
            </w:r>
            <w:r>
              <w:rPr>
                <w:spacing w:val="-2"/>
                <w:w w:val="113"/>
                <w:sz w:val="15"/>
              </w:rPr>
              <w:t>g</w:t>
            </w:r>
            <w:r>
              <w:rPr>
                <w:spacing w:val="-1"/>
                <w:w w:val="122"/>
                <w:sz w:val="15"/>
              </w:rPr>
              <w:t>u</w:t>
            </w:r>
            <w:r>
              <w:rPr>
                <w:w w:val="111"/>
                <w:sz w:val="15"/>
              </w:rPr>
              <w:t>e</w:t>
            </w:r>
          </w:p>
        </w:tc>
        <w:tc>
          <w:tcPr>
            <w:tcW w:w="1066" w:type="dxa"/>
            <w:tcBorders>
              <w:top w:val="single" w:sz="4" w:space="0" w:color="000000"/>
              <w:bottom w:val="single" w:sz="4" w:space="0" w:color="000000"/>
            </w:tcBorders>
            <w:shd w:val="clear" w:color="auto" w:fill="CCCCCC"/>
          </w:tcPr>
          <w:p>
            <w:pPr>
              <w:pStyle w:val="TableParagraph"/>
              <w:spacing w:before="15"/>
              <w:ind w:left="86" w:right="129"/>
              <w:rPr>
                <w:sz w:val="15"/>
              </w:rPr>
            </w:pPr>
            <w:r>
              <w:rPr>
                <w:w w:val="120"/>
                <w:sz w:val="15"/>
              </w:rPr>
              <w:t>7（58%）</w:t>
            </w:r>
          </w:p>
        </w:tc>
        <w:tc>
          <w:tcPr>
            <w:tcW w:w="1051" w:type="dxa"/>
            <w:tcBorders>
              <w:top w:val="single" w:sz="4" w:space="0" w:color="000000"/>
              <w:bottom w:val="single" w:sz="4" w:space="0" w:color="000000"/>
            </w:tcBorders>
            <w:shd w:val="clear" w:color="auto" w:fill="CCCCCC"/>
          </w:tcPr>
          <w:p>
            <w:pPr>
              <w:pStyle w:val="TableParagraph"/>
              <w:spacing w:before="15"/>
              <w:ind w:right="21"/>
              <w:rPr>
                <w:sz w:val="15"/>
              </w:rPr>
            </w:pPr>
            <w:r>
              <w:rPr>
                <w:w w:val="111"/>
                <w:sz w:val="15"/>
              </w:rPr>
              <w:t>0</w:t>
            </w:r>
          </w:p>
        </w:tc>
        <w:tc>
          <w:tcPr>
            <w:tcW w:w="1051" w:type="dxa"/>
            <w:tcBorders>
              <w:top w:val="single" w:sz="4" w:space="0" w:color="000000"/>
              <w:bottom w:val="single" w:sz="4" w:space="0" w:color="000000"/>
            </w:tcBorders>
            <w:shd w:val="clear" w:color="auto" w:fill="CCCCCC"/>
          </w:tcPr>
          <w:p>
            <w:pPr>
              <w:pStyle w:val="TableParagraph"/>
              <w:spacing w:before="15"/>
              <w:ind w:left="20"/>
              <w:rPr>
                <w:sz w:val="15"/>
              </w:rPr>
            </w:pPr>
            <w:r>
              <w:rPr>
                <w:w w:val="111"/>
                <w:sz w:val="15"/>
              </w:rPr>
              <w:t>0</w:t>
            </w:r>
          </w:p>
        </w:tc>
        <w:tc>
          <w:tcPr>
            <w:tcW w:w="1071" w:type="dxa"/>
            <w:tcBorders>
              <w:top w:val="single" w:sz="4" w:space="0" w:color="000000"/>
              <w:bottom w:val="single" w:sz="4" w:space="0" w:color="000000"/>
            </w:tcBorders>
            <w:shd w:val="clear" w:color="auto" w:fill="CCCCCC"/>
          </w:tcPr>
          <w:p>
            <w:pPr>
              <w:pStyle w:val="TableParagraph"/>
              <w:spacing w:before="15"/>
              <w:ind w:left="40"/>
              <w:rPr>
                <w:sz w:val="15"/>
              </w:rPr>
            </w:pPr>
            <w:r>
              <w:rPr>
                <w:w w:val="111"/>
                <w:sz w:val="15"/>
              </w:rPr>
              <w:t>0</w:t>
            </w:r>
          </w:p>
        </w:tc>
        <w:tc>
          <w:tcPr>
            <w:tcW w:w="1093" w:type="dxa"/>
            <w:tcBorders>
              <w:top w:val="single" w:sz="4" w:space="0" w:color="000000"/>
              <w:bottom w:val="single" w:sz="4" w:space="0" w:color="000000"/>
            </w:tcBorders>
            <w:shd w:val="clear" w:color="auto" w:fill="CCCCCC"/>
          </w:tcPr>
          <w:p>
            <w:pPr>
              <w:pStyle w:val="TableParagraph"/>
              <w:spacing w:before="15"/>
              <w:ind w:left="87" w:right="63"/>
              <w:rPr>
                <w:sz w:val="15"/>
              </w:rPr>
            </w:pPr>
            <w:r>
              <w:rPr>
                <w:w w:val="120"/>
                <w:sz w:val="15"/>
              </w:rPr>
              <w:t>7（58%）</w:t>
            </w:r>
          </w:p>
        </w:tc>
      </w:tr>
      <w:tr>
        <w:trPr>
          <w:trHeight w:val="282" w:hRule="atLeast"/>
        </w:trPr>
        <w:tc>
          <w:tcPr>
            <w:tcW w:w="1585" w:type="dxa"/>
            <w:tcBorders>
              <w:top w:val="single" w:sz="4" w:space="0" w:color="000000"/>
              <w:bottom w:val="single" w:sz="4" w:space="0" w:color="000000"/>
            </w:tcBorders>
          </w:tcPr>
          <w:p>
            <w:pPr>
              <w:pStyle w:val="TableParagraph"/>
              <w:spacing w:before="15"/>
              <w:ind w:left="72" w:right="96"/>
              <w:rPr>
                <w:sz w:val="15"/>
              </w:rPr>
            </w:pPr>
            <w:r>
              <w:rPr>
                <w:w w:val="115"/>
                <w:sz w:val="15"/>
              </w:rPr>
              <w:t>Nausea</w:t>
            </w:r>
          </w:p>
        </w:tc>
        <w:tc>
          <w:tcPr>
            <w:tcW w:w="1066" w:type="dxa"/>
            <w:tcBorders>
              <w:top w:val="single" w:sz="4" w:space="0" w:color="000000"/>
              <w:bottom w:val="single" w:sz="4" w:space="0" w:color="000000"/>
            </w:tcBorders>
          </w:tcPr>
          <w:p>
            <w:pPr>
              <w:pStyle w:val="TableParagraph"/>
              <w:spacing w:before="15"/>
              <w:ind w:left="86" w:right="129"/>
              <w:rPr>
                <w:sz w:val="15"/>
              </w:rPr>
            </w:pPr>
            <w:r>
              <w:rPr>
                <w:w w:val="120"/>
                <w:sz w:val="15"/>
              </w:rPr>
              <w:t>4（33%）</w:t>
            </w:r>
          </w:p>
        </w:tc>
        <w:tc>
          <w:tcPr>
            <w:tcW w:w="1051" w:type="dxa"/>
            <w:tcBorders>
              <w:top w:val="single" w:sz="4" w:space="0" w:color="000000"/>
              <w:bottom w:val="single" w:sz="4" w:space="0" w:color="000000"/>
            </w:tcBorders>
          </w:tcPr>
          <w:p>
            <w:pPr>
              <w:pStyle w:val="TableParagraph"/>
              <w:spacing w:before="15"/>
              <w:ind w:left="114" w:right="134"/>
              <w:rPr>
                <w:sz w:val="15"/>
              </w:rPr>
            </w:pPr>
            <w:r>
              <w:rPr>
                <w:w w:val="120"/>
                <w:sz w:val="15"/>
              </w:rPr>
              <w:t>2（17%）</w:t>
            </w:r>
          </w:p>
        </w:tc>
        <w:tc>
          <w:tcPr>
            <w:tcW w:w="1051" w:type="dxa"/>
            <w:tcBorders>
              <w:top w:val="single" w:sz="4" w:space="0" w:color="000000"/>
              <w:bottom w:val="single" w:sz="4" w:space="0" w:color="000000"/>
            </w:tcBorders>
          </w:tcPr>
          <w:p>
            <w:pPr>
              <w:pStyle w:val="TableParagraph"/>
              <w:spacing w:before="15"/>
              <w:ind w:left="20"/>
              <w:rPr>
                <w:sz w:val="15"/>
              </w:rPr>
            </w:pPr>
            <w:r>
              <w:rPr>
                <w:w w:val="111"/>
                <w:sz w:val="15"/>
              </w:rPr>
              <w:t>0</w:t>
            </w:r>
          </w:p>
        </w:tc>
        <w:tc>
          <w:tcPr>
            <w:tcW w:w="1071" w:type="dxa"/>
            <w:tcBorders>
              <w:top w:val="single" w:sz="4" w:space="0" w:color="000000"/>
              <w:bottom w:val="single" w:sz="4" w:space="0" w:color="000000"/>
            </w:tcBorders>
          </w:tcPr>
          <w:p>
            <w:pPr>
              <w:pStyle w:val="TableParagraph"/>
              <w:spacing w:before="15"/>
              <w:ind w:left="40"/>
              <w:rPr>
                <w:sz w:val="15"/>
              </w:rPr>
            </w:pPr>
            <w:r>
              <w:rPr>
                <w:w w:val="111"/>
                <w:sz w:val="15"/>
              </w:rPr>
              <w:t>0</w:t>
            </w:r>
          </w:p>
        </w:tc>
        <w:tc>
          <w:tcPr>
            <w:tcW w:w="1093" w:type="dxa"/>
            <w:tcBorders>
              <w:top w:val="single" w:sz="4" w:space="0" w:color="000000"/>
              <w:bottom w:val="single" w:sz="4" w:space="0" w:color="000000"/>
            </w:tcBorders>
          </w:tcPr>
          <w:p>
            <w:pPr>
              <w:pStyle w:val="TableParagraph"/>
              <w:spacing w:before="15"/>
              <w:ind w:left="87" w:right="63"/>
              <w:rPr>
                <w:sz w:val="15"/>
              </w:rPr>
            </w:pPr>
            <w:r>
              <w:rPr>
                <w:w w:val="120"/>
                <w:sz w:val="15"/>
              </w:rPr>
              <w:t>6（50%）</w:t>
            </w:r>
          </w:p>
        </w:tc>
      </w:tr>
      <w:tr>
        <w:trPr>
          <w:trHeight w:val="285" w:hRule="atLeast"/>
        </w:trPr>
        <w:tc>
          <w:tcPr>
            <w:tcW w:w="1585" w:type="dxa"/>
            <w:tcBorders>
              <w:top w:val="single" w:sz="4" w:space="0" w:color="000000"/>
              <w:bottom w:val="single" w:sz="4" w:space="0" w:color="000000"/>
            </w:tcBorders>
            <w:shd w:val="clear" w:color="auto" w:fill="CCCCCC"/>
          </w:tcPr>
          <w:p>
            <w:pPr>
              <w:pStyle w:val="TableParagraph"/>
              <w:spacing w:before="15"/>
              <w:ind w:left="72" w:right="93"/>
              <w:rPr>
                <w:sz w:val="15"/>
              </w:rPr>
            </w:pPr>
            <w:r>
              <w:rPr>
                <w:spacing w:val="-1"/>
                <w:w w:val="128"/>
                <w:sz w:val="15"/>
              </w:rPr>
              <w:t>C</w:t>
            </w:r>
            <w:r>
              <w:rPr>
                <w:w w:val="122"/>
                <w:sz w:val="15"/>
              </w:rPr>
              <w:t>o</w:t>
            </w:r>
            <w:r>
              <w:rPr>
                <w:spacing w:val="-2"/>
                <w:w w:val="122"/>
                <w:sz w:val="15"/>
              </w:rPr>
              <w:t>n</w:t>
            </w:r>
            <w:r>
              <w:rPr>
                <w:spacing w:val="-2"/>
                <w:w w:val="94"/>
                <w:sz w:val="15"/>
              </w:rPr>
              <w:t>s</w:t>
            </w:r>
            <w:r>
              <w:rPr>
                <w:w w:val="76"/>
                <w:sz w:val="15"/>
              </w:rPr>
              <w:t>t</w:t>
            </w:r>
            <w:r>
              <w:rPr>
                <w:spacing w:val="-1"/>
                <w:w w:val="55"/>
                <w:sz w:val="15"/>
              </w:rPr>
              <w:t>i</w:t>
            </w:r>
            <w:r>
              <w:rPr>
                <w:w w:val="119"/>
                <w:sz w:val="15"/>
              </w:rPr>
              <w:t>pa</w:t>
            </w:r>
            <w:r>
              <w:rPr>
                <w:spacing w:val="-2"/>
                <w:w w:val="76"/>
                <w:sz w:val="15"/>
              </w:rPr>
              <w:t>t</w:t>
            </w:r>
            <w:r>
              <w:rPr>
                <w:w w:val="111"/>
                <w:sz w:val="15"/>
              </w:rPr>
              <w:t>e</w:t>
            </w:r>
          </w:p>
        </w:tc>
        <w:tc>
          <w:tcPr>
            <w:tcW w:w="1066" w:type="dxa"/>
            <w:tcBorders>
              <w:top w:val="single" w:sz="4" w:space="0" w:color="000000"/>
              <w:bottom w:val="single" w:sz="4" w:space="0" w:color="000000"/>
            </w:tcBorders>
            <w:shd w:val="clear" w:color="auto" w:fill="CCCCCC"/>
          </w:tcPr>
          <w:p>
            <w:pPr>
              <w:pStyle w:val="TableParagraph"/>
              <w:spacing w:before="15"/>
              <w:ind w:left="86" w:right="129"/>
              <w:rPr>
                <w:sz w:val="15"/>
              </w:rPr>
            </w:pPr>
            <w:r>
              <w:rPr>
                <w:w w:val="120"/>
                <w:sz w:val="15"/>
              </w:rPr>
              <w:t>3（25%）</w:t>
            </w:r>
          </w:p>
        </w:tc>
        <w:tc>
          <w:tcPr>
            <w:tcW w:w="1051" w:type="dxa"/>
            <w:tcBorders>
              <w:top w:val="single" w:sz="4" w:space="0" w:color="000000"/>
              <w:bottom w:val="single" w:sz="4" w:space="0" w:color="000000"/>
            </w:tcBorders>
            <w:shd w:val="clear" w:color="auto" w:fill="CCCCCC"/>
          </w:tcPr>
          <w:p>
            <w:pPr>
              <w:pStyle w:val="TableParagraph"/>
              <w:spacing w:before="15"/>
              <w:ind w:left="114" w:right="134"/>
              <w:rPr>
                <w:sz w:val="15"/>
              </w:rPr>
            </w:pPr>
            <w:r>
              <w:rPr>
                <w:w w:val="120"/>
                <w:sz w:val="15"/>
              </w:rPr>
              <w:t>3（25%）</w:t>
            </w:r>
          </w:p>
        </w:tc>
        <w:tc>
          <w:tcPr>
            <w:tcW w:w="1051" w:type="dxa"/>
            <w:tcBorders>
              <w:top w:val="single" w:sz="4" w:space="0" w:color="000000"/>
              <w:bottom w:val="single" w:sz="4" w:space="0" w:color="000000"/>
            </w:tcBorders>
            <w:shd w:val="clear" w:color="auto" w:fill="CCCCCC"/>
          </w:tcPr>
          <w:p>
            <w:pPr>
              <w:pStyle w:val="TableParagraph"/>
              <w:spacing w:before="15"/>
              <w:ind w:left="20"/>
              <w:rPr>
                <w:sz w:val="15"/>
              </w:rPr>
            </w:pPr>
            <w:r>
              <w:rPr>
                <w:w w:val="111"/>
                <w:sz w:val="15"/>
              </w:rPr>
              <w:t>0</w:t>
            </w:r>
          </w:p>
        </w:tc>
        <w:tc>
          <w:tcPr>
            <w:tcW w:w="1071" w:type="dxa"/>
            <w:tcBorders>
              <w:top w:val="single" w:sz="4" w:space="0" w:color="000000"/>
              <w:bottom w:val="single" w:sz="4" w:space="0" w:color="000000"/>
            </w:tcBorders>
            <w:shd w:val="clear" w:color="auto" w:fill="CCCCCC"/>
          </w:tcPr>
          <w:p>
            <w:pPr>
              <w:pStyle w:val="TableParagraph"/>
              <w:spacing w:before="15"/>
              <w:ind w:left="40"/>
              <w:rPr>
                <w:sz w:val="15"/>
              </w:rPr>
            </w:pPr>
            <w:r>
              <w:rPr>
                <w:w w:val="111"/>
                <w:sz w:val="15"/>
              </w:rPr>
              <w:t>0</w:t>
            </w:r>
          </w:p>
        </w:tc>
        <w:tc>
          <w:tcPr>
            <w:tcW w:w="1093" w:type="dxa"/>
            <w:tcBorders>
              <w:top w:val="single" w:sz="4" w:space="0" w:color="000000"/>
              <w:bottom w:val="single" w:sz="4" w:space="0" w:color="000000"/>
            </w:tcBorders>
            <w:shd w:val="clear" w:color="auto" w:fill="CCCCCC"/>
          </w:tcPr>
          <w:p>
            <w:pPr>
              <w:pStyle w:val="TableParagraph"/>
              <w:spacing w:before="15"/>
              <w:ind w:left="87" w:right="63"/>
              <w:rPr>
                <w:sz w:val="15"/>
              </w:rPr>
            </w:pPr>
            <w:r>
              <w:rPr>
                <w:w w:val="120"/>
                <w:sz w:val="15"/>
              </w:rPr>
              <w:t>6（50%）</w:t>
            </w:r>
          </w:p>
        </w:tc>
      </w:tr>
      <w:tr>
        <w:trPr>
          <w:trHeight w:val="282" w:hRule="atLeast"/>
        </w:trPr>
        <w:tc>
          <w:tcPr>
            <w:tcW w:w="1585" w:type="dxa"/>
            <w:tcBorders>
              <w:top w:val="single" w:sz="4" w:space="0" w:color="000000"/>
              <w:bottom w:val="single" w:sz="4" w:space="0" w:color="000000"/>
            </w:tcBorders>
          </w:tcPr>
          <w:p>
            <w:pPr>
              <w:pStyle w:val="TableParagraph"/>
              <w:spacing w:before="13"/>
              <w:ind w:left="72" w:right="94"/>
              <w:rPr>
                <w:sz w:val="15"/>
              </w:rPr>
            </w:pPr>
            <w:r>
              <w:rPr>
                <w:spacing w:val="-1"/>
                <w:w w:val="138"/>
                <w:sz w:val="15"/>
              </w:rPr>
              <w:t>D</w:t>
            </w:r>
            <w:r>
              <w:rPr>
                <w:spacing w:val="-1"/>
                <w:w w:val="55"/>
                <w:sz w:val="15"/>
              </w:rPr>
              <w:t>i</w:t>
            </w:r>
            <w:r>
              <w:rPr>
                <w:w w:val="113"/>
                <w:sz w:val="15"/>
              </w:rPr>
              <w:t>a</w:t>
            </w:r>
            <w:r>
              <w:rPr>
                <w:spacing w:val="-2"/>
                <w:w w:val="78"/>
                <w:sz w:val="15"/>
              </w:rPr>
              <w:t>rr</w:t>
            </w:r>
            <w:r>
              <w:rPr>
                <w:spacing w:val="-1"/>
                <w:w w:val="122"/>
                <w:sz w:val="15"/>
              </w:rPr>
              <w:t>h</w:t>
            </w:r>
            <w:r>
              <w:rPr>
                <w:w w:val="112"/>
                <w:sz w:val="15"/>
              </w:rPr>
              <w:t>ea</w:t>
            </w:r>
          </w:p>
        </w:tc>
        <w:tc>
          <w:tcPr>
            <w:tcW w:w="1066" w:type="dxa"/>
            <w:tcBorders>
              <w:top w:val="single" w:sz="4" w:space="0" w:color="000000"/>
              <w:bottom w:val="single" w:sz="4" w:space="0" w:color="000000"/>
            </w:tcBorders>
          </w:tcPr>
          <w:p>
            <w:pPr>
              <w:pStyle w:val="TableParagraph"/>
              <w:spacing w:before="13"/>
              <w:ind w:left="86" w:right="129"/>
              <w:rPr>
                <w:sz w:val="15"/>
              </w:rPr>
            </w:pPr>
            <w:r>
              <w:rPr>
                <w:w w:val="120"/>
                <w:sz w:val="15"/>
              </w:rPr>
              <w:t>3（25%）</w:t>
            </w:r>
          </w:p>
        </w:tc>
        <w:tc>
          <w:tcPr>
            <w:tcW w:w="1051" w:type="dxa"/>
            <w:tcBorders>
              <w:top w:val="single" w:sz="4" w:space="0" w:color="000000"/>
              <w:bottom w:val="single" w:sz="4" w:space="0" w:color="000000"/>
            </w:tcBorders>
          </w:tcPr>
          <w:p>
            <w:pPr>
              <w:pStyle w:val="TableParagraph"/>
              <w:spacing w:before="13"/>
              <w:ind w:left="114" w:right="134"/>
              <w:rPr>
                <w:sz w:val="15"/>
              </w:rPr>
            </w:pPr>
            <w:r>
              <w:rPr>
                <w:w w:val="120"/>
                <w:sz w:val="15"/>
              </w:rPr>
              <w:t>3（25%）</w:t>
            </w:r>
          </w:p>
        </w:tc>
        <w:tc>
          <w:tcPr>
            <w:tcW w:w="1051" w:type="dxa"/>
            <w:tcBorders>
              <w:top w:val="single" w:sz="4" w:space="0" w:color="000000"/>
              <w:bottom w:val="single" w:sz="4" w:space="0" w:color="000000"/>
            </w:tcBorders>
          </w:tcPr>
          <w:p>
            <w:pPr>
              <w:pStyle w:val="TableParagraph"/>
              <w:spacing w:before="13"/>
              <w:ind w:left="20"/>
              <w:rPr>
                <w:sz w:val="15"/>
              </w:rPr>
            </w:pPr>
            <w:r>
              <w:rPr>
                <w:w w:val="111"/>
                <w:sz w:val="15"/>
              </w:rPr>
              <w:t>0</w:t>
            </w:r>
          </w:p>
        </w:tc>
        <w:tc>
          <w:tcPr>
            <w:tcW w:w="1071" w:type="dxa"/>
            <w:tcBorders>
              <w:top w:val="single" w:sz="4" w:space="0" w:color="000000"/>
              <w:bottom w:val="single" w:sz="4" w:space="0" w:color="000000"/>
            </w:tcBorders>
          </w:tcPr>
          <w:p>
            <w:pPr>
              <w:pStyle w:val="TableParagraph"/>
              <w:spacing w:before="13"/>
              <w:ind w:left="40"/>
              <w:rPr>
                <w:sz w:val="15"/>
              </w:rPr>
            </w:pPr>
            <w:r>
              <w:rPr>
                <w:w w:val="111"/>
                <w:sz w:val="15"/>
              </w:rPr>
              <w:t>0</w:t>
            </w:r>
          </w:p>
        </w:tc>
        <w:tc>
          <w:tcPr>
            <w:tcW w:w="1093" w:type="dxa"/>
            <w:tcBorders>
              <w:top w:val="single" w:sz="4" w:space="0" w:color="000000"/>
              <w:bottom w:val="single" w:sz="4" w:space="0" w:color="000000"/>
            </w:tcBorders>
          </w:tcPr>
          <w:p>
            <w:pPr>
              <w:pStyle w:val="TableParagraph"/>
              <w:spacing w:before="13"/>
              <w:ind w:left="87" w:right="63"/>
              <w:rPr>
                <w:sz w:val="15"/>
              </w:rPr>
            </w:pPr>
            <w:r>
              <w:rPr>
                <w:w w:val="120"/>
                <w:sz w:val="15"/>
              </w:rPr>
              <w:t>6（50%）</w:t>
            </w:r>
          </w:p>
        </w:tc>
      </w:tr>
      <w:tr>
        <w:trPr>
          <w:trHeight w:val="280" w:hRule="atLeast"/>
        </w:trPr>
        <w:tc>
          <w:tcPr>
            <w:tcW w:w="1585" w:type="dxa"/>
            <w:tcBorders>
              <w:top w:val="single" w:sz="4" w:space="0" w:color="000000"/>
              <w:bottom w:val="single" w:sz="6" w:space="0" w:color="000000"/>
            </w:tcBorders>
            <w:shd w:val="clear" w:color="auto" w:fill="CCCCCC"/>
          </w:tcPr>
          <w:p>
            <w:pPr>
              <w:pStyle w:val="TableParagraph"/>
              <w:spacing w:before="13"/>
              <w:ind w:left="72" w:right="93"/>
              <w:rPr>
                <w:sz w:val="15"/>
              </w:rPr>
            </w:pPr>
            <w:r>
              <w:rPr>
                <w:spacing w:val="-2"/>
                <w:w w:val="59"/>
                <w:sz w:val="15"/>
              </w:rPr>
              <w:t>I</w:t>
            </w:r>
            <w:r>
              <w:rPr>
                <w:spacing w:val="-2"/>
                <w:w w:val="123"/>
                <w:sz w:val="15"/>
              </w:rPr>
              <w:t>n</w:t>
            </w:r>
            <w:r>
              <w:rPr>
                <w:w w:val="90"/>
                <w:sz w:val="15"/>
              </w:rPr>
              <w:t>c</w:t>
            </w:r>
            <w:r>
              <w:rPr>
                <w:spacing w:val="-2"/>
                <w:w w:val="90"/>
                <w:sz w:val="15"/>
              </w:rPr>
              <w:t>r</w:t>
            </w:r>
            <w:r>
              <w:rPr>
                <w:w w:val="112"/>
                <w:sz w:val="15"/>
              </w:rPr>
              <w:t>e</w:t>
            </w:r>
            <w:r>
              <w:rPr>
                <w:spacing w:val="1"/>
                <w:w w:val="112"/>
                <w:sz w:val="15"/>
              </w:rPr>
              <w:t>a</w:t>
            </w:r>
            <w:r>
              <w:rPr>
                <w:spacing w:val="-2"/>
                <w:w w:val="94"/>
                <w:sz w:val="15"/>
              </w:rPr>
              <w:t>s</w:t>
            </w:r>
            <w:r>
              <w:rPr>
                <w:w w:val="118"/>
                <w:sz w:val="15"/>
              </w:rPr>
              <w:t>ed</w:t>
            </w:r>
            <w:r>
              <w:rPr>
                <w:spacing w:val="-42"/>
                <w:sz w:val="15"/>
              </w:rPr>
              <w:t> </w:t>
            </w:r>
            <w:r>
              <w:rPr>
                <w:spacing w:val="-4"/>
                <w:w w:val="122"/>
                <w:sz w:val="15"/>
              </w:rPr>
              <w:t>A</w:t>
            </w:r>
            <w:r>
              <w:rPr>
                <w:w w:val="120"/>
                <w:sz w:val="15"/>
              </w:rPr>
              <w:t>S</w:t>
            </w:r>
            <w:r>
              <w:rPr>
                <w:w w:val="120"/>
                <w:sz w:val="15"/>
              </w:rPr>
              <w:t>T</w:t>
            </w:r>
          </w:p>
        </w:tc>
        <w:tc>
          <w:tcPr>
            <w:tcW w:w="1066" w:type="dxa"/>
            <w:tcBorders>
              <w:top w:val="single" w:sz="4" w:space="0" w:color="000000"/>
              <w:bottom w:val="single" w:sz="6" w:space="0" w:color="000000"/>
            </w:tcBorders>
            <w:shd w:val="clear" w:color="auto" w:fill="CCCCCC"/>
          </w:tcPr>
          <w:p>
            <w:pPr>
              <w:pStyle w:val="TableParagraph"/>
              <w:spacing w:before="13"/>
              <w:ind w:left="86" w:right="129"/>
              <w:rPr>
                <w:sz w:val="15"/>
              </w:rPr>
            </w:pPr>
            <w:r>
              <w:rPr>
                <w:w w:val="120"/>
                <w:sz w:val="15"/>
              </w:rPr>
              <w:t>3（25%）</w:t>
            </w:r>
          </w:p>
        </w:tc>
        <w:tc>
          <w:tcPr>
            <w:tcW w:w="1051" w:type="dxa"/>
            <w:tcBorders>
              <w:top w:val="single" w:sz="4" w:space="0" w:color="000000"/>
              <w:bottom w:val="single" w:sz="6" w:space="0" w:color="000000"/>
            </w:tcBorders>
            <w:shd w:val="clear" w:color="auto" w:fill="CCCCCC"/>
          </w:tcPr>
          <w:p>
            <w:pPr>
              <w:pStyle w:val="TableParagraph"/>
              <w:spacing w:before="13"/>
              <w:ind w:left="114" w:right="134"/>
              <w:rPr>
                <w:sz w:val="15"/>
              </w:rPr>
            </w:pPr>
            <w:r>
              <w:rPr>
                <w:w w:val="120"/>
                <w:sz w:val="15"/>
              </w:rPr>
              <w:t>2（17%）</w:t>
            </w:r>
          </w:p>
        </w:tc>
        <w:tc>
          <w:tcPr>
            <w:tcW w:w="1051" w:type="dxa"/>
            <w:tcBorders>
              <w:top w:val="single" w:sz="4" w:space="0" w:color="000000"/>
              <w:bottom w:val="single" w:sz="6" w:space="0" w:color="000000"/>
            </w:tcBorders>
            <w:shd w:val="clear" w:color="auto" w:fill="CCCCCC"/>
          </w:tcPr>
          <w:p>
            <w:pPr>
              <w:pStyle w:val="TableParagraph"/>
              <w:spacing w:before="13"/>
              <w:ind w:left="20"/>
              <w:rPr>
                <w:sz w:val="15"/>
              </w:rPr>
            </w:pPr>
            <w:r>
              <w:rPr>
                <w:w w:val="111"/>
                <w:sz w:val="15"/>
              </w:rPr>
              <w:t>0</w:t>
            </w:r>
          </w:p>
        </w:tc>
        <w:tc>
          <w:tcPr>
            <w:tcW w:w="1071" w:type="dxa"/>
            <w:tcBorders>
              <w:top w:val="single" w:sz="4" w:space="0" w:color="000000"/>
              <w:bottom w:val="single" w:sz="6" w:space="0" w:color="000000"/>
            </w:tcBorders>
            <w:shd w:val="clear" w:color="auto" w:fill="CCCCCC"/>
          </w:tcPr>
          <w:p>
            <w:pPr>
              <w:pStyle w:val="TableParagraph"/>
              <w:spacing w:before="13"/>
              <w:ind w:left="40"/>
              <w:rPr>
                <w:sz w:val="15"/>
              </w:rPr>
            </w:pPr>
            <w:r>
              <w:rPr>
                <w:w w:val="111"/>
                <w:sz w:val="15"/>
              </w:rPr>
              <w:t>0</w:t>
            </w:r>
          </w:p>
        </w:tc>
        <w:tc>
          <w:tcPr>
            <w:tcW w:w="1093" w:type="dxa"/>
            <w:tcBorders>
              <w:top w:val="single" w:sz="4" w:space="0" w:color="000000"/>
              <w:bottom w:val="single" w:sz="6" w:space="0" w:color="000000"/>
            </w:tcBorders>
            <w:shd w:val="clear" w:color="auto" w:fill="CCCCCC"/>
          </w:tcPr>
          <w:p>
            <w:pPr>
              <w:pStyle w:val="TableParagraph"/>
              <w:spacing w:before="13"/>
              <w:ind w:left="87" w:right="63"/>
              <w:rPr>
                <w:sz w:val="15"/>
              </w:rPr>
            </w:pPr>
            <w:r>
              <w:rPr>
                <w:w w:val="120"/>
                <w:sz w:val="15"/>
              </w:rPr>
              <w:t>5（42%）</w:t>
            </w:r>
          </w:p>
        </w:tc>
      </w:tr>
      <w:tr>
        <w:trPr>
          <w:trHeight w:val="280" w:hRule="atLeast"/>
        </w:trPr>
        <w:tc>
          <w:tcPr>
            <w:tcW w:w="1585" w:type="dxa"/>
            <w:tcBorders>
              <w:top w:val="single" w:sz="6" w:space="0" w:color="000000"/>
              <w:bottom w:val="single" w:sz="4" w:space="0" w:color="000000"/>
            </w:tcBorders>
          </w:tcPr>
          <w:p>
            <w:pPr>
              <w:pStyle w:val="TableParagraph"/>
              <w:spacing w:before="13"/>
              <w:ind w:left="50" w:right="105"/>
              <w:rPr>
                <w:sz w:val="15"/>
              </w:rPr>
            </w:pPr>
            <w:r>
              <w:rPr>
                <w:spacing w:val="-1"/>
                <w:w w:val="128"/>
                <w:sz w:val="15"/>
              </w:rPr>
              <w:t>C</w:t>
            </w:r>
            <w:r>
              <w:rPr>
                <w:spacing w:val="-1"/>
                <w:w w:val="122"/>
                <w:sz w:val="15"/>
              </w:rPr>
              <w:t>h</w:t>
            </w:r>
            <w:r>
              <w:rPr>
                <w:spacing w:val="-1"/>
                <w:w w:val="55"/>
                <w:sz w:val="15"/>
              </w:rPr>
              <w:t>i</w:t>
            </w:r>
            <w:r>
              <w:rPr>
                <w:w w:val="69"/>
                <w:sz w:val="15"/>
              </w:rPr>
              <w:t>lls</w:t>
            </w:r>
          </w:p>
        </w:tc>
        <w:tc>
          <w:tcPr>
            <w:tcW w:w="1066" w:type="dxa"/>
            <w:tcBorders>
              <w:top w:val="single" w:sz="6" w:space="0" w:color="000000"/>
              <w:bottom w:val="single" w:sz="4" w:space="0" w:color="000000"/>
            </w:tcBorders>
          </w:tcPr>
          <w:p>
            <w:pPr>
              <w:pStyle w:val="TableParagraph"/>
              <w:spacing w:before="13"/>
              <w:ind w:left="86" w:right="129"/>
              <w:rPr>
                <w:sz w:val="15"/>
              </w:rPr>
            </w:pPr>
            <w:r>
              <w:rPr>
                <w:w w:val="120"/>
                <w:sz w:val="15"/>
              </w:rPr>
              <w:t>4（33%）</w:t>
            </w:r>
          </w:p>
        </w:tc>
        <w:tc>
          <w:tcPr>
            <w:tcW w:w="1051" w:type="dxa"/>
            <w:tcBorders>
              <w:top w:val="single" w:sz="6" w:space="0" w:color="000000"/>
              <w:bottom w:val="single" w:sz="4" w:space="0" w:color="000000"/>
            </w:tcBorders>
          </w:tcPr>
          <w:p>
            <w:pPr>
              <w:pStyle w:val="TableParagraph"/>
              <w:spacing w:before="13"/>
              <w:ind w:left="118" w:right="134"/>
              <w:rPr>
                <w:sz w:val="15"/>
              </w:rPr>
            </w:pPr>
            <w:r>
              <w:rPr>
                <w:w w:val="120"/>
                <w:sz w:val="15"/>
              </w:rPr>
              <w:t>1（8%）</w:t>
            </w:r>
          </w:p>
        </w:tc>
        <w:tc>
          <w:tcPr>
            <w:tcW w:w="1051" w:type="dxa"/>
            <w:tcBorders>
              <w:top w:val="single" w:sz="6" w:space="0" w:color="000000"/>
              <w:bottom w:val="single" w:sz="4" w:space="0" w:color="000000"/>
            </w:tcBorders>
          </w:tcPr>
          <w:p>
            <w:pPr>
              <w:pStyle w:val="TableParagraph"/>
              <w:spacing w:before="13"/>
              <w:ind w:left="20"/>
              <w:rPr>
                <w:sz w:val="15"/>
              </w:rPr>
            </w:pPr>
            <w:r>
              <w:rPr>
                <w:w w:val="111"/>
                <w:sz w:val="15"/>
              </w:rPr>
              <w:t>0</w:t>
            </w:r>
          </w:p>
        </w:tc>
        <w:tc>
          <w:tcPr>
            <w:tcW w:w="1071" w:type="dxa"/>
            <w:tcBorders>
              <w:top w:val="single" w:sz="6" w:space="0" w:color="000000"/>
              <w:bottom w:val="single" w:sz="4" w:space="0" w:color="000000"/>
            </w:tcBorders>
          </w:tcPr>
          <w:p>
            <w:pPr>
              <w:pStyle w:val="TableParagraph"/>
              <w:spacing w:before="13"/>
              <w:ind w:left="40"/>
              <w:rPr>
                <w:sz w:val="15"/>
              </w:rPr>
            </w:pPr>
            <w:r>
              <w:rPr>
                <w:w w:val="111"/>
                <w:sz w:val="15"/>
              </w:rPr>
              <w:t>0</w:t>
            </w:r>
          </w:p>
        </w:tc>
        <w:tc>
          <w:tcPr>
            <w:tcW w:w="1093" w:type="dxa"/>
            <w:tcBorders>
              <w:top w:val="single" w:sz="6" w:space="0" w:color="000000"/>
              <w:bottom w:val="single" w:sz="4" w:space="0" w:color="000000"/>
            </w:tcBorders>
          </w:tcPr>
          <w:p>
            <w:pPr>
              <w:pStyle w:val="TableParagraph"/>
              <w:spacing w:before="13"/>
              <w:ind w:left="87" w:right="63"/>
              <w:rPr>
                <w:sz w:val="15"/>
              </w:rPr>
            </w:pPr>
            <w:r>
              <w:rPr>
                <w:w w:val="120"/>
                <w:sz w:val="15"/>
              </w:rPr>
              <w:t>5（42%）</w:t>
            </w:r>
          </w:p>
        </w:tc>
      </w:tr>
      <w:tr>
        <w:trPr>
          <w:trHeight w:val="282" w:hRule="atLeast"/>
        </w:trPr>
        <w:tc>
          <w:tcPr>
            <w:tcW w:w="1585" w:type="dxa"/>
            <w:tcBorders>
              <w:top w:val="single" w:sz="4" w:space="0" w:color="000000"/>
              <w:bottom w:val="single" w:sz="4" w:space="0" w:color="000000"/>
            </w:tcBorders>
            <w:shd w:val="clear" w:color="auto" w:fill="CCCCCC"/>
          </w:tcPr>
          <w:p>
            <w:pPr>
              <w:pStyle w:val="TableParagraph"/>
              <w:spacing w:before="15"/>
              <w:ind w:left="50" w:right="105"/>
              <w:rPr>
                <w:sz w:val="15"/>
              </w:rPr>
            </w:pPr>
            <w:r>
              <w:rPr>
                <w:w w:val="120"/>
                <w:sz w:val="15"/>
              </w:rPr>
              <w:t>T</w:t>
            </w:r>
            <w:r>
              <w:rPr>
                <w:spacing w:val="-1"/>
                <w:w w:val="122"/>
                <w:sz w:val="15"/>
              </w:rPr>
              <w:t>h</w:t>
            </w:r>
            <w:r>
              <w:rPr>
                <w:spacing w:val="-2"/>
                <w:w w:val="78"/>
                <w:sz w:val="15"/>
              </w:rPr>
              <w:t>r</w:t>
            </w:r>
            <w:r>
              <w:rPr>
                <w:w w:val="154"/>
                <w:sz w:val="15"/>
              </w:rPr>
              <w:t>o</w:t>
            </w:r>
            <w:r>
              <w:rPr>
                <w:spacing w:val="-2"/>
                <w:w w:val="154"/>
                <w:sz w:val="15"/>
              </w:rPr>
              <w:t>m</w:t>
            </w:r>
            <w:r>
              <w:rPr>
                <w:w w:val="116"/>
                <w:sz w:val="15"/>
              </w:rPr>
              <w:t>bo</w:t>
            </w:r>
            <w:r>
              <w:rPr>
                <w:spacing w:val="-3"/>
                <w:w w:val="116"/>
                <w:sz w:val="15"/>
              </w:rPr>
              <w:t>c</w:t>
            </w:r>
            <w:r>
              <w:rPr>
                <w:w w:val="90"/>
                <w:sz w:val="15"/>
              </w:rPr>
              <w:t>yt</w:t>
            </w:r>
            <w:r>
              <w:rPr>
                <w:spacing w:val="-3"/>
                <w:w w:val="122"/>
                <w:sz w:val="15"/>
              </w:rPr>
              <w:t>o</w:t>
            </w:r>
            <w:r>
              <w:rPr>
                <w:w w:val="119"/>
                <w:sz w:val="15"/>
              </w:rPr>
              <w:t>pe</w:t>
            </w:r>
            <w:r>
              <w:rPr>
                <w:spacing w:val="-2"/>
                <w:w w:val="119"/>
                <w:sz w:val="15"/>
              </w:rPr>
              <w:t>n</w:t>
            </w:r>
            <w:r>
              <w:rPr>
                <w:spacing w:val="-1"/>
                <w:w w:val="55"/>
                <w:sz w:val="15"/>
              </w:rPr>
              <w:t>i</w:t>
            </w:r>
            <w:r>
              <w:rPr>
                <w:w w:val="113"/>
                <w:sz w:val="15"/>
              </w:rPr>
              <w:t>a</w:t>
            </w:r>
          </w:p>
        </w:tc>
        <w:tc>
          <w:tcPr>
            <w:tcW w:w="1066" w:type="dxa"/>
            <w:tcBorders>
              <w:top w:val="single" w:sz="4" w:space="0" w:color="000000"/>
              <w:bottom w:val="single" w:sz="4" w:space="0" w:color="000000"/>
            </w:tcBorders>
            <w:shd w:val="clear" w:color="auto" w:fill="CCCCCC"/>
          </w:tcPr>
          <w:p>
            <w:pPr>
              <w:pStyle w:val="TableParagraph"/>
              <w:spacing w:before="15"/>
              <w:ind w:left="86" w:right="129"/>
              <w:rPr>
                <w:sz w:val="15"/>
              </w:rPr>
            </w:pPr>
            <w:r>
              <w:rPr>
                <w:w w:val="120"/>
                <w:sz w:val="15"/>
              </w:rPr>
              <w:t>2（17%）</w:t>
            </w:r>
          </w:p>
        </w:tc>
        <w:tc>
          <w:tcPr>
            <w:tcW w:w="1051" w:type="dxa"/>
            <w:tcBorders>
              <w:top w:val="single" w:sz="4" w:space="0" w:color="000000"/>
              <w:bottom w:val="single" w:sz="4" w:space="0" w:color="000000"/>
            </w:tcBorders>
            <w:shd w:val="clear" w:color="auto" w:fill="CCCCCC"/>
          </w:tcPr>
          <w:p>
            <w:pPr>
              <w:pStyle w:val="TableParagraph"/>
              <w:spacing w:before="15"/>
              <w:ind w:right="21"/>
              <w:rPr>
                <w:sz w:val="15"/>
              </w:rPr>
            </w:pPr>
            <w:r>
              <w:rPr>
                <w:w w:val="111"/>
                <w:sz w:val="15"/>
              </w:rPr>
              <w:t>0</w:t>
            </w:r>
          </w:p>
        </w:tc>
        <w:tc>
          <w:tcPr>
            <w:tcW w:w="1051" w:type="dxa"/>
            <w:tcBorders>
              <w:top w:val="single" w:sz="4" w:space="0" w:color="000000"/>
              <w:bottom w:val="single" w:sz="4" w:space="0" w:color="000000"/>
            </w:tcBorders>
            <w:shd w:val="clear" w:color="auto" w:fill="CCCCCC"/>
          </w:tcPr>
          <w:p>
            <w:pPr>
              <w:pStyle w:val="TableParagraph"/>
              <w:spacing w:before="15"/>
              <w:ind w:left="135" w:right="110"/>
              <w:rPr>
                <w:sz w:val="15"/>
              </w:rPr>
            </w:pPr>
            <w:r>
              <w:rPr>
                <w:w w:val="120"/>
                <w:sz w:val="15"/>
              </w:rPr>
              <w:t>1（8%）</w:t>
            </w:r>
          </w:p>
        </w:tc>
        <w:tc>
          <w:tcPr>
            <w:tcW w:w="1071" w:type="dxa"/>
            <w:tcBorders>
              <w:top w:val="single" w:sz="4" w:space="0" w:color="000000"/>
              <w:bottom w:val="single" w:sz="4" w:space="0" w:color="000000"/>
            </w:tcBorders>
            <w:shd w:val="clear" w:color="auto" w:fill="CCCCCC"/>
          </w:tcPr>
          <w:p>
            <w:pPr>
              <w:pStyle w:val="TableParagraph"/>
              <w:spacing w:before="15"/>
              <w:ind w:left="40"/>
              <w:rPr>
                <w:sz w:val="15"/>
              </w:rPr>
            </w:pPr>
            <w:r>
              <w:rPr>
                <w:w w:val="111"/>
                <w:sz w:val="15"/>
              </w:rPr>
              <w:t>0</w:t>
            </w:r>
          </w:p>
        </w:tc>
        <w:tc>
          <w:tcPr>
            <w:tcW w:w="1093" w:type="dxa"/>
            <w:tcBorders>
              <w:top w:val="single" w:sz="4" w:space="0" w:color="000000"/>
              <w:bottom w:val="single" w:sz="4" w:space="0" w:color="000000"/>
            </w:tcBorders>
            <w:shd w:val="clear" w:color="auto" w:fill="CCCCCC"/>
          </w:tcPr>
          <w:p>
            <w:pPr>
              <w:pStyle w:val="TableParagraph"/>
              <w:spacing w:before="15"/>
              <w:ind w:left="87" w:right="63"/>
              <w:rPr>
                <w:sz w:val="15"/>
              </w:rPr>
            </w:pPr>
            <w:r>
              <w:rPr>
                <w:w w:val="120"/>
                <w:sz w:val="15"/>
              </w:rPr>
              <w:t>3（25%）</w:t>
            </w:r>
          </w:p>
        </w:tc>
      </w:tr>
    </w:tbl>
    <w:p>
      <w:pPr>
        <w:spacing w:before="0"/>
        <w:ind w:left="3713" w:right="0" w:firstLine="0"/>
        <w:jc w:val="left"/>
        <w:rPr>
          <w:sz w:val="13"/>
        </w:rPr>
      </w:pPr>
      <w:r>
        <w:rPr>
          <w:sz w:val="13"/>
        </w:rPr>
        <w:t>资料来源：公司官网、光大证券研究所</w:t>
      </w:r>
    </w:p>
    <w:p>
      <w:pPr>
        <w:spacing w:after="0"/>
        <w:jc w:val="left"/>
        <w:rPr>
          <w:sz w:val="13"/>
        </w:rPr>
        <w:sectPr>
          <w:pgSz w:w="11910" w:h="16840"/>
          <w:pgMar w:header="630" w:footer="139" w:top="1120" w:bottom="320" w:left="540" w:right="520"/>
        </w:sectPr>
      </w:pPr>
    </w:p>
    <w:p>
      <w:pPr>
        <w:pStyle w:val="BodyText"/>
        <w:spacing w:before="11"/>
        <w:rPr>
          <w:sz w:val="15"/>
        </w:rPr>
      </w:pPr>
    </w:p>
    <w:p>
      <w:pPr>
        <w:pStyle w:val="Heading3"/>
        <w:numPr>
          <w:ilvl w:val="0"/>
          <w:numId w:val="1"/>
        </w:numPr>
        <w:tabs>
          <w:tab w:pos="3925" w:val="left" w:leader="none"/>
        </w:tabs>
        <w:spacing w:line="240" w:lineRule="auto" w:before="15" w:after="0"/>
        <w:ind w:left="3925" w:right="0" w:hanging="212"/>
        <w:jc w:val="left"/>
      </w:pPr>
      <w:r>
        <w:rPr>
          <w:color w:val="C54322"/>
        </w:rPr>
        <w:t>有效性</w:t>
      </w:r>
    </w:p>
    <w:p>
      <w:pPr>
        <w:pStyle w:val="BodyText"/>
        <w:spacing w:line="259" w:lineRule="auto" w:before="92"/>
        <w:ind w:left="3713" w:right="114"/>
      </w:pPr>
      <w:r>
        <w:rPr>
          <w:spacing w:val="-2"/>
        </w:rPr>
        <w:t>在有效性评价方面，</w:t>
      </w:r>
      <w:r>
        <w:rPr>
          <w:spacing w:val="-10"/>
        </w:rPr>
        <w:t>12</w:t>
      </w:r>
      <w:r>
        <w:rPr/>
        <w:t> 例经 TAEST16001</w:t>
      </w:r>
      <w:r>
        <w:rPr>
          <w:spacing w:val="-6"/>
        </w:rPr>
        <w:t> 治疗的患者中，部分缓解</w:t>
      </w:r>
      <w:r>
        <w:rPr>
          <w:spacing w:val="-7"/>
        </w:rPr>
        <w:t>（PR）5</w:t>
      </w:r>
      <w:r>
        <w:rPr/>
        <w:t> 例、稳定（SD）5 例、疾病进展（PD）2 例、总缓解率为 41.7%。达到初始缓解的</w:t>
      </w:r>
      <w:r>
        <w:rPr>
          <w:spacing w:val="-11"/>
        </w:rPr>
        <w:t>中位时间为 </w:t>
      </w:r>
      <w:r>
        <w:rPr/>
        <w:t>1.9</w:t>
      </w:r>
      <w:r>
        <w:rPr>
          <w:spacing w:val="-25"/>
        </w:rPr>
        <w:t> 个月</w:t>
      </w:r>
      <w:r>
        <w:rPr/>
        <w:t>（</w:t>
      </w:r>
      <w:r>
        <w:rPr>
          <w:spacing w:val="-1"/>
        </w:rPr>
        <w:t>范围：</w:t>
      </w:r>
      <w:r>
        <w:rPr>
          <w:spacing w:val="-3"/>
        </w:rPr>
        <w:t>0.9~3.0</w:t>
      </w:r>
      <w:r>
        <w:rPr>
          <w:spacing w:val="-30"/>
        </w:rPr>
        <w:t> 月</w:t>
      </w:r>
      <w:r>
        <w:rPr>
          <w:spacing w:val="-12"/>
        </w:rPr>
        <w:t>）</w:t>
      </w:r>
      <w:r>
        <w:rPr>
          <w:spacing w:val="-9"/>
        </w:rPr>
        <w:t>、中位缓解持续时间为 </w:t>
      </w:r>
      <w:r>
        <w:rPr/>
        <w:t>14.1</w:t>
      </w:r>
      <w:r>
        <w:rPr>
          <w:spacing w:val="-24"/>
        </w:rPr>
        <w:t> 个月</w:t>
      </w:r>
      <w:r>
        <w:rPr/>
        <w:t>（范围：5.0~14.2</w:t>
      </w:r>
      <w:r>
        <w:rPr>
          <w:spacing w:val="-25"/>
        </w:rPr>
        <w:t> 月</w:t>
      </w:r>
      <w:r>
        <w:rPr/>
        <w:t>）。</w:t>
      </w:r>
    </w:p>
    <w:p>
      <w:pPr>
        <w:spacing w:before="62"/>
        <w:ind w:left="3713" w:right="0" w:firstLine="0"/>
        <w:jc w:val="left"/>
        <w:rPr>
          <w:rFonts w:ascii="微软雅黑" w:eastAsia="微软雅黑" w:hint="eastAsia"/>
          <w:b/>
          <w:sz w:val="18"/>
        </w:rPr>
      </w:pPr>
      <w:r>
        <w:rPr/>
        <w:pict>
          <v:shape style="position:absolute;margin-left:339.549988pt;margin-top:33.505802pt;width:7.6pt;height:8.1pt;mso-position-horizontal-relative:page;mso-position-vertical-relative:paragraph;z-index:-16453632" type="#_x0000_t202" filled="false" stroked="false">
            <v:textbox inset="0,0,0,0">
              <w:txbxContent>
                <w:p>
                  <w:pPr>
                    <w:spacing w:line="161" w:lineRule="exact" w:before="0"/>
                    <w:ind w:left="0" w:right="0" w:firstLine="0"/>
                    <w:jc w:val="left"/>
                    <w:rPr>
                      <w:rFonts w:ascii="微软雅黑" w:eastAsia="微软雅黑" w:hint="eastAsia"/>
                      <w:b/>
                      <w:sz w:val="15"/>
                    </w:rPr>
                  </w:pPr>
                  <w:r>
                    <w:rPr>
                      <w:rFonts w:ascii="微软雅黑" w:eastAsia="微软雅黑" w:hint="eastAsia"/>
                      <w:b/>
                      <w:color w:val="FFFFFF"/>
                      <w:w w:val="100"/>
                      <w:sz w:val="15"/>
                    </w:rPr>
                    <w:t>）</w:t>
                  </w:r>
                </w:p>
              </w:txbxContent>
            </v:textbox>
            <w10:wrap type="none"/>
          </v:shape>
        </w:pict>
      </w:r>
      <w:r>
        <w:rPr/>
        <w:pict>
          <v:shape style="position:absolute;margin-left:393.070007pt;margin-top:33.505802pt;width:7.6pt;height:8.1pt;mso-position-horizontal-relative:page;mso-position-vertical-relative:paragraph;z-index:-16453120" type="#_x0000_t202" filled="false" stroked="false">
            <v:textbox inset="0,0,0,0">
              <w:txbxContent>
                <w:p>
                  <w:pPr>
                    <w:spacing w:line="161" w:lineRule="exact" w:before="0"/>
                    <w:ind w:left="0" w:right="0" w:firstLine="0"/>
                    <w:jc w:val="left"/>
                    <w:rPr>
                      <w:rFonts w:ascii="微软雅黑" w:eastAsia="微软雅黑" w:hint="eastAsia"/>
                      <w:b/>
                      <w:sz w:val="15"/>
                    </w:rPr>
                  </w:pPr>
                  <w:r>
                    <w:rPr>
                      <w:rFonts w:ascii="微软雅黑" w:eastAsia="微软雅黑" w:hint="eastAsia"/>
                      <w:b/>
                      <w:color w:val="FFFFFF"/>
                      <w:w w:val="100"/>
                      <w:sz w:val="15"/>
                    </w:rPr>
                    <w:t>）</w:t>
                  </w:r>
                </w:p>
              </w:txbxContent>
            </v:textbox>
            <w10:wrap type="none"/>
          </v:shape>
        </w:pict>
      </w:r>
      <w:r>
        <w:rPr/>
        <w:pict>
          <v:shape style="position:absolute;margin-left:446.709991pt;margin-top:33.505802pt;width:7.6pt;height:8.1pt;mso-position-horizontal-relative:page;mso-position-vertical-relative:paragraph;z-index:-16452608" type="#_x0000_t202" filled="false" stroked="false">
            <v:textbox inset="0,0,0,0">
              <w:txbxContent>
                <w:p>
                  <w:pPr>
                    <w:spacing w:line="161" w:lineRule="exact" w:before="0"/>
                    <w:ind w:left="0" w:right="0" w:firstLine="0"/>
                    <w:jc w:val="left"/>
                    <w:rPr>
                      <w:rFonts w:ascii="微软雅黑" w:eastAsia="微软雅黑" w:hint="eastAsia"/>
                      <w:b/>
                      <w:sz w:val="15"/>
                    </w:rPr>
                  </w:pPr>
                  <w:r>
                    <w:rPr>
                      <w:rFonts w:ascii="微软雅黑" w:eastAsia="微软雅黑" w:hint="eastAsia"/>
                      <w:b/>
                      <w:color w:val="FFFFFF"/>
                      <w:w w:val="100"/>
                      <w:sz w:val="15"/>
                    </w:rPr>
                    <w:t>）</w:t>
                  </w:r>
                </w:p>
              </w:txbxContent>
            </v:textbox>
            <w10:wrap type="none"/>
          </v:shape>
        </w:pict>
      </w:r>
      <w:r>
        <w:rPr/>
        <w:pict>
          <v:shape style="position:absolute;margin-left:212.690002pt;margin-top:70.778397pt;width:345.9pt;height:15.15pt;mso-position-horizontal-relative:page;mso-position-vertical-relative:paragraph;z-index:157342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8"/>
                  </w:tblGrid>
                  <w:tr>
                    <w:trPr>
                      <w:trHeight w:val="282" w:hRule="atLeast"/>
                    </w:trPr>
                    <w:tc>
                      <w:tcPr>
                        <w:tcW w:w="6918" w:type="dxa"/>
                        <w:tcBorders>
                          <w:top w:val="single" w:sz="4" w:space="0" w:color="000000"/>
                          <w:bottom w:val="single" w:sz="4" w:space="0" w:color="000000"/>
                        </w:tcBorders>
                        <w:shd w:val="clear" w:color="auto" w:fill="CCCCCC"/>
                      </w:tcPr>
                      <w:p>
                        <w:pPr>
                          <w:pStyle w:val="TableParagraph"/>
                          <w:tabs>
                            <w:tab w:pos="2051" w:val="left" w:leader="none"/>
                            <w:tab w:pos="3122" w:val="left" w:leader="none"/>
                            <w:tab w:pos="4195" w:val="left" w:leader="none"/>
                            <w:tab w:pos="5393" w:val="left" w:leader="none"/>
                            <w:tab w:pos="6548" w:val="right" w:leader="none"/>
                          </w:tabs>
                          <w:spacing w:before="37"/>
                          <w:ind w:left="683"/>
                          <w:jc w:val="left"/>
                          <w:rPr>
                            <w:sz w:val="15"/>
                          </w:rPr>
                        </w:pPr>
                        <w:r>
                          <w:rPr>
                            <w:w w:val="115"/>
                            <w:sz w:val="15"/>
                          </w:rPr>
                          <w:t>PR</w:t>
                          <w:tab/>
                          <w:t>2</w:t>
                          <w:tab/>
                          <w:t>1</w:t>
                          <w:tab/>
                          <w:t>0</w:t>
                          <w:tab/>
                          <w:t>2</w:t>
                          <w:tab/>
                          <w:t>5</w:t>
                        </w:r>
                      </w:p>
                    </w:tc>
                  </w:tr>
                </w:tbl>
                <w:p>
                  <w:pPr>
                    <w:pStyle w:val="BodyText"/>
                  </w:pPr>
                </w:p>
              </w:txbxContent>
            </v:textbox>
            <w10:wrap type="none"/>
          </v:shape>
        </w:pict>
      </w:r>
      <w:r>
        <w:rPr>
          <w:rFonts w:ascii="微软雅黑" w:eastAsia="微软雅黑" w:hint="eastAsia"/>
          <w:b/>
          <w:sz w:val="18"/>
        </w:rPr>
        <w:t>表 4：TAEST16001 I 期临床试验有效性评价</w:t>
      </w:r>
    </w:p>
    <w:tbl>
      <w:tblPr>
        <w:tblW w:w="0" w:type="auto"/>
        <w:jc w:val="left"/>
        <w:tblInd w:w="3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8"/>
      </w:tblGrid>
      <w:tr>
        <w:trPr>
          <w:trHeight w:val="741" w:hRule="atLeast"/>
        </w:trPr>
        <w:tc>
          <w:tcPr>
            <w:tcW w:w="6918" w:type="dxa"/>
            <w:tcBorders>
              <w:top w:val="single" w:sz="4" w:space="0" w:color="000000"/>
              <w:bottom w:val="single" w:sz="4" w:space="0" w:color="000000"/>
            </w:tcBorders>
            <w:shd w:val="clear" w:color="auto" w:fill="C54322"/>
          </w:tcPr>
          <w:p>
            <w:pPr>
              <w:pStyle w:val="TableParagraph"/>
              <w:tabs>
                <w:tab w:pos="2921" w:val="left" w:leader="none"/>
                <w:tab w:pos="3993" w:val="left" w:leader="none"/>
                <w:tab w:pos="5192" w:val="left" w:leader="none"/>
                <w:tab w:pos="6356" w:val="left" w:leader="none"/>
              </w:tabs>
              <w:spacing w:line="124" w:lineRule="auto" w:before="28"/>
              <w:ind w:left="1850"/>
              <w:jc w:val="left"/>
              <w:rPr>
                <w:rFonts w:ascii="微软雅黑" w:eastAsia="微软雅黑" w:hint="eastAsia"/>
                <w:b/>
                <w:sz w:val="15"/>
              </w:rPr>
            </w:pPr>
            <w:r>
              <w:rPr>
                <w:rFonts w:ascii="微软雅黑" w:eastAsia="微软雅黑" w:hint="eastAsia"/>
                <w:b/>
                <w:color w:val="FFFFFF"/>
                <w:sz w:val="15"/>
              </w:rPr>
              <w:t>Level</w:t>
            </w:r>
            <w:r>
              <w:rPr>
                <w:rFonts w:ascii="微软雅黑" w:eastAsia="微软雅黑" w:hint="eastAsia"/>
                <w:b/>
                <w:color w:val="FFFFFF"/>
                <w:spacing w:val="-15"/>
                <w:sz w:val="15"/>
              </w:rPr>
              <w:t> </w:t>
            </w:r>
            <w:r>
              <w:rPr>
                <w:rFonts w:ascii="微软雅黑" w:eastAsia="微软雅黑" w:hint="eastAsia"/>
                <w:b/>
                <w:color w:val="FFFFFF"/>
                <w:sz w:val="15"/>
              </w:rPr>
              <w:t>1</w:t>
              <w:tab/>
              <w:t>Level</w:t>
            </w:r>
            <w:r>
              <w:rPr>
                <w:rFonts w:ascii="微软雅黑" w:eastAsia="微软雅黑" w:hint="eastAsia"/>
                <w:b/>
                <w:color w:val="FFFFFF"/>
                <w:spacing w:val="-15"/>
                <w:sz w:val="15"/>
              </w:rPr>
              <w:t> </w:t>
            </w:r>
            <w:r>
              <w:rPr>
                <w:rFonts w:ascii="微软雅黑" w:eastAsia="微软雅黑" w:hint="eastAsia"/>
                <w:b/>
                <w:color w:val="FFFFFF"/>
                <w:sz w:val="15"/>
              </w:rPr>
              <w:t>2</w:t>
              <w:tab/>
              <w:t>Level</w:t>
            </w:r>
            <w:r>
              <w:rPr>
                <w:rFonts w:ascii="微软雅黑" w:eastAsia="微软雅黑" w:hint="eastAsia"/>
                <w:b/>
                <w:color w:val="FFFFFF"/>
                <w:spacing w:val="-15"/>
                <w:sz w:val="15"/>
              </w:rPr>
              <w:t> </w:t>
            </w:r>
            <w:r>
              <w:rPr>
                <w:rFonts w:ascii="微软雅黑" w:eastAsia="微软雅黑" w:hint="eastAsia"/>
                <w:b/>
                <w:color w:val="FFFFFF"/>
                <w:sz w:val="15"/>
              </w:rPr>
              <w:t>3</w:t>
              <w:tab/>
              <w:t>Level</w:t>
            </w:r>
            <w:r>
              <w:rPr>
                <w:rFonts w:ascii="微软雅黑" w:eastAsia="微软雅黑" w:hint="eastAsia"/>
                <w:b/>
                <w:color w:val="FFFFFF"/>
                <w:spacing w:val="-14"/>
                <w:sz w:val="15"/>
              </w:rPr>
              <w:t> </w:t>
            </w:r>
            <w:r>
              <w:rPr>
                <w:rFonts w:ascii="微软雅黑" w:eastAsia="微软雅黑" w:hint="eastAsia"/>
                <w:b/>
                <w:color w:val="FFFFFF"/>
                <w:sz w:val="15"/>
              </w:rPr>
              <w:t>4</w:t>
              <w:tab/>
            </w:r>
            <w:r>
              <w:rPr>
                <w:rFonts w:ascii="微软雅黑" w:eastAsia="微软雅黑" w:hint="eastAsia"/>
                <w:b/>
                <w:color w:val="FFFFFF"/>
                <w:position w:val="-10"/>
                <w:sz w:val="15"/>
              </w:rPr>
              <w:t>合计</w:t>
            </w:r>
          </w:p>
          <w:p>
            <w:pPr>
              <w:pStyle w:val="TableParagraph"/>
              <w:spacing w:line="99" w:lineRule="exact"/>
              <w:ind w:left="1560"/>
              <w:jc w:val="left"/>
              <w:rPr>
                <w:rFonts w:ascii="微软雅黑" w:hAnsi="微软雅黑" w:eastAsia="微软雅黑" w:hint="eastAsia"/>
                <w:b/>
                <w:sz w:val="15"/>
              </w:rPr>
            </w:pPr>
            <w:r>
              <w:rPr>
                <w:rFonts w:ascii="微软雅黑" w:hAnsi="微软雅黑" w:eastAsia="微软雅黑" w:hint="eastAsia"/>
                <w:b/>
                <w:color w:val="FFFFFF"/>
                <w:sz w:val="15"/>
              </w:rPr>
              <w:t>（5*10</w:t>
            </w:r>
            <w:r>
              <w:rPr>
                <w:rFonts w:ascii="微软雅黑" w:hAnsi="微软雅黑" w:eastAsia="微软雅黑" w:hint="eastAsia"/>
                <w:b/>
                <w:color w:val="FFFFFF"/>
                <w:sz w:val="15"/>
                <w:vertAlign w:val="superscript"/>
              </w:rPr>
              <w:t>8</w:t>
            </w:r>
            <w:r>
              <w:rPr>
                <w:rFonts w:ascii="微软雅黑" w:hAnsi="微软雅黑" w:eastAsia="微软雅黑" w:hint="eastAsia"/>
                <w:b/>
                <w:color w:val="FFFFFF"/>
                <w:sz w:val="15"/>
                <w:vertAlign w:val="baseline"/>
              </w:rPr>
              <w:t>±30% （2*10</w:t>
            </w:r>
            <w:r>
              <w:rPr>
                <w:rFonts w:ascii="微软雅黑" w:hAnsi="微软雅黑" w:eastAsia="微软雅黑" w:hint="eastAsia"/>
                <w:b/>
                <w:color w:val="FFFFFF"/>
                <w:sz w:val="15"/>
                <w:vertAlign w:val="superscript"/>
              </w:rPr>
              <w:t>9</w:t>
            </w:r>
            <w:r>
              <w:rPr>
                <w:rFonts w:ascii="微软雅黑" w:hAnsi="微软雅黑" w:eastAsia="微软雅黑" w:hint="eastAsia"/>
                <w:b/>
                <w:color w:val="FFFFFF"/>
                <w:sz w:val="15"/>
                <w:vertAlign w:val="baseline"/>
              </w:rPr>
              <w:t>±30% （5*10</w:t>
            </w:r>
            <w:r>
              <w:rPr>
                <w:rFonts w:ascii="微软雅黑" w:hAnsi="微软雅黑" w:eastAsia="微软雅黑" w:hint="eastAsia"/>
                <w:b/>
                <w:color w:val="FFFFFF"/>
                <w:sz w:val="15"/>
                <w:vertAlign w:val="superscript"/>
              </w:rPr>
              <w:t>9</w:t>
            </w:r>
            <w:r>
              <w:rPr>
                <w:rFonts w:ascii="微软雅黑" w:hAnsi="微软雅黑" w:eastAsia="微软雅黑" w:hint="eastAsia"/>
                <w:b/>
                <w:color w:val="FFFFFF"/>
                <w:sz w:val="15"/>
                <w:vertAlign w:val="baseline"/>
              </w:rPr>
              <w:t>±30% （1.2*10</w:t>
            </w:r>
            <w:r>
              <w:rPr>
                <w:rFonts w:ascii="微软雅黑" w:hAnsi="微软雅黑" w:eastAsia="微软雅黑" w:hint="eastAsia"/>
                <w:b/>
                <w:color w:val="FFFFFF"/>
                <w:sz w:val="15"/>
                <w:vertAlign w:val="superscript"/>
              </w:rPr>
              <w:t>10</w:t>
            </w:r>
            <w:r>
              <w:rPr>
                <w:rFonts w:ascii="微软雅黑" w:hAnsi="微软雅黑" w:eastAsia="微软雅黑" w:hint="eastAsia"/>
                <w:b/>
                <w:color w:val="FFFFFF"/>
                <w:sz w:val="15"/>
                <w:vertAlign w:val="baseline"/>
              </w:rPr>
              <w:t>±30%）</w:t>
            </w:r>
          </w:p>
          <w:p>
            <w:pPr>
              <w:pStyle w:val="TableParagraph"/>
              <w:tabs>
                <w:tab w:pos="3026" w:val="left" w:leader="none"/>
                <w:tab w:pos="4099" w:val="left" w:leader="none"/>
                <w:tab w:pos="5297" w:val="left" w:leader="none"/>
                <w:tab w:pos="6327" w:val="left" w:leader="none"/>
              </w:tabs>
              <w:ind w:left="1956"/>
              <w:jc w:val="left"/>
              <w:rPr>
                <w:rFonts w:ascii="微软雅黑"/>
                <w:b/>
                <w:sz w:val="15"/>
              </w:rPr>
            </w:pPr>
            <w:r>
              <w:rPr>
                <w:rFonts w:ascii="微软雅黑"/>
                <w:b/>
                <w:color w:val="FFFFFF"/>
                <w:w w:val="95"/>
                <w:sz w:val="15"/>
              </w:rPr>
              <w:t>N=3</w:t>
              <w:tab/>
              <w:t>N=3</w:t>
              <w:tab/>
              <w:t>N=3</w:t>
              <w:tab/>
              <w:t>N=3</w:t>
              <w:tab/>
            </w:r>
            <w:r>
              <w:rPr>
                <w:rFonts w:ascii="微软雅黑"/>
                <w:b/>
                <w:color w:val="FFFFFF"/>
                <w:w w:val="95"/>
                <w:position w:val="11"/>
                <w:sz w:val="15"/>
              </w:rPr>
              <w:t>N=12</w:t>
            </w:r>
          </w:p>
        </w:tc>
      </w:tr>
    </w:tbl>
    <w:p>
      <w:pPr>
        <w:pStyle w:val="BodyText"/>
        <w:spacing w:before="2"/>
        <w:rPr>
          <w:rFonts w:ascii="微软雅黑"/>
          <w:b/>
          <w:sz w:val="2"/>
        </w:rPr>
      </w:pPr>
    </w:p>
    <w:tbl>
      <w:tblPr>
        <w:tblW w:w="0" w:type="auto"/>
        <w:jc w:val="left"/>
        <w:tblInd w:w="3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0"/>
        <w:gridCol w:w="1080"/>
        <w:gridCol w:w="1123"/>
        <w:gridCol w:w="1031"/>
        <w:gridCol w:w="1187"/>
        <w:gridCol w:w="946"/>
      </w:tblGrid>
      <w:tr>
        <w:trPr>
          <w:trHeight w:val="227" w:hRule="atLeast"/>
        </w:trPr>
        <w:tc>
          <w:tcPr>
            <w:tcW w:w="1550" w:type="dxa"/>
          </w:tcPr>
          <w:p>
            <w:pPr>
              <w:pStyle w:val="TableParagraph"/>
              <w:spacing w:line="168" w:lineRule="exact"/>
              <w:ind w:left="368" w:right="359"/>
              <w:rPr>
                <w:sz w:val="15"/>
              </w:rPr>
            </w:pPr>
            <w:r>
              <w:rPr>
                <w:w w:val="130"/>
                <w:sz w:val="15"/>
              </w:rPr>
              <w:t>CR</w:t>
            </w:r>
          </w:p>
        </w:tc>
        <w:tc>
          <w:tcPr>
            <w:tcW w:w="1080" w:type="dxa"/>
          </w:tcPr>
          <w:p>
            <w:pPr>
              <w:pStyle w:val="TableParagraph"/>
              <w:spacing w:line="168" w:lineRule="exact"/>
              <w:ind w:left="7"/>
              <w:rPr>
                <w:sz w:val="15"/>
              </w:rPr>
            </w:pPr>
            <w:r>
              <w:rPr>
                <w:w w:val="111"/>
                <w:sz w:val="15"/>
              </w:rPr>
              <w:t>0</w:t>
            </w:r>
          </w:p>
        </w:tc>
        <w:tc>
          <w:tcPr>
            <w:tcW w:w="1123" w:type="dxa"/>
          </w:tcPr>
          <w:p>
            <w:pPr>
              <w:pStyle w:val="TableParagraph"/>
              <w:spacing w:line="168" w:lineRule="exact"/>
              <w:ind w:right="51"/>
              <w:rPr>
                <w:sz w:val="15"/>
              </w:rPr>
            </w:pPr>
            <w:r>
              <w:rPr>
                <w:w w:val="111"/>
                <w:sz w:val="15"/>
              </w:rPr>
              <w:t>0</w:t>
            </w:r>
          </w:p>
        </w:tc>
        <w:tc>
          <w:tcPr>
            <w:tcW w:w="1031" w:type="dxa"/>
          </w:tcPr>
          <w:p>
            <w:pPr>
              <w:pStyle w:val="TableParagraph"/>
              <w:spacing w:line="168" w:lineRule="exact"/>
              <w:ind w:right="59"/>
              <w:rPr>
                <w:sz w:val="15"/>
              </w:rPr>
            </w:pPr>
            <w:r>
              <w:rPr>
                <w:w w:val="111"/>
                <w:sz w:val="15"/>
              </w:rPr>
              <w:t>0</w:t>
            </w:r>
          </w:p>
        </w:tc>
        <w:tc>
          <w:tcPr>
            <w:tcW w:w="1187" w:type="dxa"/>
          </w:tcPr>
          <w:p>
            <w:pPr>
              <w:pStyle w:val="TableParagraph"/>
              <w:spacing w:line="168" w:lineRule="exact"/>
              <w:ind w:left="116"/>
              <w:rPr>
                <w:sz w:val="15"/>
              </w:rPr>
            </w:pPr>
            <w:r>
              <w:rPr>
                <w:w w:val="111"/>
                <w:sz w:val="15"/>
              </w:rPr>
              <w:t>0</w:t>
            </w:r>
          </w:p>
        </w:tc>
        <w:tc>
          <w:tcPr>
            <w:tcW w:w="946" w:type="dxa"/>
          </w:tcPr>
          <w:p>
            <w:pPr>
              <w:pStyle w:val="TableParagraph"/>
              <w:spacing w:line="168" w:lineRule="exact"/>
              <w:ind w:left="124"/>
              <w:rPr>
                <w:sz w:val="15"/>
              </w:rPr>
            </w:pPr>
            <w:r>
              <w:rPr>
                <w:w w:val="111"/>
                <w:sz w:val="15"/>
              </w:rPr>
              <w:t>0</w:t>
            </w:r>
          </w:p>
        </w:tc>
      </w:tr>
      <w:tr>
        <w:trPr>
          <w:trHeight w:val="292" w:hRule="atLeast"/>
        </w:trPr>
        <w:tc>
          <w:tcPr>
            <w:tcW w:w="1550" w:type="dxa"/>
          </w:tcPr>
          <w:p>
            <w:pPr>
              <w:pStyle w:val="TableParagraph"/>
              <w:jc w:val="left"/>
              <w:rPr>
                <w:rFonts w:ascii="Times New Roman"/>
                <w:sz w:val="18"/>
              </w:rPr>
            </w:pPr>
          </w:p>
        </w:tc>
        <w:tc>
          <w:tcPr>
            <w:tcW w:w="1080" w:type="dxa"/>
          </w:tcPr>
          <w:p>
            <w:pPr>
              <w:pStyle w:val="TableParagraph"/>
              <w:jc w:val="left"/>
              <w:rPr>
                <w:rFonts w:ascii="Times New Roman"/>
                <w:sz w:val="18"/>
              </w:rPr>
            </w:pPr>
          </w:p>
        </w:tc>
        <w:tc>
          <w:tcPr>
            <w:tcW w:w="1123" w:type="dxa"/>
          </w:tcPr>
          <w:p>
            <w:pPr>
              <w:pStyle w:val="TableParagraph"/>
              <w:jc w:val="left"/>
              <w:rPr>
                <w:rFonts w:ascii="Times New Roman"/>
                <w:sz w:val="18"/>
              </w:rPr>
            </w:pPr>
          </w:p>
        </w:tc>
        <w:tc>
          <w:tcPr>
            <w:tcW w:w="1031" w:type="dxa"/>
            <w:shd w:val="clear" w:color="auto" w:fill="CCCCCC"/>
          </w:tcPr>
          <w:p>
            <w:pPr>
              <w:pStyle w:val="TableParagraph"/>
              <w:jc w:val="left"/>
              <w:rPr>
                <w:rFonts w:ascii="Times New Roman"/>
                <w:sz w:val="18"/>
              </w:rPr>
            </w:pPr>
          </w:p>
        </w:tc>
        <w:tc>
          <w:tcPr>
            <w:tcW w:w="1187" w:type="dxa"/>
            <w:shd w:val="clear" w:color="auto" w:fill="CCCCCC"/>
          </w:tcPr>
          <w:p>
            <w:pPr>
              <w:pStyle w:val="TableParagraph"/>
              <w:jc w:val="left"/>
              <w:rPr>
                <w:rFonts w:ascii="Times New Roman"/>
                <w:sz w:val="18"/>
              </w:rPr>
            </w:pPr>
          </w:p>
        </w:tc>
        <w:tc>
          <w:tcPr>
            <w:tcW w:w="946" w:type="dxa"/>
          </w:tcPr>
          <w:p>
            <w:pPr>
              <w:pStyle w:val="TableParagraph"/>
              <w:jc w:val="left"/>
              <w:rPr>
                <w:rFonts w:ascii="Times New Roman"/>
                <w:sz w:val="18"/>
              </w:rPr>
            </w:pPr>
          </w:p>
        </w:tc>
      </w:tr>
      <w:tr>
        <w:trPr>
          <w:trHeight w:val="292" w:hRule="atLeast"/>
        </w:trPr>
        <w:tc>
          <w:tcPr>
            <w:tcW w:w="1550" w:type="dxa"/>
          </w:tcPr>
          <w:p>
            <w:pPr>
              <w:pStyle w:val="TableParagraph"/>
              <w:spacing w:before="42"/>
              <w:ind w:left="371" w:right="357"/>
              <w:rPr>
                <w:sz w:val="15"/>
              </w:rPr>
            </w:pPr>
            <w:r>
              <w:rPr>
                <w:w w:val="130"/>
                <w:sz w:val="15"/>
              </w:rPr>
              <w:t>SD</w:t>
            </w:r>
          </w:p>
        </w:tc>
        <w:tc>
          <w:tcPr>
            <w:tcW w:w="1080" w:type="dxa"/>
          </w:tcPr>
          <w:p>
            <w:pPr>
              <w:pStyle w:val="TableParagraph"/>
              <w:spacing w:before="42"/>
              <w:ind w:left="7"/>
              <w:rPr>
                <w:sz w:val="15"/>
              </w:rPr>
            </w:pPr>
            <w:r>
              <w:rPr>
                <w:w w:val="111"/>
                <w:sz w:val="15"/>
              </w:rPr>
              <w:t>1</w:t>
            </w:r>
          </w:p>
        </w:tc>
        <w:tc>
          <w:tcPr>
            <w:tcW w:w="1123" w:type="dxa"/>
          </w:tcPr>
          <w:p>
            <w:pPr>
              <w:pStyle w:val="TableParagraph"/>
              <w:spacing w:before="42"/>
              <w:ind w:right="51"/>
              <w:rPr>
                <w:sz w:val="15"/>
              </w:rPr>
            </w:pPr>
            <w:r>
              <w:rPr>
                <w:w w:val="111"/>
                <w:sz w:val="15"/>
              </w:rPr>
              <w:t>2</w:t>
            </w:r>
          </w:p>
        </w:tc>
        <w:tc>
          <w:tcPr>
            <w:tcW w:w="1031" w:type="dxa"/>
          </w:tcPr>
          <w:p>
            <w:pPr>
              <w:pStyle w:val="TableParagraph"/>
              <w:spacing w:before="42"/>
              <w:ind w:right="59"/>
              <w:rPr>
                <w:sz w:val="15"/>
              </w:rPr>
            </w:pPr>
            <w:r>
              <w:rPr>
                <w:w w:val="111"/>
                <w:sz w:val="15"/>
              </w:rPr>
              <w:t>1</w:t>
            </w:r>
          </w:p>
        </w:tc>
        <w:tc>
          <w:tcPr>
            <w:tcW w:w="1187" w:type="dxa"/>
          </w:tcPr>
          <w:p>
            <w:pPr>
              <w:pStyle w:val="TableParagraph"/>
              <w:spacing w:before="42"/>
              <w:ind w:left="116"/>
              <w:rPr>
                <w:sz w:val="15"/>
              </w:rPr>
            </w:pPr>
            <w:r>
              <w:rPr>
                <w:w w:val="111"/>
                <w:sz w:val="15"/>
              </w:rPr>
              <w:t>1</w:t>
            </w:r>
          </w:p>
        </w:tc>
        <w:tc>
          <w:tcPr>
            <w:tcW w:w="946" w:type="dxa"/>
          </w:tcPr>
          <w:p>
            <w:pPr>
              <w:pStyle w:val="TableParagraph"/>
              <w:spacing w:before="42"/>
              <w:ind w:left="124"/>
              <w:rPr>
                <w:sz w:val="15"/>
              </w:rPr>
            </w:pPr>
            <w:r>
              <w:rPr>
                <w:w w:val="111"/>
                <w:sz w:val="15"/>
              </w:rPr>
              <w:t>5</w:t>
            </w:r>
          </w:p>
        </w:tc>
      </w:tr>
      <w:tr>
        <w:trPr>
          <w:trHeight w:val="292" w:hRule="atLeast"/>
        </w:trPr>
        <w:tc>
          <w:tcPr>
            <w:tcW w:w="1550" w:type="dxa"/>
          </w:tcPr>
          <w:p>
            <w:pPr>
              <w:pStyle w:val="TableParagraph"/>
              <w:jc w:val="left"/>
              <w:rPr>
                <w:rFonts w:ascii="Times New Roman"/>
                <w:sz w:val="18"/>
              </w:rPr>
            </w:pPr>
          </w:p>
        </w:tc>
        <w:tc>
          <w:tcPr>
            <w:tcW w:w="1080" w:type="dxa"/>
          </w:tcPr>
          <w:p>
            <w:pPr>
              <w:pStyle w:val="TableParagraph"/>
              <w:jc w:val="left"/>
              <w:rPr>
                <w:rFonts w:ascii="Times New Roman"/>
                <w:sz w:val="18"/>
              </w:rPr>
            </w:pPr>
          </w:p>
        </w:tc>
        <w:tc>
          <w:tcPr>
            <w:tcW w:w="1123" w:type="dxa"/>
          </w:tcPr>
          <w:p>
            <w:pPr>
              <w:pStyle w:val="TableParagraph"/>
              <w:jc w:val="left"/>
              <w:rPr>
                <w:rFonts w:ascii="Times New Roman"/>
                <w:sz w:val="18"/>
              </w:rPr>
            </w:pPr>
          </w:p>
        </w:tc>
        <w:tc>
          <w:tcPr>
            <w:tcW w:w="1031" w:type="dxa"/>
            <w:shd w:val="clear" w:color="auto" w:fill="CCCCCC"/>
          </w:tcPr>
          <w:p>
            <w:pPr>
              <w:pStyle w:val="TableParagraph"/>
              <w:jc w:val="left"/>
              <w:rPr>
                <w:rFonts w:ascii="Times New Roman"/>
                <w:sz w:val="18"/>
              </w:rPr>
            </w:pPr>
          </w:p>
        </w:tc>
        <w:tc>
          <w:tcPr>
            <w:tcW w:w="1187" w:type="dxa"/>
            <w:shd w:val="clear" w:color="auto" w:fill="CCCCCC"/>
          </w:tcPr>
          <w:p>
            <w:pPr>
              <w:pStyle w:val="TableParagraph"/>
              <w:jc w:val="left"/>
              <w:rPr>
                <w:rFonts w:ascii="Times New Roman"/>
                <w:sz w:val="18"/>
              </w:rPr>
            </w:pPr>
          </w:p>
        </w:tc>
        <w:tc>
          <w:tcPr>
            <w:tcW w:w="946" w:type="dxa"/>
          </w:tcPr>
          <w:p>
            <w:pPr>
              <w:pStyle w:val="TableParagraph"/>
              <w:jc w:val="left"/>
              <w:rPr>
                <w:rFonts w:ascii="Times New Roman"/>
                <w:sz w:val="18"/>
              </w:rPr>
            </w:pPr>
          </w:p>
        </w:tc>
      </w:tr>
      <w:tr>
        <w:trPr>
          <w:trHeight w:val="226" w:hRule="atLeast"/>
        </w:trPr>
        <w:tc>
          <w:tcPr>
            <w:tcW w:w="1550" w:type="dxa"/>
          </w:tcPr>
          <w:p>
            <w:pPr>
              <w:pStyle w:val="TableParagraph"/>
              <w:spacing w:line="165" w:lineRule="exact" w:before="42"/>
              <w:ind w:left="371" w:right="359"/>
              <w:rPr>
                <w:sz w:val="15"/>
              </w:rPr>
            </w:pPr>
            <w:r>
              <w:rPr>
                <w:w w:val="130"/>
                <w:sz w:val="15"/>
              </w:rPr>
              <w:t>ORR（%）</w:t>
            </w:r>
          </w:p>
        </w:tc>
        <w:tc>
          <w:tcPr>
            <w:tcW w:w="1080" w:type="dxa"/>
          </w:tcPr>
          <w:p>
            <w:pPr>
              <w:pStyle w:val="TableParagraph"/>
              <w:spacing w:line="165" w:lineRule="exact" w:before="42"/>
              <w:ind w:left="375" w:right="365"/>
              <w:rPr>
                <w:sz w:val="15"/>
              </w:rPr>
            </w:pPr>
            <w:r>
              <w:rPr>
                <w:sz w:val="15"/>
              </w:rPr>
              <w:t>66.7</w:t>
            </w:r>
          </w:p>
        </w:tc>
        <w:tc>
          <w:tcPr>
            <w:tcW w:w="1123" w:type="dxa"/>
          </w:tcPr>
          <w:p>
            <w:pPr>
              <w:pStyle w:val="TableParagraph"/>
              <w:spacing w:line="165" w:lineRule="exact" w:before="42"/>
              <w:ind w:left="367" w:right="416"/>
              <w:rPr>
                <w:sz w:val="15"/>
              </w:rPr>
            </w:pPr>
            <w:r>
              <w:rPr>
                <w:sz w:val="15"/>
              </w:rPr>
              <w:t>33.3</w:t>
            </w:r>
          </w:p>
        </w:tc>
        <w:tc>
          <w:tcPr>
            <w:tcW w:w="1031" w:type="dxa"/>
          </w:tcPr>
          <w:p>
            <w:pPr>
              <w:pStyle w:val="TableParagraph"/>
              <w:spacing w:line="165" w:lineRule="exact" w:before="42"/>
              <w:ind w:right="59"/>
              <w:rPr>
                <w:sz w:val="15"/>
              </w:rPr>
            </w:pPr>
            <w:r>
              <w:rPr>
                <w:w w:val="111"/>
                <w:sz w:val="15"/>
              </w:rPr>
              <w:t>0</w:t>
            </w:r>
          </w:p>
        </w:tc>
        <w:tc>
          <w:tcPr>
            <w:tcW w:w="1187" w:type="dxa"/>
          </w:tcPr>
          <w:p>
            <w:pPr>
              <w:pStyle w:val="TableParagraph"/>
              <w:spacing w:line="165" w:lineRule="exact" w:before="42"/>
              <w:ind w:left="482" w:right="364"/>
              <w:rPr>
                <w:sz w:val="15"/>
              </w:rPr>
            </w:pPr>
            <w:r>
              <w:rPr>
                <w:sz w:val="15"/>
              </w:rPr>
              <w:t>66.7</w:t>
            </w:r>
          </w:p>
        </w:tc>
        <w:tc>
          <w:tcPr>
            <w:tcW w:w="946" w:type="dxa"/>
          </w:tcPr>
          <w:p>
            <w:pPr>
              <w:pStyle w:val="TableParagraph"/>
              <w:spacing w:line="165" w:lineRule="exact" w:before="42"/>
              <w:ind w:left="366" w:right="240"/>
              <w:rPr>
                <w:sz w:val="15"/>
              </w:rPr>
            </w:pPr>
            <w:r>
              <w:rPr>
                <w:sz w:val="15"/>
              </w:rPr>
              <w:t>41.7</w:t>
            </w:r>
          </w:p>
        </w:tc>
      </w:tr>
    </w:tbl>
    <w:p>
      <w:pPr>
        <w:pStyle w:val="BodyText"/>
        <w:spacing w:before="6"/>
        <w:rPr>
          <w:rFonts w:ascii="微软雅黑"/>
          <w:b/>
          <w:sz w:val="3"/>
        </w:rPr>
      </w:pPr>
    </w:p>
    <w:tbl>
      <w:tblPr>
        <w:tblW w:w="0" w:type="auto"/>
        <w:jc w:val="left"/>
        <w:tblInd w:w="3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8"/>
      </w:tblGrid>
      <w:tr>
        <w:trPr>
          <w:trHeight w:val="283" w:hRule="atLeast"/>
        </w:trPr>
        <w:tc>
          <w:tcPr>
            <w:tcW w:w="6918" w:type="dxa"/>
            <w:tcBorders>
              <w:top w:val="single" w:sz="4" w:space="0" w:color="000000"/>
              <w:bottom w:val="single" w:sz="4" w:space="0" w:color="000000"/>
            </w:tcBorders>
            <w:shd w:val="clear" w:color="auto" w:fill="CCCCCC"/>
          </w:tcPr>
          <w:p>
            <w:pPr>
              <w:pStyle w:val="TableParagraph"/>
              <w:tabs>
                <w:tab w:pos="1970" w:val="left" w:leader="none"/>
                <w:tab w:pos="3041" w:val="left" w:leader="none"/>
                <w:tab w:pos="4092" w:val="left" w:leader="none"/>
                <w:tab w:pos="5309" w:val="left" w:leader="none"/>
                <w:tab w:pos="6653" w:val="right" w:leader="none"/>
              </w:tabs>
              <w:spacing w:before="37"/>
              <w:ind w:left="412"/>
              <w:jc w:val="left"/>
              <w:rPr>
                <w:sz w:val="15"/>
              </w:rPr>
            </w:pPr>
            <w:r>
              <w:rPr>
                <w:w w:val="110"/>
                <w:sz w:val="15"/>
              </w:rPr>
              <w:t>DCR（%）</w:t>
              <w:tab/>
              <w:t>100</w:t>
              <w:tab/>
              <w:t>100</w:t>
              <w:tab/>
              <w:t>33.3</w:t>
              <w:tab/>
              <w:t>100</w:t>
              <w:tab/>
              <w:t>83.3</w:t>
            </w:r>
          </w:p>
        </w:tc>
      </w:tr>
    </w:tbl>
    <w:p>
      <w:pPr>
        <w:spacing w:before="0"/>
        <w:ind w:left="3713" w:right="0" w:firstLine="0"/>
        <w:jc w:val="left"/>
        <w:rPr>
          <w:sz w:val="13"/>
        </w:rPr>
      </w:pPr>
      <w:r>
        <w:rPr/>
        <w:pict>
          <v:shape style="position:absolute;margin-left:212.690002pt;margin-top:-44.410015pt;width:345.9pt;height:15.15pt;mso-position-horizontal-relative:page;mso-position-vertical-relative:paragraph;z-index:157347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8"/>
                  </w:tblGrid>
                  <w:tr>
                    <w:trPr>
                      <w:trHeight w:val="282" w:hRule="atLeast"/>
                    </w:trPr>
                    <w:tc>
                      <w:tcPr>
                        <w:tcW w:w="6918" w:type="dxa"/>
                        <w:tcBorders>
                          <w:top w:val="single" w:sz="4" w:space="0" w:color="000000"/>
                          <w:bottom w:val="single" w:sz="4" w:space="0" w:color="000000"/>
                        </w:tcBorders>
                        <w:shd w:val="clear" w:color="auto" w:fill="CCCCCC"/>
                      </w:tcPr>
                      <w:p>
                        <w:pPr>
                          <w:pStyle w:val="TableParagraph"/>
                          <w:tabs>
                            <w:tab w:pos="2051" w:val="left" w:leader="none"/>
                            <w:tab w:pos="3122" w:val="left" w:leader="none"/>
                            <w:tab w:pos="4195" w:val="left" w:leader="none"/>
                            <w:tab w:pos="5393" w:val="left" w:leader="none"/>
                            <w:tab w:pos="6548" w:val="right" w:leader="none"/>
                          </w:tabs>
                          <w:spacing w:before="37"/>
                          <w:ind w:left="681"/>
                          <w:jc w:val="left"/>
                          <w:rPr>
                            <w:sz w:val="15"/>
                          </w:rPr>
                        </w:pPr>
                        <w:r>
                          <w:rPr>
                            <w:w w:val="120"/>
                            <w:sz w:val="15"/>
                          </w:rPr>
                          <w:t>PD</w:t>
                          <w:tab/>
                          <w:t>0</w:t>
                          <w:tab/>
                          <w:t>0</w:t>
                          <w:tab/>
                          <w:t>2</w:t>
                          <w:tab/>
                          <w:t>0</w:t>
                          <w:tab/>
                          <w:t>2</w:t>
                        </w:r>
                      </w:p>
                    </w:tc>
                  </w:tr>
                </w:tbl>
                <w:p>
                  <w:pPr>
                    <w:pStyle w:val="BodyText"/>
                  </w:pPr>
                </w:p>
              </w:txbxContent>
            </v:textbox>
            <w10:wrap type="none"/>
          </v:shape>
        </w:pict>
      </w:r>
      <w:r>
        <w:rPr>
          <w:sz w:val="13"/>
        </w:rPr>
        <w:t>资料来源：公司官网、光大证券研究所</w:t>
      </w:r>
    </w:p>
    <w:p>
      <w:pPr>
        <w:pStyle w:val="Heading3"/>
        <w:numPr>
          <w:ilvl w:val="0"/>
          <w:numId w:val="1"/>
        </w:numPr>
        <w:tabs>
          <w:tab w:pos="3925" w:val="left" w:leader="none"/>
        </w:tabs>
        <w:spacing w:line="240" w:lineRule="auto" w:before="68" w:after="0"/>
        <w:ind w:left="3925" w:right="0" w:hanging="212"/>
        <w:jc w:val="left"/>
      </w:pPr>
      <w:r>
        <w:rPr>
          <w:color w:val="C54322"/>
        </w:rPr>
        <w:t>结论</w:t>
      </w:r>
    </w:p>
    <w:p>
      <w:pPr>
        <w:pStyle w:val="BodyText"/>
        <w:spacing w:line="259" w:lineRule="auto" w:before="94"/>
        <w:ind w:left="3713" w:right="256"/>
        <w:jc w:val="both"/>
      </w:pPr>
      <w:r>
        <w:rPr>
          <w:w w:val="105"/>
        </w:rPr>
        <w:t>TAEST16001</w:t>
      </w:r>
      <w:r>
        <w:rPr>
          <w:spacing w:val="-10"/>
          <w:w w:val="105"/>
        </w:rPr>
        <w:t> 细胞治疗总体上表现出可接受的耐受性</w:t>
      </w:r>
      <w:r>
        <w:rPr>
          <w:w w:val="105"/>
        </w:rPr>
        <w:t>（</w:t>
      </w:r>
      <w:r>
        <w:rPr>
          <w:spacing w:val="-21"/>
          <w:w w:val="105"/>
        </w:rPr>
        <w:t>未达到 </w:t>
      </w:r>
      <w:r>
        <w:rPr>
          <w:w w:val="105"/>
        </w:rPr>
        <w:t>MTD）以及较好的有效性（</w:t>
      </w:r>
      <w:r>
        <w:rPr>
          <w:spacing w:val="-15"/>
          <w:w w:val="105"/>
        </w:rPr>
        <w:t>总缓解率为 </w:t>
      </w:r>
      <w:r>
        <w:rPr>
          <w:w w:val="105"/>
        </w:rPr>
        <w:t>41.7%）</w:t>
      </w:r>
      <w:r>
        <w:rPr>
          <w:spacing w:val="-13"/>
          <w:w w:val="105"/>
        </w:rPr>
        <w:t>，该数据支持 </w:t>
      </w:r>
      <w:r>
        <w:rPr>
          <w:w w:val="105"/>
        </w:rPr>
        <w:t>TAEST16001</w:t>
      </w:r>
      <w:r>
        <w:rPr>
          <w:spacing w:val="-12"/>
          <w:w w:val="105"/>
        </w:rPr>
        <w:t> 细胞可在晚期软组</w:t>
      </w:r>
      <w:r>
        <w:rPr>
          <w:w w:val="110"/>
        </w:rPr>
        <w:t>织肉瘤中继续开展研究。</w:t>
      </w:r>
    </w:p>
    <w:p>
      <w:pPr>
        <w:pStyle w:val="BodyText"/>
      </w:pPr>
    </w:p>
    <w:p>
      <w:pPr>
        <w:pStyle w:val="Heading1"/>
        <w:spacing w:before="143"/>
      </w:pPr>
      <w:bookmarkStart w:name="_TOC_250001" w:id="6"/>
      <w:bookmarkEnd w:id="6"/>
      <w:r>
        <w:rPr>
          <w:color w:val="C54322"/>
        </w:rPr>
        <w:t>4、 投资建议</w:t>
      </w:r>
    </w:p>
    <w:p>
      <w:pPr>
        <w:pStyle w:val="BodyText"/>
        <w:spacing w:line="261" w:lineRule="auto" w:before="73"/>
        <w:ind w:left="3713" w:right="217"/>
        <w:jc w:val="both"/>
      </w:pPr>
      <w:r>
        <w:rPr/>
        <w:t>近年来，细胞免疫疗法的发展呈井喷态势，CAR-T、TCR-T、CAR-NK</w:t>
      </w:r>
      <w:r>
        <w:rPr>
          <w:spacing w:val="19"/>
        </w:rPr>
        <w:t> 等细胞疗</w:t>
      </w:r>
      <w:r>
        <w:rPr>
          <w:spacing w:val="-3"/>
        </w:rPr>
        <w:t>法相继登上历史舞台，并且在血液瘤治疗领域取得巨大突破后，逐渐向攻坚实体</w:t>
      </w:r>
    </w:p>
    <w:p>
      <w:pPr>
        <w:pStyle w:val="BodyText"/>
        <w:spacing w:line="213" w:lineRule="auto" w:before="17"/>
        <w:ind w:left="3713" w:right="186"/>
        <w:jc w:val="both"/>
      </w:pPr>
      <w:r>
        <w:rPr>
          <w:spacing w:val="-9"/>
        </w:rPr>
        <w:t>瘤方向发展。我们持续看好真正掌握核心技术并具备自主生产能力的企业，重点</w:t>
      </w:r>
      <w:r>
        <w:rPr>
          <w:spacing w:val="-9"/>
          <w:w w:val="99"/>
        </w:rPr>
        <w:t>推荐</w:t>
      </w:r>
      <w:r>
        <w:rPr>
          <w:rFonts w:ascii="微软雅黑" w:eastAsia="微软雅黑" w:hint="eastAsia"/>
          <w:b/>
          <w:w w:val="99"/>
        </w:rPr>
        <w:t>药明巨诺</w:t>
      </w:r>
      <w:r>
        <w:rPr>
          <w:rFonts w:ascii="微软雅黑" w:eastAsia="微软雅黑" w:hint="eastAsia"/>
          <w:b/>
          <w:w w:val="79"/>
        </w:rPr>
        <w:t>-</w:t>
      </w:r>
      <w:r>
        <w:rPr>
          <w:rFonts w:ascii="微软雅黑" w:eastAsia="微软雅黑" w:hint="eastAsia"/>
          <w:b/>
          <w:spacing w:val="3"/>
          <w:w w:val="95"/>
        </w:rPr>
        <w:t>B</w:t>
      </w:r>
      <w:r>
        <w:rPr>
          <w:rFonts w:ascii="微软雅黑" w:eastAsia="微软雅黑" w:hint="eastAsia"/>
          <w:b/>
          <w:w w:val="99"/>
        </w:rPr>
        <w:t>（</w:t>
      </w:r>
      <w:r>
        <w:rPr>
          <w:rFonts w:ascii="微软雅黑" w:eastAsia="微软雅黑" w:hint="eastAsia"/>
          <w:b/>
          <w:spacing w:val="1"/>
          <w:w w:val="88"/>
        </w:rPr>
        <w:t>H</w:t>
      </w:r>
      <w:r>
        <w:rPr>
          <w:rFonts w:ascii="微软雅黑" w:eastAsia="微软雅黑" w:hint="eastAsia"/>
          <w:b/>
          <w:spacing w:val="-99"/>
          <w:w w:val="99"/>
        </w:rPr>
        <w:t>）</w:t>
      </w:r>
      <w:r>
        <w:rPr>
          <w:w w:val="99"/>
        </w:rPr>
        <w:t>、</w:t>
      </w:r>
      <w:r>
        <w:rPr>
          <w:rFonts w:ascii="微软雅黑" w:eastAsia="微软雅黑" w:hint="eastAsia"/>
          <w:b/>
          <w:w w:val="99"/>
        </w:rPr>
        <w:t>科济药业</w:t>
      </w:r>
      <w:r>
        <w:rPr>
          <w:rFonts w:ascii="微软雅黑" w:eastAsia="微软雅黑" w:hint="eastAsia"/>
          <w:b/>
          <w:w w:val="79"/>
        </w:rPr>
        <w:t>-</w:t>
      </w:r>
      <w:r>
        <w:rPr>
          <w:rFonts w:ascii="微软雅黑" w:eastAsia="微软雅黑" w:hint="eastAsia"/>
          <w:b/>
          <w:spacing w:val="1"/>
          <w:w w:val="95"/>
        </w:rPr>
        <w:t>B</w:t>
      </w:r>
      <w:r>
        <w:rPr>
          <w:rFonts w:ascii="微软雅黑" w:eastAsia="微软雅黑" w:hint="eastAsia"/>
          <w:b/>
          <w:spacing w:val="2"/>
          <w:w w:val="99"/>
        </w:rPr>
        <w:t>（</w:t>
      </w:r>
      <w:r>
        <w:rPr>
          <w:rFonts w:ascii="微软雅黑" w:eastAsia="微软雅黑" w:hint="eastAsia"/>
          <w:b/>
          <w:spacing w:val="1"/>
          <w:w w:val="88"/>
        </w:rPr>
        <w:t>H</w:t>
      </w:r>
      <w:r>
        <w:rPr>
          <w:rFonts w:ascii="微软雅黑" w:eastAsia="微软雅黑" w:hint="eastAsia"/>
          <w:b/>
          <w:spacing w:val="-99"/>
          <w:w w:val="99"/>
        </w:rPr>
        <w:t>）</w:t>
      </w:r>
      <w:r>
        <w:rPr>
          <w:w w:val="99"/>
        </w:rPr>
        <w:t>，建议关注亘喜生物（</w:t>
      </w:r>
      <w:r>
        <w:rPr>
          <w:spacing w:val="3"/>
          <w:w w:val="147"/>
        </w:rPr>
        <w:t>O</w:t>
      </w:r>
      <w:r>
        <w:rPr>
          <w:spacing w:val="-101"/>
          <w:w w:val="99"/>
        </w:rPr>
        <w:t>）</w:t>
      </w:r>
      <w:r>
        <w:rPr>
          <w:w w:val="99"/>
        </w:rPr>
        <w:t>、香雪制药、传奇生物（</w:t>
      </w:r>
      <w:r>
        <w:rPr>
          <w:spacing w:val="1"/>
          <w:w w:val="147"/>
        </w:rPr>
        <w:t>O</w:t>
      </w:r>
      <w:r>
        <w:rPr>
          <w:spacing w:val="-99"/>
          <w:w w:val="99"/>
        </w:rPr>
        <w:t>）</w:t>
      </w:r>
      <w:r>
        <w:rPr>
          <w:w w:val="99"/>
        </w:rPr>
        <w:t>、复星凯特、安科生物等。</w:t>
      </w:r>
    </w:p>
    <w:p>
      <w:pPr>
        <w:pStyle w:val="BodyText"/>
        <w:spacing w:before="12"/>
        <w:rPr>
          <w:sz w:val="23"/>
        </w:rPr>
      </w:pPr>
    </w:p>
    <w:p>
      <w:pPr>
        <w:pStyle w:val="Heading1"/>
      </w:pPr>
      <w:bookmarkStart w:name="_TOC_250000" w:id="7"/>
      <w:bookmarkEnd w:id="7"/>
      <w:r>
        <w:rPr>
          <w:color w:val="C54322"/>
        </w:rPr>
        <w:t>5、 风险分析</w:t>
      </w:r>
    </w:p>
    <w:p>
      <w:pPr>
        <w:pStyle w:val="Heading3"/>
        <w:spacing w:before="6"/>
      </w:pPr>
      <w:r>
        <w:rPr>
          <w:color w:val="C54322"/>
        </w:rPr>
        <w:t>临床试验失败的风险</w:t>
      </w:r>
    </w:p>
    <w:p>
      <w:pPr>
        <w:pStyle w:val="BodyText"/>
        <w:spacing w:line="259" w:lineRule="auto" w:before="94"/>
        <w:ind w:left="3713" w:right="218"/>
      </w:pPr>
      <w:r>
        <w:rPr>
          <w:spacing w:val="-6"/>
        </w:rPr>
        <w:t>临床试验往往伴随着失败的风险，并且创新型越强的产品失败风险越高，一旦临</w:t>
      </w:r>
      <w:r>
        <w:rPr/>
        <w:t>床试验失败，可能会对公司股价产生不利影响。</w:t>
      </w:r>
    </w:p>
    <w:p>
      <w:pPr>
        <w:pStyle w:val="Heading3"/>
        <w:spacing w:before="57"/>
      </w:pPr>
      <w:r>
        <w:rPr>
          <w:color w:val="C54322"/>
        </w:rPr>
        <w:t>审评审批进度低于预期的风险</w:t>
      </w:r>
    </w:p>
    <w:p>
      <w:pPr>
        <w:pStyle w:val="BodyText"/>
        <w:spacing w:line="261" w:lineRule="auto" w:before="91"/>
        <w:ind w:left="3713" w:right="218"/>
      </w:pPr>
      <w:r>
        <w:rPr>
          <w:spacing w:val="-6"/>
        </w:rPr>
        <w:t>创新药产品的审评审批进度具有不确定性，可能会导致产品最终上市的时间晚于</w:t>
      </w:r>
      <w:r>
        <w:rPr/>
        <w:t>预期。</w:t>
      </w:r>
    </w:p>
    <w:p>
      <w:pPr>
        <w:pStyle w:val="Heading3"/>
        <w:spacing w:before="52"/>
      </w:pPr>
      <w:r>
        <w:rPr>
          <w:color w:val="C54322"/>
        </w:rPr>
        <w:t>竞争格局恶化的风险</w:t>
      </w:r>
    </w:p>
    <w:p>
      <w:pPr>
        <w:pStyle w:val="BodyText"/>
        <w:spacing w:before="92"/>
        <w:ind w:left="3713"/>
      </w:pPr>
      <w:r>
        <w:rPr/>
        <w:t>随着越来越多企业参与细胞治疗产品的研发，行业竞争格局存在恶化的风险。</w:t>
      </w:r>
    </w:p>
    <w:p>
      <w:pPr>
        <w:spacing w:after="0"/>
        <w:sectPr>
          <w:pgSz w:w="11910" w:h="16840"/>
          <w:pgMar w:header="630" w:footer="139" w:top="1120" w:bottom="320" w:left="540" w:right="520"/>
        </w:sectPr>
      </w:pPr>
    </w:p>
    <w:p>
      <w:pPr>
        <w:pStyle w:val="BodyText"/>
        <w:spacing w:before="4"/>
        <w:rPr>
          <w:sz w:val="6"/>
        </w:rPr>
      </w:pPr>
    </w:p>
    <w:p>
      <w:pPr>
        <w:pStyle w:val="BodyText"/>
        <w:ind w:left="168"/>
      </w:pPr>
      <w:r>
        <w:rPr/>
        <w:pict>
          <v:group style="width:524.65pt;height:21.8pt;mso-position-horizontal-relative:char;mso-position-vertical-relative:line" coordorigin="0,0" coordsize="10493,436">
            <v:rect style="position:absolute;left:0;top:420;width:10493;height:15" filled="true" fillcolor="#000000" stroked="false">
              <v:fill type="solid"/>
            </v:rect>
            <v:shape style="position:absolute;left:27;top:0;width:7851;height:417" type="#_x0000_t75" stroked="false">
              <v:imagedata r:id="rId11" o:title=""/>
            </v:shape>
          </v:group>
        </w:pict>
      </w:r>
      <w:r>
        <w:rPr/>
      </w:r>
    </w:p>
    <w:p>
      <w:pPr>
        <w:pStyle w:val="BodyText"/>
        <w:spacing w:before="9"/>
        <w:rPr>
          <w:sz w:val="28"/>
        </w:rPr>
      </w:pPr>
    </w:p>
    <w:p>
      <w:pPr>
        <w:spacing w:before="0"/>
        <w:ind w:left="213" w:right="0" w:firstLine="0"/>
        <w:jc w:val="left"/>
        <w:rPr>
          <w:rFonts w:ascii="微软雅黑" w:eastAsia="微软雅黑" w:hint="eastAsia"/>
          <w:b/>
          <w:sz w:val="21"/>
        </w:rPr>
      </w:pPr>
      <w:r>
        <w:rPr/>
        <w:drawing>
          <wp:anchor distT="0" distB="0" distL="0" distR="0" allowOverlap="1" layoutInCell="1" locked="0" behindDoc="1" simplePos="0" relativeHeight="486865920">
            <wp:simplePos x="0" y="0"/>
            <wp:positionH relativeFrom="page">
              <wp:posOffset>6155054</wp:posOffset>
            </wp:positionH>
            <wp:positionV relativeFrom="paragraph">
              <wp:posOffset>-586509</wp:posOffset>
            </wp:positionV>
            <wp:extent cx="916768" cy="270319"/>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916768" cy="270319"/>
                    </a:xfrm>
                    <a:prstGeom prst="rect">
                      <a:avLst/>
                    </a:prstGeom>
                  </pic:spPr>
                </pic:pic>
              </a:graphicData>
            </a:graphic>
          </wp:anchor>
        </w:drawing>
      </w:r>
      <w:r>
        <w:rPr>
          <w:rFonts w:ascii="微软雅黑" w:eastAsia="微软雅黑" w:hint="eastAsia"/>
          <w:b/>
          <w:color w:val="C54322"/>
          <w:sz w:val="21"/>
        </w:rPr>
        <w:t>行业及公司评级体系</w:t>
      </w: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
        <w:gridCol w:w="1186"/>
        <w:gridCol w:w="8733"/>
      </w:tblGrid>
      <w:tr>
        <w:trPr>
          <w:trHeight w:val="254" w:hRule="atLeast"/>
        </w:trPr>
        <w:tc>
          <w:tcPr>
            <w:tcW w:w="400" w:type="dxa"/>
            <w:shd w:val="clear" w:color="auto" w:fill="C54322"/>
          </w:tcPr>
          <w:p>
            <w:pPr>
              <w:pStyle w:val="TableParagraph"/>
              <w:jc w:val="left"/>
              <w:rPr>
                <w:rFonts w:ascii="Times New Roman"/>
                <w:sz w:val="14"/>
              </w:rPr>
            </w:pPr>
          </w:p>
        </w:tc>
        <w:tc>
          <w:tcPr>
            <w:tcW w:w="1186" w:type="dxa"/>
            <w:shd w:val="clear" w:color="auto" w:fill="C54322"/>
          </w:tcPr>
          <w:p>
            <w:pPr>
              <w:pStyle w:val="TableParagraph"/>
              <w:spacing w:line="234" w:lineRule="exact"/>
              <w:ind w:left="327"/>
              <w:jc w:val="left"/>
              <w:rPr>
                <w:rFonts w:ascii="微软雅黑" w:eastAsia="微软雅黑" w:hint="eastAsia"/>
                <w:b/>
                <w:sz w:val="18"/>
              </w:rPr>
            </w:pPr>
            <w:r>
              <w:rPr>
                <w:rFonts w:ascii="微软雅黑" w:eastAsia="微软雅黑" w:hint="eastAsia"/>
                <w:b/>
                <w:color w:val="FFFFFF"/>
                <w:sz w:val="18"/>
              </w:rPr>
              <w:t>评级</w:t>
            </w:r>
          </w:p>
        </w:tc>
        <w:tc>
          <w:tcPr>
            <w:tcW w:w="8733" w:type="dxa"/>
            <w:shd w:val="clear" w:color="auto" w:fill="C54322"/>
          </w:tcPr>
          <w:p>
            <w:pPr>
              <w:pStyle w:val="TableParagraph"/>
              <w:spacing w:line="234" w:lineRule="exact"/>
              <w:ind w:left="4274" w:right="4058"/>
              <w:rPr>
                <w:rFonts w:ascii="微软雅黑" w:eastAsia="微软雅黑" w:hint="eastAsia"/>
                <w:b/>
                <w:sz w:val="18"/>
              </w:rPr>
            </w:pPr>
            <w:r>
              <w:rPr>
                <w:rFonts w:ascii="微软雅黑" w:eastAsia="微软雅黑" w:hint="eastAsia"/>
                <w:b/>
                <w:color w:val="FFFFFF"/>
                <w:sz w:val="18"/>
              </w:rPr>
              <w:t>说明</w:t>
            </w:r>
          </w:p>
        </w:tc>
      </w:tr>
      <w:tr>
        <w:trPr>
          <w:trHeight w:val="256" w:hRule="atLeast"/>
        </w:trPr>
        <w:tc>
          <w:tcPr>
            <w:tcW w:w="400" w:type="dxa"/>
            <w:vMerge w:val="restart"/>
          </w:tcPr>
          <w:p>
            <w:pPr>
              <w:pStyle w:val="TableParagraph"/>
              <w:spacing w:line="172" w:lineRule="auto" w:before="7"/>
              <w:ind w:left="116" w:right="129"/>
              <w:jc w:val="both"/>
              <w:rPr>
                <w:rFonts w:ascii="微软雅黑" w:eastAsia="微软雅黑" w:hint="eastAsia"/>
                <w:b/>
                <w:sz w:val="15"/>
              </w:rPr>
            </w:pPr>
            <w:r>
              <w:rPr>
                <w:rFonts w:ascii="微软雅黑" w:eastAsia="微软雅黑" w:hint="eastAsia"/>
                <w:b/>
                <w:sz w:val="15"/>
              </w:rPr>
              <w:t>行业及公司评</w:t>
            </w:r>
          </w:p>
          <w:p>
            <w:pPr>
              <w:pStyle w:val="TableParagraph"/>
              <w:spacing w:line="136" w:lineRule="exact"/>
              <w:ind w:left="116"/>
              <w:jc w:val="left"/>
              <w:rPr>
                <w:rFonts w:ascii="微软雅黑" w:eastAsia="微软雅黑" w:hint="eastAsia"/>
                <w:b/>
                <w:sz w:val="15"/>
              </w:rPr>
            </w:pPr>
            <w:r>
              <w:rPr>
                <w:rFonts w:ascii="微软雅黑" w:eastAsia="微软雅黑" w:hint="eastAsia"/>
                <w:b/>
                <w:w w:val="100"/>
                <w:sz w:val="15"/>
              </w:rPr>
              <w:t>级</w:t>
            </w:r>
          </w:p>
        </w:tc>
        <w:tc>
          <w:tcPr>
            <w:tcW w:w="1186" w:type="dxa"/>
          </w:tcPr>
          <w:p>
            <w:pPr>
              <w:pStyle w:val="TableParagraph"/>
              <w:spacing w:line="192" w:lineRule="exact"/>
              <w:ind w:right="328"/>
              <w:jc w:val="right"/>
              <w:rPr>
                <w:sz w:val="15"/>
              </w:rPr>
            </w:pPr>
            <w:r>
              <w:rPr>
                <w:sz w:val="15"/>
              </w:rPr>
              <w:t>买入</w:t>
            </w:r>
          </w:p>
        </w:tc>
        <w:tc>
          <w:tcPr>
            <w:tcW w:w="8733" w:type="dxa"/>
          </w:tcPr>
          <w:p>
            <w:pPr>
              <w:pStyle w:val="TableParagraph"/>
              <w:spacing w:line="192" w:lineRule="exact"/>
              <w:ind w:left="218"/>
              <w:jc w:val="left"/>
              <w:rPr>
                <w:sz w:val="15"/>
              </w:rPr>
            </w:pPr>
            <w:r>
              <w:rPr>
                <w:sz w:val="15"/>
              </w:rPr>
              <w:t>未来 6-12 个月的投资收益率领先市场基准指数 </w:t>
            </w:r>
            <w:r>
              <w:rPr>
                <w:w w:val="115"/>
                <w:sz w:val="15"/>
              </w:rPr>
              <w:t>15%</w:t>
            </w:r>
            <w:r>
              <w:rPr>
                <w:sz w:val="15"/>
              </w:rPr>
              <w:t>以上</w:t>
            </w:r>
          </w:p>
        </w:tc>
      </w:tr>
      <w:tr>
        <w:trPr>
          <w:trHeight w:val="254" w:hRule="atLeast"/>
        </w:trPr>
        <w:tc>
          <w:tcPr>
            <w:tcW w:w="400" w:type="dxa"/>
            <w:vMerge/>
            <w:tcBorders>
              <w:top w:val="nil"/>
            </w:tcBorders>
          </w:tcPr>
          <w:p>
            <w:pPr>
              <w:rPr>
                <w:sz w:val="2"/>
                <w:szCs w:val="2"/>
              </w:rPr>
            </w:pPr>
          </w:p>
        </w:tc>
        <w:tc>
          <w:tcPr>
            <w:tcW w:w="1186" w:type="dxa"/>
            <w:shd w:val="clear" w:color="auto" w:fill="D0CECE"/>
          </w:tcPr>
          <w:p>
            <w:pPr>
              <w:pStyle w:val="TableParagraph"/>
              <w:spacing w:before="38"/>
              <w:ind w:right="328"/>
              <w:jc w:val="right"/>
              <w:rPr>
                <w:sz w:val="15"/>
              </w:rPr>
            </w:pPr>
            <w:r>
              <w:rPr>
                <w:sz w:val="15"/>
              </w:rPr>
              <w:t>增持</w:t>
            </w:r>
          </w:p>
        </w:tc>
        <w:tc>
          <w:tcPr>
            <w:tcW w:w="8733" w:type="dxa"/>
            <w:shd w:val="clear" w:color="auto" w:fill="D0CECE"/>
          </w:tcPr>
          <w:p>
            <w:pPr>
              <w:pStyle w:val="TableParagraph"/>
              <w:spacing w:before="31"/>
              <w:ind w:left="218"/>
              <w:jc w:val="left"/>
              <w:rPr>
                <w:sz w:val="15"/>
              </w:rPr>
            </w:pPr>
            <w:r>
              <w:rPr>
                <w:w w:val="115"/>
                <w:sz w:val="15"/>
              </w:rPr>
              <w:t>未来 6-12 个月的投资收益率领先市场基准指数 </w:t>
            </w:r>
            <w:r>
              <w:rPr>
                <w:w w:val="125"/>
                <w:sz w:val="15"/>
              </w:rPr>
              <w:t>5%</w:t>
            </w:r>
            <w:r>
              <w:rPr>
                <w:w w:val="115"/>
                <w:sz w:val="15"/>
              </w:rPr>
              <w:t>至 15%；</w:t>
            </w:r>
          </w:p>
        </w:tc>
      </w:tr>
      <w:tr>
        <w:trPr>
          <w:trHeight w:val="254" w:hRule="atLeast"/>
        </w:trPr>
        <w:tc>
          <w:tcPr>
            <w:tcW w:w="400" w:type="dxa"/>
            <w:vMerge/>
            <w:tcBorders>
              <w:top w:val="nil"/>
            </w:tcBorders>
          </w:tcPr>
          <w:p>
            <w:pPr>
              <w:rPr>
                <w:sz w:val="2"/>
                <w:szCs w:val="2"/>
              </w:rPr>
            </w:pPr>
          </w:p>
        </w:tc>
        <w:tc>
          <w:tcPr>
            <w:tcW w:w="1186" w:type="dxa"/>
          </w:tcPr>
          <w:p>
            <w:pPr>
              <w:pStyle w:val="TableParagraph"/>
              <w:spacing w:before="38"/>
              <w:ind w:right="328"/>
              <w:jc w:val="right"/>
              <w:rPr>
                <w:sz w:val="15"/>
              </w:rPr>
            </w:pPr>
            <w:r>
              <w:rPr>
                <w:sz w:val="15"/>
              </w:rPr>
              <w:t>中性</w:t>
            </w:r>
          </w:p>
        </w:tc>
        <w:tc>
          <w:tcPr>
            <w:tcW w:w="8733" w:type="dxa"/>
          </w:tcPr>
          <w:p>
            <w:pPr>
              <w:pStyle w:val="TableParagraph"/>
              <w:spacing w:before="31"/>
              <w:ind w:left="218"/>
              <w:jc w:val="left"/>
              <w:rPr>
                <w:sz w:val="15"/>
              </w:rPr>
            </w:pPr>
            <w:r>
              <w:rPr>
                <w:w w:val="100"/>
                <w:sz w:val="15"/>
              </w:rPr>
              <w:t>未来</w:t>
            </w:r>
            <w:r>
              <w:rPr>
                <w:spacing w:val="-39"/>
                <w:sz w:val="15"/>
              </w:rPr>
              <w:t> </w:t>
            </w:r>
            <w:r>
              <w:rPr>
                <w:w w:val="111"/>
                <w:sz w:val="15"/>
              </w:rPr>
              <w:t>6</w:t>
            </w:r>
            <w:r>
              <w:rPr>
                <w:w w:val="69"/>
                <w:sz w:val="15"/>
              </w:rPr>
              <w:t>-</w:t>
            </w:r>
            <w:r>
              <w:rPr>
                <w:spacing w:val="-3"/>
                <w:w w:val="111"/>
                <w:sz w:val="15"/>
              </w:rPr>
              <w:t>1</w:t>
            </w:r>
            <w:r>
              <w:rPr>
                <w:w w:val="111"/>
                <w:sz w:val="15"/>
              </w:rPr>
              <w:t>2</w:t>
            </w:r>
            <w:r>
              <w:rPr>
                <w:spacing w:val="-37"/>
                <w:sz w:val="15"/>
              </w:rPr>
              <w:t> </w:t>
            </w:r>
            <w:r>
              <w:rPr>
                <w:spacing w:val="-3"/>
                <w:w w:val="100"/>
                <w:sz w:val="15"/>
              </w:rPr>
              <w:t>个月的投资收益率与市场基准指数的变动幅度相差</w:t>
            </w:r>
            <w:r>
              <w:rPr>
                <w:w w:val="69"/>
                <w:sz w:val="15"/>
              </w:rPr>
              <w:t>-</w:t>
            </w:r>
            <w:r>
              <w:rPr>
                <w:spacing w:val="-3"/>
                <w:w w:val="148"/>
                <w:sz w:val="15"/>
              </w:rPr>
              <w:t>5</w:t>
            </w:r>
            <w:r>
              <w:rPr>
                <w:w w:val="148"/>
                <w:sz w:val="15"/>
              </w:rPr>
              <w:t>%</w:t>
            </w:r>
            <w:r>
              <w:rPr>
                <w:w w:val="100"/>
                <w:sz w:val="15"/>
              </w:rPr>
              <w:t>至</w:t>
            </w:r>
            <w:r>
              <w:rPr>
                <w:spacing w:val="-39"/>
                <w:sz w:val="15"/>
              </w:rPr>
              <w:t> </w:t>
            </w:r>
            <w:r>
              <w:rPr>
                <w:w w:val="148"/>
                <w:sz w:val="15"/>
              </w:rPr>
              <w:t>5</w:t>
            </w:r>
            <w:r>
              <w:rPr>
                <w:spacing w:val="-3"/>
                <w:w w:val="148"/>
                <w:sz w:val="15"/>
              </w:rPr>
              <w:t>%</w:t>
            </w:r>
            <w:r>
              <w:rPr>
                <w:w w:val="100"/>
                <w:sz w:val="15"/>
              </w:rPr>
              <w:t>；</w:t>
            </w:r>
          </w:p>
        </w:tc>
      </w:tr>
      <w:tr>
        <w:trPr>
          <w:trHeight w:val="254" w:hRule="atLeast"/>
        </w:trPr>
        <w:tc>
          <w:tcPr>
            <w:tcW w:w="400" w:type="dxa"/>
            <w:vMerge/>
            <w:tcBorders>
              <w:top w:val="nil"/>
            </w:tcBorders>
          </w:tcPr>
          <w:p>
            <w:pPr>
              <w:rPr>
                <w:sz w:val="2"/>
                <w:szCs w:val="2"/>
              </w:rPr>
            </w:pPr>
          </w:p>
        </w:tc>
        <w:tc>
          <w:tcPr>
            <w:tcW w:w="1186" w:type="dxa"/>
            <w:shd w:val="clear" w:color="auto" w:fill="D0CECE"/>
          </w:tcPr>
          <w:p>
            <w:pPr>
              <w:pStyle w:val="TableParagraph"/>
              <w:spacing w:before="38"/>
              <w:ind w:right="328"/>
              <w:jc w:val="right"/>
              <w:rPr>
                <w:sz w:val="15"/>
              </w:rPr>
            </w:pPr>
            <w:r>
              <w:rPr>
                <w:sz w:val="15"/>
              </w:rPr>
              <w:t>减持</w:t>
            </w:r>
          </w:p>
        </w:tc>
        <w:tc>
          <w:tcPr>
            <w:tcW w:w="8733" w:type="dxa"/>
            <w:shd w:val="clear" w:color="auto" w:fill="D0CECE"/>
          </w:tcPr>
          <w:p>
            <w:pPr>
              <w:pStyle w:val="TableParagraph"/>
              <w:spacing w:before="31"/>
              <w:ind w:left="218"/>
              <w:jc w:val="left"/>
              <w:rPr>
                <w:sz w:val="15"/>
              </w:rPr>
            </w:pPr>
            <w:r>
              <w:rPr>
                <w:w w:val="115"/>
                <w:sz w:val="15"/>
              </w:rPr>
              <w:t>未来 6-12 个月的投资收益率落后市场基准指数 </w:t>
            </w:r>
            <w:r>
              <w:rPr>
                <w:w w:val="125"/>
                <w:sz w:val="15"/>
              </w:rPr>
              <w:t>5%</w:t>
            </w:r>
            <w:r>
              <w:rPr>
                <w:w w:val="115"/>
                <w:sz w:val="15"/>
              </w:rPr>
              <w:t>至 15%；</w:t>
            </w:r>
          </w:p>
        </w:tc>
      </w:tr>
      <w:tr>
        <w:trPr>
          <w:trHeight w:val="337" w:hRule="atLeast"/>
        </w:trPr>
        <w:tc>
          <w:tcPr>
            <w:tcW w:w="400" w:type="dxa"/>
            <w:vMerge/>
            <w:tcBorders>
              <w:top w:val="nil"/>
            </w:tcBorders>
          </w:tcPr>
          <w:p>
            <w:pPr>
              <w:rPr>
                <w:sz w:val="2"/>
                <w:szCs w:val="2"/>
              </w:rPr>
            </w:pPr>
          </w:p>
        </w:tc>
        <w:tc>
          <w:tcPr>
            <w:tcW w:w="1186" w:type="dxa"/>
          </w:tcPr>
          <w:p>
            <w:pPr>
              <w:pStyle w:val="TableParagraph"/>
              <w:spacing w:before="40"/>
              <w:ind w:right="328"/>
              <w:jc w:val="right"/>
              <w:rPr>
                <w:sz w:val="15"/>
              </w:rPr>
            </w:pPr>
            <w:r>
              <w:rPr>
                <w:sz w:val="15"/>
              </w:rPr>
              <w:t>卖出</w:t>
            </w:r>
          </w:p>
        </w:tc>
        <w:tc>
          <w:tcPr>
            <w:tcW w:w="8733" w:type="dxa"/>
          </w:tcPr>
          <w:p>
            <w:pPr>
              <w:pStyle w:val="TableParagraph"/>
              <w:spacing w:before="31"/>
              <w:ind w:left="218"/>
              <w:jc w:val="left"/>
              <w:rPr>
                <w:sz w:val="15"/>
              </w:rPr>
            </w:pPr>
            <w:r>
              <w:rPr>
                <w:sz w:val="15"/>
              </w:rPr>
              <w:t>未来 6-12 个月的投资收益率落后市场基准指数 </w:t>
            </w:r>
            <w:r>
              <w:rPr>
                <w:w w:val="115"/>
                <w:sz w:val="15"/>
              </w:rPr>
              <w:t>15%</w:t>
            </w:r>
            <w:r>
              <w:rPr>
                <w:sz w:val="15"/>
              </w:rPr>
              <w:t>以上；</w:t>
            </w:r>
          </w:p>
        </w:tc>
      </w:tr>
      <w:tr>
        <w:trPr>
          <w:trHeight w:val="173" w:hRule="atLeast"/>
        </w:trPr>
        <w:tc>
          <w:tcPr>
            <w:tcW w:w="400" w:type="dxa"/>
          </w:tcPr>
          <w:p>
            <w:pPr>
              <w:pStyle w:val="TableParagraph"/>
              <w:jc w:val="left"/>
              <w:rPr>
                <w:rFonts w:ascii="Times New Roman"/>
                <w:sz w:val="10"/>
              </w:rPr>
            </w:pPr>
          </w:p>
        </w:tc>
        <w:tc>
          <w:tcPr>
            <w:tcW w:w="1186" w:type="dxa"/>
            <w:shd w:val="clear" w:color="auto" w:fill="D0CECE"/>
          </w:tcPr>
          <w:p>
            <w:pPr>
              <w:pStyle w:val="TableParagraph"/>
              <w:spacing w:line="149" w:lineRule="exact"/>
              <w:ind w:right="254"/>
              <w:jc w:val="right"/>
              <w:rPr>
                <w:sz w:val="15"/>
              </w:rPr>
            </w:pPr>
            <w:r>
              <w:rPr>
                <w:sz w:val="15"/>
              </w:rPr>
              <w:t>无评级</w:t>
            </w:r>
          </w:p>
        </w:tc>
        <w:tc>
          <w:tcPr>
            <w:tcW w:w="8733" w:type="dxa"/>
            <w:shd w:val="clear" w:color="auto" w:fill="D0CECE"/>
          </w:tcPr>
          <w:p>
            <w:pPr>
              <w:pStyle w:val="TableParagraph"/>
              <w:spacing w:line="142" w:lineRule="exact"/>
              <w:ind w:left="218"/>
              <w:jc w:val="left"/>
              <w:rPr>
                <w:sz w:val="15"/>
              </w:rPr>
            </w:pPr>
            <w:r>
              <w:rPr>
                <w:sz w:val="15"/>
              </w:rPr>
              <w:t>因无法获取必要的资料，或者公司面临无法预见结果的重大不确定性事件，或者其他原因，致使无法给出明确的投资评级。</w:t>
            </w:r>
          </w:p>
        </w:tc>
      </w:tr>
      <w:tr>
        <w:trPr>
          <w:trHeight w:val="400" w:hRule="atLeast"/>
        </w:trPr>
        <w:tc>
          <w:tcPr>
            <w:tcW w:w="1586" w:type="dxa"/>
            <w:gridSpan w:val="2"/>
            <w:tcBorders>
              <w:bottom w:val="single" w:sz="4" w:space="0" w:color="000000"/>
            </w:tcBorders>
          </w:tcPr>
          <w:p>
            <w:pPr>
              <w:pStyle w:val="TableParagraph"/>
              <w:spacing w:before="62"/>
              <w:ind w:left="313"/>
              <w:jc w:val="left"/>
              <w:rPr>
                <w:rFonts w:ascii="微软雅黑" w:eastAsia="微软雅黑" w:hint="eastAsia"/>
                <w:b/>
                <w:sz w:val="15"/>
              </w:rPr>
            </w:pPr>
            <w:r>
              <w:rPr>
                <w:rFonts w:ascii="微软雅黑" w:eastAsia="微软雅黑" w:hint="eastAsia"/>
                <w:b/>
                <w:sz w:val="15"/>
              </w:rPr>
              <w:t>基准指数说明：</w:t>
            </w:r>
          </w:p>
        </w:tc>
        <w:tc>
          <w:tcPr>
            <w:tcW w:w="8733" w:type="dxa"/>
            <w:tcBorders>
              <w:bottom w:val="single" w:sz="4" w:space="0" w:color="000000"/>
            </w:tcBorders>
          </w:tcPr>
          <w:p>
            <w:pPr>
              <w:pStyle w:val="TableParagraph"/>
              <w:spacing w:line="192" w:lineRule="exact"/>
              <w:ind w:left="218" w:right="-15"/>
              <w:jc w:val="left"/>
              <w:rPr>
                <w:sz w:val="15"/>
              </w:rPr>
            </w:pPr>
            <w:r>
              <w:rPr>
                <w:sz w:val="15"/>
              </w:rPr>
              <w:t>A</w:t>
            </w:r>
            <w:r>
              <w:rPr>
                <w:spacing w:val="-5"/>
                <w:sz w:val="15"/>
              </w:rPr>
              <w:t> 股主板基准为沪深 </w:t>
            </w:r>
            <w:r>
              <w:rPr>
                <w:sz w:val="15"/>
              </w:rPr>
              <w:t>300</w:t>
            </w:r>
            <w:r>
              <w:rPr>
                <w:spacing w:val="-9"/>
                <w:sz w:val="15"/>
              </w:rPr>
              <w:t> 指数；中小盘基准为中小板指；创业板基准为创业板指；新三板基准为新三板指数；港股基准指数为恒生</w:t>
            </w:r>
          </w:p>
          <w:p>
            <w:pPr>
              <w:pStyle w:val="TableParagraph"/>
              <w:spacing w:line="182" w:lineRule="exact" w:before="7"/>
              <w:ind w:left="218"/>
              <w:jc w:val="left"/>
              <w:rPr>
                <w:sz w:val="15"/>
              </w:rPr>
            </w:pPr>
            <w:r>
              <w:rPr>
                <w:sz w:val="15"/>
              </w:rPr>
              <w:t>指数。</w:t>
            </w:r>
          </w:p>
        </w:tc>
      </w:tr>
    </w:tbl>
    <w:p>
      <w:pPr>
        <w:spacing w:before="9"/>
        <w:ind w:left="196" w:right="0" w:firstLine="0"/>
        <w:jc w:val="left"/>
        <w:rPr>
          <w:rFonts w:ascii="微软雅黑" w:eastAsia="微软雅黑" w:hint="eastAsia"/>
          <w:b/>
          <w:sz w:val="21"/>
        </w:rPr>
      </w:pPr>
      <w:r>
        <w:rPr/>
        <w:pict>
          <v:shape style="position:absolute;margin-left:59.520004pt;margin-top:-33.811852pt;width:495.95pt;height:12.75pt;mso-position-horizontal-relative:page;mso-position-vertical-relative:paragraph;z-index:-16450048" coordorigin="1190,-676" coordsize="9919,255" path="m11109,-676l2487,-676,1190,-676,1190,-422,2487,-422,11109,-422,11109,-676xe" filled="true" fillcolor="#d0cece" stroked="false">
            <v:path arrowok="t"/>
            <v:fill type="solid"/>
            <w10:wrap type="none"/>
          </v:shape>
        </w:pict>
      </w:r>
      <w:r>
        <w:rPr>
          <w:rFonts w:ascii="微软雅黑" w:eastAsia="微软雅黑" w:hint="eastAsia"/>
          <w:b/>
          <w:color w:val="C54322"/>
          <w:sz w:val="21"/>
        </w:rPr>
        <w:t>分析、估值方法的局限性说明</w:t>
      </w:r>
    </w:p>
    <w:p>
      <w:pPr>
        <w:spacing w:line="220" w:lineRule="auto" w:before="26"/>
        <w:ind w:left="196" w:right="244" w:firstLine="319"/>
        <w:jc w:val="left"/>
        <w:rPr>
          <w:sz w:val="16"/>
        </w:rPr>
      </w:pPr>
      <w:r>
        <w:rPr>
          <w:spacing w:val="-3"/>
          <w:sz w:val="16"/>
        </w:rPr>
        <w:t>本报告所包含的分析基于各种假设，不同假设可能导致分析结果出现重大不同。本报告采用的各种估值方法及模型均有其局限性，估值结果不保证所涉及证券能够在该价格交易。</w:t>
      </w:r>
    </w:p>
    <w:p>
      <w:pPr>
        <w:pStyle w:val="Heading2"/>
        <w:spacing w:before="33"/>
      </w:pPr>
      <w:r>
        <w:rPr>
          <w:color w:val="C54322"/>
        </w:rPr>
        <w:t>分析师声明</w:t>
      </w:r>
    </w:p>
    <w:p>
      <w:pPr>
        <w:spacing w:line="220" w:lineRule="auto" w:before="26"/>
        <w:ind w:left="196" w:right="244" w:firstLine="319"/>
        <w:jc w:val="both"/>
        <w:rPr>
          <w:sz w:val="16"/>
        </w:rPr>
      </w:pPr>
      <w:r>
        <w:rPr>
          <w:spacing w:val="-3"/>
          <w:sz w:val="16"/>
        </w:rPr>
        <w:t>本报告署名分析师具有中国证券业协会授予的证券投资咨询执业资格并注册为证券分析师，以勤勉的职业态度、专业审慎的研究方法，使用合法合规的信息，独立、客观地出具本报告，并对本报告的内容和观点负责。负责准备以及撰写本报告的所有研究人员在此保证，本研究报告中任何关于发行商或证券所发表的观点均如实反映研究人员的个人观点。研究人员获取报酬的评判因素包括研究的质量和准确性、客户反馈、竞争性因素以及光大证券股份有限公司的整体收益。所有研究人员保证他们报酬的任何一部分不曾与，不与，也将不会与本报告中具体的推荐意见或观点有直接或间接的联系。</w:t>
      </w:r>
    </w:p>
    <w:p>
      <w:pPr>
        <w:pStyle w:val="Heading2"/>
        <w:spacing w:before="34"/>
      </w:pPr>
      <w:r>
        <w:rPr>
          <w:color w:val="C54322"/>
        </w:rPr>
        <w:t>法律主体声明</w:t>
      </w:r>
    </w:p>
    <w:p>
      <w:pPr>
        <w:spacing w:line="197" w:lineRule="exact" w:before="13"/>
        <w:ind w:left="515" w:right="0" w:firstLine="0"/>
        <w:jc w:val="left"/>
        <w:rPr>
          <w:sz w:val="16"/>
        </w:rPr>
      </w:pPr>
      <w:r>
        <w:rPr>
          <w:sz w:val="16"/>
        </w:rPr>
        <w:t>本报告由光大证券股份有限公司制作，光大证券股份有限公司具有中国证监会许可的证券投资咨询业务资格，负责本报告在中华人民共和国境内</w:t>
      </w:r>
    </w:p>
    <w:p>
      <w:pPr>
        <w:spacing w:line="312" w:lineRule="auto" w:before="0"/>
        <w:ind w:left="515" w:right="885" w:hanging="320"/>
        <w:jc w:val="left"/>
        <w:rPr>
          <w:sz w:val="16"/>
        </w:rPr>
      </w:pPr>
      <w:r>
        <w:rPr>
          <w:sz w:val="16"/>
        </w:rPr>
        <w:t>（</w:t>
      </w:r>
      <w:r>
        <w:rPr>
          <w:spacing w:val="-3"/>
          <w:sz w:val="16"/>
        </w:rPr>
        <w:t>仅为本报告目的，不包括港澳台</w:t>
      </w:r>
      <w:r>
        <w:rPr>
          <w:sz w:val="16"/>
        </w:rPr>
        <w:t>）</w:t>
      </w:r>
      <w:r>
        <w:rPr>
          <w:spacing w:val="-3"/>
          <w:sz w:val="16"/>
        </w:rPr>
        <w:t>的分销。本报告署名分析师所持中国证券业协会授予的证券投资咨询执业资格编号已披露在报告首页。</w:t>
      </w:r>
      <w:r>
        <w:rPr>
          <w:spacing w:val="-3"/>
          <w:w w:val="100"/>
          <w:sz w:val="16"/>
        </w:rPr>
        <w:t>中国光大证券国际有限公司和</w:t>
      </w:r>
      <w:r>
        <w:rPr>
          <w:spacing w:val="-3"/>
          <w:sz w:val="16"/>
        </w:rPr>
        <w:t> </w:t>
      </w:r>
      <w:r>
        <w:rPr>
          <w:spacing w:val="-1"/>
          <w:w w:val="118"/>
          <w:sz w:val="16"/>
        </w:rPr>
        <w:t>E</w:t>
      </w:r>
      <w:r>
        <w:rPr>
          <w:w w:val="98"/>
          <w:sz w:val="16"/>
        </w:rPr>
        <w:t>ve</w:t>
      </w:r>
      <w:r>
        <w:rPr>
          <w:spacing w:val="-3"/>
          <w:w w:val="98"/>
          <w:sz w:val="16"/>
        </w:rPr>
        <w:t>r</w:t>
      </w:r>
      <w:r>
        <w:rPr>
          <w:spacing w:val="-1"/>
          <w:w w:val="124"/>
          <w:sz w:val="16"/>
        </w:rPr>
        <w:t>b</w:t>
      </w:r>
      <w:r>
        <w:rPr>
          <w:w w:val="66"/>
          <w:sz w:val="16"/>
        </w:rPr>
        <w:t>r</w:t>
      </w:r>
      <w:r>
        <w:rPr>
          <w:spacing w:val="-1"/>
          <w:w w:val="66"/>
          <w:sz w:val="16"/>
        </w:rPr>
        <w:t>i</w:t>
      </w:r>
      <w:r>
        <w:rPr>
          <w:w w:val="113"/>
          <w:sz w:val="16"/>
        </w:rPr>
        <w:t>g</w:t>
      </w:r>
      <w:r>
        <w:rPr>
          <w:w w:val="122"/>
          <w:sz w:val="16"/>
        </w:rPr>
        <w:t>h</w:t>
      </w:r>
      <w:r>
        <w:rPr>
          <w:w w:val="75"/>
          <w:sz w:val="16"/>
        </w:rPr>
        <w:t>t</w:t>
      </w:r>
      <w:r>
        <w:rPr>
          <w:sz w:val="16"/>
        </w:rPr>
        <w:t> </w:t>
      </w:r>
      <w:r>
        <w:rPr>
          <w:w w:val="111"/>
          <w:sz w:val="16"/>
        </w:rPr>
        <w:t>Se</w:t>
      </w:r>
      <w:r>
        <w:rPr>
          <w:spacing w:val="-1"/>
          <w:w w:val="111"/>
          <w:sz w:val="16"/>
        </w:rPr>
        <w:t>c</w:t>
      </w:r>
      <w:r>
        <w:rPr>
          <w:spacing w:val="-2"/>
          <w:w w:val="122"/>
          <w:sz w:val="16"/>
        </w:rPr>
        <w:t>u</w:t>
      </w:r>
      <w:r>
        <w:rPr>
          <w:w w:val="66"/>
          <w:sz w:val="16"/>
        </w:rPr>
        <w:t>r</w:t>
      </w:r>
      <w:r>
        <w:rPr>
          <w:spacing w:val="-1"/>
          <w:w w:val="66"/>
          <w:sz w:val="16"/>
        </w:rPr>
        <w:t>i</w:t>
      </w:r>
      <w:r>
        <w:rPr>
          <w:spacing w:val="-1"/>
          <w:w w:val="75"/>
          <w:sz w:val="16"/>
        </w:rPr>
        <w:t>t</w:t>
      </w:r>
      <w:r>
        <w:rPr>
          <w:spacing w:val="-1"/>
          <w:w w:val="55"/>
          <w:sz w:val="16"/>
        </w:rPr>
        <w:t>i</w:t>
      </w:r>
      <w:r>
        <w:rPr>
          <w:w w:val="102"/>
          <w:sz w:val="16"/>
        </w:rPr>
        <w:t>e</w:t>
      </w:r>
      <w:r>
        <w:rPr>
          <w:spacing w:val="-2"/>
          <w:w w:val="102"/>
          <w:sz w:val="16"/>
        </w:rPr>
        <w:t>s</w:t>
      </w:r>
      <w:r>
        <w:rPr>
          <w:w w:val="67"/>
          <w:sz w:val="16"/>
        </w:rPr>
        <w:t>(</w:t>
      </w:r>
      <w:r>
        <w:rPr>
          <w:spacing w:val="-1"/>
          <w:w w:val="144"/>
          <w:sz w:val="16"/>
        </w:rPr>
        <w:t>U</w:t>
      </w:r>
      <w:r>
        <w:rPr>
          <w:spacing w:val="-1"/>
          <w:w w:val="129"/>
          <w:sz w:val="16"/>
        </w:rPr>
        <w:t>K</w:t>
      </w:r>
      <w:r>
        <w:rPr>
          <w:w w:val="67"/>
          <w:sz w:val="16"/>
        </w:rPr>
        <w:t>)</w:t>
      </w:r>
      <w:r>
        <w:rPr>
          <w:sz w:val="16"/>
        </w:rPr>
        <w:t> </w:t>
      </w:r>
      <w:r>
        <w:rPr>
          <w:w w:val="128"/>
          <w:sz w:val="16"/>
        </w:rPr>
        <w:t>C</w:t>
      </w:r>
      <w:r>
        <w:rPr>
          <w:spacing w:val="-2"/>
          <w:w w:val="121"/>
          <w:sz w:val="16"/>
        </w:rPr>
        <w:t>o</w:t>
      </w:r>
      <w:r>
        <w:rPr>
          <w:w w:val="155"/>
          <w:sz w:val="16"/>
        </w:rPr>
        <w:t>m</w:t>
      </w:r>
      <w:r>
        <w:rPr>
          <w:spacing w:val="-2"/>
          <w:w w:val="155"/>
          <w:sz w:val="16"/>
        </w:rPr>
        <w:t>p</w:t>
      </w:r>
      <w:r>
        <w:rPr>
          <w:w w:val="113"/>
          <w:sz w:val="16"/>
        </w:rPr>
        <w:t>a</w:t>
      </w:r>
      <w:r>
        <w:rPr>
          <w:w w:val="113"/>
          <w:sz w:val="16"/>
        </w:rPr>
        <w:t>ny</w:t>
      </w:r>
      <w:r>
        <w:rPr>
          <w:sz w:val="16"/>
        </w:rPr>
        <w:t> </w:t>
      </w:r>
      <w:r>
        <w:rPr>
          <w:spacing w:val="-3"/>
          <w:w w:val="108"/>
          <w:sz w:val="16"/>
        </w:rPr>
        <w:t>L</w:t>
      </w:r>
      <w:r>
        <w:rPr>
          <w:spacing w:val="-1"/>
          <w:w w:val="55"/>
          <w:sz w:val="16"/>
        </w:rPr>
        <w:t>i</w:t>
      </w:r>
      <w:r>
        <w:rPr>
          <w:w w:val="120"/>
          <w:sz w:val="16"/>
        </w:rPr>
        <w:t>m</w:t>
      </w:r>
      <w:r>
        <w:rPr>
          <w:spacing w:val="-2"/>
          <w:w w:val="120"/>
          <w:sz w:val="16"/>
        </w:rPr>
        <w:t>i</w:t>
      </w:r>
      <w:r>
        <w:rPr>
          <w:spacing w:val="-1"/>
          <w:w w:val="75"/>
          <w:sz w:val="16"/>
        </w:rPr>
        <w:t>t</w:t>
      </w:r>
      <w:r>
        <w:rPr>
          <w:w w:val="117"/>
          <w:sz w:val="16"/>
        </w:rPr>
        <w:t>ed</w:t>
      </w:r>
      <w:r>
        <w:rPr>
          <w:sz w:val="16"/>
        </w:rPr>
        <w:t> </w:t>
      </w:r>
      <w:r>
        <w:rPr>
          <w:spacing w:val="-3"/>
          <w:w w:val="100"/>
          <w:sz w:val="16"/>
        </w:rPr>
        <w:t>是光大证券股份有限公司的关联机构。</w:t>
      </w:r>
    </w:p>
    <w:p>
      <w:pPr>
        <w:pStyle w:val="Heading2"/>
        <w:spacing w:line="356" w:lineRule="exact"/>
      </w:pPr>
      <w:r>
        <w:rPr>
          <w:color w:val="C54322"/>
        </w:rPr>
        <w:t>特别声明</w:t>
      </w:r>
    </w:p>
    <w:p>
      <w:pPr>
        <w:spacing w:line="220" w:lineRule="auto" w:before="19"/>
        <w:ind w:left="196" w:right="290" w:firstLine="319"/>
        <w:jc w:val="both"/>
        <w:rPr>
          <w:sz w:val="16"/>
        </w:rPr>
      </w:pPr>
      <w:r>
        <w:rPr>
          <w:spacing w:val="-3"/>
          <w:sz w:val="16"/>
        </w:rPr>
        <w:t>光大证券股份有限公司</w:t>
      </w:r>
      <w:r>
        <w:rPr>
          <w:sz w:val="16"/>
        </w:rPr>
        <w:t>（</w:t>
      </w:r>
      <w:r>
        <w:rPr>
          <w:spacing w:val="-3"/>
          <w:sz w:val="16"/>
        </w:rPr>
        <w:t>以下简称“本公司</w:t>
      </w:r>
      <w:r>
        <w:rPr>
          <w:sz w:val="16"/>
        </w:rPr>
        <w:t>”）</w:t>
      </w:r>
      <w:r>
        <w:rPr>
          <w:spacing w:val="-4"/>
          <w:sz w:val="16"/>
        </w:rPr>
        <w:t>创建于 </w:t>
      </w:r>
      <w:r>
        <w:rPr>
          <w:sz w:val="16"/>
        </w:rPr>
        <w:t>1996</w:t>
      </w:r>
      <w:r>
        <w:rPr>
          <w:spacing w:val="-4"/>
          <w:sz w:val="16"/>
        </w:rPr>
        <w:t> 年，系由中国光大</w:t>
      </w:r>
      <w:r>
        <w:rPr>
          <w:sz w:val="16"/>
        </w:rPr>
        <w:t>（</w:t>
      </w:r>
      <w:r>
        <w:rPr>
          <w:spacing w:val="-2"/>
          <w:sz w:val="16"/>
        </w:rPr>
        <w:t>集团</w:t>
      </w:r>
      <w:r>
        <w:rPr>
          <w:sz w:val="16"/>
        </w:rPr>
        <w:t>）</w:t>
      </w:r>
      <w:r>
        <w:rPr>
          <w:spacing w:val="-3"/>
          <w:sz w:val="16"/>
        </w:rPr>
        <w:t>总公司投资控股的全国性综合类股份制证券公司，是中国证监会批准的首批三家创新试点公司之一。根据中国证监会核发的经营证券期货业务许可，本公司的经营范围包括证券投资咨询业务。</w:t>
      </w:r>
    </w:p>
    <w:p>
      <w:pPr>
        <w:spacing w:line="220" w:lineRule="auto" w:before="79"/>
        <w:ind w:left="196" w:right="246" w:firstLine="319"/>
        <w:jc w:val="both"/>
        <w:rPr>
          <w:sz w:val="16"/>
        </w:rPr>
      </w:pPr>
      <w:r>
        <w:rPr>
          <w:spacing w:val="-3"/>
          <w:sz w:val="16"/>
        </w:rPr>
        <w:t>本公司经营范围：证券经纪；证券投资咨询；与证券交易、证券投资活动有关的财务顾问；证券承销与保荐；证券自营；为期货公司提供中间介绍业务；证券投资基金代销；融资融券业务；中国证监会批准的其他业务。此外，本公司还通过全资或控股子公司开展资产管理、直接投资、期货、基金管理以及香港证券业务。</w:t>
      </w:r>
    </w:p>
    <w:p>
      <w:pPr>
        <w:spacing w:line="220" w:lineRule="auto" w:before="79"/>
        <w:ind w:left="196" w:right="245" w:firstLine="319"/>
        <w:jc w:val="both"/>
        <w:rPr>
          <w:sz w:val="16"/>
        </w:rPr>
      </w:pPr>
      <w:r>
        <w:rPr>
          <w:spacing w:val="-3"/>
          <w:sz w:val="16"/>
        </w:rPr>
        <w:t>本报告由光大证券股份有限公司研究所</w:t>
      </w:r>
      <w:r>
        <w:rPr>
          <w:sz w:val="16"/>
        </w:rPr>
        <w:t>（</w:t>
      </w:r>
      <w:r>
        <w:rPr>
          <w:spacing w:val="-3"/>
          <w:sz w:val="16"/>
        </w:rPr>
        <w:t>以下简称“光大证券研究所</w:t>
      </w:r>
      <w:r>
        <w:rPr>
          <w:sz w:val="16"/>
        </w:rPr>
        <w:t>”）</w:t>
      </w:r>
      <w:r>
        <w:rPr>
          <w:spacing w:val="-3"/>
          <w:sz w:val="16"/>
        </w:rPr>
        <w:t>编写，以合法获得的我们相信为可靠、准确、完整的信息为基础，但不保证我们所获得的原始信息以及报告所载信息之准确性和完整性。光大证券研究所可能将不时补充、修订或更新有关信息，但不保证及时发布该等更新。</w:t>
      </w:r>
    </w:p>
    <w:p>
      <w:pPr>
        <w:spacing w:line="220" w:lineRule="auto" w:before="81"/>
        <w:ind w:left="196" w:right="246" w:firstLine="319"/>
        <w:jc w:val="both"/>
        <w:rPr>
          <w:sz w:val="16"/>
        </w:rPr>
      </w:pPr>
      <w:r>
        <w:rPr>
          <w:spacing w:val="-3"/>
          <w:sz w:val="16"/>
        </w:rPr>
        <w:t>本报告中的资料、意见、预测均反映报告初次发布时光大证券研究所的判断，可能需随时进行调整且不予通知。在任何情况下，本报告中的信息或所表述的意见并不构成对任何人的投资建议。客户应自主作出投资决策并自行承担投资风险。本报告中的信息或所表述的意见并未考虑到个别投资者的具体投资目的、财务状况以及特定需求。投资者应当充分考虑自身特定状况，并完整理解和使用本报告内容，不应视本报告为做出投资决策的唯一因素。对依据或者使用本报告所造成的一切后果，本公司及作者均不承担任何法律责任。</w:t>
      </w:r>
    </w:p>
    <w:p>
      <w:pPr>
        <w:spacing w:line="220" w:lineRule="auto" w:before="78"/>
        <w:ind w:left="196" w:right="245" w:firstLine="319"/>
        <w:jc w:val="both"/>
        <w:rPr>
          <w:sz w:val="16"/>
        </w:rPr>
      </w:pPr>
      <w:r>
        <w:rPr>
          <w:spacing w:val="-3"/>
          <w:sz w:val="16"/>
        </w:rPr>
        <w:t>不同时期，本公司可能会撰写并发布与本报告所载信息、建议及预测不一致的报告。本公司的销售人员、交易人员和其他专业人员可能会向客户提供与本报告中观点不同的口头或书面评论或交易策略。本公司的资产管理子公司、自营部门以及其他投资业务板块可能会独立做出与本报告的意见或建议不相一致的投资决策。本公司提醒投资者注意并理解投资证券及投资产品存在的风险，在做出投资决策前，建议投资者务必向专业人士咨询并谨慎抉择。</w:t>
      </w:r>
    </w:p>
    <w:p>
      <w:pPr>
        <w:spacing w:line="220" w:lineRule="auto" w:before="78"/>
        <w:ind w:left="196" w:right="246" w:firstLine="319"/>
        <w:jc w:val="both"/>
        <w:rPr>
          <w:sz w:val="16"/>
        </w:rPr>
      </w:pPr>
      <w:r>
        <w:rPr>
          <w:spacing w:val="-3"/>
          <w:sz w:val="16"/>
        </w:rPr>
        <w:t>在法律允许的情况下，本公司及其附属机构可能持有报告中提及的公司所发行证券的头寸并进行交易，也可能为这些公司提供或正在争取提供投资银行、财务顾问或金融产品等相关服务。投资者应当充分考虑本公司及本公司附属机构就报告内容可能存在的利益冲突，勿将本报告作为投资决策的唯一信赖依据。</w:t>
      </w:r>
    </w:p>
    <w:p>
      <w:pPr>
        <w:spacing w:line="220" w:lineRule="auto" w:before="80"/>
        <w:ind w:left="196" w:right="245" w:firstLine="319"/>
        <w:jc w:val="both"/>
        <w:rPr>
          <w:sz w:val="16"/>
        </w:rPr>
      </w:pPr>
      <w:r>
        <w:rPr>
          <w:spacing w:val="-3"/>
          <w:sz w:val="16"/>
        </w:rPr>
        <w:t>本报告根据中华人民共和国法律在中华人民共和国境内分发，仅向特定客户传送。本报告的版权仅归本公司所有，未经书面许可，任何机构和个人不得以任何形式、任何目的进行翻版、复制、转载、刊登、发表、篡改或引用。如因侵权行为给本公司造成任何直接或间接的损失，本公司保留追究一切法律责任的权利。所有本报告中使用的商标、服务标记及标记均为本公司的商标、服务标记及标记。</w:t>
      </w:r>
    </w:p>
    <w:p>
      <w:pPr>
        <w:spacing w:before="57"/>
        <w:ind w:left="196" w:right="0" w:firstLine="0"/>
        <w:jc w:val="left"/>
        <w:rPr>
          <w:rFonts w:ascii="微软雅黑" w:eastAsia="微软雅黑" w:hint="eastAsia"/>
          <w:b/>
          <w:sz w:val="16"/>
        </w:rPr>
      </w:pPr>
      <w:r>
        <w:rPr>
          <w:rFonts w:ascii="微软雅黑" w:eastAsia="微软雅黑" w:hint="eastAsia"/>
          <w:b/>
          <w:color w:val="C54322"/>
          <w:sz w:val="16"/>
        </w:rPr>
        <w:t>光大证券股份有限公司版权所有。保留一切权利。</w:t>
      </w:r>
    </w:p>
    <w:p>
      <w:pPr>
        <w:pStyle w:val="BodyText"/>
        <w:spacing w:before="17"/>
        <w:rPr>
          <w:rFonts w:ascii="微软雅黑"/>
          <w:b/>
          <w:sz w:val="1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2"/>
        <w:gridCol w:w="2968"/>
        <w:gridCol w:w="2962"/>
      </w:tblGrid>
      <w:tr>
        <w:trPr>
          <w:trHeight w:val="241" w:hRule="atLeast"/>
        </w:trPr>
        <w:tc>
          <w:tcPr>
            <w:tcW w:w="3162" w:type="dxa"/>
          </w:tcPr>
          <w:p>
            <w:pPr>
              <w:pStyle w:val="TableParagraph"/>
              <w:spacing w:line="221" w:lineRule="exact"/>
              <w:ind w:left="200"/>
              <w:jc w:val="left"/>
              <w:rPr>
                <w:rFonts w:ascii="微软雅黑" w:eastAsia="微软雅黑" w:hint="eastAsia"/>
                <w:b/>
                <w:sz w:val="20"/>
              </w:rPr>
            </w:pPr>
            <w:r>
              <w:rPr>
                <w:rFonts w:ascii="微软雅黑" w:eastAsia="微软雅黑" w:hint="eastAsia"/>
                <w:b/>
                <w:color w:val="C54322"/>
                <w:sz w:val="20"/>
              </w:rPr>
              <w:t>光大证券研究所</w:t>
            </w:r>
          </w:p>
        </w:tc>
        <w:tc>
          <w:tcPr>
            <w:tcW w:w="2968" w:type="dxa"/>
          </w:tcPr>
          <w:p>
            <w:pPr>
              <w:pStyle w:val="TableParagraph"/>
              <w:jc w:val="left"/>
              <w:rPr>
                <w:rFonts w:ascii="Times New Roman"/>
                <w:sz w:val="14"/>
              </w:rPr>
            </w:pPr>
          </w:p>
        </w:tc>
        <w:tc>
          <w:tcPr>
            <w:tcW w:w="2962" w:type="dxa"/>
          </w:tcPr>
          <w:p>
            <w:pPr>
              <w:pStyle w:val="TableParagraph"/>
              <w:jc w:val="left"/>
              <w:rPr>
                <w:rFonts w:ascii="Times New Roman"/>
                <w:sz w:val="14"/>
              </w:rPr>
            </w:pPr>
          </w:p>
        </w:tc>
      </w:tr>
      <w:tr>
        <w:trPr>
          <w:trHeight w:val="263" w:hRule="atLeast"/>
        </w:trPr>
        <w:tc>
          <w:tcPr>
            <w:tcW w:w="3162" w:type="dxa"/>
          </w:tcPr>
          <w:p>
            <w:pPr>
              <w:pStyle w:val="TableParagraph"/>
              <w:spacing w:line="244" w:lineRule="exact"/>
              <w:ind w:left="200"/>
              <w:jc w:val="left"/>
              <w:rPr>
                <w:rFonts w:ascii="微软雅黑" w:eastAsia="微软雅黑" w:hint="eastAsia"/>
                <w:b/>
                <w:sz w:val="18"/>
              </w:rPr>
            </w:pPr>
            <w:r>
              <w:rPr>
                <w:rFonts w:ascii="微软雅黑" w:eastAsia="微软雅黑" w:hint="eastAsia"/>
                <w:b/>
                <w:sz w:val="18"/>
              </w:rPr>
              <w:t>上海</w:t>
            </w:r>
          </w:p>
        </w:tc>
        <w:tc>
          <w:tcPr>
            <w:tcW w:w="2968" w:type="dxa"/>
          </w:tcPr>
          <w:p>
            <w:pPr>
              <w:pStyle w:val="TableParagraph"/>
              <w:spacing w:line="244" w:lineRule="exact"/>
              <w:ind w:left="725"/>
              <w:jc w:val="left"/>
              <w:rPr>
                <w:rFonts w:ascii="微软雅黑" w:eastAsia="微软雅黑" w:hint="eastAsia"/>
                <w:b/>
                <w:sz w:val="18"/>
              </w:rPr>
            </w:pPr>
            <w:r>
              <w:rPr>
                <w:rFonts w:ascii="微软雅黑" w:eastAsia="微软雅黑" w:hint="eastAsia"/>
                <w:b/>
                <w:sz w:val="18"/>
              </w:rPr>
              <w:t>北京</w:t>
            </w:r>
          </w:p>
        </w:tc>
        <w:tc>
          <w:tcPr>
            <w:tcW w:w="2962" w:type="dxa"/>
          </w:tcPr>
          <w:p>
            <w:pPr>
              <w:pStyle w:val="TableParagraph"/>
              <w:spacing w:line="244" w:lineRule="exact"/>
              <w:ind w:left="1048" w:right="1513"/>
              <w:rPr>
                <w:rFonts w:ascii="微软雅黑" w:eastAsia="微软雅黑" w:hint="eastAsia"/>
                <w:b/>
                <w:sz w:val="18"/>
              </w:rPr>
            </w:pPr>
            <w:r>
              <w:rPr>
                <w:rFonts w:ascii="微软雅黑" w:eastAsia="微软雅黑" w:hint="eastAsia"/>
                <w:b/>
                <w:sz w:val="18"/>
              </w:rPr>
              <w:t>深圳</w:t>
            </w:r>
          </w:p>
        </w:tc>
      </w:tr>
      <w:tr>
        <w:trPr>
          <w:trHeight w:val="513" w:hRule="atLeast"/>
        </w:trPr>
        <w:tc>
          <w:tcPr>
            <w:tcW w:w="3162" w:type="dxa"/>
          </w:tcPr>
          <w:p>
            <w:pPr>
              <w:pStyle w:val="TableParagraph"/>
              <w:spacing w:before="21"/>
              <w:ind w:left="200"/>
              <w:jc w:val="left"/>
              <w:rPr>
                <w:sz w:val="13"/>
              </w:rPr>
            </w:pPr>
            <w:r>
              <w:rPr>
                <w:sz w:val="13"/>
              </w:rPr>
              <w:t>静安区南京西路 1266 号</w:t>
            </w:r>
          </w:p>
          <w:p>
            <w:pPr>
              <w:pStyle w:val="TableParagraph"/>
              <w:spacing w:before="13"/>
              <w:ind w:left="200"/>
              <w:jc w:val="left"/>
              <w:rPr>
                <w:sz w:val="13"/>
              </w:rPr>
            </w:pPr>
            <w:r>
              <w:rPr>
                <w:sz w:val="13"/>
              </w:rPr>
              <w:t>恒隆广场 1 期办公楼 48 层</w:t>
            </w:r>
          </w:p>
        </w:tc>
        <w:tc>
          <w:tcPr>
            <w:tcW w:w="2968" w:type="dxa"/>
          </w:tcPr>
          <w:p>
            <w:pPr>
              <w:pStyle w:val="TableParagraph"/>
              <w:spacing w:before="26"/>
              <w:ind w:left="725"/>
              <w:jc w:val="left"/>
              <w:rPr>
                <w:sz w:val="13"/>
              </w:rPr>
            </w:pPr>
            <w:r>
              <w:rPr>
                <w:sz w:val="13"/>
              </w:rPr>
              <w:t>西城区武定侯街 2 号</w:t>
            </w:r>
          </w:p>
          <w:p>
            <w:pPr>
              <w:pStyle w:val="TableParagraph"/>
              <w:spacing w:before="47"/>
              <w:ind w:left="725"/>
              <w:jc w:val="left"/>
              <w:rPr>
                <w:sz w:val="13"/>
              </w:rPr>
            </w:pPr>
            <w:r>
              <w:rPr>
                <w:sz w:val="13"/>
              </w:rPr>
              <w:t>泰康国际大厦 7 层</w:t>
            </w:r>
          </w:p>
        </w:tc>
        <w:tc>
          <w:tcPr>
            <w:tcW w:w="2962" w:type="dxa"/>
          </w:tcPr>
          <w:p>
            <w:pPr>
              <w:pStyle w:val="TableParagraph"/>
              <w:spacing w:line="252" w:lineRule="auto" w:before="42"/>
              <w:ind w:left="1067" w:right="197"/>
              <w:jc w:val="left"/>
              <w:rPr>
                <w:sz w:val="13"/>
              </w:rPr>
            </w:pPr>
            <w:r>
              <w:rPr>
                <w:spacing w:val="-8"/>
                <w:w w:val="115"/>
                <w:sz w:val="13"/>
              </w:rPr>
              <w:t>福田区深南大道 </w:t>
            </w:r>
            <w:r>
              <w:rPr>
                <w:w w:val="115"/>
                <w:sz w:val="13"/>
              </w:rPr>
              <w:t>6011</w:t>
            </w:r>
            <w:r>
              <w:rPr>
                <w:spacing w:val="-29"/>
                <w:w w:val="115"/>
                <w:sz w:val="13"/>
              </w:rPr>
              <w:t> 号NEO</w:t>
            </w:r>
            <w:r>
              <w:rPr>
                <w:spacing w:val="-18"/>
                <w:w w:val="115"/>
                <w:sz w:val="13"/>
              </w:rPr>
              <w:t> 绿景纪元大厦 </w:t>
            </w:r>
            <w:r>
              <w:rPr>
                <w:w w:val="115"/>
                <w:sz w:val="13"/>
              </w:rPr>
              <w:t>A</w:t>
            </w:r>
            <w:r>
              <w:rPr>
                <w:spacing w:val="-42"/>
                <w:w w:val="115"/>
                <w:sz w:val="13"/>
              </w:rPr>
              <w:t> 座 </w:t>
            </w:r>
            <w:r>
              <w:rPr>
                <w:w w:val="115"/>
                <w:sz w:val="13"/>
              </w:rPr>
              <w:t>17</w:t>
            </w:r>
            <w:r>
              <w:rPr>
                <w:spacing w:val="-39"/>
                <w:w w:val="115"/>
                <w:sz w:val="13"/>
              </w:rPr>
              <w:t> 楼</w:t>
            </w:r>
          </w:p>
        </w:tc>
      </w:tr>
      <w:tr>
        <w:trPr>
          <w:trHeight w:val="355" w:hRule="atLeast"/>
        </w:trPr>
        <w:tc>
          <w:tcPr>
            <w:tcW w:w="3162" w:type="dxa"/>
          </w:tcPr>
          <w:p>
            <w:pPr>
              <w:pStyle w:val="TableParagraph"/>
              <w:spacing w:line="319" w:lineRule="exact" w:before="16"/>
              <w:ind w:left="200"/>
              <w:jc w:val="left"/>
              <w:rPr>
                <w:rFonts w:ascii="微软雅黑" w:eastAsia="微软雅黑" w:hint="eastAsia"/>
                <w:b/>
                <w:sz w:val="20"/>
              </w:rPr>
            </w:pPr>
            <w:r>
              <w:rPr>
                <w:rFonts w:ascii="微软雅黑" w:eastAsia="微软雅黑" w:hint="eastAsia"/>
                <w:b/>
                <w:color w:val="C54322"/>
                <w:sz w:val="20"/>
              </w:rPr>
              <w:t>光大证券股份有限公司关联机构</w:t>
            </w:r>
          </w:p>
        </w:tc>
        <w:tc>
          <w:tcPr>
            <w:tcW w:w="2968" w:type="dxa"/>
          </w:tcPr>
          <w:p>
            <w:pPr>
              <w:pStyle w:val="TableParagraph"/>
              <w:jc w:val="left"/>
              <w:rPr>
                <w:rFonts w:ascii="Times New Roman"/>
                <w:sz w:val="14"/>
              </w:rPr>
            </w:pPr>
          </w:p>
        </w:tc>
        <w:tc>
          <w:tcPr>
            <w:tcW w:w="2962" w:type="dxa"/>
          </w:tcPr>
          <w:p>
            <w:pPr>
              <w:pStyle w:val="TableParagraph"/>
              <w:jc w:val="left"/>
              <w:rPr>
                <w:rFonts w:ascii="Times New Roman"/>
                <w:sz w:val="14"/>
              </w:rPr>
            </w:pPr>
          </w:p>
        </w:tc>
      </w:tr>
      <w:tr>
        <w:trPr>
          <w:trHeight w:val="248" w:hRule="atLeast"/>
        </w:trPr>
        <w:tc>
          <w:tcPr>
            <w:tcW w:w="3162" w:type="dxa"/>
          </w:tcPr>
          <w:p>
            <w:pPr>
              <w:pStyle w:val="TableParagraph"/>
              <w:spacing w:line="228" w:lineRule="exact"/>
              <w:ind w:left="200"/>
              <w:jc w:val="left"/>
              <w:rPr>
                <w:rFonts w:ascii="微软雅黑" w:eastAsia="微软雅黑" w:hint="eastAsia"/>
                <w:b/>
                <w:sz w:val="18"/>
              </w:rPr>
            </w:pPr>
            <w:r>
              <w:rPr>
                <w:rFonts w:ascii="微软雅黑" w:eastAsia="微软雅黑" w:hint="eastAsia"/>
                <w:b/>
                <w:sz w:val="18"/>
              </w:rPr>
              <w:t>香港</w:t>
            </w:r>
          </w:p>
        </w:tc>
        <w:tc>
          <w:tcPr>
            <w:tcW w:w="2968" w:type="dxa"/>
          </w:tcPr>
          <w:p>
            <w:pPr>
              <w:pStyle w:val="TableParagraph"/>
              <w:spacing w:line="228" w:lineRule="exact"/>
              <w:ind w:left="725"/>
              <w:jc w:val="left"/>
              <w:rPr>
                <w:rFonts w:ascii="微软雅黑" w:eastAsia="微软雅黑" w:hint="eastAsia"/>
                <w:b/>
                <w:sz w:val="18"/>
              </w:rPr>
            </w:pPr>
            <w:r>
              <w:rPr>
                <w:rFonts w:ascii="微软雅黑" w:eastAsia="微软雅黑" w:hint="eastAsia"/>
                <w:b/>
                <w:sz w:val="18"/>
              </w:rPr>
              <w:t>英国</w:t>
            </w:r>
          </w:p>
        </w:tc>
        <w:tc>
          <w:tcPr>
            <w:tcW w:w="2962" w:type="dxa"/>
          </w:tcPr>
          <w:p>
            <w:pPr>
              <w:pStyle w:val="TableParagraph"/>
              <w:jc w:val="left"/>
              <w:rPr>
                <w:rFonts w:ascii="Times New Roman"/>
                <w:sz w:val="14"/>
              </w:rPr>
            </w:pPr>
          </w:p>
        </w:tc>
      </w:tr>
      <w:tr>
        <w:trPr>
          <w:trHeight w:val="383" w:hRule="atLeast"/>
        </w:trPr>
        <w:tc>
          <w:tcPr>
            <w:tcW w:w="3162" w:type="dxa"/>
          </w:tcPr>
          <w:p>
            <w:pPr>
              <w:pStyle w:val="TableParagraph"/>
              <w:spacing w:line="234" w:lineRule="exact"/>
              <w:ind w:left="200"/>
              <w:jc w:val="left"/>
              <w:rPr>
                <w:rFonts w:ascii="微软雅黑" w:eastAsia="微软雅黑" w:hint="eastAsia"/>
                <w:b/>
                <w:sz w:val="16"/>
              </w:rPr>
            </w:pPr>
            <w:r>
              <w:rPr>
                <w:rFonts w:ascii="微软雅黑" w:eastAsia="微软雅黑" w:hint="eastAsia"/>
                <w:b/>
                <w:sz w:val="16"/>
              </w:rPr>
              <w:t>中国光大证券国际有限公司</w:t>
            </w:r>
          </w:p>
          <w:p>
            <w:pPr>
              <w:pStyle w:val="TableParagraph"/>
              <w:spacing w:line="129" w:lineRule="exact"/>
              <w:ind w:left="200"/>
              <w:jc w:val="left"/>
              <w:rPr>
                <w:sz w:val="13"/>
              </w:rPr>
            </w:pPr>
            <w:r>
              <w:rPr>
                <w:sz w:val="13"/>
              </w:rPr>
              <w:t>香港铜锣湾希慎道 33 号利园一期 28 楼</w:t>
            </w:r>
          </w:p>
        </w:tc>
        <w:tc>
          <w:tcPr>
            <w:tcW w:w="5930" w:type="dxa"/>
            <w:gridSpan w:val="2"/>
          </w:tcPr>
          <w:p>
            <w:pPr>
              <w:pStyle w:val="TableParagraph"/>
              <w:spacing w:line="234" w:lineRule="exact"/>
              <w:ind w:left="725"/>
              <w:jc w:val="left"/>
              <w:rPr>
                <w:rFonts w:ascii="微软雅黑"/>
                <w:b/>
                <w:sz w:val="16"/>
              </w:rPr>
            </w:pPr>
            <w:r>
              <w:rPr>
                <w:rFonts w:ascii="微软雅黑"/>
                <w:b/>
                <w:sz w:val="16"/>
              </w:rPr>
              <w:t>Everbright Securities(UK) Company Limited</w:t>
            </w:r>
          </w:p>
          <w:p>
            <w:pPr>
              <w:pStyle w:val="TableParagraph"/>
              <w:spacing w:line="129" w:lineRule="exact"/>
              <w:ind w:left="725"/>
              <w:jc w:val="left"/>
              <w:rPr>
                <w:sz w:val="13"/>
              </w:rPr>
            </w:pPr>
            <w:r>
              <w:rPr>
                <w:w w:val="110"/>
                <w:sz w:val="13"/>
              </w:rPr>
              <w:t>64</w:t>
            </w:r>
            <w:r>
              <w:rPr>
                <w:spacing w:val="-36"/>
                <w:sz w:val="13"/>
              </w:rPr>
              <w:t> </w:t>
            </w:r>
            <w:r>
              <w:rPr>
                <w:spacing w:val="-2"/>
                <w:w w:val="127"/>
                <w:sz w:val="13"/>
              </w:rPr>
              <w:t>C</w:t>
            </w:r>
            <w:r>
              <w:rPr>
                <w:spacing w:val="-2"/>
                <w:w w:val="112"/>
                <w:sz w:val="13"/>
              </w:rPr>
              <w:t>a</w:t>
            </w:r>
            <w:r>
              <w:rPr>
                <w:spacing w:val="2"/>
                <w:w w:val="121"/>
                <w:sz w:val="13"/>
              </w:rPr>
              <w:t>n</w:t>
            </w:r>
            <w:r>
              <w:rPr>
                <w:w w:val="121"/>
                <w:sz w:val="13"/>
              </w:rPr>
              <w:t>no</w:t>
            </w:r>
            <w:r>
              <w:rPr>
                <w:w w:val="121"/>
                <w:sz w:val="13"/>
              </w:rPr>
              <w:t>n</w:t>
            </w:r>
            <w:r>
              <w:rPr>
                <w:spacing w:val="-36"/>
                <w:sz w:val="13"/>
              </w:rPr>
              <w:t> </w:t>
            </w:r>
            <w:r>
              <w:rPr>
                <w:spacing w:val="-1"/>
                <w:w w:val="119"/>
                <w:sz w:val="13"/>
              </w:rPr>
              <w:t>S</w:t>
            </w:r>
            <w:r>
              <w:rPr>
                <w:spacing w:val="-1"/>
                <w:w w:val="75"/>
                <w:sz w:val="13"/>
              </w:rPr>
              <w:t>t</w:t>
            </w:r>
            <w:r>
              <w:rPr>
                <w:w w:val="99"/>
                <w:sz w:val="13"/>
              </w:rPr>
              <w:t>re</w:t>
            </w:r>
            <w:r>
              <w:rPr>
                <w:spacing w:val="2"/>
                <w:w w:val="99"/>
                <w:sz w:val="13"/>
              </w:rPr>
              <w:t>e</w:t>
            </w:r>
            <w:r>
              <w:rPr>
                <w:spacing w:val="-1"/>
                <w:w w:val="75"/>
                <w:sz w:val="13"/>
              </w:rPr>
              <w:t>t</w:t>
            </w:r>
            <w:r>
              <w:rPr>
                <w:w w:val="99"/>
                <w:sz w:val="13"/>
              </w:rPr>
              <w:t>，</w:t>
            </w:r>
            <w:r>
              <w:rPr>
                <w:spacing w:val="-1"/>
                <w:w w:val="108"/>
                <w:sz w:val="13"/>
              </w:rPr>
              <w:t>L</w:t>
            </w:r>
            <w:r>
              <w:rPr>
                <w:w w:val="120"/>
                <w:sz w:val="13"/>
              </w:rPr>
              <w:t>o</w:t>
            </w:r>
            <w:r>
              <w:rPr>
                <w:spacing w:val="2"/>
                <w:w w:val="121"/>
                <w:sz w:val="13"/>
              </w:rPr>
              <w:t>n</w:t>
            </w:r>
            <w:r>
              <w:rPr>
                <w:spacing w:val="-2"/>
                <w:w w:val="123"/>
                <w:sz w:val="13"/>
              </w:rPr>
              <w:t>d</w:t>
            </w:r>
            <w:r>
              <w:rPr>
                <w:w w:val="120"/>
                <w:sz w:val="13"/>
              </w:rPr>
              <w:t>o</w:t>
            </w:r>
            <w:r>
              <w:rPr>
                <w:w w:val="121"/>
                <w:sz w:val="13"/>
              </w:rPr>
              <w:t>n</w:t>
            </w:r>
            <w:r>
              <w:rPr>
                <w:w w:val="99"/>
                <w:sz w:val="13"/>
              </w:rPr>
              <w:t>，</w:t>
            </w:r>
            <w:r>
              <w:rPr>
                <w:w w:val="106"/>
                <w:sz w:val="13"/>
              </w:rPr>
              <w:t>Uni</w:t>
            </w:r>
            <w:r>
              <w:rPr>
                <w:spacing w:val="-1"/>
                <w:w w:val="75"/>
                <w:sz w:val="13"/>
              </w:rPr>
              <w:t>t</w:t>
            </w:r>
            <w:r>
              <w:rPr>
                <w:spacing w:val="2"/>
                <w:w w:val="110"/>
                <w:sz w:val="13"/>
              </w:rPr>
              <w:t>e</w:t>
            </w:r>
            <w:r>
              <w:rPr>
                <w:w w:val="123"/>
                <w:sz w:val="13"/>
              </w:rPr>
              <w:t>d</w:t>
            </w:r>
            <w:r>
              <w:rPr>
                <w:spacing w:val="-38"/>
                <w:sz w:val="13"/>
              </w:rPr>
              <w:t> </w:t>
            </w:r>
            <w:r>
              <w:rPr>
                <w:w w:val="91"/>
                <w:sz w:val="13"/>
              </w:rPr>
              <w:t>Ki</w:t>
            </w:r>
            <w:r>
              <w:rPr>
                <w:spacing w:val="2"/>
                <w:w w:val="121"/>
                <w:sz w:val="13"/>
              </w:rPr>
              <w:t>n</w:t>
            </w:r>
            <w:r>
              <w:rPr>
                <w:spacing w:val="-1"/>
                <w:w w:val="112"/>
                <w:sz w:val="13"/>
              </w:rPr>
              <w:t>g</w:t>
            </w:r>
            <w:r>
              <w:rPr>
                <w:spacing w:val="-2"/>
                <w:w w:val="123"/>
                <w:sz w:val="13"/>
              </w:rPr>
              <w:t>d</w:t>
            </w:r>
            <w:r>
              <w:rPr>
                <w:w w:val="120"/>
                <w:sz w:val="13"/>
              </w:rPr>
              <w:t>o</w:t>
            </w:r>
            <w:r>
              <w:rPr>
                <w:w w:val="184"/>
                <w:sz w:val="13"/>
              </w:rPr>
              <w:t>m</w:t>
            </w:r>
            <w:r>
              <w:rPr>
                <w:spacing w:val="-36"/>
                <w:sz w:val="13"/>
              </w:rPr>
              <w:t> </w:t>
            </w:r>
            <w:r>
              <w:rPr>
                <w:spacing w:val="2"/>
                <w:w w:val="117"/>
                <w:sz w:val="13"/>
              </w:rPr>
              <w:t>E</w:t>
            </w:r>
            <w:r>
              <w:rPr>
                <w:spacing w:val="-2"/>
                <w:w w:val="127"/>
                <w:sz w:val="13"/>
              </w:rPr>
              <w:t>C</w:t>
            </w:r>
            <w:r>
              <w:rPr>
                <w:w w:val="127"/>
                <w:sz w:val="13"/>
              </w:rPr>
              <w:t>4N</w:t>
            </w:r>
            <w:r>
              <w:rPr>
                <w:spacing w:val="-36"/>
                <w:sz w:val="13"/>
              </w:rPr>
              <w:t> </w:t>
            </w:r>
            <w:r>
              <w:rPr>
                <w:w w:val="115"/>
                <w:sz w:val="13"/>
              </w:rPr>
              <w:t>6A</w:t>
            </w:r>
            <w:r>
              <w:rPr>
                <w:w w:val="117"/>
                <w:sz w:val="13"/>
              </w:rPr>
              <w:t>E</w:t>
            </w:r>
          </w:p>
        </w:tc>
      </w:tr>
    </w:tbl>
    <w:sectPr>
      <w:headerReference w:type="default" r:id="rId19"/>
      <w:footerReference w:type="default" r:id="rId20"/>
      <w:pgSz w:w="11910" w:h="16840"/>
      <w:pgMar w:header="0" w:footer="139" w:top="600" w:bottom="320" w:left="54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820.950012pt;width:595.320007pt;height:20.6pt;mso-position-horizontal-relative:page;mso-position-vertical-relative:page;z-index:-16457728" filled="true" fillcolor="#c54322" stroked="false">
          <v:fill type="solid"/>
          <w10:wrap type="none"/>
        </v:rect>
      </w:pict>
    </w:r>
    <w:r>
      <w:rPr/>
      <w:pict>
        <v:shapetype id="_x0000_t202" o:spt="202" coordsize="21600,21600" path="m,l,21600r21600,l21600,xe">
          <v:stroke joinstyle="miter"/>
          <v:path gradientshapeok="t" o:connecttype="rect"/>
        </v:shapetype>
        <v:shape style="position:absolute;margin-left:35.840pt;margin-top:825.820984pt;width:110pt;height:11.6pt;mso-position-horizontal-relative:page;mso-position-vertical-relative:page;z-index:-16457216" type="#_x0000_t202" filled="false" stroked="false">
          <v:textbox inset="0,0,0,0">
            <w:txbxContent>
              <w:p>
                <w:pPr>
                  <w:spacing w:line="221" w:lineRule="exact" w:before="0"/>
                  <w:ind w:left="20" w:right="0" w:firstLine="0"/>
                  <w:jc w:val="left"/>
                  <w:rPr>
                    <w:sz w:val="18"/>
                  </w:rPr>
                </w:pPr>
                <w:r>
                  <w:rPr>
                    <w:color w:val="FFFFFF"/>
                    <w:sz w:val="18"/>
                  </w:rPr>
                  <w:t>敬请参阅最后一页特别声明</w:t>
                </w:r>
              </w:p>
            </w:txbxContent>
          </v:textbox>
          <w10:wrap type="none"/>
        </v:shape>
      </w:pict>
    </w:r>
    <w:r>
      <w:rPr/>
      <w:pict>
        <v:shape style="position:absolute;margin-left:291.010010pt;margin-top:825.820984pt;width:16.3pt;height:15.8pt;mso-position-horizontal-relative:page;mso-position-vertical-relative:page;z-index:-16456704" type="#_x0000_t202" filled="false" stroked="false">
          <v:textbox inset="0,0,0,0">
            <w:txbxContent>
              <w:p>
                <w:pPr>
                  <w:spacing w:line="221" w:lineRule="exact" w:before="0"/>
                  <w:ind w:left="20" w:right="0" w:firstLine="0"/>
                  <w:jc w:val="left"/>
                  <w:rPr>
                    <w:sz w:val="18"/>
                  </w:rPr>
                </w:pPr>
                <w:r>
                  <w:rPr>
                    <w:color w:val="FFFFFF"/>
                    <w:w w:val="95"/>
                    <w:sz w:val="18"/>
                  </w:rPr>
                  <w:t>-</w:t>
                </w:r>
                <w:r>
                  <w:rPr/>
                  <w:fldChar w:fldCharType="begin"/>
                </w:r>
                <w:r>
                  <w:rPr>
                    <w:color w:val="FFFFFF"/>
                    <w:w w:val="95"/>
                    <w:sz w:val="18"/>
                  </w:rPr>
                  <w:instrText> PAGE </w:instrText>
                </w:r>
                <w:r>
                  <w:rPr/>
                  <w:fldChar w:fldCharType="separate"/>
                </w:r>
                <w:r>
                  <w:rPr/>
                  <w:t>1</w:t>
                </w:r>
                <w:r>
                  <w:rPr/>
                  <w:fldChar w:fldCharType="end"/>
                </w:r>
                <w:r>
                  <w:rPr>
                    <w:color w:val="FFFFFF"/>
                    <w:w w:val="95"/>
                    <w:sz w:val="18"/>
                  </w:rPr>
                  <w:t>-</w:t>
                </w:r>
              </w:p>
            </w:txbxContent>
          </v:textbox>
          <w10:wrap type="none"/>
        </v:shape>
      </w:pict>
    </w:r>
    <w:r>
      <w:rPr/>
      <w:pict>
        <v:shape style="position:absolute;margin-left:499.140015pt;margin-top:825.820984pt;width:56pt;height:11.6pt;mso-position-horizontal-relative:page;mso-position-vertical-relative:page;z-index:-16456192" type="#_x0000_t202" filled="false" stroked="false">
          <v:textbox inset="0,0,0,0">
            <w:txbxContent>
              <w:p>
                <w:pPr>
                  <w:spacing w:line="221" w:lineRule="exact" w:before="0"/>
                  <w:ind w:left="20" w:right="0" w:firstLine="0"/>
                  <w:jc w:val="left"/>
                  <w:rPr>
                    <w:sz w:val="18"/>
                  </w:rPr>
                </w:pPr>
                <w:r>
                  <w:rPr>
                    <w:color w:val="FFFFFF"/>
                    <w:sz w:val="18"/>
                  </w:rPr>
                  <w:t>证券研究报告</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820.950012pt;width:595.320007pt;height:20.6pt;mso-position-horizontal-relative:page;mso-position-vertical-relative:page;z-index:-16454144" filled="true" fillcolor="#c54322" stroked="false">
          <v:fill type="solid"/>
          <w10:wrap type="none"/>
        </v:rect>
      </w:pict>
    </w:r>
    <w:r>
      <w:rPr/>
      <w:pict>
        <v:shape style="position:absolute;margin-left:35.840pt;margin-top:825.820984pt;width:110pt;height:11.6pt;mso-position-horizontal-relative:page;mso-position-vertical-relative:page;z-index:-16453632" type="#_x0000_t202" filled="false" stroked="false">
          <v:textbox inset="0,0,0,0">
            <w:txbxContent>
              <w:p>
                <w:pPr>
                  <w:spacing w:line="221" w:lineRule="exact" w:before="0"/>
                  <w:ind w:left="20" w:right="0" w:firstLine="0"/>
                  <w:jc w:val="left"/>
                  <w:rPr>
                    <w:sz w:val="18"/>
                  </w:rPr>
                </w:pPr>
                <w:r>
                  <w:rPr>
                    <w:color w:val="FFFFFF"/>
                    <w:sz w:val="18"/>
                  </w:rPr>
                  <w:t>敬请参阅最后一页特别声明</w:t>
                </w:r>
              </w:p>
            </w:txbxContent>
          </v:textbox>
          <w10:wrap type="none"/>
        </v:shape>
      </w:pict>
    </w:r>
    <w:r>
      <w:rPr/>
      <w:pict>
        <v:shape style="position:absolute;margin-left:288.609985pt;margin-top:825.820984pt;width:21.35pt;height:11.6pt;mso-position-horizontal-relative:page;mso-position-vertical-relative:page;z-index:-16453120" type="#_x0000_t202" filled="false" stroked="false">
          <v:textbox inset="0,0,0,0">
            <w:txbxContent>
              <w:p>
                <w:pPr>
                  <w:spacing w:line="221" w:lineRule="exact" w:before="0"/>
                  <w:ind w:left="20" w:right="0" w:firstLine="0"/>
                  <w:jc w:val="left"/>
                  <w:rPr>
                    <w:sz w:val="18"/>
                  </w:rPr>
                </w:pPr>
                <w:r>
                  <w:rPr>
                    <w:color w:val="FFFFFF"/>
                    <w:sz w:val="18"/>
                  </w:rPr>
                  <w:t>-</w:t>
                </w:r>
                <w:r>
                  <w:rPr/>
                  <w:fldChar w:fldCharType="begin"/>
                </w:r>
                <w:r>
                  <w:rPr>
                    <w:color w:val="FFFFFF"/>
                    <w:sz w:val="18"/>
                  </w:rPr>
                  <w:instrText> PAGE </w:instrText>
                </w:r>
                <w:r>
                  <w:rPr/>
                  <w:fldChar w:fldCharType="separate"/>
                </w:r>
                <w:r>
                  <w:rPr/>
                  <w:t>10</w:t>
                </w:r>
                <w:r>
                  <w:rPr/>
                  <w:fldChar w:fldCharType="end"/>
                </w:r>
                <w:r>
                  <w:rPr>
                    <w:color w:val="FFFFFF"/>
                    <w:sz w:val="18"/>
                  </w:rPr>
                  <w:t>-</w:t>
                </w:r>
              </w:p>
            </w:txbxContent>
          </v:textbox>
          <w10:wrap type="none"/>
        </v:shape>
      </w:pict>
    </w:r>
    <w:r>
      <w:rPr/>
      <w:pict>
        <v:shape style="position:absolute;margin-left:499.140015pt;margin-top:825.820984pt;width:56pt;height:11.6pt;mso-position-horizontal-relative:page;mso-position-vertical-relative:page;z-index:-16452608" type="#_x0000_t202" filled="false" stroked="false">
          <v:textbox inset="0,0,0,0">
            <w:txbxContent>
              <w:p>
                <w:pPr>
                  <w:spacing w:line="221" w:lineRule="exact" w:before="0"/>
                  <w:ind w:left="20" w:right="0" w:firstLine="0"/>
                  <w:jc w:val="left"/>
                  <w:rPr>
                    <w:sz w:val="18"/>
                  </w:rPr>
                </w:pPr>
                <w:r>
                  <w:rPr>
                    <w:color w:val="FFFFFF"/>
                    <w:sz w:val="18"/>
                  </w:rPr>
                  <w:t>证券研究报告</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820.950012pt;width:595.320007pt;height:20.6pt;mso-position-horizontal-relative:page;mso-position-vertical-relative:page;z-index:-16452096" filled="true" fillcolor="#c54322" stroked="false">
          <v:fill type="solid"/>
          <w10:wrap type="none"/>
        </v:rect>
      </w:pict>
    </w:r>
    <w:r>
      <w:rPr/>
      <w:pict>
        <v:shape style="position:absolute;margin-left:35.840pt;margin-top:825.820984pt;width:110pt;height:11.6pt;mso-position-horizontal-relative:page;mso-position-vertical-relative:page;z-index:-16451584" type="#_x0000_t202" filled="false" stroked="false">
          <v:textbox inset="0,0,0,0">
            <w:txbxContent>
              <w:p>
                <w:pPr>
                  <w:spacing w:line="221" w:lineRule="exact" w:before="0"/>
                  <w:ind w:left="20" w:right="0" w:firstLine="0"/>
                  <w:jc w:val="left"/>
                  <w:rPr>
                    <w:sz w:val="18"/>
                  </w:rPr>
                </w:pPr>
                <w:r>
                  <w:rPr>
                    <w:color w:val="FFFFFF"/>
                    <w:sz w:val="18"/>
                  </w:rPr>
                  <w:t>敬请参阅最后一页特别声明</w:t>
                </w:r>
              </w:p>
            </w:txbxContent>
          </v:textbox>
          <w10:wrap type="none"/>
        </v:shape>
      </w:pict>
    </w:r>
    <w:r>
      <w:rPr/>
      <w:pict>
        <v:shape style="position:absolute;margin-left:288.609985pt;margin-top:825.820984pt;width:21.35pt;height:11.6pt;mso-position-horizontal-relative:page;mso-position-vertical-relative:page;z-index:-16451072" type="#_x0000_t202" filled="false" stroked="false">
          <v:textbox inset="0,0,0,0">
            <w:txbxContent>
              <w:p>
                <w:pPr>
                  <w:spacing w:line="221" w:lineRule="exact" w:before="0"/>
                  <w:ind w:left="20" w:right="0" w:firstLine="0"/>
                  <w:jc w:val="left"/>
                  <w:rPr>
                    <w:sz w:val="18"/>
                  </w:rPr>
                </w:pPr>
                <w:r>
                  <w:rPr>
                    <w:color w:val="FFFFFF"/>
                    <w:sz w:val="18"/>
                  </w:rPr>
                  <w:t>-</w:t>
                </w:r>
                <w:r>
                  <w:rPr/>
                  <w:fldChar w:fldCharType="begin"/>
                </w:r>
                <w:r>
                  <w:rPr>
                    <w:color w:val="FFFFFF"/>
                    <w:sz w:val="18"/>
                  </w:rPr>
                  <w:instrText> PAGE </w:instrText>
                </w:r>
                <w:r>
                  <w:rPr/>
                  <w:fldChar w:fldCharType="separate"/>
                </w:r>
                <w:r>
                  <w:rPr/>
                  <w:t>11</w:t>
                </w:r>
                <w:r>
                  <w:rPr/>
                  <w:fldChar w:fldCharType="end"/>
                </w:r>
                <w:r>
                  <w:rPr>
                    <w:color w:val="FFFFFF"/>
                    <w:sz w:val="18"/>
                  </w:rPr>
                  <w:t>-</w:t>
                </w:r>
              </w:p>
            </w:txbxContent>
          </v:textbox>
          <w10:wrap type="none"/>
        </v:shape>
      </w:pict>
    </w:r>
    <w:r>
      <w:rPr/>
      <w:pict>
        <v:shape style="position:absolute;margin-left:499.140015pt;margin-top:825.820984pt;width:56pt;height:11.6pt;mso-position-horizontal-relative:page;mso-position-vertical-relative:page;z-index:-16450560" type="#_x0000_t202" filled="false" stroked="false">
          <v:textbox inset="0,0,0,0">
            <w:txbxContent>
              <w:p>
                <w:pPr>
                  <w:spacing w:line="221" w:lineRule="exact" w:before="0"/>
                  <w:ind w:left="20" w:right="0" w:firstLine="0"/>
                  <w:jc w:val="left"/>
                  <w:rPr>
                    <w:sz w:val="18"/>
                  </w:rPr>
                </w:pPr>
                <w:r>
                  <w:rPr>
                    <w:color w:val="FFFFFF"/>
                    <w:sz w:val="18"/>
                  </w:rPr>
                  <w:t>证券研究报告</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860800">
          <wp:simplePos x="0" y="0"/>
          <wp:positionH relativeFrom="page">
            <wp:posOffset>6156325</wp:posOffset>
          </wp:positionH>
          <wp:positionV relativeFrom="page">
            <wp:posOffset>400049</wp:posOffset>
          </wp:positionV>
          <wp:extent cx="914400" cy="270509"/>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914400" cy="270509"/>
                  </a:xfrm>
                  <a:prstGeom prst="rect">
                    <a:avLst/>
                  </a:prstGeom>
                </pic:spPr>
              </pic:pic>
            </a:graphicData>
          </a:graphic>
        </wp:anchor>
      </w:drawing>
    </w:r>
    <w:r>
      <w:rPr/>
      <w:pict>
        <v:group style="position:absolute;margin-left:42.450001pt;margin-top:34.699982pt;width:517.6pt;height:22.1pt;mso-position-horizontal-relative:page;mso-position-vertical-relative:page;z-index:-16455168" coordorigin="849,694" coordsize="10352,442">
          <v:rect style="position:absolute;left:4225;top:1120;width:6976;height:15" filled="true" fillcolor="#000000" stroked="false">
            <v:fill type="solid"/>
          </v:rect>
          <v:shape style="position:absolute;left:849;top:694;width:7851;height:417" type="#_x0000_t75" stroked="false">
            <v:imagedata r:id="rId2" o:title=""/>
          </v:shape>
          <w10:wrap type="none"/>
        </v:group>
      </w:pict>
    </w:r>
    <w:r>
      <w:rPr/>
      <w:pict>
        <v:shape style="position:absolute;margin-left:48.68pt;margin-top:38.923382pt;width:42.1pt;height:12.65pt;mso-position-horizontal-relative:page;mso-position-vertical-relative:page;z-index:-16454656" type="#_x0000_t202" filled="false" stroked="false">
          <v:textbox inset="0,0,0,0">
            <w:txbxContent>
              <w:p>
                <w:pPr>
                  <w:spacing w:line="252" w:lineRule="exact" w:before="0"/>
                  <w:ind w:left="20" w:right="0" w:firstLine="0"/>
                  <w:jc w:val="left"/>
                  <w:rPr>
                    <w:rFonts w:ascii="微软雅黑" w:eastAsia="微软雅黑" w:hint="eastAsia"/>
                    <w:b/>
                    <w:sz w:val="20"/>
                  </w:rPr>
                </w:pPr>
                <w:r>
                  <w:rPr>
                    <w:rFonts w:ascii="微软雅黑" w:eastAsia="微软雅黑" w:hint="eastAsia"/>
                    <w:b/>
                    <w:color w:val="FFFFFF"/>
                    <w:sz w:val="20"/>
                  </w:rPr>
                  <w:t>医药生物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713" w:hanging="212"/>
      </w:pPr>
      <w:rPr>
        <w:rFonts w:hint="default" w:ascii="Wingdings" w:hAnsi="Wingdings" w:eastAsia="Wingdings" w:cs="Wingdings"/>
        <w:color w:val="C54322"/>
        <w:w w:val="99"/>
        <w:sz w:val="20"/>
        <w:szCs w:val="20"/>
        <w:lang w:val="en-US" w:eastAsia="zh-CN" w:bidi="ar-SA"/>
      </w:rPr>
    </w:lvl>
    <w:lvl w:ilvl="1">
      <w:start w:val="0"/>
      <w:numFmt w:val="bullet"/>
      <w:lvlText w:val="•"/>
      <w:lvlJc w:val="left"/>
      <w:pPr>
        <w:ind w:left="4432" w:hanging="212"/>
      </w:pPr>
      <w:rPr>
        <w:rFonts w:hint="default"/>
        <w:lang w:val="en-US" w:eastAsia="zh-CN" w:bidi="ar-SA"/>
      </w:rPr>
    </w:lvl>
    <w:lvl w:ilvl="2">
      <w:start w:val="0"/>
      <w:numFmt w:val="bullet"/>
      <w:lvlText w:val="•"/>
      <w:lvlJc w:val="left"/>
      <w:pPr>
        <w:ind w:left="5145" w:hanging="212"/>
      </w:pPr>
      <w:rPr>
        <w:rFonts w:hint="default"/>
        <w:lang w:val="en-US" w:eastAsia="zh-CN" w:bidi="ar-SA"/>
      </w:rPr>
    </w:lvl>
    <w:lvl w:ilvl="3">
      <w:start w:val="0"/>
      <w:numFmt w:val="bullet"/>
      <w:lvlText w:val="•"/>
      <w:lvlJc w:val="left"/>
      <w:pPr>
        <w:ind w:left="5857" w:hanging="212"/>
      </w:pPr>
      <w:rPr>
        <w:rFonts w:hint="default"/>
        <w:lang w:val="en-US" w:eastAsia="zh-CN" w:bidi="ar-SA"/>
      </w:rPr>
    </w:lvl>
    <w:lvl w:ilvl="4">
      <w:start w:val="0"/>
      <w:numFmt w:val="bullet"/>
      <w:lvlText w:val="•"/>
      <w:lvlJc w:val="left"/>
      <w:pPr>
        <w:ind w:left="6570" w:hanging="212"/>
      </w:pPr>
      <w:rPr>
        <w:rFonts w:hint="default"/>
        <w:lang w:val="en-US" w:eastAsia="zh-CN" w:bidi="ar-SA"/>
      </w:rPr>
    </w:lvl>
    <w:lvl w:ilvl="5">
      <w:start w:val="0"/>
      <w:numFmt w:val="bullet"/>
      <w:lvlText w:val="•"/>
      <w:lvlJc w:val="left"/>
      <w:pPr>
        <w:ind w:left="7283" w:hanging="212"/>
      </w:pPr>
      <w:rPr>
        <w:rFonts w:hint="default"/>
        <w:lang w:val="en-US" w:eastAsia="zh-CN" w:bidi="ar-SA"/>
      </w:rPr>
    </w:lvl>
    <w:lvl w:ilvl="6">
      <w:start w:val="0"/>
      <w:numFmt w:val="bullet"/>
      <w:lvlText w:val="•"/>
      <w:lvlJc w:val="left"/>
      <w:pPr>
        <w:ind w:left="7995" w:hanging="212"/>
      </w:pPr>
      <w:rPr>
        <w:rFonts w:hint="default"/>
        <w:lang w:val="en-US" w:eastAsia="zh-CN" w:bidi="ar-SA"/>
      </w:rPr>
    </w:lvl>
    <w:lvl w:ilvl="7">
      <w:start w:val="0"/>
      <w:numFmt w:val="bullet"/>
      <w:lvlText w:val="•"/>
      <w:lvlJc w:val="left"/>
      <w:pPr>
        <w:ind w:left="8708" w:hanging="212"/>
      </w:pPr>
      <w:rPr>
        <w:rFonts w:hint="default"/>
        <w:lang w:val="en-US" w:eastAsia="zh-CN" w:bidi="ar-SA"/>
      </w:rPr>
    </w:lvl>
    <w:lvl w:ilvl="8">
      <w:start w:val="0"/>
      <w:numFmt w:val="bullet"/>
      <w:lvlText w:val="•"/>
      <w:lvlJc w:val="left"/>
      <w:pPr>
        <w:ind w:left="9421" w:hanging="212"/>
      </w:pPr>
      <w:rPr>
        <w:rFonts w:hint="default"/>
        <w:lang w:val="en-US" w:eastAsia="zh-CN"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TOC1" w:type="paragraph">
    <w:name w:val="TOC 1"/>
    <w:basedOn w:val="Normal"/>
    <w:uiPriority w:val="1"/>
    <w:qFormat/>
    <w:pPr>
      <w:spacing w:before="570"/>
      <w:ind w:right="18"/>
      <w:jc w:val="center"/>
    </w:pPr>
    <w:rPr>
      <w:rFonts w:ascii="微软雅黑" w:hAnsi="微软雅黑" w:eastAsia="微软雅黑" w:cs="微软雅黑"/>
      <w:b/>
      <w:bCs/>
      <w:sz w:val="36"/>
      <w:szCs w:val="36"/>
      <w:lang w:val="en-US" w:eastAsia="zh-CN" w:bidi="ar-SA"/>
    </w:rPr>
  </w:style>
  <w:style w:styleId="TOC2" w:type="paragraph">
    <w:name w:val="TOC 2"/>
    <w:basedOn w:val="Normal"/>
    <w:uiPriority w:val="1"/>
    <w:qFormat/>
    <w:pPr>
      <w:spacing w:line="332" w:lineRule="exact"/>
      <w:ind w:left="367"/>
    </w:pPr>
    <w:rPr>
      <w:rFonts w:ascii="微软雅黑" w:hAnsi="微软雅黑" w:eastAsia="微软雅黑" w:cs="微软雅黑"/>
      <w:b/>
      <w:bCs/>
      <w:sz w:val="24"/>
      <w:szCs w:val="24"/>
      <w:lang w:val="en-US" w:eastAsia="zh-CN" w:bidi="ar-SA"/>
    </w:rPr>
  </w:style>
  <w:style w:styleId="TOC3" w:type="paragraph">
    <w:name w:val="TOC 3"/>
    <w:basedOn w:val="Normal"/>
    <w:uiPriority w:val="1"/>
    <w:qFormat/>
    <w:pPr>
      <w:spacing w:before="91"/>
      <w:ind w:left="367"/>
    </w:pPr>
    <w:rPr>
      <w:rFonts w:ascii="宋体" w:hAnsi="宋体" w:eastAsia="宋体" w:cs="宋体"/>
      <w:sz w:val="21"/>
      <w:szCs w:val="21"/>
      <w:lang w:val="en-US" w:eastAsia="zh-CN" w:bidi="ar-SA"/>
    </w:rPr>
  </w:style>
  <w:style w:styleId="BodyText" w:type="paragraph">
    <w:name w:val="Body Text"/>
    <w:basedOn w:val="Normal"/>
    <w:uiPriority w:val="1"/>
    <w:qFormat/>
    <w:pPr/>
    <w:rPr>
      <w:rFonts w:ascii="宋体" w:hAnsi="宋体" w:eastAsia="宋体" w:cs="宋体"/>
      <w:sz w:val="20"/>
      <w:szCs w:val="20"/>
      <w:lang w:val="en-US" w:eastAsia="zh-CN" w:bidi="ar-SA"/>
    </w:rPr>
  </w:style>
  <w:style w:styleId="Heading1" w:type="paragraph">
    <w:name w:val="Heading 1"/>
    <w:basedOn w:val="Normal"/>
    <w:uiPriority w:val="1"/>
    <w:qFormat/>
    <w:pPr>
      <w:ind w:left="3713"/>
      <w:jc w:val="both"/>
      <w:outlineLvl w:val="1"/>
    </w:pPr>
    <w:rPr>
      <w:rFonts w:ascii="微软雅黑" w:hAnsi="微软雅黑" w:eastAsia="微软雅黑" w:cs="微软雅黑"/>
      <w:b/>
      <w:bCs/>
      <w:sz w:val="36"/>
      <w:szCs w:val="36"/>
      <w:lang w:val="en-US" w:eastAsia="zh-CN" w:bidi="ar-SA"/>
    </w:rPr>
  </w:style>
  <w:style w:styleId="Heading2" w:type="paragraph">
    <w:name w:val="Heading 2"/>
    <w:basedOn w:val="Normal"/>
    <w:uiPriority w:val="1"/>
    <w:qFormat/>
    <w:pPr>
      <w:ind w:left="196"/>
      <w:outlineLvl w:val="2"/>
    </w:pPr>
    <w:rPr>
      <w:rFonts w:ascii="微软雅黑" w:hAnsi="微软雅黑" w:eastAsia="微软雅黑" w:cs="微软雅黑"/>
      <w:b/>
      <w:bCs/>
      <w:sz w:val="21"/>
      <w:szCs w:val="21"/>
      <w:lang w:val="en-US" w:eastAsia="zh-CN" w:bidi="ar-SA"/>
    </w:rPr>
  </w:style>
  <w:style w:styleId="Heading3" w:type="paragraph">
    <w:name w:val="Heading 3"/>
    <w:basedOn w:val="Normal"/>
    <w:uiPriority w:val="1"/>
    <w:qFormat/>
    <w:pPr>
      <w:ind w:left="3713"/>
      <w:outlineLvl w:val="3"/>
    </w:pPr>
    <w:rPr>
      <w:rFonts w:ascii="微软雅黑" w:hAnsi="微软雅黑" w:eastAsia="微软雅黑" w:cs="微软雅黑"/>
      <w:b/>
      <w:bCs/>
      <w:sz w:val="20"/>
      <w:szCs w:val="20"/>
      <w:lang w:val="en-US" w:eastAsia="zh-CN" w:bidi="ar-SA"/>
    </w:rPr>
  </w:style>
  <w:style w:styleId="ListParagraph" w:type="paragraph">
    <w:name w:val="List Paragraph"/>
    <w:basedOn w:val="Normal"/>
    <w:uiPriority w:val="1"/>
    <w:qFormat/>
    <w:pPr>
      <w:ind w:left="3925" w:hanging="212"/>
    </w:pPr>
    <w:rPr>
      <w:rFonts w:ascii="微软雅黑" w:hAnsi="微软雅黑" w:eastAsia="微软雅黑" w:cs="微软雅黑"/>
      <w:lang w:val="en-US" w:eastAsia="zh-CN" w:bidi="ar-SA"/>
    </w:rPr>
  </w:style>
  <w:style w:styleId="TableParagraph" w:type="paragraph">
    <w:name w:val="Table Paragraph"/>
    <w:basedOn w:val="Normal"/>
    <w:uiPriority w:val="1"/>
    <w:qFormat/>
    <w:pPr>
      <w:jc w:val="center"/>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linxiaowei@ebscn.com" TargetMode="External"/><Relationship Id="rId9" Type="http://schemas.openxmlformats.org/officeDocument/2006/relationships/hyperlink" Target="mailto:wangmingrui@ebscn.com" TargetMode="External"/><Relationship Id="rId10" Type="http://schemas.openxmlformats.org/officeDocument/2006/relationships/hyperlink" Target="mailto:zhanghanyu@ebscn.com" TargetMode="External"/><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header" Target="header2.xml"/><Relationship Id="rId20" Type="http://schemas.openxmlformats.org/officeDocument/2006/relationships/footer" Target="footer3.xml"/><Relationship Id="rId2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光大证券-医药生物行业2022 ASCO数据系列点评之三：后来居上，中国肿瘤免疫细胞治疗惊艳亮相-220612.pdf</dc:title>
  <dcterms:created xsi:type="dcterms:W3CDTF">2022-06-13T12:00:43Z</dcterms:created>
  <dcterms:modified xsi:type="dcterms:W3CDTF">2022-06-13T12:00:43Z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2022-06-13T00:00:00Z</vt:filetime>
  </property>
  <property fmtid="{D5CDD505-2E9C-101B-9397-08002B2CF9AE}" pid="3" name="LastSaved">
    <vt:filetime>2022-06-13T00:00:00Z</vt:filetime>
  </property>
</Properties>
</file>