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Default Extension="png" ContentType="image/png"/>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footer20.xml" ContentType="application/vnd.openxmlformats-officedocument.wordprocessingml.footer+xml"/>
  <Override PartName="/word/header19.xml" ContentType="application/vnd.openxmlformats-officedocument.wordprocessingml.header+xml"/>
  <Override PartName="/word/footer21.xml" ContentType="application/vnd.openxmlformats-officedocument.wordprocessingml.footer+xml"/>
  <Override PartName="/word/header20.xml" ContentType="application/vnd.openxmlformats-officedocument.wordprocessingml.header+xml"/>
  <Override PartName="/word/footer22.xml" ContentType="application/vnd.openxmlformats-officedocument.wordprocessingml.footer+xml"/>
  <Override PartName="/word/header21.xml" ContentType="application/vnd.openxmlformats-officedocument.wordprocessingml.header+xml"/>
  <Override PartName="/word/footer23.xml" ContentType="application/vnd.openxmlformats-officedocument.wordprocessingml.footer+xml"/>
  <Override PartName="/word/header22.xml" ContentType="application/vnd.openxmlformats-officedocument.wordprocessingml.header+xml"/>
  <Override PartName="/word/footer24.xml" ContentType="application/vnd.openxmlformats-officedocument.wordprocessingml.footer+xml"/>
  <Override PartName="/word/header23.xml" ContentType="application/vnd.openxmlformats-officedocument.wordprocessingml.header+xml"/>
  <Override PartName="/word/footer25.xml" ContentType="application/vnd.openxmlformats-officedocument.wordprocessingml.footer+xml"/>
  <Override PartName="/word/header24.xml" ContentType="application/vnd.openxmlformats-officedocument.wordprocessingml.header+xml"/>
  <Override PartName="/word/footer26.xml" ContentType="application/vnd.openxmlformats-officedocument.wordprocessingml.footer+xml"/>
  <Override PartName="/word/header25.xml" ContentType="application/vnd.openxmlformats-officedocument.wordprocessingml.header+xml"/>
  <Override PartName="/word/footer27.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rPr>
          <w:rFonts w:ascii="Times New Roman"/>
          <w:sz w:val="20"/>
        </w:rPr>
      </w:pPr>
    </w:p>
    <w:p>
      <w:pPr>
        <w:spacing w:before="153"/>
        <w:ind w:left="536" w:right="0" w:firstLine="0"/>
        <w:jc w:val="left"/>
        <w:rPr>
          <w:sz w:val="32"/>
        </w:rPr>
      </w:pPr>
      <w:r>
        <w:rPr/>
        <w:pict>
          <v:shapetype id="_x0000_t202" o:spt="202" coordsize="21600,21600" path="m,l,21600r21600,l21600,xe">
            <v:stroke joinstyle="miter"/>
            <v:path gradientshapeok="t" o:connecttype="rect"/>
          </v:shapetype>
          <v:shape style="position:absolute;margin-left:844.700012pt;margin-top:25.709688pt;width:93.6pt;height:11.05pt;mso-position-horizontal-relative:page;mso-position-vertical-relative:paragraph;z-index:-18064384" type="#_x0000_t202" filled="false" stroked="false">
            <v:textbox inset="0,0,0,0">
              <w:txbxContent>
                <w:p>
                  <w:pPr>
                    <w:spacing w:line="221" w:lineRule="exact" w:before="0"/>
                    <w:ind w:left="0" w:right="0" w:firstLine="0"/>
                    <w:jc w:val="left"/>
                    <w:rPr>
                      <w:rFonts w:ascii="Microsoft JhengHei" w:eastAsia="Microsoft JhengHei" w:hint="eastAsia"/>
                      <w:b/>
                      <w:sz w:val="22"/>
                    </w:rPr>
                  </w:pPr>
                  <w:r>
                    <w:rPr>
                      <w:rFonts w:ascii="Microsoft JhengHei" w:eastAsia="Microsoft JhengHei" w:hint="eastAsia"/>
                      <w:b/>
                      <w:color w:val="0A4EA1"/>
                      <w:sz w:val="22"/>
                    </w:rPr>
                    <w:t>证 券 研 究 报 告</w:t>
                  </w:r>
                </w:p>
              </w:txbxContent>
            </v:textbox>
            <w10:wrap type="none"/>
          </v:shape>
        </w:pict>
      </w:r>
      <w:r>
        <w:rPr/>
        <w:pict>
          <v:group style="position:absolute;margin-left:814.320007pt;margin-top:-23.052811pt;width:141pt;height:60.4pt;mso-position-horizontal-relative:page;mso-position-vertical-relative:paragraph;z-index:15729664" coordorigin="16286,-461" coordsize="2820,1208">
            <v:shape style="position:absolute;left:16965;top:-17;width:1560;height:381" type="#_x0000_t75" stroked="false">
              <v:imagedata r:id="rId5" o:title=""/>
            </v:shape>
            <v:rect style="position:absolute;left:16494;top:-441;width:2592;height:1167" filled="true" fillcolor="#ffffff" stroked="false">
              <v:fill type="solid"/>
            </v:rect>
            <v:rect style="position:absolute;left:16494;top:-441;width:2592;height:1167" filled="false" stroked="true" strokeweight="2.04pt" strokecolor="#ffffff">
              <v:stroke dashstyle="solid"/>
            </v:rect>
            <v:shape style="position:absolute;left:16286;top:-58;width:2650;height:701" type="#_x0000_t75" stroked="false">
              <v:imagedata r:id="rId6" o:title=""/>
            </v:shape>
            <w10:wrap type="none"/>
          </v:group>
        </w:pict>
      </w:r>
      <w:r>
        <w:rPr>
          <w:color w:val="7E7E7E"/>
          <w:sz w:val="32"/>
        </w:rPr>
        <w:t>证券研究报告 | 医药生物 | </w:t>
      </w:r>
      <w:r>
        <w:rPr>
          <w:rFonts w:ascii="Arial" w:eastAsia="Arial"/>
          <w:color w:val="7E7E7E"/>
          <w:sz w:val="32"/>
        </w:rPr>
        <w:t>2023</w:t>
      </w:r>
      <w:r>
        <w:rPr>
          <w:color w:val="7E7E7E"/>
          <w:sz w:val="32"/>
        </w:rPr>
        <w:t>年</w:t>
      </w:r>
      <w:r>
        <w:rPr>
          <w:rFonts w:ascii="Arial" w:eastAsia="Arial"/>
          <w:color w:val="7E7E7E"/>
          <w:sz w:val="32"/>
        </w:rPr>
        <w:t>10</w:t>
      </w:r>
      <w:r>
        <w:rPr>
          <w:color w:val="7E7E7E"/>
          <w:sz w:val="32"/>
        </w:rPr>
        <w:t>月</w:t>
      </w:r>
      <w:r>
        <w:rPr>
          <w:rFonts w:ascii="Arial" w:eastAsia="Arial"/>
          <w:color w:val="7E7E7E"/>
          <w:sz w:val="32"/>
        </w:rPr>
        <w:t>28</w:t>
      </w:r>
      <w:r>
        <w:rPr>
          <w:color w:val="7E7E7E"/>
          <w:sz w:val="32"/>
        </w:rPr>
        <w:t>日</w:t>
      </w:r>
    </w:p>
    <w:p>
      <w:pPr>
        <w:pStyle w:val="BodyText"/>
        <w:rPr>
          <w:sz w:val="42"/>
        </w:rPr>
      </w:pPr>
    </w:p>
    <w:p>
      <w:pPr>
        <w:pStyle w:val="BodyText"/>
        <w:spacing w:before="18"/>
        <w:rPr>
          <w:sz w:val="40"/>
        </w:rPr>
      </w:pPr>
    </w:p>
    <w:p>
      <w:pPr>
        <w:spacing w:before="0"/>
        <w:ind w:left="1094" w:right="0" w:firstLine="0"/>
        <w:jc w:val="left"/>
        <w:rPr>
          <w:b/>
          <w:sz w:val="64"/>
        </w:rPr>
      </w:pPr>
      <w:r>
        <w:rPr>
          <w:b/>
          <w:color w:val="FFFFFF"/>
          <w:sz w:val="64"/>
        </w:rPr>
        <w:t>华创医药周观点 · 第 </w:t>
      </w:r>
      <w:r>
        <w:rPr>
          <w:rFonts w:ascii="Calibri" w:hAnsi="Calibri" w:eastAsia="Calibri"/>
          <w:b/>
          <w:color w:val="FFFFFF"/>
          <w:sz w:val="64"/>
        </w:rPr>
        <w:t>49 </w:t>
      </w:r>
      <w:r>
        <w:rPr>
          <w:b/>
          <w:color w:val="FFFFFF"/>
          <w:sz w:val="64"/>
        </w:rPr>
        <w:t>期</w:t>
      </w:r>
    </w:p>
    <w:p>
      <w:pPr>
        <w:pStyle w:val="Title"/>
      </w:pPr>
      <w:r>
        <w:rPr>
          <w:color w:val="FFFFFF"/>
        </w:rPr>
        <w:t>中国阿尔兹海默症诊断与治疗产业链梳理</w:t>
      </w:r>
    </w:p>
    <w:p>
      <w:pPr>
        <w:pStyle w:val="BodyText"/>
        <w:rPr>
          <w:b/>
          <w:sz w:val="20"/>
        </w:rPr>
      </w:pPr>
    </w:p>
    <w:p>
      <w:pPr>
        <w:pStyle w:val="BodyText"/>
        <w:rPr>
          <w:b/>
          <w:sz w:val="20"/>
        </w:rPr>
      </w:pPr>
    </w:p>
    <w:p>
      <w:pPr>
        <w:pStyle w:val="BodyText"/>
        <w:spacing w:before="8"/>
        <w:rPr>
          <w:b/>
          <w:sz w:val="23"/>
        </w:rPr>
      </w:pPr>
    </w:p>
    <w:p>
      <w:pPr>
        <w:spacing w:after="0"/>
        <w:rPr>
          <w:sz w:val="23"/>
        </w:rPr>
        <w:sectPr>
          <w:type w:val="continuous"/>
          <w:pgSz w:w="19200" w:h="10800" w:orient="landscape"/>
          <w:pgMar w:top="140" w:bottom="0" w:left="0" w:right="0"/>
        </w:sectPr>
      </w:pPr>
    </w:p>
    <w:p>
      <w:pPr>
        <w:spacing w:line="401" w:lineRule="exact" w:before="43"/>
        <w:ind w:left="1441" w:right="0" w:firstLine="0"/>
        <w:jc w:val="left"/>
        <w:rPr>
          <w:sz w:val="22"/>
        </w:rPr>
      </w:pPr>
      <w:r>
        <w:rPr>
          <w:color w:val="FFFFFF"/>
          <w:sz w:val="22"/>
        </w:rPr>
        <w:t>华创医药首席分析师 郑辰</w:t>
      </w:r>
    </w:p>
    <w:p>
      <w:pPr>
        <w:spacing w:line="235" w:lineRule="auto" w:before="1"/>
        <w:ind w:left="1441" w:right="0" w:firstLine="0"/>
        <w:jc w:val="left"/>
        <w:rPr>
          <w:sz w:val="22"/>
        </w:rPr>
      </w:pPr>
      <w:r>
        <w:rPr>
          <w:color w:val="FFFFFF"/>
          <w:spacing w:val="-4"/>
          <w:sz w:val="22"/>
        </w:rPr>
        <w:t>华创医药联席首席分析师 刘浩</w:t>
      </w:r>
      <w:r>
        <w:rPr>
          <w:color w:val="FFFFFF"/>
          <w:spacing w:val="-2"/>
          <w:sz w:val="22"/>
        </w:rPr>
        <w:t>华创医药高级分析师 李婵娟华</w:t>
      </w:r>
      <w:r>
        <w:rPr>
          <w:color w:val="FFFFFF"/>
          <w:spacing w:val="-4"/>
          <w:sz w:val="22"/>
        </w:rPr>
        <w:t>创医药高级分析师 黄致君</w:t>
      </w:r>
    </w:p>
    <w:p>
      <w:pPr>
        <w:tabs>
          <w:tab w:pos="4249" w:val="left" w:leader="none"/>
        </w:tabs>
        <w:spacing w:line="235" w:lineRule="auto" w:before="49"/>
        <w:ind w:left="703" w:right="7489" w:firstLine="0"/>
        <w:jc w:val="left"/>
        <w:rPr>
          <w:sz w:val="22"/>
        </w:rPr>
      </w:pPr>
      <w:r>
        <w:rPr/>
        <w:br w:type="column"/>
      </w:r>
      <w:r>
        <w:rPr>
          <w:color w:val="FFFFFF"/>
          <w:sz w:val="22"/>
        </w:rPr>
        <w:t>执业编号：S0360520110002</w:t>
        <w:tab/>
      </w:r>
      <w:r>
        <w:rPr>
          <w:color w:val="FFFFFF"/>
          <w:spacing w:val="-2"/>
          <w:sz w:val="22"/>
        </w:rPr>
        <w:t>邮</w:t>
      </w:r>
      <w:r>
        <w:rPr>
          <w:color w:val="FFFFFF"/>
          <w:spacing w:val="-1"/>
          <w:sz w:val="22"/>
        </w:rPr>
        <w:t>箱：</w:t>
      </w:r>
      <w:hyperlink r:id="rId7">
        <w:r>
          <w:rPr>
            <w:color w:val="FFFFFF"/>
            <w:spacing w:val="-1"/>
            <w:sz w:val="22"/>
          </w:rPr>
          <w:t>zhengchen@hcyjs.com </w:t>
        </w:r>
      </w:hyperlink>
      <w:r>
        <w:rPr>
          <w:color w:val="FFFFFF"/>
          <w:sz w:val="22"/>
        </w:rPr>
        <w:t>执业编号：S0360520120002</w:t>
        <w:tab/>
        <w:t>邮箱：</w:t>
      </w:r>
      <w:r>
        <w:rPr>
          <w:color w:val="FFFFFF"/>
          <w:spacing w:val="-8"/>
          <w:sz w:val="22"/>
        </w:rPr>
        <w:t> </w:t>
      </w:r>
      <w:hyperlink r:id="rId8">
        <w:r>
          <w:rPr>
            <w:color w:val="FFFFFF"/>
            <w:sz w:val="22"/>
          </w:rPr>
          <w:t>liuhao@hcyjs.com</w:t>
        </w:r>
      </w:hyperlink>
    </w:p>
    <w:p>
      <w:pPr>
        <w:tabs>
          <w:tab w:pos="4249" w:val="left" w:leader="none"/>
        </w:tabs>
        <w:spacing w:line="235" w:lineRule="auto" w:before="0"/>
        <w:ind w:left="703" w:right="7278" w:firstLine="0"/>
        <w:jc w:val="left"/>
        <w:rPr>
          <w:sz w:val="22"/>
        </w:rPr>
      </w:pPr>
      <w:r>
        <w:rPr>
          <w:color w:val="FFFFFF"/>
          <w:sz w:val="22"/>
        </w:rPr>
        <w:t>执业编号：S0360520110004</w:t>
        <w:tab/>
        <w:t>邮 箱 ： </w:t>
      </w:r>
      <w:hyperlink r:id="rId9">
        <w:r>
          <w:rPr>
            <w:color w:val="FFFFFF"/>
            <w:sz w:val="22"/>
          </w:rPr>
          <w:t>lichanjuan@hcyjs.com </w:t>
        </w:r>
      </w:hyperlink>
      <w:r>
        <w:rPr>
          <w:color w:val="FFFFFF"/>
          <w:sz w:val="22"/>
        </w:rPr>
        <w:t>执业编号：S0360522090003</w:t>
        <w:tab/>
        <w:t>邮箱：</w:t>
      </w:r>
      <w:r>
        <w:rPr>
          <w:color w:val="FFFFFF"/>
          <w:spacing w:val="-23"/>
          <w:sz w:val="22"/>
        </w:rPr>
        <w:t> </w:t>
      </w:r>
      <w:hyperlink r:id="rId10">
        <w:r>
          <w:rPr>
            <w:color w:val="FFFFFF"/>
            <w:sz w:val="22"/>
          </w:rPr>
          <w:t>huangzhijun@hcyjs.com</w:t>
        </w:r>
      </w:hyperlink>
    </w:p>
    <w:p>
      <w:pPr>
        <w:spacing w:after="0" w:line="235" w:lineRule="auto"/>
        <w:jc w:val="left"/>
        <w:rPr>
          <w:sz w:val="22"/>
        </w:rPr>
        <w:sectPr>
          <w:type w:val="continuous"/>
          <w:pgSz w:w="19200" w:h="10800" w:orient="landscape"/>
          <w:pgMar w:top="140" w:bottom="0" w:left="0" w:right="0"/>
          <w:cols w:num="2" w:equalWidth="0">
            <w:col w:w="4359" w:space="40"/>
            <w:col w:w="14801"/>
          </w:cols>
        </w:sectPr>
      </w:pPr>
    </w:p>
    <w:p>
      <w:pPr>
        <w:pStyle w:val="BodyText"/>
        <w:rPr>
          <w:sz w:val="20"/>
        </w:rPr>
      </w:pPr>
      <w:r>
        <w:rPr/>
        <w:drawing>
          <wp:anchor distT="0" distB="0" distL="0" distR="0" allowOverlap="1" layoutInCell="1" locked="0" behindDoc="1" simplePos="0" relativeHeight="485252608">
            <wp:simplePos x="0" y="0"/>
            <wp:positionH relativeFrom="page">
              <wp:posOffset>0</wp:posOffset>
            </wp:positionH>
            <wp:positionV relativeFrom="page">
              <wp:posOffset>922019</wp:posOffset>
            </wp:positionV>
            <wp:extent cx="12027408" cy="5935979"/>
            <wp:effectExtent l="0" t="0" r="0" b="0"/>
            <wp:wrapNone/>
            <wp:docPr id="1" name="image3.jpeg"/>
            <wp:cNvGraphicFramePr>
              <a:graphicFrameLocks noChangeAspect="1"/>
            </wp:cNvGraphicFramePr>
            <a:graphic>
              <a:graphicData uri="http://schemas.openxmlformats.org/drawingml/2006/picture">
                <pic:pic>
                  <pic:nvPicPr>
                    <pic:cNvPr id="2" name="image3.jpeg"/>
                    <pic:cNvPicPr/>
                  </pic:nvPicPr>
                  <pic:blipFill>
                    <a:blip r:embed="rId11" cstate="print"/>
                    <a:stretch>
                      <a:fillRect/>
                    </a:stretch>
                  </pic:blipFill>
                  <pic:spPr>
                    <a:xfrm>
                      <a:off x="0" y="0"/>
                      <a:ext cx="12027408" cy="5935979"/>
                    </a:xfrm>
                    <a:prstGeom prst="rect">
                      <a:avLst/>
                    </a:prstGeom>
                  </pic:spPr>
                </pic:pic>
              </a:graphicData>
            </a:graphic>
          </wp:anchor>
        </w:drawing>
      </w:r>
    </w:p>
    <w:p>
      <w:pPr>
        <w:pStyle w:val="BodyText"/>
        <w:spacing w:before="14"/>
        <w:rPr>
          <w:sz w:val="10"/>
        </w:rPr>
      </w:pPr>
    </w:p>
    <w:p>
      <w:pPr>
        <w:spacing w:line="364" w:lineRule="exact" w:before="47"/>
        <w:ind w:left="258" w:right="0" w:firstLine="0"/>
        <w:jc w:val="left"/>
        <w:rPr>
          <w:sz w:val="20"/>
        </w:rPr>
      </w:pPr>
      <w:r>
        <w:rPr/>
        <w:pict>
          <v:shape style="position:absolute;margin-left:949.795105pt;margin-top:18.892242pt;width:8.75pt;height:48.95pt;mso-position-horizontal-relative:page;mso-position-vertical-relative:paragraph;z-index:15730176" type="#_x0000_t202" filled="false" stroked="false">
            <v:textbox inset="0,0,0,0" style="layout-flow:vertical">
              <w:txbxContent>
                <w:p>
                  <w:pPr>
                    <w:spacing w:line="174" w:lineRule="exact" w:before="0"/>
                    <w:ind w:left="20" w:right="0" w:firstLine="0"/>
                    <w:jc w:val="left"/>
                    <w:rPr>
                      <w:rFonts w:ascii="Microsoft YaHei UI Light" w:eastAsia="Microsoft YaHei UI Light" w:hint="eastAsia"/>
                      <w:b w:val="0"/>
                      <w:sz w:val="10"/>
                    </w:rPr>
                  </w:pPr>
                  <w:r>
                    <w:rPr>
                      <w:rFonts w:ascii="Microsoft YaHei UI Light" w:eastAsia="Microsoft YaHei UI Light" w:hint="eastAsia"/>
                      <w:b w:val="0"/>
                      <w:color w:val="375F92"/>
                      <w:sz w:val="10"/>
                    </w:rPr>
                    <w:t>@2021华创 版权所有</w:t>
                  </w:r>
                </w:p>
              </w:txbxContent>
            </v:textbox>
            <w10:wrap type="none"/>
          </v:shape>
        </w:pict>
      </w:r>
      <w:r>
        <w:rPr>
          <w:color w:val="FFFFFF"/>
          <w:sz w:val="20"/>
        </w:rPr>
        <w:t>本报告由华创证券有限责任公司编制</w:t>
      </w:r>
    </w:p>
    <w:p>
      <w:pPr>
        <w:spacing w:line="156" w:lineRule="auto" w:before="88"/>
        <w:ind w:left="258" w:right="555" w:firstLine="0"/>
        <w:jc w:val="left"/>
        <w:rPr>
          <w:sz w:val="20"/>
        </w:rPr>
      </w:pPr>
      <w:r>
        <w:rPr>
          <w:color w:val="FFFFFF"/>
          <w:spacing w:val="-1"/>
          <w:w w:val="95"/>
          <w:sz w:val="20"/>
        </w:rPr>
        <w:t>报告仅供华创证券有限责任公司的客户使用。本公司不会因接收人收到本报告而视其为客户。华创证券对这些信息的准确性和完整性不作任何保证。报告中的内容和意见仅供参考，并不构成本公司对所述证券买                 </w:t>
      </w:r>
      <w:r>
        <w:rPr>
          <w:color w:val="FFFFFF"/>
          <w:sz w:val="20"/>
        </w:rPr>
        <w:t>卖的出价或询价。本报告所载信息均为个人观点，并不构成对所涉及证券的个人投资建议。</w:t>
      </w:r>
    </w:p>
    <w:p>
      <w:pPr>
        <w:spacing w:before="29"/>
        <w:ind w:left="258" w:right="0" w:firstLine="0"/>
        <w:jc w:val="left"/>
        <w:rPr>
          <w:b/>
          <w:sz w:val="20"/>
        </w:rPr>
      </w:pPr>
      <w:r>
        <w:rPr>
          <w:b/>
          <w:color w:val="FFFFFF"/>
          <w:sz w:val="20"/>
        </w:rPr>
        <w:t>请仔细阅读PPT后部分的分析师声明及免责声明。</w:t>
      </w:r>
    </w:p>
    <w:p>
      <w:pPr>
        <w:spacing w:after="0"/>
        <w:jc w:val="left"/>
        <w:rPr>
          <w:sz w:val="20"/>
        </w:rPr>
        <w:sectPr>
          <w:type w:val="continuous"/>
          <w:pgSz w:w="19200" w:h="10800" w:orient="landscape"/>
          <w:pgMar w:top="140" w:bottom="0" w:left="0" w:right="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3"/>
        <w:rPr>
          <w:b/>
          <w:sz w:val="21"/>
        </w:rPr>
      </w:pPr>
    </w:p>
    <w:p>
      <w:pPr>
        <w:pStyle w:val="Heading1"/>
      </w:pPr>
      <w:r>
        <w:rPr/>
        <w:pict>
          <v:shape style="position:absolute;margin-left:70.739998pt;margin-top:54.165283pt;width:658.35pt;height:65.2pt;mso-position-horizontal-relative:page;mso-position-vertical-relative:paragraph;z-index:-15726592;mso-wrap-distance-left:0;mso-wrap-distance-right:0" type="#_x0000_t202" filled="false" stroked="true" strokeweight="2.04pt" strokecolor="#0a4ea1">
            <v:textbox inset="0,0,0,0">
              <w:txbxContent>
                <w:p>
                  <w:pPr>
                    <w:tabs>
                      <w:tab w:pos="1513" w:val="left" w:leader="none"/>
                    </w:tabs>
                    <w:spacing w:before="316"/>
                    <w:ind w:left="187" w:right="0" w:firstLine="0"/>
                    <w:jc w:val="left"/>
                    <w:rPr>
                      <w:b/>
                      <w:sz w:val="36"/>
                    </w:rPr>
                  </w:pPr>
                  <w:r>
                    <w:rPr>
                      <w:b/>
                      <w:color w:val="FFFFFF"/>
                      <w:w w:val="99"/>
                      <w:position w:val="1"/>
                      <w:sz w:val="32"/>
                      <w:shd w:fill="006FC0" w:color="auto" w:val="clear"/>
                    </w:rPr>
                    <w:t> </w:t>
                  </w:r>
                  <w:r>
                    <w:rPr>
                      <w:b/>
                      <w:color w:val="FFFFFF"/>
                      <w:spacing w:val="-18"/>
                      <w:position w:val="1"/>
                      <w:sz w:val="32"/>
                      <w:shd w:fill="006FC0" w:color="auto" w:val="clear"/>
                    </w:rPr>
                    <w:t> </w:t>
                  </w:r>
                  <w:r>
                    <w:rPr>
                      <w:b/>
                      <w:color w:val="FFFFFF"/>
                      <w:position w:val="1"/>
                      <w:sz w:val="32"/>
                      <w:shd w:fill="006FC0" w:color="auto" w:val="clear"/>
                    </w:rPr>
                    <w:t>01</w:t>
                  </w:r>
                  <w:r>
                    <w:rPr>
                      <w:b/>
                      <w:color w:val="FFFFFF"/>
                      <w:position w:val="1"/>
                      <w:sz w:val="32"/>
                    </w:rPr>
                    <w:tab/>
                  </w:r>
                  <w:r>
                    <w:rPr>
                      <w:b/>
                      <w:color w:val="0A4EA1"/>
                      <w:sz w:val="36"/>
                    </w:rPr>
                    <w:t>行情回顾</w:t>
                  </w:r>
                </w:p>
              </w:txbxContent>
            </v:textbox>
            <v:stroke dashstyle="solid"/>
            <w10:wrap type="topAndBottom"/>
          </v:shape>
        </w:pict>
      </w:r>
      <w:r>
        <w:rPr>
          <w:color w:val="0A4EA1"/>
        </w:rPr>
        <w:t>第一部分</w:t>
      </w:r>
    </w:p>
    <w:p>
      <w:pPr>
        <w:pStyle w:val="BodyText"/>
        <w:spacing w:before="14"/>
        <w:rPr>
          <w:b/>
          <w:sz w:val="21"/>
        </w:rPr>
      </w:pPr>
    </w:p>
    <w:p>
      <w:pPr>
        <w:spacing w:after="0"/>
        <w:rPr>
          <w:sz w:val="21"/>
        </w:rPr>
        <w:sectPr>
          <w:pgSz w:w="19200" w:h="10800" w:orient="landscape"/>
          <w:pgMar w:top="0" w:bottom="0" w:left="0" w:right="0"/>
        </w:sectPr>
      </w:pPr>
    </w:p>
    <w:p>
      <w:pPr>
        <w:spacing w:before="45"/>
        <w:ind w:left="0" w:right="0" w:firstLine="0"/>
        <w:jc w:val="right"/>
        <w:rPr>
          <w:b/>
          <w:sz w:val="32"/>
        </w:rPr>
      </w:pPr>
      <w:r>
        <w:rPr/>
        <w:drawing>
          <wp:anchor distT="0" distB="0" distL="0" distR="0" allowOverlap="1" layoutInCell="1" locked="0" behindDoc="0" simplePos="0" relativeHeight="15731200">
            <wp:simplePos x="0" y="0"/>
            <wp:positionH relativeFrom="page">
              <wp:posOffset>10372343</wp:posOffset>
            </wp:positionH>
            <wp:positionV relativeFrom="page">
              <wp:posOffset>0</wp:posOffset>
            </wp:positionV>
            <wp:extent cx="1819655" cy="6857998"/>
            <wp:effectExtent l="0" t="0" r="0" b="0"/>
            <wp:wrapNone/>
            <wp:docPr id="3" name="image4.jpeg"/>
            <wp:cNvGraphicFramePr>
              <a:graphicFrameLocks noChangeAspect="1"/>
            </wp:cNvGraphicFramePr>
            <a:graphic>
              <a:graphicData uri="http://schemas.openxmlformats.org/drawingml/2006/picture">
                <pic:pic>
                  <pic:nvPicPr>
                    <pic:cNvPr id="4" name="image4.jpeg"/>
                    <pic:cNvPicPr/>
                  </pic:nvPicPr>
                  <pic:blipFill>
                    <a:blip r:embed="rId12" cstate="print"/>
                    <a:stretch>
                      <a:fillRect/>
                    </a:stretch>
                  </pic:blipFill>
                  <pic:spPr>
                    <a:xfrm>
                      <a:off x="0" y="0"/>
                      <a:ext cx="1819655" cy="6857998"/>
                    </a:xfrm>
                    <a:prstGeom prst="rect">
                      <a:avLst/>
                    </a:prstGeom>
                  </pic:spPr>
                </pic:pic>
              </a:graphicData>
            </a:graphic>
          </wp:anchor>
        </w:drawing>
      </w:r>
      <w:r>
        <w:rPr>
          <w:b/>
          <w:color w:val="FFFFFF"/>
          <w:w w:val="99"/>
          <w:sz w:val="32"/>
          <w:shd w:fill="BEBEBE" w:color="auto" w:val="clear"/>
        </w:rPr>
        <w:t> </w:t>
      </w:r>
      <w:r>
        <w:rPr>
          <w:b/>
          <w:color w:val="FFFFFF"/>
          <w:spacing w:val="-37"/>
          <w:sz w:val="32"/>
          <w:shd w:fill="BEBEBE" w:color="auto" w:val="clear"/>
        </w:rPr>
        <w:t> </w:t>
      </w:r>
      <w:r>
        <w:rPr>
          <w:b/>
          <w:color w:val="FFFFFF"/>
          <w:sz w:val="32"/>
          <w:shd w:fill="BEBEBE" w:color="auto" w:val="clear"/>
        </w:rPr>
        <w:t>02</w:t>
      </w:r>
      <w:r>
        <w:rPr>
          <w:b/>
          <w:color w:val="FFFFFF"/>
          <w:spacing w:val="-36"/>
          <w:sz w:val="32"/>
          <w:shd w:fill="BEBEBE" w:color="auto" w:val="clear"/>
        </w:rPr>
        <w:t> </w:t>
      </w:r>
    </w:p>
    <w:p>
      <w:pPr>
        <w:pStyle w:val="BodyText"/>
        <w:spacing w:before="3"/>
        <w:rPr>
          <w:b/>
          <w:sz w:val="45"/>
        </w:rPr>
      </w:pPr>
    </w:p>
    <w:p>
      <w:pPr>
        <w:spacing w:before="0"/>
        <w:ind w:left="0" w:right="0" w:firstLine="0"/>
        <w:jc w:val="right"/>
        <w:rPr>
          <w:b/>
          <w:sz w:val="32"/>
        </w:rPr>
      </w:pPr>
      <w:r>
        <w:rPr>
          <w:b/>
          <w:color w:val="FFFFFF"/>
          <w:w w:val="99"/>
          <w:sz w:val="32"/>
          <w:shd w:fill="BEBEBE" w:color="auto" w:val="clear"/>
        </w:rPr>
        <w:t> </w:t>
      </w:r>
      <w:r>
        <w:rPr>
          <w:b/>
          <w:color w:val="FFFFFF"/>
          <w:spacing w:val="-37"/>
          <w:sz w:val="32"/>
          <w:shd w:fill="BEBEBE" w:color="auto" w:val="clear"/>
        </w:rPr>
        <w:t> </w:t>
      </w:r>
      <w:r>
        <w:rPr>
          <w:b/>
          <w:color w:val="FFFFFF"/>
          <w:sz w:val="32"/>
          <w:shd w:fill="BEBEBE" w:color="auto" w:val="clear"/>
        </w:rPr>
        <w:t>03</w:t>
      </w:r>
      <w:r>
        <w:rPr>
          <w:b/>
          <w:color w:val="FFFFFF"/>
          <w:spacing w:val="-36"/>
          <w:sz w:val="32"/>
          <w:shd w:fill="BEBEBE" w:color="auto" w:val="clear"/>
        </w:rPr>
        <w:t> </w:t>
      </w:r>
    </w:p>
    <w:p>
      <w:pPr>
        <w:spacing w:line="513" w:lineRule="auto" w:before="6"/>
        <w:ind w:left="561" w:right="13009" w:firstLine="0"/>
        <w:jc w:val="left"/>
        <w:rPr>
          <w:sz w:val="36"/>
        </w:rPr>
      </w:pPr>
      <w:r>
        <w:rPr/>
        <w:br w:type="column"/>
      </w:r>
      <w:r>
        <w:rPr>
          <w:color w:val="A6A6A6"/>
          <w:sz w:val="36"/>
        </w:rPr>
        <w:t>板块观点和投资组合行业和个股事件</w:t>
      </w:r>
    </w:p>
    <w:p>
      <w:pPr>
        <w:spacing w:after="0" w:line="513" w:lineRule="auto"/>
        <w:jc w:val="left"/>
        <w:rPr>
          <w:sz w:val="36"/>
        </w:rPr>
        <w:sectPr>
          <w:type w:val="continuous"/>
          <w:pgSz w:w="19200" w:h="10800" w:orient="landscape"/>
          <w:pgMar w:top="140" w:bottom="0" w:left="0" w:right="0"/>
          <w:cols w:num="2" w:equalWidth="0">
            <w:col w:w="2348" w:space="40"/>
            <w:col w:w="16812"/>
          </w:cols>
        </w:sectPr>
      </w:pPr>
    </w:p>
    <w:p>
      <w:pPr>
        <w:spacing w:line="830" w:lineRule="exact" w:before="0"/>
        <w:ind w:left="956" w:right="0" w:firstLine="0"/>
        <w:jc w:val="left"/>
        <w:rPr>
          <w:b/>
          <w:sz w:val="48"/>
        </w:rPr>
      </w:pPr>
      <w:r>
        <w:rPr/>
        <w:drawing>
          <wp:anchor distT="0" distB="0" distL="0" distR="0" allowOverlap="1" layoutInCell="1" locked="0" behindDoc="0" simplePos="0" relativeHeight="15732224">
            <wp:simplePos x="0" y="0"/>
            <wp:positionH relativeFrom="page">
              <wp:posOffset>9144</wp:posOffset>
            </wp:positionH>
            <wp:positionV relativeFrom="paragraph">
              <wp:posOffset>605536</wp:posOffset>
            </wp:positionV>
            <wp:extent cx="12182855" cy="89915"/>
            <wp:effectExtent l="0" t="0" r="0" b="0"/>
            <wp:wrapNone/>
            <wp:docPr id="5" name="image5.png"/>
            <wp:cNvGraphicFramePr>
              <a:graphicFrameLocks noChangeAspect="1"/>
            </wp:cNvGraphicFramePr>
            <a:graphic>
              <a:graphicData uri="http://schemas.openxmlformats.org/drawingml/2006/picture">
                <pic:pic>
                  <pic:nvPicPr>
                    <pic:cNvPr id="6" name="image5.png"/>
                    <pic:cNvPicPr/>
                  </pic:nvPicPr>
                  <pic:blipFill>
                    <a:blip r:embed="rId14" cstate="print"/>
                    <a:stretch>
                      <a:fillRect/>
                    </a:stretch>
                  </pic:blipFill>
                  <pic:spPr>
                    <a:xfrm>
                      <a:off x="0" y="0"/>
                      <a:ext cx="12182855" cy="89915"/>
                    </a:xfrm>
                    <a:prstGeom prst="rect">
                      <a:avLst/>
                    </a:prstGeom>
                  </pic:spPr>
                </pic:pic>
              </a:graphicData>
            </a:graphic>
          </wp:anchor>
        </w:drawing>
      </w:r>
      <w:r>
        <w:rPr/>
        <w:drawing>
          <wp:anchor distT="0" distB="0" distL="0" distR="0" allowOverlap="1" layoutInCell="1" locked="0" behindDoc="0" simplePos="0" relativeHeight="15732736">
            <wp:simplePos x="0" y="0"/>
            <wp:positionH relativeFrom="page">
              <wp:posOffset>10789953</wp:posOffset>
            </wp:positionH>
            <wp:positionV relativeFrom="paragraph">
              <wp:posOffset>194437</wp:posOffset>
            </wp:positionV>
            <wp:extent cx="989015" cy="240220"/>
            <wp:effectExtent l="0" t="0" r="0" b="0"/>
            <wp:wrapNone/>
            <wp:docPr id="7" name="image1.jpeg"/>
            <wp:cNvGraphicFramePr>
              <a:graphicFrameLocks noChangeAspect="1"/>
            </wp:cNvGraphicFramePr>
            <a:graphic>
              <a:graphicData uri="http://schemas.openxmlformats.org/drawingml/2006/picture">
                <pic:pic>
                  <pic:nvPicPr>
                    <pic:cNvPr id="8" name="image1.jpeg"/>
                    <pic:cNvPicPr/>
                  </pic:nvPicPr>
                  <pic:blipFill>
                    <a:blip r:embed="rId5" cstate="print"/>
                    <a:stretch>
                      <a:fillRect/>
                    </a:stretch>
                  </pic:blipFill>
                  <pic:spPr>
                    <a:xfrm>
                      <a:off x="0" y="0"/>
                      <a:ext cx="989015" cy="240220"/>
                    </a:xfrm>
                    <a:prstGeom prst="rect">
                      <a:avLst/>
                    </a:prstGeom>
                  </pic:spPr>
                </pic:pic>
              </a:graphicData>
            </a:graphic>
          </wp:anchor>
        </w:drawing>
      </w:r>
      <w:r>
        <w:rPr>
          <w:b/>
          <w:color w:val="0A4EA1"/>
          <w:sz w:val="48"/>
        </w:rPr>
        <w:t>本周行情回顾</w:t>
      </w:r>
    </w:p>
    <w:p>
      <w:pPr>
        <w:pStyle w:val="BodyText"/>
        <w:spacing w:before="6"/>
        <w:rPr>
          <w:b/>
          <w:sz w:val="20"/>
        </w:rPr>
      </w:pPr>
    </w:p>
    <w:p>
      <w:pPr>
        <w:pStyle w:val="ListParagraph"/>
        <w:numPr>
          <w:ilvl w:val="0"/>
          <w:numId w:val="1"/>
        </w:numPr>
        <w:tabs>
          <w:tab w:pos="1217" w:val="left" w:leader="none"/>
        </w:tabs>
        <w:spacing w:line="240" w:lineRule="auto" w:before="28" w:after="0"/>
        <w:ind w:left="1216" w:right="0" w:hanging="284"/>
        <w:jc w:val="left"/>
        <w:rPr>
          <w:sz w:val="28"/>
        </w:rPr>
      </w:pPr>
      <w:r>
        <w:rPr>
          <w:color w:val="57585B"/>
          <w:spacing w:val="-3"/>
          <w:sz w:val="28"/>
        </w:rPr>
        <w:t>本周，中信医药指数上涨</w:t>
      </w:r>
      <w:r>
        <w:rPr>
          <w:color w:val="57585B"/>
          <w:sz w:val="28"/>
        </w:rPr>
        <w:t>4.49</w:t>
      </w:r>
      <w:r>
        <w:rPr>
          <w:color w:val="57585B"/>
          <w:spacing w:val="-2"/>
          <w:sz w:val="28"/>
        </w:rPr>
        <w:t>%，跑赢沪深</w:t>
      </w:r>
      <w:r>
        <w:rPr>
          <w:color w:val="57585B"/>
          <w:sz w:val="28"/>
        </w:rPr>
        <w:t>300</w:t>
      </w:r>
      <w:r>
        <w:rPr>
          <w:color w:val="57585B"/>
          <w:spacing w:val="-2"/>
          <w:sz w:val="28"/>
        </w:rPr>
        <w:t>指数</w:t>
      </w:r>
      <w:r>
        <w:rPr>
          <w:color w:val="57585B"/>
          <w:sz w:val="28"/>
        </w:rPr>
        <w:t>3.02</w:t>
      </w:r>
      <w:r>
        <w:rPr>
          <w:color w:val="57585B"/>
          <w:spacing w:val="-3"/>
          <w:sz w:val="28"/>
        </w:rPr>
        <w:t>个百分点，在中信</w:t>
      </w:r>
      <w:r>
        <w:rPr>
          <w:color w:val="57585B"/>
          <w:sz w:val="28"/>
        </w:rPr>
        <w:t>30</w:t>
      </w:r>
      <w:r>
        <w:rPr>
          <w:color w:val="57585B"/>
          <w:spacing w:val="-3"/>
          <w:sz w:val="28"/>
        </w:rPr>
        <w:t>个一级行业中排名第</w:t>
      </w:r>
      <w:r>
        <w:rPr>
          <w:color w:val="57585B"/>
          <w:sz w:val="28"/>
        </w:rPr>
        <w:t>3位。</w:t>
      </w:r>
    </w:p>
    <w:p>
      <w:pPr>
        <w:pStyle w:val="ListParagraph"/>
        <w:numPr>
          <w:ilvl w:val="0"/>
          <w:numId w:val="1"/>
        </w:numPr>
        <w:tabs>
          <w:tab w:pos="1217" w:val="left" w:leader="none"/>
        </w:tabs>
        <w:spacing w:line="240" w:lineRule="auto" w:before="2" w:after="0"/>
        <w:ind w:left="1216" w:right="0" w:hanging="284"/>
        <w:jc w:val="left"/>
        <w:rPr>
          <w:sz w:val="28"/>
        </w:rPr>
      </w:pPr>
      <w:r>
        <w:rPr>
          <w:color w:val="57585B"/>
          <w:spacing w:val="-3"/>
          <w:sz w:val="28"/>
        </w:rPr>
        <w:t>本周涨幅前十名股票为凯因科技、诺泰生物、海特生物、迪哲医药-</w:t>
      </w:r>
      <w:r>
        <w:rPr>
          <w:color w:val="57585B"/>
          <w:sz w:val="28"/>
        </w:rPr>
        <w:t>U</w:t>
      </w:r>
      <w:r>
        <w:rPr>
          <w:color w:val="57585B"/>
          <w:spacing w:val="-3"/>
          <w:sz w:val="28"/>
        </w:rPr>
        <w:t>、普利制药、诺思兰德、江苏吴中、益方生物-</w:t>
      </w:r>
      <w:r>
        <w:rPr>
          <w:color w:val="57585B"/>
          <w:sz w:val="28"/>
        </w:rPr>
        <w:t>U</w:t>
      </w:r>
      <w:r>
        <w:rPr>
          <w:color w:val="57585B"/>
          <w:spacing w:val="-3"/>
          <w:sz w:val="28"/>
        </w:rPr>
        <w:t>、诚达药业、百奥泰。</w:t>
      </w:r>
    </w:p>
    <w:p>
      <w:pPr>
        <w:pStyle w:val="ListParagraph"/>
        <w:numPr>
          <w:ilvl w:val="0"/>
          <w:numId w:val="1"/>
        </w:numPr>
        <w:tabs>
          <w:tab w:pos="1217" w:val="left" w:leader="none"/>
        </w:tabs>
        <w:spacing w:line="240" w:lineRule="auto" w:before="5" w:after="0"/>
        <w:ind w:left="1216" w:right="0" w:hanging="284"/>
        <w:jc w:val="left"/>
        <w:rPr>
          <w:sz w:val="28"/>
        </w:rPr>
      </w:pPr>
      <w:r>
        <w:rPr>
          <w:color w:val="57585B"/>
          <w:spacing w:val="-3"/>
          <w:sz w:val="28"/>
        </w:rPr>
        <w:t>本周跌幅前十名股票为</w:t>
      </w:r>
      <w:r>
        <w:rPr>
          <w:color w:val="57585B"/>
          <w:sz w:val="28"/>
        </w:rPr>
        <w:t>*ST</w:t>
      </w:r>
      <w:r>
        <w:rPr>
          <w:color w:val="57585B"/>
          <w:spacing w:val="-3"/>
          <w:sz w:val="28"/>
        </w:rPr>
        <w:t>吉药、艾德生物、国药股份、爱美客、锦好医疗、</w:t>
      </w:r>
      <w:r>
        <w:rPr>
          <w:color w:val="57585B"/>
          <w:sz w:val="28"/>
        </w:rPr>
        <w:t>*ST</w:t>
      </w:r>
      <w:r>
        <w:rPr>
          <w:color w:val="57585B"/>
          <w:spacing w:val="-3"/>
          <w:sz w:val="28"/>
        </w:rPr>
        <w:t>太安、德源药业、百普赛斯、双鹭药业、万邦德。</w:t>
      </w:r>
    </w:p>
    <w:p>
      <w:pPr>
        <w:tabs>
          <w:tab w:pos="2466" w:val="left" w:leader="none"/>
          <w:tab w:pos="7816" w:val="left" w:leader="none"/>
          <w:tab w:pos="10528" w:val="left" w:leader="none"/>
          <w:tab w:pos="12148" w:val="left" w:leader="none"/>
          <w:tab w:pos="17671" w:val="left" w:leader="none"/>
        </w:tabs>
        <w:spacing w:before="269"/>
        <w:ind w:left="1267" w:right="0" w:firstLine="0"/>
        <w:jc w:val="left"/>
        <w:rPr>
          <w:b/>
          <w:sz w:val="32"/>
        </w:rPr>
      </w:pPr>
      <w:r>
        <w:rPr>
          <w:rFonts w:ascii="Times New Roman" w:eastAsia="Times New Roman"/>
          <w:color w:val="FFFFFF"/>
          <w:w w:val="99"/>
          <w:position w:val="1"/>
          <w:sz w:val="32"/>
          <w:shd w:fill="0A4EA1" w:color="auto" w:val="clear"/>
        </w:rPr>
        <w:t> </w:t>
      </w:r>
      <w:r>
        <w:rPr>
          <w:rFonts w:ascii="Times New Roman" w:eastAsia="Times New Roman"/>
          <w:color w:val="FFFFFF"/>
          <w:position w:val="1"/>
          <w:sz w:val="32"/>
          <w:shd w:fill="0A4EA1" w:color="auto" w:val="clear"/>
        </w:rPr>
        <w:tab/>
      </w:r>
      <w:r>
        <w:rPr>
          <w:b/>
          <w:color w:val="FFFFFF"/>
          <w:position w:val="1"/>
          <w:sz w:val="32"/>
          <w:shd w:fill="0A4EA1" w:color="auto" w:val="clear"/>
        </w:rPr>
        <w:t>本周中信一级行业指数涨跌幅</w:t>
        <w:tab/>
      </w:r>
      <w:r>
        <w:rPr>
          <w:b/>
          <w:color w:val="FFFFFF"/>
          <w:position w:val="1"/>
          <w:sz w:val="32"/>
        </w:rPr>
        <w:tab/>
      </w:r>
      <w:r>
        <w:rPr>
          <w:rFonts w:ascii="Times New Roman" w:eastAsia="Times New Roman"/>
          <w:b/>
          <w:color w:val="FFFFFF"/>
          <w:sz w:val="32"/>
          <w:shd w:fill="0A4EA1" w:color="auto" w:val="clear"/>
        </w:rPr>
        <w:tab/>
      </w:r>
      <w:r>
        <w:rPr>
          <w:b/>
          <w:color w:val="FFFFFF"/>
          <w:spacing w:val="-1"/>
          <w:w w:val="95"/>
          <w:sz w:val="32"/>
          <w:shd w:fill="0A4EA1" w:color="auto" w:val="clear"/>
        </w:rPr>
        <w:t>本周涨跌幅排名前10的股</w:t>
      </w:r>
      <w:r>
        <w:rPr>
          <w:b/>
          <w:color w:val="FFFFFF"/>
          <w:w w:val="95"/>
          <w:sz w:val="32"/>
          <w:shd w:fill="0A4EA1" w:color="auto" w:val="clear"/>
        </w:rPr>
        <w:t>票</w:t>
      </w:r>
      <w:r>
        <w:rPr>
          <w:b/>
          <w:color w:val="FFFFFF"/>
          <w:sz w:val="32"/>
          <w:shd w:fill="0A4EA1" w:color="auto" w:val="clear"/>
        </w:rPr>
        <w:tab/>
      </w:r>
    </w:p>
    <w:p>
      <w:pPr>
        <w:pStyle w:val="BodyText"/>
        <w:spacing w:before="11"/>
        <w:rPr>
          <w:b/>
          <w:sz w:val="22"/>
        </w:rPr>
      </w:pPr>
    </w:p>
    <w:p>
      <w:pPr>
        <w:spacing w:after="0"/>
        <w:rPr>
          <w:sz w:val="22"/>
        </w:rPr>
        <w:sectPr>
          <w:footerReference w:type="default" r:id="rId13"/>
          <w:pgSz w:w="19200" w:h="10800" w:orient="landscape"/>
          <w:pgMar w:footer="173" w:header="0" w:top="400" w:bottom="360" w:left="0" w:right="0"/>
        </w:sectPr>
      </w:pPr>
    </w:p>
    <w:p>
      <w:pPr>
        <w:spacing w:before="95"/>
        <w:ind w:left="0" w:right="41" w:firstLine="0"/>
        <w:jc w:val="right"/>
        <w:rPr>
          <w:rFonts w:ascii="Times New Roman"/>
          <w:sz w:val="16"/>
        </w:rPr>
      </w:pPr>
      <w:r>
        <w:rPr>
          <w:rFonts w:ascii="Times New Roman"/>
          <w:sz w:val="16"/>
        </w:rPr>
        <w:t>6%</w:t>
      </w:r>
    </w:p>
    <w:p>
      <w:pPr>
        <w:pStyle w:val="BodyText"/>
        <w:spacing w:before="6"/>
        <w:rPr>
          <w:rFonts w:ascii="Times New Roman"/>
          <w:sz w:val="19"/>
        </w:rPr>
      </w:pPr>
    </w:p>
    <w:p>
      <w:pPr>
        <w:spacing w:before="0"/>
        <w:ind w:left="0" w:right="41" w:firstLine="0"/>
        <w:jc w:val="right"/>
        <w:rPr>
          <w:rFonts w:ascii="Times New Roman"/>
          <w:sz w:val="16"/>
        </w:rPr>
      </w:pPr>
      <w:r>
        <w:rPr>
          <w:rFonts w:ascii="Times New Roman"/>
          <w:sz w:val="16"/>
        </w:rPr>
        <w:t>5%</w:t>
      </w:r>
    </w:p>
    <w:p>
      <w:pPr>
        <w:pStyle w:val="BodyText"/>
        <w:spacing w:before="7"/>
        <w:rPr>
          <w:rFonts w:ascii="Times New Roman"/>
          <w:sz w:val="19"/>
        </w:rPr>
      </w:pPr>
    </w:p>
    <w:p>
      <w:pPr>
        <w:spacing w:before="0"/>
        <w:ind w:left="0" w:right="41" w:firstLine="0"/>
        <w:jc w:val="right"/>
        <w:rPr>
          <w:rFonts w:ascii="Times New Roman"/>
          <w:sz w:val="16"/>
        </w:rPr>
      </w:pPr>
      <w:r>
        <w:rPr>
          <w:rFonts w:ascii="Times New Roman"/>
          <w:sz w:val="16"/>
        </w:rPr>
        <w:t>4%</w:t>
      </w:r>
    </w:p>
    <w:p>
      <w:pPr>
        <w:pStyle w:val="BodyText"/>
        <w:spacing w:before="7"/>
        <w:rPr>
          <w:rFonts w:ascii="Times New Roman"/>
          <w:sz w:val="19"/>
        </w:rPr>
      </w:pPr>
    </w:p>
    <w:p>
      <w:pPr>
        <w:spacing w:before="0"/>
        <w:ind w:left="0" w:right="41" w:firstLine="0"/>
        <w:jc w:val="right"/>
        <w:rPr>
          <w:rFonts w:ascii="Times New Roman"/>
          <w:sz w:val="16"/>
        </w:rPr>
      </w:pPr>
      <w:r>
        <w:rPr>
          <w:rFonts w:ascii="Times New Roman"/>
          <w:sz w:val="16"/>
        </w:rPr>
        <w:t>3%</w:t>
      </w:r>
    </w:p>
    <w:p>
      <w:pPr>
        <w:pStyle w:val="BodyText"/>
        <w:spacing w:before="7"/>
        <w:rPr>
          <w:rFonts w:ascii="Times New Roman"/>
          <w:sz w:val="19"/>
        </w:rPr>
      </w:pPr>
    </w:p>
    <w:p>
      <w:pPr>
        <w:spacing w:before="0"/>
        <w:ind w:left="0" w:right="41" w:firstLine="0"/>
        <w:jc w:val="right"/>
        <w:rPr>
          <w:rFonts w:ascii="Times New Roman"/>
          <w:sz w:val="16"/>
        </w:rPr>
      </w:pPr>
      <w:r>
        <w:rPr>
          <w:rFonts w:ascii="Times New Roman"/>
          <w:sz w:val="16"/>
        </w:rPr>
        <w:t>2%</w:t>
      </w:r>
    </w:p>
    <w:p>
      <w:pPr>
        <w:pStyle w:val="BodyText"/>
        <w:spacing w:before="7"/>
        <w:rPr>
          <w:rFonts w:ascii="Times New Roman"/>
          <w:sz w:val="19"/>
        </w:rPr>
      </w:pPr>
    </w:p>
    <w:p>
      <w:pPr>
        <w:spacing w:before="0"/>
        <w:ind w:left="0" w:right="41" w:firstLine="0"/>
        <w:jc w:val="right"/>
        <w:rPr>
          <w:rFonts w:ascii="Times New Roman"/>
          <w:sz w:val="16"/>
        </w:rPr>
      </w:pPr>
      <w:r>
        <w:rPr>
          <w:rFonts w:ascii="Times New Roman"/>
          <w:sz w:val="16"/>
        </w:rPr>
        <w:t>1%</w:t>
      </w:r>
    </w:p>
    <w:p>
      <w:pPr>
        <w:pStyle w:val="BodyText"/>
        <w:spacing w:before="7"/>
        <w:rPr>
          <w:rFonts w:ascii="Times New Roman"/>
          <w:sz w:val="19"/>
        </w:rPr>
      </w:pPr>
    </w:p>
    <w:p>
      <w:pPr>
        <w:spacing w:before="0"/>
        <w:ind w:left="0" w:right="41" w:firstLine="0"/>
        <w:jc w:val="right"/>
        <w:rPr>
          <w:rFonts w:ascii="Times New Roman"/>
          <w:sz w:val="16"/>
        </w:rPr>
      </w:pPr>
      <w:r>
        <w:rPr>
          <w:rFonts w:ascii="Times New Roman"/>
          <w:sz w:val="16"/>
        </w:rPr>
        <w:t>0%</w:t>
      </w:r>
    </w:p>
    <w:p>
      <w:pPr>
        <w:pStyle w:val="BodyText"/>
        <w:spacing w:before="7"/>
        <w:rPr>
          <w:rFonts w:ascii="Times New Roman"/>
          <w:sz w:val="19"/>
        </w:rPr>
      </w:pPr>
    </w:p>
    <w:p>
      <w:pPr>
        <w:spacing w:before="0"/>
        <w:ind w:left="0" w:right="38" w:firstLine="0"/>
        <w:jc w:val="right"/>
        <w:rPr>
          <w:rFonts w:ascii="Times New Roman"/>
          <w:sz w:val="16"/>
        </w:rPr>
      </w:pPr>
      <w:r>
        <w:rPr>
          <w:rFonts w:ascii="Times New Roman"/>
          <w:sz w:val="16"/>
        </w:rPr>
        <w:t>-1%</w:t>
      </w:r>
    </w:p>
    <w:p>
      <w:pPr>
        <w:pStyle w:val="BodyText"/>
        <w:spacing w:before="8"/>
        <w:rPr>
          <w:rFonts w:ascii="Times New Roman"/>
          <w:sz w:val="19"/>
        </w:rPr>
      </w:pPr>
    </w:p>
    <w:p>
      <w:pPr>
        <w:spacing w:before="0"/>
        <w:ind w:left="0" w:right="38" w:firstLine="0"/>
        <w:jc w:val="right"/>
        <w:rPr>
          <w:rFonts w:ascii="Times New Roman"/>
          <w:sz w:val="16"/>
        </w:rPr>
      </w:pPr>
      <w:r>
        <w:rPr>
          <w:rFonts w:ascii="Times New Roman"/>
          <w:sz w:val="16"/>
        </w:rPr>
        <w:t>-2%</w:t>
      </w:r>
    </w:p>
    <w:p>
      <w:pPr>
        <w:pStyle w:val="BodyText"/>
        <w:spacing w:before="7"/>
        <w:rPr>
          <w:rFonts w:ascii="Times New Roman"/>
          <w:sz w:val="19"/>
        </w:rPr>
      </w:pPr>
    </w:p>
    <w:p>
      <w:pPr>
        <w:spacing w:before="0"/>
        <w:ind w:left="0" w:right="38" w:firstLine="0"/>
        <w:jc w:val="right"/>
        <w:rPr>
          <w:rFonts w:ascii="Times New Roman"/>
          <w:sz w:val="16"/>
        </w:rPr>
      </w:pPr>
      <w:r>
        <w:rPr>
          <w:rFonts w:ascii="Times New Roman"/>
          <w:sz w:val="16"/>
        </w:rPr>
        <w:t>-3%</w:t>
      </w:r>
    </w:p>
    <w:p>
      <w:pPr>
        <w:spacing w:before="149"/>
        <w:ind w:left="561" w:right="0" w:firstLine="0"/>
        <w:jc w:val="left"/>
        <w:rPr>
          <w:rFonts w:ascii="Times New Roman"/>
          <w:sz w:val="16"/>
        </w:rPr>
      </w:pPr>
      <w:r>
        <w:rPr/>
        <w:br w:type="column"/>
      </w:r>
      <w:r>
        <w:rPr>
          <w:rFonts w:ascii="Times New Roman"/>
          <w:sz w:val="16"/>
        </w:rPr>
        <w:t>-11.14%</w:t>
      </w:r>
    </w:p>
    <w:p>
      <w:pPr>
        <w:pStyle w:val="BodyText"/>
        <w:spacing w:before="9"/>
        <w:rPr>
          <w:rFonts w:ascii="Times New Roman"/>
          <w:sz w:val="18"/>
        </w:rPr>
      </w:pPr>
    </w:p>
    <w:p>
      <w:pPr>
        <w:spacing w:before="0"/>
        <w:ind w:left="1003" w:right="979" w:firstLine="0"/>
        <w:jc w:val="center"/>
        <w:rPr>
          <w:rFonts w:ascii="Times New Roman"/>
          <w:sz w:val="16"/>
        </w:rPr>
      </w:pPr>
      <w:r>
        <w:rPr/>
        <w:pict>
          <v:group style="position:absolute;margin-left:45.84pt;margin-top:-17.991245pt;width:407.2pt;height:184.7pt;mso-position-horizontal-relative:page;mso-position-vertical-relative:paragraph;z-index:15733760" coordorigin="917,-360" coordsize="8144,3694">
            <v:rect style="position:absolute;left:1584;top:261;width:108;height:1839" filled="true" fillcolor="#ff0000" stroked="false">
              <v:fill type="solid"/>
            </v:rect>
            <v:shape style="position:absolute;left:1044;top:-48;width:7121;height:2268" coordorigin="1044,-48" coordsize="7121,2268" path="m1152,-48l1044,-48,1044,2100,1152,2100,1152,-48xm1423,226l1315,226,1315,2100,1423,2100,1423,226xm1961,358l1853,358,1853,2100,1961,2100,1961,358xm2232,375l2124,375,2124,2100,2232,2100,2232,375xm2501,415l2393,415,2393,2100,2501,2100,2501,415xm2770,653l2662,653,2662,2100,2770,2100,2770,653xm3041,713l2933,713,2933,2100,3041,2100,3041,713xm3310,802l3202,802,3202,2100,3310,2100,3310,802xm3581,1080l3473,1080,3473,2100,3581,2100,3581,1080xm3850,1083l3742,1083,3742,2100,3850,2100,3850,1083xm4118,1099l4010,1099,4010,2100,4118,2100,4118,1099xm4390,1135l4282,1135,4282,2100,4390,2100,4390,1135xm4658,1217l4550,1217,4550,2100,4658,2100,4658,1217xm4927,1246l4819,1246,4819,2100,4927,2100,4927,1246xm5198,1251l5090,1251,5090,2100,5198,2100,5198,1251xm5467,1258l5359,1258,5359,2100,5467,2100,5467,1258xm5738,1267l5630,1267,5630,2100,5738,2100,5738,1267xm6007,1399l5899,1399,5899,2100,6007,2100,6007,1399xm6276,1431l6168,1431,6168,2100,6276,2100,6276,1431xm6547,1450l6439,1450,6439,2100,6547,2100,6547,1450xm6816,1517l6708,1517,6708,2100,6816,2100,6816,1517xm7085,1911l6977,1911,6977,2100,7085,2100,7085,1911xm7356,1968l7248,1968,7248,2100,7356,2100,7356,1968xm7625,2016l7517,2016,7517,2100,7625,2100,7625,2016xm7896,2100l7788,2100,7788,2129,7896,2129,7896,2100xm8165,2100l8057,2100,8057,2220,8165,2220,8165,2100xe" filled="true" fillcolor="#006fc0" stroked="false">
              <v:path arrowok="t"/>
              <v:fill type="solid"/>
            </v:shape>
            <v:shape style="position:absolute;left:916;top:-356;width:8139;height:3684" coordorigin="917,-355" coordsize="8139,3684" path="m962,3329l962,-355m917,3329l962,3329m917,2921l962,2921m917,2511l962,2511m917,2100l962,2100m917,1692l962,1692m917,1282l962,1282m917,874l962,874m917,463l962,463m917,55l962,55m917,-355l962,-355m962,2100l9055,2100m962,2100l962,2148m1234,2100l1234,2148m1502,2100l1502,2148m1774,2100l1774,2148m2042,2100l2042,2148m2311,2100l2311,2148m2582,2100l2582,2148m2851,2100l2851,2148m3120,2100l3120,2148m3391,2100l3391,2148m3660,2100l3660,2148m3931,2100l3931,2148m4200,2100l4200,2148m4469,2100l4469,2148m4740,2100l4740,2148m5009,2100l5009,2148m5280,2100l5280,2148m5549,2100l5549,2148m5818,2100l5818,2148m6089,2100l6089,2148m6358,2100l6358,2148m6626,2100l6626,2148m6898,2100l6898,2148m7166,2100l7166,2148m7438,2100l7438,2148m7706,2100l7706,2148m7975,2100l7975,2148m8246,2100l8246,2148m8515,2100l8515,2148m8784,2100l8784,2148m9055,2100l9055,2148e" filled="false" stroked="true" strokeweight=".48pt" strokecolor="#000000">
              <v:path arrowok="t"/>
              <v:stroke dashstyle="solid"/>
            </v:shape>
            <w10:wrap type="none"/>
          </v:group>
        </w:pict>
      </w:r>
      <w:r>
        <w:rPr/>
        <w:pict>
          <v:group style="position:absolute;margin-left:482.279999pt;margin-top:-25.671246pt;width:190.8pt;height:202.7pt;mso-position-horizontal-relative:page;mso-position-vertical-relative:paragraph;z-index:-18056704" coordorigin="9646,-513" coordsize="3816,4054">
            <v:shape style="position:absolute;left:9919;top:-389;width:3495;height:3761" coordorigin="9919,-389" coordsize="3495,3761" path="m13414,3211l11419,3211,11419,3372,13414,3372,13414,3211xm13414,2811l11398,2811,11398,2971,13414,2971,13414,2811xm13414,2412l11383,2412,11383,2571,13414,2571,13414,2412xm13414,2011l11302,2011,11302,2172,13414,2172,13414,2011xm13414,1611l11227,1611,11227,1771,13414,1771,13414,1611xm13414,1212l10886,1212,10886,1371,13414,1371,13414,1212xm13414,811l10800,811,10800,972,13414,972,13414,811xm13414,411l10733,411,10733,571,13414,571,13414,411xm13414,12l10462,12,10462,171,13414,171,13414,12xm13414,-389l9919,-389,9919,-228,13414,-228,13414,-389xe" filled="true" fillcolor="#006fc0" stroked="false">
              <v:path arrowok="t"/>
              <v:fill type="solid"/>
            </v:shape>
            <v:shape style="position:absolute;left:9650;top:-509;width:3812;height:4049" coordorigin="9650,-509" coordsize="3812,4049" path="m9650,3492l13414,3492m9650,3492l9650,3540m10277,3492l10277,3540m10906,3492l10906,3540m11532,3492l11532,3540m12158,3492l12158,3540m12787,3492l12787,3540m13414,3492l13414,3540m13414,3492l13414,-509m13414,3492l13462,3492m13414,3091l13462,3091m13414,2691l13462,2691m13414,2292l13462,2292m13414,1891l13462,1891m13414,1491l13462,1491m13414,1092l13462,1092m13414,691l13462,691m13414,291l13462,291m13414,-108l13462,-108m13414,-509l13462,-509e" filled="false" stroked="true" strokeweight=".48pt" strokecolor="#000000">
              <v:path arrowok="t"/>
              <v:stroke dashstyle="solid"/>
            </v:shape>
            <w10:wrap type="none"/>
          </v:group>
        </w:pict>
      </w:r>
      <w:r>
        <w:rPr>
          <w:rFonts w:ascii="Times New Roman"/>
          <w:sz w:val="16"/>
        </w:rPr>
        <w:t>-9.41%</w:t>
      </w:r>
    </w:p>
    <w:p>
      <w:pPr>
        <w:pStyle w:val="BodyText"/>
        <w:spacing w:before="9"/>
        <w:rPr>
          <w:rFonts w:ascii="Times New Roman"/>
          <w:sz w:val="18"/>
        </w:rPr>
      </w:pPr>
    </w:p>
    <w:p>
      <w:pPr>
        <w:spacing w:before="0"/>
        <w:ind w:left="0" w:right="723" w:firstLine="0"/>
        <w:jc w:val="right"/>
        <w:rPr>
          <w:rFonts w:ascii="Times New Roman"/>
          <w:sz w:val="16"/>
        </w:rPr>
      </w:pPr>
      <w:r>
        <w:rPr>
          <w:rFonts w:ascii="Times New Roman"/>
          <w:sz w:val="16"/>
        </w:rPr>
        <w:t>-8.55%</w:t>
      </w:r>
    </w:p>
    <w:p>
      <w:pPr>
        <w:pStyle w:val="BodyText"/>
        <w:spacing w:before="9"/>
        <w:rPr>
          <w:rFonts w:ascii="Times New Roman"/>
          <w:sz w:val="18"/>
        </w:rPr>
      </w:pPr>
    </w:p>
    <w:p>
      <w:pPr>
        <w:spacing w:before="0"/>
        <w:ind w:left="0" w:right="657" w:firstLine="0"/>
        <w:jc w:val="right"/>
        <w:rPr>
          <w:rFonts w:ascii="Times New Roman"/>
          <w:sz w:val="16"/>
        </w:rPr>
      </w:pPr>
      <w:r>
        <w:rPr>
          <w:rFonts w:ascii="Times New Roman"/>
          <w:sz w:val="16"/>
        </w:rPr>
        <w:t>-8.34%</w:t>
      </w:r>
    </w:p>
    <w:p>
      <w:pPr>
        <w:pStyle w:val="BodyText"/>
        <w:spacing w:before="9"/>
        <w:rPr>
          <w:rFonts w:ascii="Times New Roman"/>
          <w:sz w:val="18"/>
        </w:rPr>
      </w:pPr>
    </w:p>
    <w:p>
      <w:pPr>
        <w:spacing w:before="1"/>
        <w:ind w:left="0" w:right="570" w:firstLine="0"/>
        <w:jc w:val="right"/>
        <w:rPr>
          <w:rFonts w:ascii="Times New Roman"/>
          <w:sz w:val="16"/>
        </w:rPr>
      </w:pPr>
      <w:r>
        <w:rPr>
          <w:rFonts w:ascii="Times New Roman"/>
          <w:sz w:val="16"/>
        </w:rPr>
        <w:t>-8.06%</w:t>
      </w:r>
    </w:p>
    <w:p>
      <w:pPr>
        <w:pStyle w:val="BodyText"/>
        <w:spacing w:before="8"/>
        <w:rPr>
          <w:rFonts w:ascii="Times New Roman"/>
          <w:sz w:val="18"/>
        </w:rPr>
      </w:pPr>
    </w:p>
    <w:p>
      <w:pPr>
        <w:spacing w:before="0"/>
        <w:ind w:left="0" w:right="227" w:firstLine="0"/>
        <w:jc w:val="right"/>
        <w:rPr>
          <w:rFonts w:ascii="Times New Roman"/>
          <w:sz w:val="16"/>
        </w:rPr>
      </w:pPr>
      <w:r>
        <w:rPr>
          <w:rFonts w:ascii="Times New Roman"/>
          <w:sz w:val="16"/>
        </w:rPr>
        <w:t>-6.97%</w:t>
      </w:r>
    </w:p>
    <w:p>
      <w:pPr>
        <w:pStyle w:val="BodyText"/>
        <w:spacing w:before="10"/>
        <w:rPr>
          <w:rFonts w:ascii="Times New Roman"/>
          <w:sz w:val="18"/>
        </w:rPr>
      </w:pPr>
    </w:p>
    <w:p>
      <w:pPr>
        <w:spacing w:before="0"/>
        <w:ind w:left="0" w:right="155" w:firstLine="0"/>
        <w:jc w:val="right"/>
        <w:rPr>
          <w:rFonts w:ascii="Times New Roman"/>
          <w:sz w:val="16"/>
        </w:rPr>
      </w:pPr>
      <w:r>
        <w:rPr/>
        <w:pict>
          <v:rect style="position:absolute;margin-left:443.279999pt;margin-top:4.968746pt;width:5.4pt;height:40.08pt;mso-position-horizontal-relative:page;mso-position-vertical-relative:paragraph;z-index:-18057728" filled="true" fillcolor="#006fc0" stroked="false">
            <v:fill type="solid"/>
            <w10:wrap type="none"/>
          </v:rect>
        </w:pict>
      </w:r>
      <w:r>
        <w:rPr/>
        <w:pict>
          <v:shape style="position:absolute;margin-left:48.764832pt;margin-top:8.718743pt;width:403.75pt;height:66.350pt;mso-position-horizontal-relative:page;mso-position-vertical-relative:paragraph;z-index:15736832" type="#_x0000_t202" filled="false" stroked="false">
            <v:textbox inset="0,0,0,0" style="layout-flow:vertical;mso-layout-flow-alt:bottom-to-top">
              <w:txbxContent>
                <w:p>
                  <w:pPr>
                    <w:spacing w:line="261" w:lineRule="exact" w:before="0"/>
                    <w:ind w:left="0" w:right="19" w:firstLine="0"/>
                    <w:jc w:val="right"/>
                    <w:rPr>
                      <w:sz w:val="16"/>
                    </w:rPr>
                  </w:pPr>
                  <w:r>
                    <w:rPr>
                      <w:sz w:val="16"/>
                    </w:rPr>
                    <w:t>农林牧渔</w:t>
                  </w:r>
                </w:p>
                <w:p>
                  <w:pPr>
                    <w:spacing w:line="218" w:lineRule="auto" w:before="6"/>
                    <w:ind w:left="982" w:right="20" w:firstLine="0"/>
                    <w:jc w:val="right"/>
                    <w:rPr>
                      <w:sz w:val="16"/>
                    </w:rPr>
                  </w:pPr>
                  <w:r>
                    <w:rPr>
                      <w:spacing w:val="-9"/>
                      <w:sz w:val="16"/>
                    </w:rPr>
                    <w:t>汽车医药</w:t>
                  </w:r>
                </w:p>
                <w:p>
                  <w:pPr>
                    <w:spacing w:line="266" w:lineRule="exact" w:before="0"/>
                    <w:ind w:left="0" w:right="19" w:firstLine="0"/>
                    <w:jc w:val="right"/>
                    <w:rPr>
                      <w:sz w:val="16"/>
                    </w:rPr>
                  </w:pPr>
                  <w:r>
                    <w:rPr>
                      <w:sz w:val="16"/>
                    </w:rPr>
                    <w:t>食品饮料</w:t>
                  </w:r>
                </w:p>
                <w:p>
                  <w:pPr>
                    <w:spacing w:line="218" w:lineRule="auto" w:before="7"/>
                    <w:ind w:left="661" w:right="19" w:firstLine="320"/>
                    <w:jc w:val="both"/>
                    <w:rPr>
                      <w:sz w:val="16"/>
                    </w:rPr>
                  </w:pPr>
                  <w:r>
                    <w:rPr>
                      <w:spacing w:val="-8"/>
                      <w:sz w:val="16"/>
                    </w:rPr>
                    <w:t>综合</w:t>
                  </w:r>
                  <w:r>
                    <w:rPr>
                      <w:spacing w:val="-5"/>
                      <w:sz w:val="16"/>
                    </w:rPr>
                    <w:t>纺织服装交通运输</w:t>
                  </w:r>
                </w:p>
                <w:p>
                  <w:pPr>
                    <w:spacing w:line="218" w:lineRule="auto" w:before="3"/>
                    <w:ind w:left="661" w:right="19" w:firstLine="320"/>
                    <w:jc w:val="both"/>
                    <w:rPr>
                      <w:sz w:val="16"/>
                    </w:rPr>
                  </w:pPr>
                  <w:r>
                    <w:rPr>
                      <w:spacing w:val="-8"/>
                      <w:sz w:val="16"/>
                    </w:rPr>
                    <w:t>钢铁</w:t>
                  </w:r>
                  <w:r>
                    <w:rPr>
                      <w:spacing w:val="-5"/>
                      <w:sz w:val="16"/>
                    </w:rPr>
                    <w:t>国防军工基础化工</w:t>
                  </w:r>
                </w:p>
                <w:p>
                  <w:pPr>
                    <w:spacing w:line="218" w:lineRule="auto" w:before="4"/>
                    <w:ind w:left="982" w:right="20" w:firstLine="0"/>
                    <w:jc w:val="both"/>
                    <w:rPr>
                      <w:sz w:val="16"/>
                    </w:rPr>
                  </w:pPr>
                  <w:r>
                    <w:rPr>
                      <w:spacing w:val="-9"/>
                      <w:sz w:val="16"/>
                    </w:rPr>
                    <w:t>电子建筑机械</w:t>
                  </w:r>
                </w:p>
                <w:p>
                  <w:pPr>
                    <w:spacing w:line="218" w:lineRule="auto" w:before="4"/>
                    <w:ind w:left="500" w:right="19" w:hanging="321"/>
                    <w:jc w:val="right"/>
                    <w:rPr>
                      <w:sz w:val="16"/>
                    </w:rPr>
                  </w:pPr>
                  <w:r>
                    <w:rPr>
                      <w:spacing w:val="-3"/>
                      <w:sz w:val="16"/>
                    </w:rPr>
                    <w:t>电力及公用事业</w:t>
                  </w:r>
                  <w:r>
                    <w:rPr>
                      <w:spacing w:val="-4"/>
                      <w:sz w:val="16"/>
                    </w:rPr>
                    <w:t>消费者服务</w:t>
                  </w:r>
                  <w:r>
                    <w:rPr>
                      <w:sz w:val="16"/>
                    </w:rPr>
                    <w:t>商 贸 零 售 轻工制造</w:t>
                  </w:r>
                </w:p>
                <w:p>
                  <w:pPr>
                    <w:spacing w:line="218" w:lineRule="auto" w:before="6"/>
                    <w:ind w:left="661" w:right="19" w:firstLine="320"/>
                    <w:jc w:val="both"/>
                    <w:rPr>
                      <w:sz w:val="16"/>
                    </w:rPr>
                  </w:pPr>
                  <w:r>
                    <w:rPr>
                      <w:spacing w:val="-8"/>
                      <w:sz w:val="16"/>
                    </w:rPr>
                    <w:t>家电</w:t>
                  </w:r>
                  <w:r>
                    <w:rPr>
                      <w:spacing w:val="-5"/>
                      <w:sz w:val="16"/>
                    </w:rPr>
                    <w:t>有色金属综合金融</w:t>
                  </w:r>
                </w:p>
                <w:p>
                  <w:pPr>
                    <w:spacing w:line="218" w:lineRule="auto" w:before="4"/>
                    <w:ind w:left="982" w:right="20" w:firstLine="0"/>
                    <w:jc w:val="right"/>
                    <w:rPr>
                      <w:sz w:val="16"/>
                    </w:rPr>
                  </w:pPr>
                  <w:r>
                    <w:rPr>
                      <w:spacing w:val="-9"/>
                      <w:sz w:val="16"/>
                    </w:rPr>
                    <w:t>传媒建材</w:t>
                  </w:r>
                </w:p>
                <w:p>
                  <w:pPr>
                    <w:spacing w:line="266" w:lineRule="exact" w:before="0"/>
                    <w:ind w:left="0" w:right="20" w:firstLine="0"/>
                    <w:jc w:val="right"/>
                    <w:rPr>
                      <w:sz w:val="16"/>
                    </w:rPr>
                  </w:pPr>
                  <w:r>
                    <w:rPr>
                      <w:sz w:val="16"/>
                    </w:rPr>
                    <w:t>非银行金融</w:t>
                  </w:r>
                </w:p>
                <w:p>
                  <w:pPr>
                    <w:spacing w:line="218" w:lineRule="auto" w:before="7"/>
                    <w:ind w:left="821" w:right="21" w:firstLine="0"/>
                    <w:jc w:val="right"/>
                    <w:rPr>
                      <w:sz w:val="16"/>
                    </w:rPr>
                  </w:pPr>
                  <w:r>
                    <w:rPr>
                      <w:spacing w:val="-7"/>
                      <w:sz w:val="16"/>
                    </w:rPr>
                    <w:t>房地产计算机</w:t>
                  </w:r>
                </w:p>
                <w:p>
                  <w:pPr>
                    <w:spacing w:line="266" w:lineRule="exact" w:before="0"/>
                    <w:ind w:left="0" w:right="18" w:firstLine="0"/>
                    <w:jc w:val="right"/>
                    <w:rPr>
                      <w:sz w:val="16"/>
                    </w:rPr>
                  </w:pPr>
                  <w:r>
                    <w:rPr>
                      <w:sz w:val="16"/>
                    </w:rPr>
                    <w:t>电力设备及新能源</w:t>
                  </w:r>
                </w:p>
                <w:p>
                  <w:pPr>
                    <w:spacing w:line="270" w:lineRule="exact" w:before="0"/>
                    <w:ind w:left="0" w:right="19" w:firstLine="0"/>
                    <w:jc w:val="right"/>
                    <w:rPr>
                      <w:sz w:val="16"/>
                    </w:rPr>
                  </w:pPr>
                  <w:r>
                    <w:rPr>
                      <w:sz w:val="16"/>
                    </w:rPr>
                    <w:t>石油石化</w:t>
                  </w:r>
                </w:p>
                <w:p>
                  <w:pPr>
                    <w:spacing w:line="218" w:lineRule="auto" w:before="2"/>
                    <w:ind w:left="982" w:right="20" w:firstLine="0"/>
                    <w:jc w:val="both"/>
                    <w:rPr>
                      <w:sz w:val="16"/>
                    </w:rPr>
                  </w:pPr>
                  <w:r>
                    <w:rPr>
                      <w:spacing w:val="-9"/>
                      <w:sz w:val="16"/>
                    </w:rPr>
                    <w:t>银行煤炭通信</w:t>
                  </w:r>
                </w:p>
              </w:txbxContent>
            </v:textbox>
            <w10:wrap type="none"/>
          </v:shape>
        </w:pict>
      </w:r>
      <w:r>
        <w:rPr>
          <w:rFonts w:ascii="Times New Roman"/>
          <w:sz w:val="16"/>
        </w:rPr>
        <w:t>-6.74%</w:t>
      </w:r>
    </w:p>
    <w:p>
      <w:pPr>
        <w:pStyle w:val="BodyText"/>
        <w:spacing w:before="9"/>
        <w:rPr>
          <w:rFonts w:ascii="Times New Roman"/>
          <w:sz w:val="18"/>
        </w:rPr>
      </w:pPr>
    </w:p>
    <w:p>
      <w:pPr>
        <w:spacing w:before="0"/>
        <w:ind w:left="0" w:right="71" w:firstLine="0"/>
        <w:jc w:val="right"/>
        <w:rPr>
          <w:rFonts w:ascii="Times New Roman"/>
          <w:sz w:val="16"/>
        </w:rPr>
      </w:pPr>
      <w:r>
        <w:rPr>
          <w:rFonts w:ascii="Times New Roman"/>
          <w:sz w:val="16"/>
        </w:rPr>
        <w:t>-6.47%</w:t>
      </w:r>
    </w:p>
    <w:p>
      <w:pPr>
        <w:pStyle w:val="BodyText"/>
        <w:spacing w:before="9"/>
        <w:rPr>
          <w:rFonts w:ascii="Times New Roman"/>
          <w:sz w:val="18"/>
        </w:rPr>
      </w:pPr>
    </w:p>
    <w:p>
      <w:pPr>
        <w:spacing w:before="0"/>
        <w:ind w:left="0" w:right="59" w:firstLine="0"/>
        <w:jc w:val="right"/>
        <w:rPr>
          <w:rFonts w:ascii="Times New Roman"/>
          <w:sz w:val="16"/>
        </w:rPr>
      </w:pPr>
      <w:r>
        <w:rPr>
          <w:rFonts w:ascii="Times New Roman"/>
          <w:sz w:val="16"/>
        </w:rPr>
        <w:t>-6.43%</w:t>
      </w:r>
    </w:p>
    <w:p>
      <w:pPr>
        <w:pStyle w:val="BodyText"/>
        <w:spacing w:before="9"/>
        <w:rPr>
          <w:rFonts w:ascii="Times New Roman"/>
          <w:sz w:val="18"/>
        </w:rPr>
      </w:pPr>
    </w:p>
    <w:p>
      <w:pPr>
        <w:spacing w:before="0"/>
        <w:ind w:left="0" w:right="38" w:firstLine="0"/>
        <w:jc w:val="right"/>
        <w:rPr>
          <w:rFonts w:ascii="Times New Roman"/>
          <w:sz w:val="16"/>
        </w:rPr>
      </w:pPr>
      <w:r>
        <w:rPr>
          <w:rFonts w:ascii="Times New Roman"/>
          <w:sz w:val="16"/>
        </w:rPr>
        <w:t>-6.36%</w:t>
      </w:r>
    </w:p>
    <w:p>
      <w:pPr>
        <w:spacing w:line="326" w:lineRule="auto" w:before="90"/>
        <w:ind w:left="561" w:right="0" w:firstLine="2"/>
        <w:jc w:val="left"/>
        <w:rPr>
          <w:sz w:val="16"/>
        </w:rPr>
      </w:pPr>
      <w:r>
        <w:rPr/>
        <w:br w:type="column"/>
      </w:r>
      <w:r>
        <w:rPr>
          <w:rFonts w:ascii="Times New Roman" w:eastAsia="Times New Roman"/>
          <w:sz w:val="16"/>
        </w:rPr>
        <w:t>*ST</w:t>
      </w:r>
      <w:r>
        <w:rPr>
          <w:sz w:val="16"/>
        </w:rPr>
        <w:t>吉药艾德生物国药股份爱 美 客 锦好医疗</w:t>
      </w:r>
    </w:p>
    <w:p>
      <w:pPr>
        <w:spacing w:line="326" w:lineRule="auto" w:before="0"/>
        <w:ind w:left="561" w:right="0" w:firstLine="2"/>
        <w:jc w:val="both"/>
        <w:rPr>
          <w:sz w:val="16"/>
        </w:rPr>
      </w:pPr>
      <w:r>
        <w:rPr>
          <w:rFonts w:ascii="Times New Roman" w:eastAsia="Times New Roman"/>
          <w:sz w:val="16"/>
        </w:rPr>
        <w:t>*ST</w:t>
      </w:r>
      <w:r>
        <w:rPr>
          <w:sz w:val="16"/>
        </w:rPr>
        <w:t>太安德源药业百普赛斯双鹭药业万邦德</w:t>
      </w:r>
    </w:p>
    <w:p>
      <w:pPr>
        <w:spacing w:line="324" w:lineRule="auto" w:before="86"/>
        <w:ind w:left="190" w:right="38" w:firstLine="168"/>
        <w:jc w:val="right"/>
        <w:rPr>
          <w:sz w:val="16"/>
        </w:rPr>
      </w:pPr>
      <w:r>
        <w:rPr/>
        <w:br w:type="column"/>
      </w:r>
      <w:r>
        <w:rPr>
          <w:sz w:val="16"/>
        </w:rPr>
        <w:t>凯因科技诺 泰 生 物 海 特 生 物 迪哲医药</w:t>
      </w:r>
      <w:r>
        <w:rPr>
          <w:rFonts w:ascii="Times New Roman" w:eastAsia="Times New Roman"/>
          <w:sz w:val="16"/>
        </w:rPr>
        <w:t>-U </w:t>
      </w:r>
      <w:r>
        <w:rPr>
          <w:sz w:val="16"/>
        </w:rPr>
        <w:t>普 利 制 药 诺 思 兰 德 江 苏 吴 中 益方生物</w:t>
      </w:r>
      <w:r>
        <w:rPr>
          <w:rFonts w:ascii="Times New Roman" w:eastAsia="Times New Roman"/>
          <w:sz w:val="16"/>
        </w:rPr>
        <w:t>-U </w:t>
      </w:r>
      <w:r>
        <w:rPr>
          <w:sz w:val="16"/>
        </w:rPr>
        <w:t>诚 达 药 业 百奥泰</w:t>
      </w:r>
    </w:p>
    <w:p>
      <w:pPr>
        <w:spacing w:before="144"/>
        <w:ind w:left="0" w:right="316" w:firstLine="0"/>
        <w:jc w:val="right"/>
        <w:rPr>
          <w:rFonts w:ascii="Times New Roman"/>
          <w:sz w:val="16"/>
        </w:rPr>
      </w:pPr>
      <w:r>
        <w:rPr/>
        <w:br w:type="column"/>
      </w:r>
      <w:r>
        <w:rPr>
          <w:rFonts w:ascii="Times New Roman"/>
          <w:sz w:val="16"/>
        </w:rPr>
        <w:t>29.45%</w:t>
      </w:r>
    </w:p>
    <w:p>
      <w:pPr>
        <w:pStyle w:val="BodyText"/>
        <w:spacing w:before="8"/>
        <w:rPr>
          <w:rFonts w:ascii="Times New Roman"/>
          <w:sz w:val="18"/>
        </w:rPr>
      </w:pPr>
    </w:p>
    <w:p>
      <w:pPr>
        <w:spacing w:before="0"/>
        <w:ind w:left="1368" w:right="0" w:firstLine="0"/>
        <w:jc w:val="left"/>
        <w:rPr>
          <w:rFonts w:ascii="Times New Roman"/>
          <w:sz w:val="16"/>
        </w:rPr>
      </w:pPr>
      <w:r>
        <w:rPr/>
        <w:pict>
          <v:group style="position:absolute;margin-left:766.080017pt;margin-top:-25.601248pt;width:174.75pt;height:201.85pt;mso-position-horizontal-relative:page;mso-position-vertical-relative:paragraph;z-index:-18057216" coordorigin="15322,-512" coordsize="3495,4037">
            <v:shape style="position:absolute;left:15369;top:-388;width:2895;height:3747" coordorigin="15370,-387" coordsize="2895,3747" path="m16973,3198l15370,3198,15370,3359,16973,3359,16973,3198xm16997,2800l15370,2800,15370,2961,16997,2961,16997,2800xm17021,2402l15370,2402,15370,2562,17021,2562,17021,2402xm17090,2003l15370,2003,15370,2164,17090,2164,17090,2003xm17170,1605l15370,1605,15370,1766,17170,1766,17170,1605xm17232,1206l15370,1206,15370,1367,17232,1367,17232,1206xm17278,808l15370,808,15370,969,17278,969,17278,808xm17474,410l15370,410,15370,570,17474,570,17474,410xm17779,11l15370,11,15370,172,17779,172,17779,11xm18264,-387l15370,-387,15370,-226,18264,-226,18264,-387xe" filled="true" fillcolor="#ff0000" stroked="false">
              <v:path arrowok="t"/>
              <v:fill type="solid"/>
            </v:shape>
            <v:shape style="position:absolute;left:15321;top:-508;width:3490;height:4032" coordorigin="15322,-507" coordsize="3490,4032" path="m15370,3477l18811,3477m15370,3477l15370,3525m15862,3477l15862,3525m16351,3477l16351,3525m16843,3477l16843,3525m17335,3477l17335,3525m17827,3477l17827,3525m18319,3477l18319,3525m18811,3477l18811,3525m15370,3477l15370,-507m15322,3477l15370,3477m15322,3078l15370,3078m15322,2680l15370,2680m15322,2282l15370,2282m15322,1883l15370,1883m15322,1485l15370,1485m15322,1086l15370,1086m15322,688l15370,688m15322,290l15370,290m15322,-109l15370,-109m15322,-507l15370,-507e" filled="false" stroked="true" strokeweight=".48pt" strokecolor="#000000">
              <v:path arrowok="t"/>
              <v:stroke dashstyle="solid"/>
            </v:shape>
            <w10:wrap type="none"/>
          </v:group>
        </w:pict>
      </w:r>
      <w:r>
        <w:rPr>
          <w:rFonts w:ascii="Times New Roman"/>
          <w:sz w:val="16"/>
        </w:rPr>
        <w:t>24.51%</w:t>
      </w:r>
    </w:p>
    <w:p>
      <w:pPr>
        <w:pStyle w:val="BodyText"/>
        <w:spacing w:before="7"/>
        <w:rPr>
          <w:rFonts w:ascii="Times New Roman"/>
          <w:sz w:val="18"/>
        </w:rPr>
      </w:pPr>
    </w:p>
    <w:p>
      <w:pPr>
        <w:spacing w:before="0"/>
        <w:ind w:left="1049" w:right="1090" w:firstLine="0"/>
        <w:jc w:val="center"/>
        <w:rPr>
          <w:rFonts w:ascii="Times New Roman"/>
          <w:sz w:val="16"/>
        </w:rPr>
      </w:pPr>
      <w:r>
        <w:rPr>
          <w:rFonts w:ascii="Times New Roman"/>
          <w:sz w:val="16"/>
        </w:rPr>
        <w:t>21.42%</w:t>
      </w:r>
    </w:p>
    <w:p>
      <w:pPr>
        <w:pStyle w:val="BodyText"/>
        <w:spacing w:before="7"/>
        <w:rPr>
          <w:rFonts w:ascii="Times New Roman"/>
          <w:sz w:val="18"/>
        </w:rPr>
      </w:pPr>
    </w:p>
    <w:p>
      <w:pPr>
        <w:spacing w:before="1"/>
        <w:ind w:left="865" w:right="0" w:firstLine="0"/>
        <w:jc w:val="left"/>
        <w:rPr>
          <w:rFonts w:ascii="Times New Roman"/>
          <w:sz w:val="16"/>
        </w:rPr>
      </w:pPr>
      <w:r>
        <w:rPr>
          <w:rFonts w:ascii="Times New Roman"/>
          <w:sz w:val="16"/>
        </w:rPr>
        <w:t>19.40%</w:t>
      </w:r>
    </w:p>
    <w:p>
      <w:pPr>
        <w:pStyle w:val="BodyText"/>
        <w:spacing w:before="7"/>
        <w:rPr>
          <w:rFonts w:ascii="Times New Roman"/>
          <w:sz w:val="18"/>
        </w:rPr>
      </w:pPr>
    </w:p>
    <w:p>
      <w:pPr>
        <w:spacing w:before="0"/>
        <w:ind w:left="821" w:right="0" w:firstLine="0"/>
        <w:jc w:val="left"/>
        <w:rPr>
          <w:rFonts w:ascii="Times New Roman"/>
          <w:sz w:val="16"/>
        </w:rPr>
      </w:pPr>
      <w:r>
        <w:rPr>
          <w:rFonts w:ascii="Times New Roman"/>
          <w:sz w:val="16"/>
        </w:rPr>
        <w:t>18.95%</w:t>
      </w:r>
    </w:p>
    <w:p>
      <w:pPr>
        <w:pStyle w:val="BodyText"/>
        <w:spacing w:before="8"/>
        <w:rPr>
          <w:rFonts w:ascii="Times New Roman"/>
          <w:sz w:val="18"/>
        </w:rPr>
      </w:pPr>
    </w:p>
    <w:p>
      <w:pPr>
        <w:spacing w:before="0"/>
        <w:ind w:left="758" w:right="0" w:firstLine="0"/>
        <w:jc w:val="left"/>
        <w:rPr>
          <w:rFonts w:ascii="Times New Roman"/>
          <w:sz w:val="16"/>
        </w:rPr>
      </w:pPr>
      <w:r>
        <w:rPr>
          <w:rFonts w:ascii="Times New Roman"/>
          <w:sz w:val="16"/>
        </w:rPr>
        <w:t>18.31%</w:t>
      </w:r>
    </w:p>
    <w:p>
      <w:pPr>
        <w:pStyle w:val="BodyText"/>
        <w:spacing w:before="7"/>
        <w:rPr>
          <w:rFonts w:ascii="Times New Roman"/>
          <w:sz w:val="18"/>
        </w:rPr>
      </w:pPr>
    </w:p>
    <w:p>
      <w:pPr>
        <w:spacing w:before="1"/>
        <w:ind w:left="679" w:right="0" w:firstLine="0"/>
        <w:jc w:val="left"/>
        <w:rPr>
          <w:rFonts w:ascii="Times New Roman"/>
          <w:sz w:val="16"/>
        </w:rPr>
      </w:pPr>
      <w:r>
        <w:rPr>
          <w:rFonts w:ascii="Times New Roman"/>
          <w:sz w:val="16"/>
        </w:rPr>
        <w:t>17.50%</w:t>
      </w:r>
    </w:p>
    <w:p>
      <w:pPr>
        <w:pStyle w:val="BodyText"/>
        <w:spacing w:before="7"/>
        <w:rPr>
          <w:rFonts w:ascii="Times New Roman"/>
          <w:sz w:val="18"/>
        </w:rPr>
      </w:pPr>
    </w:p>
    <w:p>
      <w:pPr>
        <w:spacing w:before="0"/>
        <w:ind w:left="609" w:right="0" w:firstLine="0"/>
        <w:jc w:val="left"/>
        <w:rPr>
          <w:rFonts w:ascii="Times New Roman"/>
          <w:sz w:val="16"/>
        </w:rPr>
      </w:pPr>
      <w:r>
        <w:rPr>
          <w:rFonts w:ascii="Times New Roman"/>
          <w:sz w:val="16"/>
        </w:rPr>
        <w:t>16.79%</w:t>
      </w:r>
    </w:p>
    <w:p>
      <w:pPr>
        <w:pStyle w:val="BodyText"/>
        <w:spacing w:before="7"/>
        <w:rPr>
          <w:rFonts w:ascii="Times New Roman"/>
          <w:sz w:val="18"/>
        </w:rPr>
      </w:pPr>
    </w:p>
    <w:p>
      <w:pPr>
        <w:spacing w:before="0"/>
        <w:ind w:left="586" w:right="0" w:firstLine="0"/>
        <w:jc w:val="left"/>
        <w:rPr>
          <w:rFonts w:ascii="Times New Roman"/>
          <w:sz w:val="16"/>
        </w:rPr>
      </w:pPr>
      <w:r>
        <w:rPr>
          <w:rFonts w:ascii="Times New Roman"/>
          <w:sz w:val="16"/>
        </w:rPr>
        <w:t>16.56%</w:t>
      </w:r>
    </w:p>
    <w:p>
      <w:pPr>
        <w:pStyle w:val="BodyText"/>
        <w:spacing w:before="8"/>
        <w:rPr>
          <w:rFonts w:ascii="Times New Roman"/>
          <w:sz w:val="18"/>
        </w:rPr>
      </w:pPr>
    </w:p>
    <w:p>
      <w:pPr>
        <w:spacing w:before="0"/>
        <w:ind w:left="561" w:right="0" w:firstLine="0"/>
        <w:jc w:val="left"/>
        <w:rPr>
          <w:rFonts w:ascii="Times New Roman"/>
          <w:sz w:val="16"/>
        </w:rPr>
      </w:pPr>
      <w:r>
        <w:rPr>
          <w:rFonts w:ascii="Times New Roman"/>
          <w:sz w:val="16"/>
        </w:rPr>
        <w:t>16.30%</w:t>
      </w:r>
    </w:p>
    <w:p>
      <w:pPr>
        <w:spacing w:after="0"/>
        <w:jc w:val="left"/>
        <w:rPr>
          <w:rFonts w:ascii="Times New Roman"/>
          <w:sz w:val="16"/>
        </w:rPr>
        <w:sectPr>
          <w:type w:val="continuous"/>
          <w:pgSz w:w="19200" w:h="10800" w:orient="landscape"/>
          <w:pgMar w:top="140" w:bottom="0" w:left="0" w:right="0"/>
          <w:cols w:num="5" w:equalWidth="0">
            <w:col w:w="870" w:space="7983"/>
            <w:col w:w="2489" w:space="1647"/>
            <w:col w:w="1205" w:space="39"/>
            <w:col w:w="1044" w:space="1250"/>
            <w:col w:w="2673"/>
          </w:cols>
        </w:sectPr>
      </w:pPr>
    </w:p>
    <w:p>
      <w:pPr>
        <w:tabs>
          <w:tab w:pos="10105" w:val="left" w:leader="none"/>
          <w:tab w:pos="10773" w:val="left" w:leader="none"/>
          <w:tab w:pos="11400" w:val="left" w:leader="none"/>
          <w:tab w:pos="12027" w:val="left" w:leader="none"/>
          <w:tab w:pos="12654" w:val="left" w:leader="none"/>
          <w:tab w:pos="13308" w:val="left" w:leader="none"/>
          <w:tab w:pos="15264" w:val="left" w:leader="none"/>
          <w:tab w:pos="15755" w:val="left" w:leader="none"/>
          <w:tab w:pos="16207" w:val="left" w:leader="none"/>
        </w:tabs>
        <w:spacing w:before="9"/>
        <w:ind w:left="9478" w:right="0" w:firstLine="0"/>
        <w:jc w:val="left"/>
        <w:rPr>
          <w:rFonts w:ascii="Times New Roman"/>
          <w:sz w:val="16"/>
        </w:rPr>
      </w:pPr>
      <w:r>
        <w:rPr/>
        <w:pict>
          <v:shape style="position:absolute;margin-left:20.927999pt;margin-top:522.665588pt;width:393.2pt;height:9pt;mso-position-horizontal-relative:page;mso-position-vertical-relative:page;z-index:-18061312" type="#_x0000_t202" filled="false" stroked="false">
            <v:textbox inset="0,0,0,0">
              <w:txbxContent>
                <w:p>
                  <w:pPr>
                    <w:tabs>
                      <w:tab w:pos="6416" w:val="left" w:leader="none"/>
                    </w:tabs>
                    <w:spacing w:line="180" w:lineRule="exact" w:before="0"/>
                    <w:ind w:left="0" w:right="0" w:firstLine="0"/>
                    <w:jc w:val="left"/>
                    <w:rPr>
                      <w:rFonts w:ascii="宋体" w:eastAsia="宋体" w:hint="eastAsia"/>
                      <w:sz w:val="16"/>
                    </w:rPr>
                  </w:pPr>
                  <w:r>
                    <w:rPr>
                      <w:rFonts w:ascii="宋体" w:eastAsia="宋体" w:hint="eastAsia"/>
                      <w:sz w:val="16"/>
                    </w:rPr>
                    <w:t>证监会审</w:t>
                  </w:r>
                  <w:r>
                    <w:rPr>
                      <w:rFonts w:ascii="宋体" w:eastAsia="宋体" w:hint="eastAsia"/>
                      <w:spacing w:val="-3"/>
                      <w:sz w:val="16"/>
                    </w:rPr>
                    <w:t>核</w:t>
                  </w:r>
                  <w:r>
                    <w:rPr>
                      <w:rFonts w:ascii="宋体" w:eastAsia="宋体" w:hint="eastAsia"/>
                      <w:sz w:val="16"/>
                    </w:rPr>
                    <w:t>华创</w:t>
                  </w:r>
                  <w:r>
                    <w:rPr>
                      <w:rFonts w:ascii="宋体" w:eastAsia="宋体" w:hint="eastAsia"/>
                      <w:spacing w:val="-3"/>
                      <w:sz w:val="16"/>
                    </w:rPr>
                    <w:t>证</w:t>
                  </w:r>
                  <w:r>
                    <w:rPr>
                      <w:rFonts w:ascii="宋体" w:eastAsia="宋体" w:hint="eastAsia"/>
                      <w:sz w:val="16"/>
                    </w:rPr>
                    <w:t>券投</w:t>
                  </w:r>
                  <w:r>
                    <w:rPr>
                      <w:rFonts w:ascii="宋体" w:eastAsia="宋体" w:hint="eastAsia"/>
                      <w:spacing w:val="-3"/>
                      <w:sz w:val="16"/>
                    </w:rPr>
                    <w:t>资</w:t>
                  </w:r>
                  <w:r>
                    <w:rPr>
                      <w:rFonts w:ascii="宋体" w:eastAsia="宋体" w:hint="eastAsia"/>
                      <w:sz w:val="16"/>
                    </w:rPr>
                    <w:t>咨询</w:t>
                  </w:r>
                  <w:r>
                    <w:rPr>
                      <w:rFonts w:ascii="宋体" w:eastAsia="宋体" w:hint="eastAsia"/>
                      <w:spacing w:val="-3"/>
                      <w:sz w:val="16"/>
                    </w:rPr>
                    <w:t>业</w:t>
                  </w:r>
                  <w:r>
                    <w:rPr>
                      <w:rFonts w:ascii="宋体" w:eastAsia="宋体" w:hint="eastAsia"/>
                      <w:sz w:val="16"/>
                    </w:rPr>
                    <w:t>务资</w:t>
                  </w:r>
                  <w:r>
                    <w:rPr>
                      <w:rFonts w:ascii="宋体" w:eastAsia="宋体" w:hint="eastAsia"/>
                      <w:spacing w:val="-3"/>
                      <w:sz w:val="16"/>
                    </w:rPr>
                    <w:t>格</w:t>
                  </w:r>
                  <w:r>
                    <w:rPr>
                      <w:rFonts w:ascii="宋体" w:eastAsia="宋体" w:hint="eastAsia"/>
                      <w:sz w:val="16"/>
                    </w:rPr>
                    <w:t>批文</w:t>
                  </w:r>
                  <w:r>
                    <w:rPr>
                      <w:rFonts w:ascii="宋体" w:eastAsia="宋体" w:hint="eastAsia"/>
                      <w:spacing w:val="-3"/>
                      <w:sz w:val="16"/>
                    </w:rPr>
                    <w:t>号</w:t>
                  </w:r>
                  <w:r>
                    <w:rPr>
                      <w:rFonts w:ascii="宋体" w:eastAsia="宋体" w:hint="eastAsia"/>
                      <w:sz w:val="16"/>
                    </w:rPr>
                    <w:t>：证</w:t>
                  </w:r>
                  <w:r>
                    <w:rPr>
                      <w:rFonts w:ascii="宋体" w:eastAsia="宋体" w:hint="eastAsia"/>
                      <w:spacing w:val="-3"/>
                      <w:sz w:val="16"/>
                    </w:rPr>
                    <w:t>监</w:t>
                  </w:r>
                  <w:r>
                    <w:rPr>
                      <w:rFonts w:ascii="宋体" w:eastAsia="宋体" w:hint="eastAsia"/>
                      <w:sz w:val="16"/>
                    </w:rPr>
                    <w:t>许可（</w:t>
                  </w:r>
                  <w:r>
                    <w:rPr>
                      <w:rFonts w:ascii="Arial" w:eastAsia="Arial"/>
                      <w:sz w:val="16"/>
                    </w:rPr>
                    <w:t>2009</w:t>
                  </w:r>
                  <w:r>
                    <w:rPr>
                      <w:rFonts w:ascii="宋体" w:eastAsia="宋体" w:hint="eastAsia"/>
                      <w:sz w:val="16"/>
                    </w:rPr>
                    <w:t>）</w:t>
                  </w:r>
                  <w:r>
                    <w:rPr>
                      <w:rFonts w:ascii="Arial" w:eastAsia="Arial"/>
                      <w:sz w:val="16"/>
                    </w:rPr>
                    <w:t>1210</w:t>
                  </w:r>
                  <w:r>
                    <w:rPr>
                      <w:rFonts w:ascii="Arial" w:eastAsia="Arial"/>
                      <w:spacing w:val="6"/>
                      <w:sz w:val="16"/>
                    </w:rPr>
                    <w:t> </w:t>
                  </w:r>
                  <w:r>
                    <w:rPr>
                      <w:rFonts w:ascii="宋体" w:eastAsia="宋体" w:hint="eastAsia"/>
                      <w:sz w:val="16"/>
                    </w:rPr>
                    <w:t>号</w:t>
                    <w:tab/>
                    <w:t>未经许可</w:t>
                  </w:r>
                  <w:r>
                    <w:rPr>
                      <w:rFonts w:ascii="宋体" w:eastAsia="宋体" w:hint="eastAsia"/>
                      <w:spacing w:val="-3"/>
                      <w:sz w:val="16"/>
                    </w:rPr>
                    <w:t>，</w:t>
                  </w:r>
                  <w:r>
                    <w:rPr>
                      <w:rFonts w:ascii="宋体" w:eastAsia="宋体" w:hint="eastAsia"/>
                      <w:sz w:val="16"/>
                    </w:rPr>
                    <w:t>禁止</w:t>
                  </w:r>
                  <w:r>
                    <w:rPr>
                      <w:rFonts w:ascii="宋体" w:eastAsia="宋体" w:hint="eastAsia"/>
                      <w:spacing w:val="-3"/>
                      <w:sz w:val="16"/>
                    </w:rPr>
                    <w:t>转</w:t>
                  </w:r>
                  <w:r>
                    <w:rPr>
                      <w:rFonts w:ascii="宋体" w:eastAsia="宋体" w:hint="eastAsia"/>
                      <w:spacing w:val="-19"/>
                      <w:sz w:val="16"/>
                    </w:rPr>
                    <w:t>载</w:t>
                  </w:r>
                </w:p>
              </w:txbxContent>
            </v:textbox>
            <w10:wrap type="none"/>
          </v:shape>
        </w:pict>
      </w:r>
      <w:r>
        <w:rPr/>
        <w:pict>
          <v:rect style="position:absolute;margin-left:416.279999pt;margin-top:-72.581253pt;width:5.4pt;height:7.8pt;mso-position-horizontal-relative:page;mso-position-vertical-relative:paragraph;z-index:-18058752" filled="true" fillcolor="#006fc0" stroked="false">
            <v:fill type="solid"/>
            <w10:wrap type="none"/>
          </v:rect>
        </w:pict>
      </w:r>
      <w:r>
        <w:rPr/>
        <w:pict>
          <v:rect style="position:absolute;margin-left:429.839996pt;margin-top:-72.581253pt;width:5.4pt;height:20.52pt;mso-position-horizontal-relative:page;mso-position-vertical-relative:paragraph;z-index:-18058240" filled="true" fillcolor="#006fc0" stroked="false">
            <v:fill type="solid"/>
            <w10:wrap type="none"/>
          </v:rect>
        </w:pict>
      </w:r>
      <w:r>
        <w:rPr>
          <w:rFonts w:ascii="Times New Roman"/>
          <w:sz w:val="16"/>
        </w:rPr>
        <w:t>-12%</w:t>
        <w:tab/>
        <w:t>-10%</w:t>
        <w:tab/>
        <w:t>-8%</w:t>
        <w:tab/>
        <w:t>-6%</w:t>
        <w:tab/>
        <w:t>-4%</w:t>
        <w:tab/>
        <w:t>-2%</w:t>
        <w:tab/>
        <w:t>0%</w:t>
        <w:tab/>
      </w:r>
      <w:r>
        <w:rPr>
          <w:rFonts w:ascii="Times New Roman"/>
          <w:position w:val="2"/>
          <w:sz w:val="16"/>
        </w:rPr>
        <w:t>0%</w:t>
        <w:tab/>
        <w:t>5%</w:t>
        <w:tab/>
        <w:t>10% 15% 20% 25% 30%</w:t>
      </w:r>
      <w:r>
        <w:rPr>
          <w:rFonts w:ascii="Times New Roman"/>
          <w:spacing w:val="22"/>
          <w:position w:val="2"/>
          <w:sz w:val="16"/>
        </w:rPr>
        <w:t> </w:t>
      </w:r>
      <w:r>
        <w:rPr>
          <w:rFonts w:ascii="Times New Roman"/>
          <w:position w:val="2"/>
          <w:sz w:val="16"/>
        </w:rPr>
        <w:t>35%</w:t>
      </w:r>
    </w:p>
    <w:p>
      <w:pPr>
        <w:pStyle w:val="BodyText"/>
        <w:rPr>
          <w:rFonts w:ascii="Times New Roman"/>
          <w:sz w:val="20"/>
        </w:rPr>
      </w:pPr>
    </w:p>
    <w:p>
      <w:pPr>
        <w:pStyle w:val="BodyText"/>
        <w:rPr>
          <w:rFonts w:ascii="Times New Roman"/>
          <w:sz w:val="20"/>
        </w:rPr>
      </w:pPr>
    </w:p>
    <w:p>
      <w:pPr>
        <w:tabs>
          <w:tab w:pos="16336" w:val="left" w:leader="none"/>
        </w:tabs>
        <w:spacing w:before="200"/>
        <w:ind w:left="6727" w:right="0" w:firstLine="0"/>
        <w:jc w:val="left"/>
        <w:rPr>
          <w:sz w:val="18"/>
        </w:rPr>
      </w:pPr>
      <w:r>
        <w:rPr/>
        <w:drawing>
          <wp:anchor distT="0" distB="0" distL="0" distR="0" allowOverlap="1" layoutInCell="1" locked="0" behindDoc="0" simplePos="0" relativeHeight="15733248">
            <wp:simplePos x="0" y="0"/>
            <wp:positionH relativeFrom="page">
              <wp:posOffset>282882</wp:posOffset>
            </wp:positionH>
            <wp:positionV relativeFrom="paragraph">
              <wp:posOffset>712063</wp:posOffset>
            </wp:positionV>
            <wp:extent cx="5390798" cy="113254"/>
            <wp:effectExtent l="0" t="0" r="0" b="0"/>
            <wp:wrapNone/>
            <wp:docPr id="9" name="image6.jpeg"/>
            <wp:cNvGraphicFramePr>
              <a:graphicFrameLocks noChangeAspect="1"/>
            </wp:cNvGraphicFramePr>
            <a:graphic>
              <a:graphicData uri="http://schemas.openxmlformats.org/drawingml/2006/picture">
                <pic:pic>
                  <pic:nvPicPr>
                    <pic:cNvPr id="10" name="image6.jpeg"/>
                    <pic:cNvPicPr/>
                  </pic:nvPicPr>
                  <pic:blipFill>
                    <a:blip r:embed="rId15" cstate="print"/>
                    <a:stretch>
                      <a:fillRect/>
                    </a:stretch>
                  </pic:blipFill>
                  <pic:spPr>
                    <a:xfrm>
                      <a:off x="0" y="0"/>
                      <a:ext cx="5390798" cy="113254"/>
                    </a:xfrm>
                    <a:prstGeom prst="rect">
                      <a:avLst/>
                    </a:prstGeom>
                  </pic:spPr>
                </pic:pic>
              </a:graphicData>
            </a:graphic>
          </wp:anchor>
        </w:drawing>
      </w:r>
      <w:r>
        <w:rPr>
          <w:color w:val="57585B"/>
          <w:sz w:val="18"/>
        </w:rPr>
        <w:t>资料来源：Wind，华创</w:t>
      </w:r>
      <w:r>
        <w:rPr>
          <w:color w:val="57585B"/>
          <w:spacing w:val="-3"/>
          <w:sz w:val="18"/>
        </w:rPr>
        <w:t>证</w:t>
      </w:r>
      <w:r>
        <w:rPr>
          <w:color w:val="57585B"/>
          <w:sz w:val="18"/>
        </w:rPr>
        <w:t>券</w:t>
        <w:tab/>
        <w:t>资料来源：Wind，华创</w:t>
      </w:r>
      <w:r>
        <w:rPr>
          <w:color w:val="57585B"/>
          <w:spacing w:val="-3"/>
          <w:sz w:val="18"/>
        </w:rPr>
        <w:t>证</w:t>
      </w:r>
      <w:r>
        <w:rPr>
          <w:color w:val="57585B"/>
          <w:sz w:val="18"/>
        </w:rPr>
        <w:t>券</w:t>
      </w:r>
    </w:p>
    <w:p>
      <w:pPr>
        <w:spacing w:after="0"/>
        <w:jc w:val="left"/>
        <w:rPr>
          <w:sz w:val="18"/>
        </w:rPr>
        <w:sectPr>
          <w:type w:val="continuous"/>
          <w:pgSz w:w="19200" w:h="10800" w:orient="landscape"/>
          <w:pgMar w:top="140" w:bottom="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
        <w:rPr>
          <w:sz w:val="21"/>
        </w:rPr>
      </w:pPr>
    </w:p>
    <w:p>
      <w:pPr>
        <w:pStyle w:val="Heading1"/>
      </w:pPr>
      <w:r>
        <w:rPr>
          <w:color w:val="0A4EA1"/>
        </w:rPr>
        <w:t>第二部分</w:t>
      </w:r>
    </w:p>
    <w:p>
      <w:pPr>
        <w:pStyle w:val="BodyText"/>
        <w:spacing w:before="4"/>
        <w:rPr>
          <w:b/>
          <w:sz w:val="23"/>
        </w:rPr>
      </w:pPr>
    </w:p>
    <w:p>
      <w:pPr>
        <w:spacing w:after="0"/>
        <w:rPr>
          <w:sz w:val="23"/>
        </w:rPr>
        <w:sectPr>
          <w:footerReference w:type="default" r:id="rId16"/>
          <w:pgSz w:w="19200" w:h="10800" w:orient="landscape"/>
          <w:pgMar w:footer="0" w:header="0" w:top="0" w:bottom="0" w:left="0" w:right="0"/>
        </w:sectPr>
      </w:pPr>
    </w:p>
    <w:p>
      <w:pPr>
        <w:spacing w:before="44"/>
        <w:ind w:left="0" w:right="0" w:firstLine="0"/>
        <w:jc w:val="right"/>
        <w:rPr>
          <w:b/>
          <w:sz w:val="32"/>
        </w:rPr>
      </w:pPr>
      <w:r>
        <w:rPr>
          <w:b/>
          <w:color w:val="FFFFFF"/>
          <w:w w:val="99"/>
          <w:sz w:val="32"/>
          <w:shd w:fill="BEBEBE" w:color="auto" w:val="clear"/>
        </w:rPr>
        <w:t> </w:t>
      </w:r>
      <w:r>
        <w:rPr>
          <w:b/>
          <w:color w:val="FFFFFF"/>
          <w:sz w:val="32"/>
          <w:shd w:fill="BEBEBE" w:color="auto" w:val="clear"/>
        </w:rPr>
        <w:t> 01 </w:t>
      </w:r>
    </w:p>
    <w:p>
      <w:pPr>
        <w:spacing w:before="6"/>
        <w:ind w:left="564" w:right="0" w:firstLine="0"/>
        <w:jc w:val="left"/>
        <w:rPr>
          <w:sz w:val="36"/>
        </w:rPr>
      </w:pPr>
      <w:r>
        <w:rPr/>
        <w:br w:type="column"/>
      </w:r>
      <w:r>
        <w:rPr>
          <w:color w:val="A6A6A6"/>
          <w:sz w:val="36"/>
        </w:rPr>
        <w:t>行情回顾</w:t>
      </w:r>
    </w:p>
    <w:p>
      <w:pPr>
        <w:spacing w:after="0"/>
        <w:jc w:val="left"/>
        <w:rPr>
          <w:sz w:val="36"/>
        </w:rPr>
        <w:sectPr>
          <w:type w:val="continuous"/>
          <w:pgSz w:w="19200" w:h="10800" w:orient="landscape"/>
          <w:pgMar w:top="140" w:bottom="0" w:left="0" w:right="0"/>
          <w:cols w:num="2" w:equalWidth="0">
            <w:col w:w="2345" w:space="40"/>
            <w:col w:w="16815"/>
          </w:cols>
        </w:sectPr>
      </w:pPr>
    </w:p>
    <w:p>
      <w:pPr>
        <w:pStyle w:val="BodyText"/>
        <w:spacing w:before="13"/>
        <w:rPr>
          <w:sz w:val="21"/>
        </w:rPr>
      </w:pPr>
    </w:p>
    <w:p>
      <w:pPr>
        <w:pStyle w:val="BodyText"/>
        <w:ind w:left="1393"/>
        <w:rPr>
          <w:sz w:val="20"/>
        </w:rPr>
      </w:pPr>
      <w:r>
        <w:rPr>
          <w:position w:val="-1"/>
          <w:sz w:val="20"/>
        </w:rPr>
        <w:pict>
          <v:shape style="width:658.35pt;height:65.2pt;mso-position-horizontal-relative:char;mso-position-vertical-relative:line" type="#_x0000_t202" filled="false" stroked="true" strokeweight="2.04pt" strokecolor="#0a4ea1">
            <w10:anchorlock/>
            <v:textbox inset="0,0,0,0">
              <w:txbxContent>
                <w:p>
                  <w:pPr>
                    <w:tabs>
                      <w:tab w:pos="1513" w:val="left" w:leader="none"/>
                    </w:tabs>
                    <w:spacing w:before="319"/>
                    <w:ind w:left="187" w:right="0" w:firstLine="0"/>
                    <w:jc w:val="left"/>
                    <w:rPr>
                      <w:b/>
                      <w:sz w:val="36"/>
                    </w:rPr>
                  </w:pPr>
                  <w:r>
                    <w:rPr>
                      <w:b/>
                      <w:color w:val="FFFFFF"/>
                      <w:w w:val="99"/>
                      <w:position w:val="1"/>
                      <w:sz w:val="32"/>
                      <w:shd w:fill="006FC0" w:color="auto" w:val="clear"/>
                    </w:rPr>
                    <w:t> </w:t>
                  </w:r>
                  <w:r>
                    <w:rPr>
                      <w:b/>
                      <w:color w:val="FFFFFF"/>
                      <w:spacing w:val="-18"/>
                      <w:position w:val="1"/>
                      <w:sz w:val="32"/>
                      <w:shd w:fill="006FC0" w:color="auto" w:val="clear"/>
                    </w:rPr>
                    <w:t> </w:t>
                  </w:r>
                  <w:r>
                    <w:rPr>
                      <w:b/>
                      <w:color w:val="FFFFFF"/>
                      <w:position w:val="1"/>
                      <w:sz w:val="32"/>
                      <w:shd w:fill="006FC0" w:color="auto" w:val="clear"/>
                    </w:rPr>
                    <w:t>02</w:t>
                  </w:r>
                  <w:r>
                    <w:rPr>
                      <w:b/>
                      <w:color w:val="FFFFFF"/>
                      <w:position w:val="1"/>
                      <w:sz w:val="32"/>
                    </w:rPr>
                    <w:tab/>
                  </w:r>
                  <w:r>
                    <w:rPr>
                      <w:b/>
                      <w:color w:val="0A4EA1"/>
                      <w:sz w:val="36"/>
                    </w:rPr>
                    <w:t>板块观点和投资组合</w:t>
                  </w:r>
                </w:p>
              </w:txbxContent>
            </v:textbox>
            <v:stroke dashstyle="solid"/>
          </v:shape>
        </w:pict>
      </w:r>
      <w:r>
        <w:rPr>
          <w:position w:val="-1"/>
          <w:sz w:val="20"/>
        </w:rPr>
      </w:r>
    </w:p>
    <w:p>
      <w:pPr>
        <w:pStyle w:val="BodyText"/>
        <w:spacing w:before="7"/>
        <w:rPr>
          <w:sz w:val="22"/>
        </w:rPr>
      </w:pPr>
    </w:p>
    <w:p>
      <w:pPr>
        <w:spacing w:after="0"/>
        <w:rPr>
          <w:sz w:val="22"/>
        </w:rPr>
        <w:sectPr>
          <w:type w:val="continuous"/>
          <w:pgSz w:w="19200" w:h="10800" w:orient="landscape"/>
          <w:pgMar w:top="140" w:bottom="0" w:left="0" w:right="0"/>
        </w:sectPr>
      </w:pPr>
    </w:p>
    <w:p>
      <w:pPr>
        <w:spacing w:before="44"/>
        <w:ind w:left="0" w:right="0" w:firstLine="0"/>
        <w:jc w:val="right"/>
        <w:rPr>
          <w:b/>
          <w:sz w:val="32"/>
        </w:rPr>
      </w:pPr>
      <w:r>
        <w:rPr/>
        <w:drawing>
          <wp:anchor distT="0" distB="0" distL="0" distR="0" allowOverlap="1" layoutInCell="1" locked="0" behindDoc="0" simplePos="0" relativeHeight="15737856">
            <wp:simplePos x="0" y="0"/>
            <wp:positionH relativeFrom="page">
              <wp:posOffset>10372343</wp:posOffset>
            </wp:positionH>
            <wp:positionV relativeFrom="page">
              <wp:posOffset>0</wp:posOffset>
            </wp:positionV>
            <wp:extent cx="1819655" cy="6857998"/>
            <wp:effectExtent l="0" t="0" r="0" b="0"/>
            <wp:wrapNone/>
            <wp:docPr id="11" name="image4.jpeg"/>
            <wp:cNvGraphicFramePr>
              <a:graphicFrameLocks noChangeAspect="1"/>
            </wp:cNvGraphicFramePr>
            <a:graphic>
              <a:graphicData uri="http://schemas.openxmlformats.org/drawingml/2006/picture">
                <pic:pic>
                  <pic:nvPicPr>
                    <pic:cNvPr id="12" name="image4.jpeg"/>
                    <pic:cNvPicPr/>
                  </pic:nvPicPr>
                  <pic:blipFill>
                    <a:blip r:embed="rId12" cstate="print"/>
                    <a:stretch>
                      <a:fillRect/>
                    </a:stretch>
                  </pic:blipFill>
                  <pic:spPr>
                    <a:xfrm>
                      <a:off x="0" y="0"/>
                      <a:ext cx="1819655" cy="6857998"/>
                    </a:xfrm>
                    <a:prstGeom prst="rect">
                      <a:avLst/>
                    </a:prstGeom>
                  </pic:spPr>
                </pic:pic>
              </a:graphicData>
            </a:graphic>
          </wp:anchor>
        </w:drawing>
      </w:r>
      <w:r>
        <w:rPr>
          <w:b/>
          <w:color w:val="FFFFFF"/>
          <w:w w:val="99"/>
          <w:sz w:val="32"/>
          <w:shd w:fill="BEBEBE" w:color="auto" w:val="clear"/>
        </w:rPr>
        <w:t> </w:t>
      </w:r>
      <w:r>
        <w:rPr>
          <w:b/>
          <w:color w:val="FFFFFF"/>
          <w:sz w:val="32"/>
          <w:shd w:fill="BEBEBE" w:color="auto" w:val="clear"/>
        </w:rPr>
        <w:t> 03 </w:t>
      </w:r>
    </w:p>
    <w:p>
      <w:pPr>
        <w:pStyle w:val="Heading2"/>
      </w:pPr>
      <w:r>
        <w:rPr/>
        <w:br w:type="column"/>
      </w:r>
      <w:r>
        <w:rPr>
          <w:color w:val="A6A6A6"/>
        </w:rPr>
        <w:t>行业和个股事件</w:t>
      </w:r>
    </w:p>
    <w:p>
      <w:pPr>
        <w:spacing w:after="0"/>
        <w:sectPr>
          <w:type w:val="continuous"/>
          <w:pgSz w:w="19200" w:h="10800" w:orient="landscape"/>
          <w:pgMar w:top="140" w:bottom="0" w:left="0" w:right="0"/>
          <w:cols w:num="2" w:equalWidth="0">
            <w:col w:w="2345" w:space="40"/>
            <w:col w:w="16815"/>
          </w:cols>
        </w:sectPr>
      </w:pPr>
    </w:p>
    <w:p>
      <w:pPr>
        <w:pStyle w:val="BodyText"/>
        <w:rPr>
          <w:sz w:val="25"/>
        </w:rPr>
      </w:pPr>
    </w:p>
    <w:p>
      <w:pPr>
        <w:pStyle w:val="ListParagraph"/>
        <w:numPr>
          <w:ilvl w:val="0"/>
          <w:numId w:val="1"/>
        </w:numPr>
        <w:tabs>
          <w:tab w:pos="1217" w:val="left" w:leader="none"/>
        </w:tabs>
        <w:spacing w:line="184" w:lineRule="auto" w:before="113" w:after="0"/>
        <w:ind w:left="1216" w:right="2127" w:hanging="284"/>
        <w:jc w:val="both"/>
        <w:rPr>
          <w:sz w:val="28"/>
        </w:rPr>
      </w:pPr>
      <w:r>
        <w:rPr/>
        <w:drawing>
          <wp:anchor distT="0" distB="0" distL="0" distR="0" allowOverlap="1" layoutInCell="1" locked="0" behindDoc="0" simplePos="0" relativeHeight="15738368">
            <wp:simplePos x="0" y="0"/>
            <wp:positionH relativeFrom="page">
              <wp:posOffset>9144</wp:posOffset>
            </wp:positionH>
            <wp:positionV relativeFrom="paragraph">
              <wp:posOffset>-134649</wp:posOffset>
            </wp:positionV>
            <wp:extent cx="12182855" cy="89915"/>
            <wp:effectExtent l="0" t="0" r="0" b="0"/>
            <wp:wrapNone/>
            <wp:docPr id="15" name="image5.png"/>
            <wp:cNvGraphicFramePr>
              <a:graphicFrameLocks noChangeAspect="1"/>
            </wp:cNvGraphicFramePr>
            <a:graphic>
              <a:graphicData uri="http://schemas.openxmlformats.org/drawingml/2006/picture">
                <pic:pic>
                  <pic:nvPicPr>
                    <pic:cNvPr id="16" name="image5.png"/>
                    <pic:cNvPicPr/>
                  </pic:nvPicPr>
                  <pic:blipFill>
                    <a:blip r:embed="rId14" cstate="print"/>
                    <a:stretch>
                      <a:fillRect/>
                    </a:stretch>
                  </pic:blipFill>
                  <pic:spPr>
                    <a:xfrm>
                      <a:off x="0" y="0"/>
                      <a:ext cx="12182855" cy="89915"/>
                    </a:xfrm>
                    <a:prstGeom prst="rect">
                      <a:avLst/>
                    </a:prstGeom>
                  </pic:spPr>
                </pic:pic>
              </a:graphicData>
            </a:graphic>
          </wp:anchor>
        </w:drawing>
      </w:r>
      <w:r>
        <w:rPr>
          <w:b/>
          <w:color w:val="57585B"/>
          <w:spacing w:val="12"/>
          <w:sz w:val="28"/>
        </w:rPr>
        <w:t>整体观点</w:t>
      </w:r>
      <w:r>
        <w:rPr>
          <w:color w:val="57585B"/>
          <w:spacing w:val="11"/>
          <w:sz w:val="28"/>
        </w:rPr>
        <w:t>：1）</w:t>
      </w:r>
      <w:r>
        <w:rPr>
          <w:color w:val="57585B"/>
          <w:spacing w:val="9"/>
          <w:sz w:val="28"/>
        </w:rPr>
        <w:t>医药板块调整时间长，从</w:t>
      </w:r>
      <w:r>
        <w:rPr>
          <w:color w:val="57585B"/>
          <w:spacing w:val="2"/>
          <w:sz w:val="28"/>
        </w:rPr>
        <w:t>21q1</w:t>
      </w:r>
      <w:r>
        <w:rPr>
          <w:color w:val="57585B"/>
          <w:spacing w:val="9"/>
          <w:sz w:val="28"/>
        </w:rPr>
        <w:t>开始调整；</w:t>
      </w:r>
      <w:r>
        <w:rPr>
          <w:color w:val="57585B"/>
          <w:spacing w:val="12"/>
          <w:sz w:val="28"/>
        </w:rPr>
        <w:t>2）</w:t>
      </w:r>
      <w:r>
        <w:rPr>
          <w:color w:val="57585B"/>
          <w:spacing w:val="9"/>
          <w:sz w:val="28"/>
        </w:rPr>
        <w:t>估值水平低，医药整体</w:t>
      </w:r>
      <w:r>
        <w:rPr>
          <w:color w:val="57585B"/>
          <w:spacing w:val="4"/>
          <w:sz w:val="28"/>
        </w:rPr>
        <w:t>TTM</w:t>
      </w:r>
      <w:r>
        <w:rPr>
          <w:color w:val="57585B"/>
          <w:spacing w:val="9"/>
          <w:sz w:val="28"/>
        </w:rPr>
        <w:t>仍处于历史低位；</w:t>
      </w:r>
      <w:r>
        <w:rPr>
          <w:color w:val="57585B"/>
          <w:spacing w:val="12"/>
          <w:sz w:val="28"/>
        </w:rPr>
        <w:t>3）</w:t>
      </w:r>
      <w:r>
        <w:rPr>
          <w:color w:val="57585B"/>
          <w:spacing w:val="11"/>
          <w:sz w:val="28"/>
        </w:rPr>
        <w:t>配置低，根据</w:t>
      </w:r>
      <w:r>
        <w:rPr>
          <w:color w:val="57585B"/>
          <w:sz w:val="28"/>
        </w:rPr>
        <w:t>23Q2基金行业配置来看，基金对医药行业的配置处于历史低位；</w:t>
      </w:r>
      <w:r>
        <w:rPr>
          <w:color w:val="57585B"/>
          <w:spacing w:val="4"/>
          <w:sz w:val="28"/>
        </w:rPr>
        <w:t>4）</w:t>
      </w:r>
      <w:r>
        <w:rPr>
          <w:color w:val="57585B"/>
          <w:sz w:val="28"/>
        </w:rPr>
        <w:t>行业需求刚性，景气度不改；</w:t>
      </w:r>
      <w:r>
        <w:rPr>
          <w:color w:val="57585B"/>
          <w:spacing w:val="3"/>
          <w:sz w:val="28"/>
        </w:rPr>
        <w:t>5）</w:t>
      </w:r>
      <w:r>
        <w:rPr>
          <w:color w:val="57585B"/>
          <w:sz w:val="28"/>
        </w:rPr>
        <w:t>预计未来行情有望触底反</w:t>
      </w:r>
      <w:r>
        <w:rPr>
          <w:color w:val="57585B"/>
          <w:spacing w:val="-3"/>
          <w:sz w:val="28"/>
        </w:rPr>
        <w:t>弹，持续散发，百花齐放，市值不拘泥于大小，风格不拘泥于成长或价值。</w:t>
      </w:r>
    </w:p>
    <w:p>
      <w:pPr>
        <w:pStyle w:val="ListParagraph"/>
        <w:numPr>
          <w:ilvl w:val="0"/>
          <w:numId w:val="1"/>
        </w:numPr>
        <w:tabs>
          <w:tab w:pos="1217" w:val="left" w:leader="none"/>
        </w:tabs>
        <w:spacing w:line="184" w:lineRule="auto" w:before="247" w:after="0"/>
        <w:ind w:left="1216" w:right="1859" w:hanging="284"/>
        <w:jc w:val="left"/>
        <w:rPr>
          <w:sz w:val="28"/>
        </w:rPr>
      </w:pPr>
      <w:r>
        <w:rPr>
          <w:b/>
          <w:color w:val="57585B"/>
          <w:sz w:val="28"/>
        </w:rPr>
        <w:t>创新药：</w:t>
      </w:r>
      <w:r>
        <w:rPr>
          <w:color w:val="57585B"/>
          <w:sz w:val="28"/>
        </w:rPr>
        <w:t>看好国内创新药行业从数量逻辑（me-too速度、入组速度等经营指标）向质量逻辑（BIC/FIC等产品指标）转换，迎来  产品为王的阶段。2023年，建议更加重视国内差异化和海外国际化的管线，看好最终能够兑现利润的产品和公司。建议关注：恒 瑞、百济、贝达、信达、康方、科伦、康宁、诺诚健华、科济、康诺亚、和黄、先声、首药、歌礼、金斯瑞传奇、翰森、荣昌等。</w:t>
      </w:r>
    </w:p>
    <w:p>
      <w:pPr>
        <w:pStyle w:val="ListParagraph"/>
        <w:numPr>
          <w:ilvl w:val="0"/>
          <w:numId w:val="1"/>
        </w:numPr>
        <w:tabs>
          <w:tab w:pos="1217" w:val="left" w:leader="none"/>
        </w:tabs>
        <w:spacing w:line="187" w:lineRule="auto" w:before="245" w:after="0"/>
        <w:ind w:left="1216" w:right="1859" w:hanging="284"/>
        <w:jc w:val="left"/>
        <w:rPr>
          <w:sz w:val="28"/>
        </w:rPr>
      </w:pPr>
      <w:r>
        <w:rPr>
          <w:b/>
          <w:color w:val="57585B"/>
          <w:spacing w:val="-1"/>
          <w:sz w:val="28"/>
        </w:rPr>
        <w:t>医疗器械：</w:t>
      </w:r>
      <w:r>
        <w:rPr>
          <w:color w:val="57585B"/>
          <w:sz w:val="28"/>
        </w:rPr>
        <w:t>1）</w:t>
      </w:r>
      <w:r>
        <w:rPr>
          <w:color w:val="57585B"/>
          <w:spacing w:val="-3"/>
          <w:sz w:val="28"/>
        </w:rPr>
        <w:t>高值耗材关注电生理赛道和骨科赛道。骨科首推春立医疗，关注三友医疗、威高骨科等。电生理关注惠泰医疗、微 电生理；2）IVD关注集采弹性和高增长，首推普门科技、迪瑞医疗，关注新产业；</w:t>
      </w:r>
      <w:r>
        <w:rPr>
          <w:color w:val="57585B"/>
          <w:sz w:val="28"/>
        </w:rPr>
        <w:t>3）医疗设备受益持续的国产替代政策支持和   </w:t>
      </w:r>
      <w:r>
        <w:rPr>
          <w:color w:val="57585B"/>
          <w:spacing w:val="-3"/>
          <w:sz w:val="28"/>
        </w:rPr>
        <w:t>三年疫情更新设备的需求，首推澳华内镜、开立医疗、迈瑞医疗、海泰新光</w:t>
      </w:r>
      <w:r>
        <w:rPr>
          <w:color w:val="57585B"/>
          <w:sz w:val="28"/>
        </w:rPr>
        <w:t>；4）</w:t>
      </w:r>
      <w:r>
        <w:rPr>
          <w:color w:val="57585B"/>
          <w:spacing w:val="-3"/>
          <w:sz w:val="28"/>
        </w:rPr>
        <w:t>低值耗材处于低估值高增长状态，国内受益产品 升级及渠道扩张，海外订单逐季度恢复，关注维力医疗、振德医疗；</w:t>
      </w:r>
      <w:r>
        <w:rPr>
          <w:color w:val="57585B"/>
          <w:spacing w:val="2"/>
          <w:sz w:val="28"/>
        </w:rPr>
        <w:t>5）</w:t>
      </w:r>
      <w:r>
        <w:rPr>
          <w:color w:val="57585B"/>
          <w:sz w:val="28"/>
        </w:rPr>
        <w:t>医保控费等环境下，ICL渗透率有望提升，推荐金域医学， 关注迪安诊断。</w:t>
      </w:r>
    </w:p>
    <w:p>
      <w:pPr>
        <w:pStyle w:val="ListParagraph"/>
        <w:numPr>
          <w:ilvl w:val="0"/>
          <w:numId w:val="1"/>
        </w:numPr>
        <w:tabs>
          <w:tab w:pos="1217" w:val="left" w:leader="none"/>
        </w:tabs>
        <w:spacing w:line="187" w:lineRule="auto" w:before="227" w:after="0"/>
        <w:ind w:left="1216" w:right="2134" w:hanging="284"/>
        <w:jc w:val="both"/>
        <w:rPr>
          <w:sz w:val="28"/>
        </w:rPr>
      </w:pPr>
      <w:r>
        <w:rPr>
          <w:b/>
          <w:color w:val="57585B"/>
          <w:sz w:val="28"/>
        </w:rPr>
        <w:t>中药：</w:t>
      </w:r>
      <w:r>
        <w:rPr>
          <w:color w:val="57585B"/>
          <w:spacing w:val="-4"/>
          <w:sz w:val="28"/>
        </w:rPr>
        <w:t>政策支持下星辰大海长坡厚雪，国企改革+集中度提升+持续提价能力将为优质头部公司带来极为广阔的发展空间。重点推</w:t>
      </w:r>
      <w:r>
        <w:rPr>
          <w:color w:val="57585B"/>
          <w:sz w:val="28"/>
        </w:rPr>
        <w:t>荐近期景气度较高的细分领域（感冒、滋补、安宫产业链），建议关注华润三九、东阿阿胶、同仁堂等，同时建议关注片仔癀、</w:t>
      </w:r>
      <w:r>
        <w:rPr>
          <w:color w:val="57585B"/>
          <w:spacing w:val="-3"/>
          <w:sz w:val="28"/>
        </w:rPr>
        <w:t>太极集团、达仁堂、江中药业、健民集团等。</w:t>
      </w:r>
    </w:p>
    <w:p>
      <w:pPr>
        <w:spacing w:after="0" w:line="187" w:lineRule="auto"/>
        <w:jc w:val="both"/>
        <w:rPr>
          <w:sz w:val="28"/>
        </w:rPr>
        <w:sectPr>
          <w:headerReference w:type="default" r:id="rId17"/>
          <w:footerReference w:type="default" r:id="rId18"/>
          <w:pgSz w:w="19200" w:h="10800" w:orient="landscape"/>
          <w:pgMar w:header="471" w:footer="173" w:top="1100" w:bottom="360" w:left="0" w:right="0"/>
          <w:pgNumType w:start="5"/>
        </w:sectPr>
      </w:pPr>
    </w:p>
    <w:p>
      <w:pPr>
        <w:pStyle w:val="BodyText"/>
        <w:rPr>
          <w:sz w:val="25"/>
        </w:rPr>
      </w:pPr>
    </w:p>
    <w:p>
      <w:pPr>
        <w:pStyle w:val="ListParagraph"/>
        <w:numPr>
          <w:ilvl w:val="0"/>
          <w:numId w:val="1"/>
        </w:numPr>
        <w:tabs>
          <w:tab w:pos="1217" w:val="left" w:leader="none"/>
        </w:tabs>
        <w:spacing w:line="187" w:lineRule="auto" w:before="109" w:after="0"/>
        <w:ind w:left="1216" w:right="2136" w:hanging="284"/>
        <w:jc w:val="both"/>
        <w:rPr>
          <w:sz w:val="28"/>
        </w:rPr>
      </w:pPr>
      <w:r>
        <w:rPr/>
        <w:drawing>
          <wp:anchor distT="0" distB="0" distL="0" distR="0" allowOverlap="1" layoutInCell="1" locked="0" behindDoc="0" simplePos="0" relativeHeight="15738880">
            <wp:simplePos x="0" y="0"/>
            <wp:positionH relativeFrom="page">
              <wp:posOffset>9144</wp:posOffset>
            </wp:positionH>
            <wp:positionV relativeFrom="paragraph">
              <wp:posOffset>-134842</wp:posOffset>
            </wp:positionV>
            <wp:extent cx="12182855" cy="89915"/>
            <wp:effectExtent l="0" t="0" r="0" b="0"/>
            <wp:wrapNone/>
            <wp:docPr id="17" name="image5.png"/>
            <wp:cNvGraphicFramePr>
              <a:graphicFrameLocks noChangeAspect="1"/>
            </wp:cNvGraphicFramePr>
            <a:graphic>
              <a:graphicData uri="http://schemas.openxmlformats.org/drawingml/2006/picture">
                <pic:pic>
                  <pic:nvPicPr>
                    <pic:cNvPr id="18" name="image5.png"/>
                    <pic:cNvPicPr/>
                  </pic:nvPicPr>
                  <pic:blipFill>
                    <a:blip r:embed="rId14" cstate="print"/>
                    <a:stretch>
                      <a:fillRect/>
                    </a:stretch>
                  </pic:blipFill>
                  <pic:spPr>
                    <a:xfrm>
                      <a:off x="0" y="0"/>
                      <a:ext cx="12182855" cy="89915"/>
                    </a:xfrm>
                    <a:prstGeom prst="rect">
                      <a:avLst/>
                    </a:prstGeom>
                  </pic:spPr>
                </pic:pic>
              </a:graphicData>
            </a:graphic>
          </wp:anchor>
        </w:drawing>
      </w:r>
      <w:r>
        <w:rPr>
          <w:b/>
          <w:color w:val="57585B"/>
          <w:spacing w:val="2"/>
          <w:sz w:val="28"/>
        </w:rPr>
        <w:t>医疗服务</w:t>
      </w:r>
      <w:r>
        <w:rPr>
          <w:color w:val="57585B"/>
          <w:sz w:val="28"/>
        </w:rPr>
        <w:t>：反腐+集采净化医疗市场环境，有望完善医疗行业市场机制、推进医生多点执业，在长周期下民营医疗综合竞争力有望显著提升；同时商保+自费医疗的快速扩容，有望为民营医疗带来更多差异化竞争优势。建议关注：1、需求旺盛且复制性强的中医赛道龙头：固生堂；</w:t>
      </w:r>
      <w:r>
        <w:rPr>
          <w:color w:val="57585B"/>
          <w:spacing w:val="5"/>
          <w:sz w:val="28"/>
        </w:rPr>
        <w:t>2</w:t>
      </w:r>
      <w:r>
        <w:rPr>
          <w:color w:val="57585B"/>
          <w:sz w:val="28"/>
        </w:rPr>
        <w:t>、综合医疗：海吉亚、国际医学、新里程等、</w:t>
      </w:r>
      <w:r>
        <w:rPr>
          <w:color w:val="57585B"/>
          <w:spacing w:val="3"/>
          <w:sz w:val="28"/>
        </w:rPr>
        <w:t>3</w:t>
      </w:r>
      <w:r>
        <w:rPr>
          <w:color w:val="57585B"/>
          <w:sz w:val="28"/>
        </w:rPr>
        <w:t>、眼科赛道：普瑞眼科、爱尔眼科、华厦眼科等；</w:t>
      </w:r>
      <w:r>
        <w:rPr>
          <w:color w:val="57585B"/>
          <w:spacing w:val="3"/>
          <w:sz w:val="28"/>
        </w:rPr>
        <w:t>4</w:t>
      </w:r>
      <w:r>
        <w:rPr>
          <w:color w:val="57585B"/>
          <w:sz w:val="28"/>
        </w:rPr>
        <w:t>、</w:t>
      </w:r>
      <w:r>
        <w:rPr>
          <w:color w:val="57585B"/>
          <w:spacing w:val="-3"/>
          <w:sz w:val="28"/>
        </w:rPr>
        <w:t>口腔、康复、脑科、体检、辅助生殖等赛道。</w:t>
      </w:r>
    </w:p>
    <w:p>
      <w:pPr>
        <w:pStyle w:val="ListParagraph"/>
        <w:numPr>
          <w:ilvl w:val="0"/>
          <w:numId w:val="1"/>
        </w:numPr>
        <w:tabs>
          <w:tab w:pos="1217" w:val="left" w:leader="none"/>
        </w:tabs>
        <w:spacing w:line="184" w:lineRule="auto" w:before="235" w:after="0"/>
        <w:ind w:left="1216" w:right="2146" w:hanging="284"/>
        <w:jc w:val="left"/>
        <w:rPr>
          <w:sz w:val="28"/>
        </w:rPr>
      </w:pPr>
      <w:r>
        <w:rPr>
          <w:b/>
          <w:color w:val="57585B"/>
          <w:spacing w:val="3"/>
          <w:sz w:val="28"/>
        </w:rPr>
        <w:t>药房：</w:t>
      </w:r>
      <w:r>
        <w:rPr>
          <w:color w:val="57585B"/>
          <w:sz w:val="28"/>
        </w:rPr>
        <w:t>反腐+集采常态化持续推动院内药企向院外转型，药房渠道价值预计显著提升；同时处方外流为制度性解决药品腐败的重</w:t>
      </w:r>
      <w:r>
        <w:rPr>
          <w:color w:val="57585B"/>
          <w:spacing w:val="-3"/>
          <w:sz w:val="28"/>
        </w:rPr>
        <w:t>要方式之一，多年推进后已具备落地执行的政策基础。建议关注：健之佳、大参林、益丰药房、漱玉平民、一心堂、老百姓等。</w:t>
      </w:r>
    </w:p>
    <w:p>
      <w:pPr>
        <w:pStyle w:val="ListParagraph"/>
        <w:numPr>
          <w:ilvl w:val="0"/>
          <w:numId w:val="1"/>
        </w:numPr>
        <w:tabs>
          <w:tab w:pos="1217" w:val="left" w:leader="none"/>
        </w:tabs>
        <w:spacing w:line="458" w:lineRule="exact" w:before="159" w:after="0"/>
        <w:ind w:left="1216" w:right="0" w:hanging="284"/>
        <w:jc w:val="left"/>
        <w:rPr>
          <w:sz w:val="28"/>
        </w:rPr>
      </w:pPr>
      <w:r>
        <w:rPr>
          <w:b/>
          <w:color w:val="57585B"/>
          <w:sz w:val="28"/>
        </w:rPr>
        <w:t>医药工业：</w:t>
      </w:r>
      <w:r>
        <w:rPr>
          <w:color w:val="57585B"/>
          <w:sz w:val="28"/>
        </w:rPr>
        <w:t>特色原料药行业成本端有望迎来改善，估值已处于近十年低位，行业有望迎来新一轮成长周期。建议关注重磅品种专</w:t>
      </w:r>
    </w:p>
    <w:p>
      <w:pPr>
        <w:pStyle w:val="BodyText"/>
        <w:spacing w:line="458" w:lineRule="exact"/>
        <w:ind w:left="1216"/>
      </w:pPr>
      <w:r>
        <w:rPr>
          <w:color w:val="57585B"/>
        </w:rPr>
        <w:t>利到期带来的新增量和纵向拓展制剂逐步进入兑现期的企业。建议关注同和药业、天宇股份、华海药业。</w:t>
      </w:r>
    </w:p>
    <w:p>
      <w:pPr>
        <w:pStyle w:val="ListParagraph"/>
        <w:numPr>
          <w:ilvl w:val="0"/>
          <w:numId w:val="1"/>
        </w:numPr>
        <w:tabs>
          <w:tab w:pos="1217" w:val="left" w:leader="none"/>
        </w:tabs>
        <w:spacing w:line="187" w:lineRule="auto" w:before="204" w:after="0"/>
        <w:ind w:left="1216" w:right="1855" w:hanging="284"/>
        <w:jc w:val="left"/>
        <w:rPr>
          <w:sz w:val="28"/>
        </w:rPr>
      </w:pPr>
      <w:r>
        <w:rPr>
          <w:b/>
          <w:color w:val="57585B"/>
          <w:sz w:val="28"/>
        </w:rPr>
        <w:t>血制品：</w:t>
      </w:r>
      <w:r>
        <w:rPr>
          <w:color w:val="585858"/>
          <w:sz w:val="28"/>
        </w:rPr>
        <w:t>十四五期间浆站审批倾向宽松，采浆空间进一步打开，各企业品种丰富度不断提升、产能稳步扩张，行业中长期成长路  径清晰。随着疫情的放开，血制品行业供给端和需求端均有较大弹性有待释放，各公司业绩也有望逐步改善。建议关注天坛生物、博雅生物。</w:t>
      </w:r>
    </w:p>
    <w:p>
      <w:pPr>
        <w:pStyle w:val="ListParagraph"/>
        <w:numPr>
          <w:ilvl w:val="0"/>
          <w:numId w:val="1"/>
        </w:numPr>
        <w:tabs>
          <w:tab w:pos="1217" w:val="left" w:leader="none"/>
        </w:tabs>
        <w:spacing w:line="438" w:lineRule="exact" w:before="81" w:after="0"/>
        <w:ind w:left="1216" w:right="0" w:hanging="284"/>
        <w:jc w:val="left"/>
        <w:rPr>
          <w:sz w:val="28"/>
        </w:rPr>
      </w:pPr>
      <w:r>
        <w:rPr>
          <w:b/>
          <w:color w:val="57585B"/>
          <w:sz w:val="28"/>
        </w:rPr>
        <w:t>生命科学服务</w:t>
      </w:r>
      <w:r>
        <w:rPr>
          <w:color w:val="57585B"/>
          <w:sz w:val="28"/>
        </w:rPr>
        <w:t>：国产替代空间大，需求急迫，行业发展空间大；干扰项有新冠和产品竞争力。重点关注奥浦迈、百普赛斯、华大</w:t>
      </w:r>
    </w:p>
    <w:p>
      <w:pPr>
        <w:pStyle w:val="BodyText"/>
        <w:spacing w:line="438" w:lineRule="exact"/>
        <w:ind w:left="1216"/>
      </w:pPr>
      <w:r>
        <w:rPr>
          <w:color w:val="57585B"/>
        </w:rPr>
        <w:t>智造等。</w:t>
      </w:r>
    </w:p>
    <w:p>
      <w:pPr>
        <w:spacing w:after="0" w:line="438" w:lineRule="exact"/>
        <w:sectPr>
          <w:pgSz w:w="19200" w:h="10800" w:orient="landscape"/>
          <w:pgMar w:header="471" w:footer="173" w:top="1100" w:bottom="360" w:left="0" w:right="0"/>
        </w:sectPr>
      </w:pPr>
    </w:p>
    <w:p>
      <w:pPr>
        <w:pStyle w:val="BodyText"/>
        <w:spacing w:before="18"/>
        <w:rPr>
          <w:sz w:val="26"/>
        </w:rPr>
      </w:pPr>
    </w:p>
    <w:p>
      <w:pPr>
        <w:pStyle w:val="Heading3"/>
        <w:tabs>
          <w:tab w:pos="1407" w:val="left" w:leader="none"/>
        </w:tabs>
      </w:pPr>
      <w:r>
        <w:rPr/>
        <w:drawing>
          <wp:anchor distT="0" distB="0" distL="0" distR="0" allowOverlap="1" layoutInCell="1" locked="0" behindDoc="0" simplePos="0" relativeHeight="15739904">
            <wp:simplePos x="0" y="0"/>
            <wp:positionH relativeFrom="page">
              <wp:posOffset>9144</wp:posOffset>
            </wp:positionH>
            <wp:positionV relativeFrom="paragraph">
              <wp:posOffset>-158273</wp:posOffset>
            </wp:positionV>
            <wp:extent cx="12182855" cy="89915"/>
            <wp:effectExtent l="0" t="0" r="0" b="0"/>
            <wp:wrapNone/>
            <wp:docPr id="21" name="image5.png"/>
            <wp:cNvGraphicFramePr>
              <a:graphicFrameLocks noChangeAspect="1"/>
            </wp:cNvGraphicFramePr>
            <a:graphic>
              <a:graphicData uri="http://schemas.openxmlformats.org/drawingml/2006/picture">
                <pic:pic>
                  <pic:nvPicPr>
                    <pic:cNvPr id="22" name="image5.png"/>
                    <pic:cNvPicPr/>
                  </pic:nvPicPr>
                  <pic:blipFill>
                    <a:blip r:embed="rId14" cstate="print"/>
                    <a:stretch>
                      <a:fillRect/>
                    </a:stretch>
                  </pic:blipFill>
                  <pic:spPr>
                    <a:xfrm>
                      <a:off x="0" y="0"/>
                      <a:ext cx="12182855" cy="89915"/>
                    </a:xfrm>
                    <a:prstGeom prst="rect">
                      <a:avLst/>
                    </a:prstGeom>
                  </pic:spPr>
                </pic:pic>
              </a:graphicData>
            </a:graphic>
          </wp:anchor>
        </w:drawing>
      </w:r>
      <w:r>
        <w:rPr>
          <w:rFonts w:ascii="Microsoft YaHei UI Light" w:hAnsi="Microsoft YaHei UI Light" w:eastAsia="Microsoft YaHei UI Light" w:hint="eastAsia"/>
          <w:b w:val="0"/>
          <w:color w:val="00AFEF"/>
        </w:rPr>
        <w:t>┃</w:t>
        <w:tab/>
      </w:r>
      <w:r>
        <w:rPr>
          <w:color w:val="57585B"/>
          <w:spacing w:val="-3"/>
        </w:rPr>
        <w:t>阿尔兹海默病属于神经退行性疾病，发病机理尚未阐明</w:t>
      </w:r>
    </w:p>
    <w:p>
      <w:pPr>
        <w:pStyle w:val="ListParagraph"/>
        <w:numPr>
          <w:ilvl w:val="0"/>
          <w:numId w:val="1"/>
        </w:numPr>
        <w:tabs>
          <w:tab w:pos="1217" w:val="left" w:leader="none"/>
        </w:tabs>
        <w:spacing w:line="172" w:lineRule="auto" w:before="200" w:after="0"/>
        <w:ind w:left="1216" w:right="1990" w:hanging="284"/>
        <w:jc w:val="left"/>
        <w:rPr>
          <w:sz w:val="28"/>
        </w:rPr>
      </w:pPr>
      <w:r>
        <w:rPr>
          <w:color w:val="57585B"/>
          <w:sz w:val="28"/>
        </w:rPr>
        <w:t>阿尔兹海默病（Alzheimer</w:t>
      </w:r>
      <w:r>
        <w:rPr>
          <w:color w:val="57585B"/>
          <w:sz w:val="24"/>
        </w:rPr>
        <w:t>’</w:t>
      </w:r>
      <w:r>
        <w:rPr>
          <w:color w:val="57585B"/>
          <w:sz w:val="28"/>
        </w:rPr>
        <w:t>s</w:t>
      </w:r>
      <w:r>
        <w:rPr>
          <w:color w:val="57585B"/>
          <w:spacing w:val="41"/>
          <w:sz w:val="28"/>
        </w:rPr>
        <w:t>  </w:t>
      </w:r>
      <w:r>
        <w:rPr>
          <w:color w:val="57585B"/>
          <w:sz w:val="28"/>
        </w:rPr>
        <w:t>Disease，AD）是发生于老年和老年前期以进行性认知功能障碍和行为损害为临床症状的中枢神经</w:t>
      </w:r>
      <w:r>
        <w:rPr>
          <w:color w:val="57585B"/>
          <w:spacing w:val="-1"/>
          <w:sz w:val="28"/>
        </w:rPr>
        <w:t>系统退行性病变，其病理特征主要体现为脑萎缩</w:t>
      </w:r>
      <w:r>
        <w:rPr>
          <w:color w:val="57585B"/>
          <w:sz w:val="28"/>
        </w:rPr>
        <w:t>（</w:t>
      </w:r>
      <w:r>
        <w:rPr>
          <w:color w:val="57585B"/>
          <w:spacing w:val="-3"/>
          <w:sz w:val="28"/>
        </w:rPr>
        <w:t>脑回变窄、脑沟增宽、脑室变大</w:t>
      </w:r>
      <w:r>
        <w:rPr>
          <w:color w:val="57585B"/>
          <w:sz w:val="28"/>
        </w:rPr>
        <w:t>），</w:t>
      </w:r>
      <w:r>
        <w:rPr>
          <w:color w:val="57585B"/>
          <w:spacing w:val="-4"/>
          <w:sz w:val="28"/>
        </w:rPr>
        <w:t>镜下可见神经炎性斑、神经原纤维缠结、脑内神经元减少、淀粉样血管变性等。目前阿尔兹海默症发病机理尚未完全阐明，主流假说观点认为，β-淀粉样蛋白（amyloid</w:t>
      </w:r>
    </w:p>
    <w:p>
      <w:pPr>
        <w:pStyle w:val="BodyText"/>
        <w:spacing w:line="407" w:lineRule="exact"/>
        <w:ind w:left="1216"/>
      </w:pPr>
      <w:r>
        <w:rPr>
          <w:color w:val="57585B"/>
        </w:rPr>
        <w:t>β-protein，Aβ）蛋白沉积（β淀粉样蛋白假说）、Tau神经原纤维缠结（Tau蛋白假说）是AD发病主要的主要机理。</w:t>
      </w:r>
    </w:p>
    <w:p>
      <w:pPr>
        <w:pStyle w:val="ListParagraph"/>
        <w:numPr>
          <w:ilvl w:val="0"/>
          <w:numId w:val="1"/>
        </w:numPr>
        <w:tabs>
          <w:tab w:pos="1217" w:val="left" w:leader="none"/>
        </w:tabs>
        <w:spacing w:line="172" w:lineRule="auto" w:before="195" w:after="0"/>
        <w:ind w:left="1216" w:right="2268" w:hanging="284"/>
        <w:jc w:val="both"/>
        <w:rPr>
          <w:sz w:val="28"/>
        </w:rPr>
      </w:pPr>
      <w:r>
        <w:rPr>
          <w:color w:val="57585B"/>
          <w:sz w:val="28"/>
        </w:rPr>
        <w:t>《</w:t>
      </w:r>
      <w:r>
        <w:rPr>
          <w:color w:val="57585B"/>
          <w:spacing w:val="-3"/>
          <w:sz w:val="28"/>
        </w:rPr>
        <w:t>World</w:t>
      </w:r>
      <w:r>
        <w:rPr>
          <w:color w:val="57585B"/>
          <w:spacing w:val="11"/>
          <w:sz w:val="28"/>
        </w:rPr>
        <w:t> </w:t>
      </w:r>
      <w:r>
        <w:rPr>
          <w:color w:val="57585B"/>
          <w:sz w:val="28"/>
        </w:rPr>
        <w:t>Alzheimer</w:t>
      </w:r>
      <w:r>
        <w:rPr>
          <w:color w:val="57585B"/>
          <w:spacing w:val="8"/>
          <w:sz w:val="28"/>
        </w:rPr>
        <w:t> </w:t>
      </w:r>
      <w:r>
        <w:rPr>
          <w:color w:val="57585B"/>
          <w:sz w:val="28"/>
        </w:rPr>
        <w:t>Report</w:t>
      </w:r>
      <w:r>
        <w:rPr>
          <w:color w:val="57585B"/>
          <w:spacing w:val="6"/>
          <w:sz w:val="28"/>
        </w:rPr>
        <w:t> </w:t>
      </w:r>
      <w:r>
        <w:rPr>
          <w:color w:val="57585B"/>
          <w:sz w:val="28"/>
        </w:rPr>
        <w:t>2023</w:t>
      </w:r>
      <w:r>
        <w:rPr>
          <w:color w:val="57585B"/>
          <w:spacing w:val="30"/>
          <w:sz w:val="28"/>
        </w:rPr>
        <w:t>》指出全球痴呆患者约</w:t>
      </w:r>
      <w:r>
        <w:rPr>
          <w:color w:val="57585B"/>
          <w:sz w:val="28"/>
        </w:rPr>
        <w:t>5500</w:t>
      </w:r>
      <w:r>
        <w:rPr>
          <w:color w:val="57585B"/>
          <w:spacing w:val="-8"/>
          <w:sz w:val="28"/>
        </w:rPr>
        <w:t> 万人， </w:t>
      </w:r>
      <w:r>
        <w:rPr>
          <w:color w:val="57585B"/>
          <w:sz w:val="28"/>
        </w:rPr>
        <w:t>2050</w:t>
      </w:r>
      <w:r>
        <w:rPr>
          <w:color w:val="57585B"/>
          <w:spacing w:val="19"/>
          <w:sz w:val="28"/>
        </w:rPr>
        <w:t> 年预计将达到</w:t>
      </w:r>
      <w:r>
        <w:rPr>
          <w:color w:val="57585B"/>
          <w:sz w:val="28"/>
        </w:rPr>
        <w:t>1.39</w:t>
      </w:r>
      <w:r>
        <w:rPr>
          <w:color w:val="57585B"/>
          <w:spacing w:val="13"/>
          <w:sz w:val="28"/>
        </w:rPr>
        <w:t> 亿人。根据《</w:t>
      </w:r>
      <w:r>
        <w:rPr>
          <w:color w:val="57585B"/>
          <w:sz w:val="28"/>
        </w:rPr>
        <w:t>The</w:t>
      </w:r>
      <w:r>
        <w:rPr>
          <w:color w:val="57585B"/>
          <w:spacing w:val="5"/>
          <w:sz w:val="28"/>
        </w:rPr>
        <w:t> </w:t>
      </w:r>
      <w:r>
        <w:rPr>
          <w:color w:val="57585B"/>
          <w:sz w:val="28"/>
        </w:rPr>
        <w:t>China Alzheimer</w:t>
      </w:r>
      <w:r>
        <w:rPr>
          <w:color w:val="57585B"/>
          <w:spacing w:val="65"/>
          <w:sz w:val="28"/>
        </w:rPr>
        <w:t> </w:t>
      </w:r>
      <w:r>
        <w:rPr>
          <w:color w:val="57585B"/>
          <w:sz w:val="28"/>
        </w:rPr>
        <w:t>Report</w:t>
      </w:r>
      <w:r>
        <w:rPr>
          <w:color w:val="57585B"/>
          <w:spacing w:val="65"/>
          <w:sz w:val="28"/>
        </w:rPr>
        <w:t> </w:t>
      </w:r>
      <w:r>
        <w:rPr>
          <w:color w:val="57585B"/>
          <w:sz w:val="28"/>
        </w:rPr>
        <w:t>2022》显示，目前中国60岁以上痴呆症患者约为1507万人，占全球痴呆患者约27%的比例，其中阿尔兹海</w:t>
      </w:r>
      <w:r>
        <w:rPr>
          <w:color w:val="57585B"/>
          <w:spacing w:val="-2"/>
          <w:sz w:val="28"/>
        </w:rPr>
        <w:t>默症</w:t>
      </w:r>
      <w:r>
        <w:rPr>
          <w:color w:val="57585B"/>
          <w:spacing w:val="-1"/>
          <w:sz w:val="28"/>
        </w:rPr>
        <w:t>（AD）患者约为983</w:t>
      </w:r>
      <w:r>
        <w:rPr>
          <w:color w:val="57585B"/>
          <w:spacing w:val="-3"/>
          <w:sz w:val="28"/>
        </w:rPr>
        <w:t>万人，血管性痴呆</w:t>
      </w:r>
      <w:r>
        <w:rPr>
          <w:color w:val="57585B"/>
          <w:sz w:val="28"/>
        </w:rPr>
        <w:t>（VD）</w:t>
      </w:r>
      <w:r>
        <w:rPr>
          <w:color w:val="57585B"/>
          <w:spacing w:val="-2"/>
          <w:sz w:val="28"/>
        </w:rPr>
        <w:t>患者</w:t>
      </w:r>
      <w:r>
        <w:rPr>
          <w:color w:val="57585B"/>
          <w:sz w:val="28"/>
        </w:rPr>
        <w:t>392</w:t>
      </w:r>
      <w:r>
        <w:rPr>
          <w:color w:val="57585B"/>
          <w:spacing w:val="-3"/>
          <w:sz w:val="28"/>
        </w:rPr>
        <w:t>万，其他痴呆</w:t>
      </w:r>
      <w:r>
        <w:rPr>
          <w:color w:val="57585B"/>
          <w:sz w:val="28"/>
        </w:rPr>
        <w:t>132</w:t>
      </w:r>
      <w:r>
        <w:rPr>
          <w:color w:val="57585B"/>
          <w:spacing w:val="-3"/>
          <w:sz w:val="28"/>
        </w:rPr>
        <w:t>万患者，阿尔兹海默症是老年痴呆最主要形式。同时老龄化将会加剧人口老龄化使得老年疾病成为突出的社会问题，根据苏州大学公共卫生学院的预测，2030年，我国AD</w:t>
      </w:r>
      <w:r>
        <w:rPr>
          <w:color w:val="57585B"/>
          <w:spacing w:val="1"/>
          <w:sz w:val="28"/>
        </w:rPr>
        <w:t>患者人数将突破2000</w:t>
      </w:r>
      <w:r>
        <w:rPr>
          <w:color w:val="57585B"/>
          <w:spacing w:val="-2"/>
          <w:sz w:val="28"/>
        </w:rPr>
        <w:t>万人，</w:t>
      </w:r>
      <w:r>
        <w:rPr>
          <w:color w:val="57585B"/>
          <w:sz w:val="28"/>
        </w:rPr>
        <w:t>2050</w:t>
      </w:r>
      <w:r>
        <w:rPr>
          <w:color w:val="57585B"/>
          <w:spacing w:val="-3"/>
          <w:sz w:val="28"/>
        </w:rPr>
        <w:t>年将突破</w:t>
      </w:r>
      <w:r>
        <w:rPr>
          <w:color w:val="57585B"/>
          <w:sz w:val="28"/>
        </w:rPr>
        <w:t>3000</w:t>
      </w:r>
      <w:r>
        <w:rPr>
          <w:color w:val="57585B"/>
          <w:spacing w:val="-2"/>
          <w:sz w:val="28"/>
        </w:rPr>
        <w:t>万人。</w:t>
      </w:r>
    </w:p>
    <w:p>
      <w:pPr>
        <w:spacing w:after="0" w:line="172" w:lineRule="auto"/>
        <w:jc w:val="both"/>
        <w:rPr>
          <w:sz w:val="28"/>
        </w:rPr>
        <w:sectPr>
          <w:headerReference w:type="default" r:id="rId19"/>
          <w:footerReference w:type="default" r:id="rId20"/>
          <w:pgSz w:w="19200" w:h="10800" w:orient="landscape"/>
          <w:pgMar w:header="471" w:footer="0" w:top="1100" w:bottom="0" w:left="0" w:right="0"/>
        </w:sectPr>
      </w:pPr>
    </w:p>
    <w:p>
      <w:pPr>
        <w:pStyle w:val="ListParagraph"/>
        <w:numPr>
          <w:ilvl w:val="0"/>
          <w:numId w:val="2"/>
        </w:numPr>
        <w:tabs>
          <w:tab w:pos="921" w:val="left" w:leader="none"/>
          <w:tab w:pos="922" w:val="left" w:leader="none"/>
        </w:tabs>
        <w:spacing w:line="320" w:lineRule="exact" w:before="0" w:after="0"/>
        <w:ind w:left="921" w:right="0" w:hanging="453"/>
        <w:jc w:val="left"/>
        <w:rPr>
          <w:b/>
          <w:sz w:val="22"/>
        </w:rPr>
      </w:pPr>
      <w:r>
        <w:rPr/>
        <w:pict>
          <v:group style="position:absolute;margin-left:6.24pt;margin-top:11.872056pt;width:289.95pt;height:215.3pt;mso-position-horizontal-relative:page;mso-position-vertical-relative:paragraph;z-index:-18052608" coordorigin="125,237" coordsize="5799,4306">
            <v:shape style="position:absolute;left:208;top:364;width:5441;height:4085" type="#_x0000_t75" stroked="false">
              <v:imagedata r:id="rId21" o:title=""/>
            </v:shape>
            <v:shape style="position:absolute;left:124;top:237;width:5799;height:4306" coordorigin="125,237" coordsize="5799,4306" path="m578,317l209,317,209,873,578,873,578,317xm641,2489l269,2489,269,3045,641,3045,641,2489xm3374,237l2023,237,2023,576,3374,576,3374,237xm4058,2407l2700,2407,2700,2376,1418,2376,1418,2714,2575,2714,2575,2745,4058,2745,4058,2407xm4915,1529l4058,1529,4058,1869,4915,1869,4915,1529xm5134,3641l3161,3641,3161,3869,1954,3869,1954,3991,125,3991,125,4329,2076,4329,2076,4207,3233,4207,3233,3979,5134,3979,5134,3641xm5923,4401l5035,4401,5035,4205,4178,4205,4178,4401,125,4401,125,4497,4178,4497,4178,4543,5035,4543,5035,4497,5923,4497,5923,4401xe" filled="true" fillcolor="#ffffff" stroked="false">
              <v:path arrowok="t"/>
              <v:fill type="solid"/>
            </v:shape>
            <v:shape style="position:absolute;left:2168;top:338;width:664;height:161" type="#_x0000_t202" filled="false" stroked="false">
              <v:textbox inset="0,0,0,0">
                <w:txbxContent>
                  <w:p>
                    <w:pPr>
                      <w:spacing w:line="161" w:lineRule="exact" w:before="0"/>
                      <w:ind w:left="0" w:right="0" w:firstLine="0"/>
                      <w:jc w:val="left"/>
                      <w:rPr>
                        <w:rFonts w:ascii="Microsoft JhengHei" w:eastAsia="Microsoft JhengHei" w:hint="eastAsia"/>
                        <w:b/>
                        <w:sz w:val="16"/>
                      </w:rPr>
                    </w:pPr>
                    <w:r>
                      <w:rPr>
                        <w:rFonts w:ascii="Microsoft JhengHei" w:eastAsia="Microsoft JhengHei" w:hint="eastAsia"/>
                        <w:b/>
                        <w:sz w:val="16"/>
                      </w:rPr>
                      <w:t>大脑皮层</w:t>
                    </w:r>
                  </w:p>
                </w:txbxContent>
              </v:textbox>
              <w10:wrap type="none"/>
            </v:shape>
            <v:shape style="position:absolute;left:4202;top:1630;width:503;height:161" type="#_x0000_t202" filled="false" stroked="false">
              <v:textbox inset="0,0,0,0">
                <w:txbxContent>
                  <w:p>
                    <w:pPr>
                      <w:spacing w:line="161" w:lineRule="exact" w:before="0"/>
                      <w:ind w:left="0" w:right="0" w:firstLine="0"/>
                      <w:jc w:val="left"/>
                      <w:rPr>
                        <w:rFonts w:ascii="Microsoft JhengHei" w:eastAsia="Microsoft JhengHei" w:hint="eastAsia"/>
                        <w:b/>
                        <w:sz w:val="16"/>
                      </w:rPr>
                    </w:pPr>
                    <w:r>
                      <w:rPr>
                        <w:rFonts w:ascii="Microsoft JhengHei" w:eastAsia="Microsoft JhengHei" w:hint="eastAsia"/>
                        <w:b/>
                        <w:sz w:val="16"/>
                      </w:rPr>
                      <w:t>神经元</w:t>
                    </w:r>
                  </w:p>
                </w:txbxContent>
              </v:textbox>
              <w10:wrap type="none"/>
            </v:shape>
            <v:shape style="position:absolute;left:1563;top:2476;width:983;height:161" type="#_x0000_t202" filled="false" stroked="false">
              <v:textbox inset="0,0,0,0">
                <w:txbxContent>
                  <w:p>
                    <w:pPr>
                      <w:spacing w:line="161" w:lineRule="exact" w:before="0"/>
                      <w:ind w:left="0" w:right="0" w:firstLine="0"/>
                      <w:jc w:val="left"/>
                      <w:rPr>
                        <w:rFonts w:ascii="Microsoft JhengHei" w:eastAsia="Microsoft JhengHei" w:hint="eastAsia"/>
                        <w:b/>
                        <w:sz w:val="16"/>
                      </w:rPr>
                    </w:pPr>
                    <w:r>
                      <w:rPr>
                        <w:rFonts w:ascii="Microsoft JhengHei" w:eastAsia="Microsoft JhengHei" w:hint="eastAsia"/>
                        <w:b/>
                        <w:sz w:val="16"/>
                      </w:rPr>
                      <w:t>大脑皮层萎缩</w:t>
                    </w:r>
                  </w:p>
                </w:txbxContent>
              </v:textbox>
              <w10:wrap type="none"/>
            </v:shape>
            <v:shape style="position:absolute;left:2995;top:2507;width:664;height:161" type="#_x0000_t202" filled="false" stroked="false">
              <v:textbox inset="0,0,0,0">
                <w:txbxContent>
                  <w:p>
                    <w:pPr>
                      <w:spacing w:line="161" w:lineRule="exact" w:before="0"/>
                      <w:ind w:left="0" w:right="0" w:firstLine="0"/>
                      <w:jc w:val="left"/>
                      <w:rPr>
                        <w:rFonts w:ascii="Microsoft JhengHei" w:eastAsia="Microsoft JhengHei" w:hint="eastAsia"/>
                        <w:b/>
                        <w:sz w:val="16"/>
                      </w:rPr>
                    </w:pPr>
                    <w:r>
                      <w:rPr>
                        <w:rFonts w:ascii="Microsoft JhengHei" w:eastAsia="Microsoft JhengHei" w:hint="eastAsia"/>
                        <w:b/>
                        <w:sz w:val="16"/>
                      </w:rPr>
                      <w:t>脑室扩大</w:t>
                    </w:r>
                  </w:p>
                </w:txbxContent>
              </v:textbox>
              <w10:wrap type="none"/>
            </v:shape>
            <v:shape style="position:absolute;left:267;top:4091;width:1624;height:161" type="#_x0000_t202" filled="false" stroked="false">
              <v:textbox inset="0,0,0,0">
                <w:txbxContent>
                  <w:p>
                    <w:pPr>
                      <w:spacing w:line="161" w:lineRule="exact" w:before="0"/>
                      <w:ind w:left="0" w:right="0" w:firstLine="0"/>
                      <w:jc w:val="left"/>
                      <w:rPr>
                        <w:rFonts w:ascii="Microsoft JhengHei" w:eastAsia="Microsoft JhengHei" w:hint="eastAsia"/>
                        <w:b/>
                        <w:sz w:val="16"/>
                      </w:rPr>
                    </w:pPr>
                    <w:r>
                      <w:rPr>
                        <w:rFonts w:ascii="Microsoft JhengHei" w:eastAsia="Microsoft JhengHei" w:hint="eastAsia"/>
                        <w:b/>
                        <w:sz w:val="16"/>
                      </w:rPr>
                      <w:t>阿尔兹海默症患者大脑</w:t>
                    </w:r>
                  </w:p>
                </w:txbxContent>
              </v:textbox>
              <w10:wrap type="none"/>
            </v:shape>
            <v:shape style="position:absolute;left:4326;top:4305;width:582;height:161" type="#_x0000_t202" filled="false" stroked="false">
              <v:textbox inset="0,0,0,0">
                <w:txbxContent>
                  <w:p>
                    <w:pPr>
                      <w:spacing w:line="161" w:lineRule="exact" w:before="0"/>
                      <w:ind w:left="0" w:right="0" w:firstLine="0"/>
                      <w:jc w:val="left"/>
                      <w:rPr>
                        <w:rFonts w:ascii="Microsoft JhengHei" w:hAnsi="Microsoft JhengHei" w:eastAsia="Microsoft JhengHei" w:hint="eastAsia"/>
                        <w:b/>
                        <w:sz w:val="16"/>
                      </w:rPr>
                    </w:pPr>
                    <w:r>
                      <w:rPr>
                        <w:rFonts w:ascii="Microsoft JhengHei" w:hAnsi="Microsoft JhengHei" w:eastAsia="Microsoft JhengHei" w:hint="eastAsia"/>
                        <w:b/>
                        <w:w w:val="105"/>
                        <w:sz w:val="16"/>
                      </w:rPr>
                      <w:t>Aβ沉积</w:t>
                    </w:r>
                  </w:p>
                </w:txbxContent>
              </v:textbox>
              <w10:wrap type="none"/>
            </v:shape>
            <v:shape style="position:absolute;left:1953;top:3979;width:1280;height:228" type="#_x0000_t202" filled="false" stroked="false">
              <v:textbox inset="0,0,0,0">
                <w:txbxContent>
                  <w:p>
                    <w:pPr>
                      <w:spacing w:line="211" w:lineRule="exact" w:before="0"/>
                      <w:ind w:left="143" w:right="0" w:firstLine="0"/>
                      <w:jc w:val="left"/>
                      <w:rPr>
                        <w:rFonts w:ascii="Microsoft JhengHei" w:eastAsia="Microsoft JhengHei" w:hint="eastAsia"/>
                        <w:b/>
                        <w:sz w:val="16"/>
                      </w:rPr>
                    </w:pPr>
                    <w:r>
                      <w:rPr>
                        <w:rFonts w:ascii="Microsoft JhengHei" w:eastAsia="Microsoft JhengHei" w:hint="eastAsia"/>
                        <w:b/>
                        <w:sz w:val="16"/>
                      </w:rPr>
                      <w:t>海马体萎缩</w:t>
                    </w:r>
                  </w:p>
                </w:txbxContent>
              </v:textbox>
              <w10:wrap type="none"/>
            </v:shape>
            <v:shape style="position:absolute;left:3160;top:3640;width:1973;height:228" type="#_x0000_t202" filled="true" fillcolor="#ffffff" stroked="false">
              <v:textbox inset="0,0,0,0">
                <w:txbxContent>
                  <w:p>
                    <w:pPr>
                      <w:spacing w:line="201" w:lineRule="exact" w:before="26"/>
                      <w:ind w:left="143" w:right="0" w:firstLine="0"/>
                      <w:jc w:val="left"/>
                      <w:rPr>
                        <w:rFonts w:ascii="Microsoft JhengHei" w:eastAsia="Microsoft JhengHei" w:hint="eastAsia"/>
                        <w:b/>
                        <w:sz w:val="16"/>
                      </w:rPr>
                    </w:pPr>
                    <w:r>
                      <w:rPr>
                        <w:rFonts w:ascii="Microsoft JhengHei" w:eastAsia="Microsoft JhengHei" w:hint="eastAsia"/>
                        <w:b/>
                        <w:sz w:val="16"/>
                      </w:rPr>
                      <w:t>Tau神经原纤维缠结</w:t>
                    </w:r>
                  </w:p>
                </w:txbxContent>
              </v:textbox>
              <v:fill type="solid"/>
              <w10:wrap type="none"/>
            </v:shape>
            <v:shape style="position:absolute;left:662;top:1766;width:2556;height:344" type="#_x0000_t202" filled="true" fillcolor="#ffffff" stroked="false">
              <v:textbox inset="0,0,0,0">
                <w:txbxContent>
                  <w:p>
                    <w:pPr>
                      <w:tabs>
                        <w:tab w:pos="1350" w:val="left" w:leader="none"/>
                      </w:tabs>
                      <w:spacing w:before="29"/>
                      <w:ind w:left="143" w:right="0" w:firstLine="0"/>
                      <w:jc w:val="left"/>
                      <w:rPr>
                        <w:rFonts w:ascii="Microsoft JhengHei" w:eastAsia="Microsoft JhengHei" w:hint="eastAsia"/>
                        <w:b/>
                        <w:sz w:val="16"/>
                      </w:rPr>
                    </w:pPr>
                    <w:r>
                      <w:rPr>
                        <w:rFonts w:ascii="Microsoft JhengHei" w:eastAsia="Microsoft JhengHei" w:hint="eastAsia"/>
                        <w:b/>
                        <w:sz w:val="16"/>
                      </w:rPr>
                      <w:t>正常大脑</w:t>
                      <w:tab/>
                      <w:t>海马体</w:t>
                    </w:r>
                  </w:p>
                </w:txbxContent>
              </v:textbox>
              <v:fill type="solid"/>
              <w10:wrap type="none"/>
            </v:shape>
            <w10:wrap type="none"/>
          </v:group>
        </w:pict>
      </w:r>
      <w:r>
        <w:rPr>
          <w:b/>
          <w:color w:val="0A4EA1"/>
          <w:spacing w:val="-3"/>
          <w:sz w:val="22"/>
        </w:rPr>
        <w:t>正常大脑与阿尔兹海默症患者大脑和神经元生理结构</w:t>
      </w:r>
    </w:p>
    <w:p>
      <w:pPr>
        <w:pStyle w:val="ListParagraph"/>
        <w:numPr>
          <w:ilvl w:val="0"/>
          <w:numId w:val="2"/>
        </w:numPr>
        <w:tabs>
          <w:tab w:pos="920" w:val="left" w:leader="none"/>
          <w:tab w:pos="921" w:val="left" w:leader="none"/>
        </w:tabs>
        <w:spacing w:line="297" w:lineRule="exact" w:before="0" w:after="0"/>
        <w:ind w:left="920" w:right="0" w:hanging="452"/>
        <w:jc w:val="left"/>
        <w:rPr>
          <w:b/>
          <w:sz w:val="22"/>
        </w:rPr>
      </w:pPr>
      <w:r>
        <w:rPr>
          <w:b/>
          <w:color w:val="0A4EA1"/>
          <w:w w:val="100"/>
          <w:sz w:val="22"/>
        </w:rPr>
        <w:br w:type="column"/>
      </w:r>
      <w:r>
        <w:rPr>
          <w:b/>
          <w:color w:val="0A4EA1"/>
          <w:sz w:val="22"/>
        </w:rPr>
        <w:t>2020</w:t>
      </w:r>
      <w:r>
        <w:rPr>
          <w:b/>
          <w:color w:val="0A4EA1"/>
          <w:spacing w:val="-3"/>
          <w:sz w:val="22"/>
        </w:rPr>
        <w:t>年中国老年痴呆患者结构</w:t>
      </w:r>
      <w:r>
        <w:rPr>
          <w:b/>
          <w:color w:val="0A4EA1"/>
          <w:sz w:val="22"/>
        </w:rPr>
        <w:t>（万</w:t>
      </w:r>
    </w:p>
    <w:p>
      <w:pPr>
        <w:spacing w:line="383" w:lineRule="exact" w:before="0"/>
        <w:ind w:left="920" w:right="0" w:firstLine="0"/>
        <w:jc w:val="left"/>
        <w:rPr>
          <w:b/>
          <w:sz w:val="22"/>
        </w:rPr>
      </w:pPr>
      <w:r>
        <w:rPr>
          <w:b/>
          <w:color w:val="0A4EA1"/>
          <w:sz w:val="22"/>
        </w:rPr>
        <w:t>人）</w:t>
      </w:r>
    </w:p>
    <w:p>
      <w:pPr>
        <w:pStyle w:val="BodyText"/>
        <w:ind w:left="984" w:right="-29"/>
        <w:rPr>
          <w:sz w:val="20"/>
        </w:rPr>
      </w:pPr>
      <w:r>
        <w:rPr>
          <w:sz w:val="20"/>
        </w:rPr>
        <w:pict>
          <v:group style="width:167.7pt;height:167.7pt;mso-position-horizontal-relative:char;mso-position-vertical-relative:line" coordorigin="0,0" coordsize="3354,3354">
            <v:shape style="position:absolute;left:306;top:0;width:3048;height:3354" coordorigin="306,0" coordsize="3048,3354" path="m1677,0l1677,1677,306,2643,352,2704,400,2763,450,2820,502,2873,556,2924,612,2973,670,3018,729,3060,790,3100,852,3137,916,3171,981,3203,1047,3231,1114,3256,1182,3279,1251,3299,1320,3315,1391,3329,1461,3340,1532,3347,1604,3352,1675,3354,1747,3352,1819,3348,1891,3340,1962,3329,2033,3316,2104,3299,2174,3278,2244,3255,2313,3229,2381,3199,2448,3166,2514,3130,2579,3090,2643,3047,2704,3002,2763,2954,2820,2904,2873,2852,2924,2797,2972,2742,3018,2684,3060,2624,3100,2564,3137,2501,3171,2438,3202,2373,3231,2307,3256,2239,3279,2171,3298,2103,3315,2033,3329,1963,3340,1892,3347,1821,3352,1750,3354,1678,3352,1606,3348,1534,3340,1463,3329,1391,3315,1320,3298,1249,3278,1179,3255,1110,3228,1041,3199,973,3166,906,3130,839,3090,775,3047,711,3001,648,2952,588,2901,531,2847,476,2791,424,2733,375,2673,328,2611,285,2548,244,2482,206,2415,171,2346,139,2276,111,2204,85,2132,63,2058,44,1983,28,1908,16,1831,7,1754,2,1677,0xe" filled="true" fillcolor="#e6121b" stroked="false">
              <v:path arrowok="t"/>
              <v:fill type="solid"/>
            </v:shape>
            <v:shape style="position:absolute;left:0;top:247;width:1677;height:2396" coordorigin="0,248" coordsize="1677,2396" path="m800,248l735,289,673,333,614,380,557,428,503,479,451,532,402,586,356,643,312,701,271,761,233,822,198,885,166,949,136,1015,109,1081,85,1149,64,1217,46,1286,31,1356,19,1427,9,1498,3,1569,0,1641,0,1713,3,1785,9,1857,18,1928,31,2000,47,2071,65,2142,87,2213,113,2283,141,2352,173,2420,209,2487,247,2554,306,2643,1677,1677,800,248xe" filled="true" fillcolor="#0161b9" stroked="false">
              <v:path arrowok="t"/>
              <v:fill type="solid"/>
            </v:shape>
            <v:shape style="position:absolute;left:799;top:0;width:877;height:1677" coordorigin="800,0" coordsize="877,1677" path="m1677,0l1599,2,1522,7,1446,16,1370,28,1295,44,1221,63,1148,86,1076,111,1004,141,935,173,866,209,800,248,1677,1677,1677,0xe" filled="true" fillcolor="#a6a6a6" stroked="false">
              <v:path arrowok="t"/>
              <v:fill type="solid"/>
            </v:shape>
            <v:shape style="position:absolute;left:967;top:277;width:706;height:429" type="#_x0000_t202" filled="false" stroked="false">
              <v:textbox inset="0,0,0,0">
                <w:txbxContent>
                  <w:p>
                    <w:pPr>
                      <w:spacing w:line="249" w:lineRule="exact" w:before="0"/>
                      <w:ind w:left="0" w:right="18" w:firstLine="0"/>
                      <w:jc w:val="center"/>
                      <w:rPr>
                        <w:rFonts w:ascii="Times New Roman" w:eastAsia="Times New Roman"/>
                        <w:sz w:val="16"/>
                      </w:rPr>
                    </w:pPr>
                    <w:r>
                      <w:rPr>
                        <w:color w:val="FFFFFF"/>
                        <w:sz w:val="16"/>
                      </w:rPr>
                      <w:t>其他</w:t>
                    </w:r>
                    <w:r>
                      <w:rPr>
                        <w:rFonts w:ascii="Times New Roman" w:eastAsia="Times New Roman"/>
                        <w:color w:val="FFFFFF"/>
                        <w:sz w:val="16"/>
                      </w:rPr>
                      <w:t>, 132,</w:t>
                    </w:r>
                  </w:p>
                  <w:p>
                    <w:pPr>
                      <w:spacing w:line="179" w:lineRule="exact" w:before="0"/>
                      <w:ind w:left="0" w:right="16" w:firstLine="0"/>
                      <w:jc w:val="center"/>
                      <w:rPr>
                        <w:rFonts w:ascii="Times New Roman"/>
                        <w:sz w:val="16"/>
                      </w:rPr>
                    </w:pPr>
                    <w:r>
                      <w:rPr>
                        <w:rFonts w:ascii="Times New Roman"/>
                        <w:color w:val="FFFFFF"/>
                        <w:sz w:val="16"/>
                      </w:rPr>
                      <w:t>9%</w:t>
                    </w:r>
                  </w:p>
                </w:txbxContent>
              </v:textbox>
              <w10:wrap type="none"/>
            </v:shape>
            <v:shape style="position:absolute;left:82;top:1462;width:1186;height:429" type="#_x0000_t202" filled="false" stroked="false">
              <v:textbox inset="0,0,0,0">
                <w:txbxContent>
                  <w:p>
                    <w:pPr>
                      <w:spacing w:line="249" w:lineRule="exact" w:before="0"/>
                      <w:ind w:left="-1" w:right="18" w:firstLine="0"/>
                      <w:jc w:val="center"/>
                      <w:rPr>
                        <w:rFonts w:ascii="Times New Roman" w:eastAsia="Times New Roman"/>
                        <w:sz w:val="16"/>
                      </w:rPr>
                    </w:pPr>
                    <w:r>
                      <w:rPr>
                        <w:color w:val="FFFFFF"/>
                        <w:sz w:val="16"/>
                      </w:rPr>
                      <w:t>血管性痴呆</w:t>
                    </w:r>
                    <w:r>
                      <w:rPr>
                        <w:rFonts w:ascii="Times New Roman" w:eastAsia="Times New Roman"/>
                        <w:color w:val="FFFFFF"/>
                        <w:sz w:val="16"/>
                      </w:rPr>
                      <w:t>, </w:t>
                    </w:r>
                    <w:r>
                      <w:rPr>
                        <w:rFonts w:ascii="Times New Roman" w:eastAsia="Times New Roman"/>
                        <w:color w:val="FFFFFF"/>
                        <w:spacing w:val="-4"/>
                        <w:sz w:val="16"/>
                      </w:rPr>
                      <w:t>392,</w:t>
                    </w:r>
                  </w:p>
                  <w:p>
                    <w:pPr>
                      <w:spacing w:line="179" w:lineRule="exact" w:before="0"/>
                      <w:ind w:left="2" w:right="18" w:firstLine="0"/>
                      <w:jc w:val="center"/>
                      <w:rPr>
                        <w:rFonts w:ascii="Times New Roman"/>
                        <w:sz w:val="16"/>
                      </w:rPr>
                    </w:pPr>
                    <w:r>
                      <w:rPr>
                        <w:rFonts w:ascii="Times New Roman"/>
                        <w:color w:val="FFFFFF"/>
                        <w:sz w:val="16"/>
                      </w:rPr>
                      <w:t>26%</w:t>
                    </w:r>
                  </w:p>
                </w:txbxContent>
              </v:textbox>
              <w10:wrap type="none"/>
            </v:shape>
            <v:shape style="position:absolute;left:1900;top:1836;width:1340;height:430" type="#_x0000_t202" filled="false" stroked="false">
              <v:textbox inset="0,0,0,0">
                <w:txbxContent>
                  <w:p>
                    <w:pPr>
                      <w:spacing w:line="250" w:lineRule="exact" w:before="0"/>
                      <w:ind w:left="-1" w:right="18" w:firstLine="0"/>
                      <w:jc w:val="center"/>
                      <w:rPr>
                        <w:rFonts w:ascii="Times New Roman" w:eastAsia="Times New Roman"/>
                        <w:sz w:val="16"/>
                      </w:rPr>
                    </w:pPr>
                    <w:r>
                      <w:rPr>
                        <w:color w:val="FFFFFF"/>
                        <w:sz w:val="16"/>
                      </w:rPr>
                      <w:t>阿尔茨海默症</w:t>
                    </w:r>
                    <w:r>
                      <w:rPr>
                        <w:rFonts w:ascii="Times New Roman" w:eastAsia="Times New Roman"/>
                        <w:color w:val="FFFFFF"/>
                        <w:spacing w:val="-1"/>
                        <w:sz w:val="16"/>
                      </w:rPr>
                      <w:t>, </w:t>
                    </w:r>
                    <w:r>
                      <w:rPr>
                        <w:rFonts w:ascii="Times New Roman" w:eastAsia="Times New Roman"/>
                        <w:color w:val="FFFFFF"/>
                        <w:spacing w:val="-5"/>
                        <w:sz w:val="16"/>
                      </w:rPr>
                      <w:t>983,</w:t>
                    </w:r>
                  </w:p>
                  <w:p>
                    <w:pPr>
                      <w:spacing w:line="179" w:lineRule="exact" w:before="0"/>
                      <w:ind w:left="1" w:right="18" w:firstLine="0"/>
                      <w:jc w:val="center"/>
                      <w:rPr>
                        <w:rFonts w:ascii="Times New Roman"/>
                        <w:sz w:val="16"/>
                      </w:rPr>
                    </w:pPr>
                    <w:r>
                      <w:rPr>
                        <w:rFonts w:ascii="Times New Roman"/>
                        <w:color w:val="FFFFFF"/>
                        <w:sz w:val="16"/>
                      </w:rPr>
                      <w:t>65%</w:t>
                    </w:r>
                  </w:p>
                </w:txbxContent>
              </v:textbox>
              <w10:wrap type="none"/>
            </v:shape>
          </v:group>
        </w:pict>
      </w:r>
      <w:r>
        <w:rPr>
          <w:sz w:val="20"/>
        </w:rPr>
      </w:r>
    </w:p>
    <w:p>
      <w:pPr>
        <w:pStyle w:val="ListParagraph"/>
        <w:numPr>
          <w:ilvl w:val="1"/>
          <w:numId w:val="2"/>
        </w:numPr>
        <w:tabs>
          <w:tab w:pos="1209" w:val="left" w:leader="none"/>
          <w:tab w:pos="1210" w:val="left" w:leader="none"/>
        </w:tabs>
        <w:spacing w:line="283" w:lineRule="exact" w:before="0" w:after="0"/>
        <w:ind w:left="1209" w:right="0" w:hanging="453"/>
        <w:jc w:val="left"/>
        <w:rPr>
          <w:b/>
          <w:sz w:val="22"/>
        </w:rPr>
      </w:pPr>
      <w:r>
        <w:rPr>
          <w:b/>
          <w:color w:val="0A4EA1"/>
          <w:w w:val="100"/>
          <w:sz w:val="22"/>
        </w:rPr>
        <w:br w:type="column"/>
      </w:r>
      <w:r>
        <w:rPr>
          <w:b/>
          <w:color w:val="0A4EA1"/>
          <w:spacing w:val="-1"/>
          <w:sz w:val="22"/>
        </w:rPr>
        <w:t>中国阿尔兹海默症患病率</w:t>
      </w:r>
      <w:r>
        <w:rPr>
          <w:b/>
          <w:color w:val="0A4EA1"/>
          <w:sz w:val="22"/>
        </w:rPr>
        <w:t>（</w:t>
      </w:r>
      <w:r>
        <w:rPr>
          <w:b/>
          <w:color w:val="0A4EA1"/>
          <w:spacing w:val="-2"/>
          <w:sz w:val="22"/>
        </w:rPr>
        <w:t>分年龄段</w:t>
      </w:r>
      <w:r>
        <w:rPr>
          <w:b/>
          <w:color w:val="0A4EA1"/>
          <w:sz w:val="22"/>
        </w:rPr>
        <w:t>）</w:t>
      </w:r>
    </w:p>
    <w:p>
      <w:pPr>
        <w:spacing w:line="147" w:lineRule="exact" w:before="0"/>
        <w:ind w:left="469" w:right="0" w:firstLine="0"/>
        <w:jc w:val="left"/>
        <w:rPr>
          <w:rFonts w:ascii="Times New Roman"/>
          <w:sz w:val="16"/>
        </w:rPr>
      </w:pPr>
      <w:r>
        <w:rPr/>
        <w:pict>
          <v:group style="position:absolute;margin-left:626.159973pt;margin-top:2.880471pt;width:270.6pt;height:185.55pt;mso-position-horizontal-relative:page;mso-position-vertical-relative:paragraph;z-index:15740928" coordorigin="12523,58" coordsize="5412,3711">
            <v:shape style="position:absolute;left:12840;top:372;width:4824;height:3348" coordorigin="12840,372" coordsize="4824,3348" path="m13198,3521l12840,3521,12840,3720,13198,3720,13198,3521xm14090,3374l13733,3374,13733,3720,14090,3720,14090,3374xm14983,3190l14626,3190,14626,3720,14983,3720,14983,3190xm15876,2806l15518,2806,15518,3720,15876,3720,15876,2806xm16769,1764l16411,1764,16411,3720,16769,3720,16769,1764xm17664,372l17306,372,17306,3720,17664,3720,17664,372xe" filled="true" fillcolor="#e6121b" stroked="false">
              <v:path arrowok="t"/>
              <v:fill type="solid"/>
            </v:shape>
            <v:shape style="position:absolute;left:12523;top:62;width:48;height:3658" coordorigin="12523,62" coordsize="48,3658" path="m12571,3720l12571,62m12523,3720l12571,3720m12523,3355l12571,3355m12523,2988l12571,2988m12523,2623l12571,2623m12523,2258l12571,2258m12523,1891l12571,1891m12523,1526l12571,1526m12523,1159l12571,1159m12523,794l12571,794m12523,427l12571,427m12523,62l12571,62e" filled="false" stroked="true" strokeweight=".48pt" strokecolor="#000000">
              <v:path arrowok="t"/>
              <v:stroke dashstyle="solid"/>
            </v:shape>
            <v:shape style="position:absolute;left:12571;top:3720;width:5360;height:48" coordorigin="12571,3720" coordsize="5360,48" path="m12571,3720l17930,3720m12571,3720l12571,3768m13464,3720l13464,3768m14357,3720l14357,3768m15252,3720l15252,3768m16145,3720l16145,3768m17038,3720l17038,3768m17930,3720l17930,3768e" filled="false" stroked="true" strokeweight=".48pt" strokecolor="#000000">
              <v:path arrowok="t"/>
              <v:stroke dashstyle="solid"/>
            </v:shape>
            <v:shape style="position:absolute;left:17276;top:105;width:440;height:179" type="#_x0000_t202" filled="false" stroked="false">
              <v:textbox inset="0,0,0,0">
                <w:txbxContent>
                  <w:p>
                    <w:pPr>
                      <w:spacing w:line="178" w:lineRule="exact" w:before="0"/>
                      <w:ind w:left="0" w:right="0" w:firstLine="0"/>
                      <w:jc w:val="left"/>
                      <w:rPr>
                        <w:rFonts w:ascii="Times New Roman"/>
                        <w:sz w:val="16"/>
                      </w:rPr>
                    </w:pPr>
                    <w:r>
                      <w:rPr>
                        <w:rFonts w:ascii="Times New Roman"/>
                        <w:sz w:val="16"/>
                      </w:rPr>
                      <w:t>18.3%</w:t>
                    </w:r>
                  </w:p>
                </w:txbxContent>
              </v:textbox>
              <w10:wrap type="none"/>
            </v:shape>
            <v:shape style="position:absolute;left:16383;top:1496;width:439;height:179" type="#_x0000_t202" filled="false" stroked="false">
              <v:textbox inset="0,0,0,0">
                <w:txbxContent>
                  <w:p>
                    <w:pPr>
                      <w:spacing w:line="178" w:lineRule="exact" w:before="0"/>
                      <w:ind w:left="0" w:right="0" w:firstLine="0"/>
                      <w:jc w:val="left"/>
                      <w:rPr>
                        <w:rFonts w:ascii="Times New Roman"/>
                        <w:sz w:val="16"/>
                      </w:rPr>
                    </w:pPr>
                    <w:r>
                      <w:rPr>
                        <w:rFonts w:ascii="Times New Roman"/>
                        <w:sz w:val="16"/>
                      </w:rPr>
                      <w:t>10.7%</w:t>
                    </w:r>
                  </w:p>
                </w:txbxContent>
              </v:textbox>
              <w10:wrap type="none"/>
            </v:shape>
            <v:shape style="position:absolute;left:15530;top:2539;width:358;height:179" type="#_x0000_t202" filled="false" stroked="false">
              <v:textbox inset="0,0,0,0">
                <w:txbxContent>
                  <w:p>
                    <w:pPr>
                      <w:spacing w:line="178" w:lineRule="exact" w:before="0"/>
                      <w:ind w:left="0" w:right="0" w:firstLine="0"/>
                      <w:jc w:val="left"/>
                      <w:rPr>
                        <w:rFonts w:ascii="Times New Roman"/>
                        <w:sz w:val="16"/>
                      </w:rPr>
                    </w:pPr>
                    <w:r>
                      <w:rPr>
                        <w:rFonts w:ascii="Times New Roman"/>
                        <w:sz w:val="16"/>
                      </w:rPr>
                      <w:t>5.0%</w:t>
                    </w:r>
                  </w:p>
                </w:txbxContent>
              </v:textbox>
              <w10:wrap type="none"/>
            </v:shape>
            <v:shape style="position:absolute;left:14637;top:2923;width:358;height:179" type="#_x0000_t202" filled="false" stroked="false">
              <v:textbox inset="0,0,0,0">
                <w:txbxContent>
                  <w:p>
                    <w:pPr>
                      <w:spacing w:line="178" w:lineRule="exact" w:before="0"/>
                      <w:ind w:left="0" w:right="0" w:firstLine="0"/>
                      <w:jc w:val="left"/>
                      <w:rPr>
                        <w:rFonts w:ascii="Times New Roman"/>
                        <w:sz w:val="16"/>
                      </w:rPr>
                    </w:pPr>
                    <w:r>
                      <w:rPr>
                        <w:rFonts w:ascii="Times New Roman"/>
                        <w:sz w:val="16"/>
                      </w:rPr>
                      <w:t>2.9%</w:t>
                    </w:r>
                  </w:p>
                </w:txbxContent>
              </v:textbox>
              <w10:wrap type="none"/>
            </v:shape>
            <v:shape style="position:absolute;left:13744;top:3107;width:358;height:179" type="#_x0000_t202" filled="false" stroked="false">
              <v:textbox inset="0,0,0,0">
                <w:txbxContent>
                  <w:p>
                    <w:pPr>
                      <w:spacing w:line="178" w:lineRule="exact" w:before="0"/>
                      <w:ind w:left="0" w:right="0" w:firstLine="0"/>
                      <w:jc w:val="left"/>
                      <w:rPr>
                        <w:rFonts w:ascii="Times New Roman"/>
                        <w:sz w:val="16"/>
                      </w:rPr>
                    </w:pPr>
                    <w:r>
                      <w:rPr>
                        <w:rFonts w:ascii="Times New Roman"/>
                        <w:sz w:val="16"/>
                      </w:rPr>
                      <w:t>1.9%</w:t>
                    </w:r>
                  </w:p>
                </w:txbxContent>
              </v:textbox>
              <w10:wrap type="none"/>
            </v:shape>
            <v:shape style="position:absolute;left:12851;top:3253;width:358;height:179" type="#_x0000_t202" filled="false" stroked="false">
              <v:textbox inset="0,0,0,0">
                <w:txbxContent>
                  <w:p>
                    <w:pPr>
                      <w:spacing w:line="178" w:lineRule="exact" w:before="0"/>
                      <w:ind w:left="0" w:right="0" w:firstLine="0"/>
                      <w:jc w:val="left"/>
                      <w:rPr>
                        <w:rFonts w:ascii="Times New Roman"/>
                        <w:sz w:val="16"/>
                      </w:rPr>
                    </w:pPr>
                    <w:r>
                      <w:rPr>
                        <w:rFonts w:ascii="Times New Roman"/>
                        <w:sz w:val="16"/>
                      </w:rPr>
                      <w:t>1.1%</w:t>
                    </w:r>
                  </w:p>
                </w:txbxContent>
              </v:textbox>
              <w10:wrap type="none"/>
            </v:shape>
            <w10:wrap type="none"/>
          </v:group>
        </w:pict>
      </w:r>
      <w:r>
        <w:rPr>
          <w:rFonts w:ascii="Times New Roman"/>
          <w:sz w:val="16"/>
        </w:rPr>
        <w:t>20%</w:t>
      </w:r>
    </w:p>
    <w:p>
      <w:pPr>
        <w:pStyle w:val="BodyText"/>
        <w:spacing w:before="9"/>
        <w:rPr>
          <w:rFonts w:ascii="Times New Roman"/>
          <w:sz w:val="15"/>
        </w:rPr>
      </w:pPr>
    </w:p>
    <w:p>
      <w:pPr>
        <w:spacing w:before="0"/>
        <w:ind w:left="469" w:right="0" w:firstLine="0"/>
        <w:jc w:val="left"/>
        <w:rPr>
          <w:rFonts w:ascii="Times New Roman"/>
          <w:sz w:val="16"/>
        </w:rPr>
      </w:pPr>
      <w:r>
        <w:rPr>
          <w:rFonts w:ascii="Times New Roman"/>
          <w:sz w:val="16"/>
        </w:rPr>
        <w:t>18%</w:t>
      </w:r>
    </w:p>
    <w:p>
      <w:pPr>
        <w:pStyle w:val="BodyText"/>
        <w:spacing w:before="10"/>
        <w:rPr>
          <w:rFonts w:ascii="Times New Roman"/>
          <w:sz w:val="15"/>
        </w:rPr>
      </w:pPr>
    </w:p>
    <w:p>
      <w:pPr>
        <w:spacing w:before="0"/>
        <w:ind w:left="469" w:right="0" w:firstLine="0"/>
        <w:jc w:val="left"/>
        <w:rPr>
          <w:rFonts w:ascii="Times New Roman"/>
          <w:sz w:val="16"/>
        </w:rPr>
      </w:pPr>
      <w:r>
        <w:rPr>
          <w:rFonts w:ascii="Times New Roman"/>
          <w:sz w:val="16"/>
        </w:rPr>
        <w:t>16%</w:t>
      </w:r>
    </w:p>
    <w:p>
      <w:pPr>
        <w:pStyle w:val="BodyText"/>
        <w:spacing w:before="9"/>
        <w:rPr>
          <w:rFonts w:ascii="Times New Roman"/>
          <w:sz w:val="15"/>
        </w:rPr>
      </w:pPr>
    </w:p>
    <w:p>
      <w:pPr>
        <w:spacing w:before="0"/>
        <w:ind w:left="469" w:right="0" w:firstLine="0"/>
        <w:jc w:val="left"/>
        <w:rPr>
          <w:rFonts w:ascii="Times New Roman"/>
          <w:sz w:val="16"/>
        </w:rPr>
      </w:pPr>
      <w:r>
        <w:rPr>
          <w:rFonts w:ascii="Times New Roman"/>
          <w:sz w:val="16"/>
        </w:rPr>
        <w:t>14%</w:t>
      </w:r>
    </w:p>
    <w:p>
      <w:pPr>
        <w:pStyle w:val="BodyText"/>
        <w:spacing w:before="10"/>
        <w:rPr>
          <w:rFonts w:ascii="Times New Roman"/>
          <w:sz w:val="15"/>
        </w:rPr>
      </w:pPr>
    </w:p>
    <w:p>
      <w:pPr>
        <w:spacing w:before="0"/>
        <w:ind w:left="469" w:right="0" w:firstLine="0"/>
        <w:jc w:val="left"/>
        <w:rPr>
          <w:rFonts w:ascii="Times New Roman"/>
          <w:sz w:val="16"/>
        </w:rPr>
      </w:pPr>
      <w:r>
        <w:rPr>
          <w:rFonts w:ascii="Times New Roman"/>
          <w:sz w:val="16"/>
        </w:rPr>
        <w:t>12%</w:t>
      </w:r>
    </w:p>
    <w:p>
      <w:pPr>
        <w:pStyle w:val="BodyText"/>
        <w:spacing w:before="9"/>
        <w:rPr>
          <w:rFonts w:ascii="Times New Roman"/>
          <w:sz w:val="15"/>
        </w:rPr>
      </w:pPr>
    </w:p>
    <w:p>
      <w:pPr>
        <w:spacing w:before="0"/>
        <w:ind w:left="469" w:right="0" w:firstLine="0"/>
        <w:jc w:val="left"/>
        <w:rPr>
          <w:rFonts w:ascii="Times New Roman"/>
          <w:sz w:val="16"/>
        </w:rPr>
      </w:pPr>
      <w:r>
        <w:rPr>
          <w:rFonts w:ascii="Times New Roman"/>
          <w:sz w:val="16"/>
        </w:rPr>
        <w:t>10%</w:t>
      </w:r>
    </w:p>
    <w:p>
      <w:pPr>
        <w:pStyle w:val="BodyText"/>
        <w:spacing w:before="10"/>
        <w:rPr>
          <w:rFonts w:ascii="Times New Roman"/>
          <w:sz w:val="15"/>
        </w:rPr>
      </w:pPr>
    </w:p>
    <w:p>
      <w:pPr>
        <w:spacing w:before="0"/>
        <w:ind w:left="549" w:right="0" w:firstLine="0"/>
        <w:jc w:val="left"/>
        <w:rPr>
          <w:rFonts w:ascii="Times New Roman"/>
          <w:sz w:val="16"/>
        </w:rPr>
      </w:pPr>
      <w:r>
        <w:rPr>
          <w:rFonts w:ascii="Times New Roman"/>
          <w:sz w:val="16"/>
        </w:rPr>
        <w:t>8%</w:t>
      </w:r>
    </w:p>
    <w:p>
      <w:pPr>
        <w:pStyle w:val="BodyText"/>
        <w:spacing w:before="9"/>
        <w:rPr>
          <w:rFonts w:ascii="Times New Roman"/>
          <w:sz w:val="15"/>
        </w:rPr>
      </w:pPr>
    </w:p>
    <w:p>
      <w:pPr>
        <w:spacing w:before="0"/>
        <w:ind w:left="549" w:right="0" w:firstLine="0"/>
        <w:jc w:val="left"/>
        <w:rPr>
          <w:rFonts w:ascii="Times New Roman"/>
          <w:sz w:val="16"/>
        </w:rPr>
      </w:pPr>
      <w:r>
        <w:rPr>
          <w:rFonts w:ascii="Times New Roman"/>
          <w:sz w:val="16"/>
        </w:rPr>
        <w:t>6%</w:t>
      </w:r>
    </w:p>
    <w:p>
      <w:pPr>
        <w:pStyle w:val="BodyText"/>
        <w:spacing w:before="9"/>
        <w:rPr>
          <w:rFonts w:ascii="Times New Roman"/>
          <w:sz w:val="15"/>
        </w:rPr>
      </w:pPr>
    </w:p>
    <w:p>
      <w:pPr>
        <w:spacing w:before="0"/>
        <w:ind w:left="549" w:right="0" w:firstLine="0"/>
        <w:jc w:val="left"/>
        <w:rPr>
          <w:rFonts w:ascii="Times New Roman"/>
          <w:sz w:val="16"/>
        </w:rPr>
      </w:pPr>
      <w:r>
        <w:rPr>
          <w:rFonts w:ascii="Times New Roman"/>
          <w:sz w:val="16"/>
        </w:rPr>
        <w:t>4%</w:t>
      </w:r>
    </w:p>
    <w:p>
      <w:pPr>
        <w:pStyle w:val="BodyText"/>
        <w:spacing w:before="10"/>
        <w:rPr>
          <w:rFonts w:ascii="Times New Roman"/>
          <w:sz w:val="15"/>
        </w:rPr>
      </w:pPr>
    </w:p>
    <w:p>
      <w:pPr>
        <w:spacing w:before="0"/>
        <w:ind w:left="549" w:right="0" w:firstLine="0"/>
        <w:jc w:val="left"/>
        <w:rPr>
          <w:rFonts w:ascii="Times New Roman"/>
          <w:sz w:val="16"/>
        </w:rPr>
      </w:pPr>
      <w:r>
        <w:rPr>
          <w:rFonts w:ascii="Times New Roman"/>
          <w:sz w:val="16"/>
        </w:rPr>
        <w:t>2%</w:t>
      </w:r>
    </w:p>
    <w:p>
      <w:pPr>
        <w:pStyle w:val="BodyText"/>
        <w:spacing w:before="9"/>
        <w:rPr>
          <w:rFonts w:ascii="Times New Roman"/>
          <w:sz w:val="15"/>
        </w:rPr>
      </w:pPr>
    </w:p>
    <w:p>
      <w:pPr>
        <w:spacing w:before="0"/>
        <w:ind w:left="549" w:right="0" w:firstLine="0"/>
        <w:jc w:val="left"/>
        <w:rPr>
          <w:rFonts w:ascii="Times New Roman"/>
          <w:sz w:val="16"/>
        </w:rPr>
      </w:pPr>
      <w:r>
        <w:rPr>
          <w:rFonts w:ascii="Times New Roman"/>
          <w:sz w:val="16"/>
        </w:rPr>
        <w:t>0%</w:t>
      </w:r>
    </w:p>
    <w:p>
      <w:pPr>
        <w:spacing w:after="0"/>
        <w:jc w:val="left"/>
        <w:rPr>
          <w:rFonts w:ascii="Times New Roman"/>
          <w:sz w:val="16"/>
        </w:rPr>
        <w:sectPr>
          <w:type w:val="continuous"/>
          <w:pgSz w:w="19200" w:h="10800" w:orient="landscape"/>
          <w:pgMar w:top="140" w:bottom="0" w:left="0" w:right="0"/>
          <w:cols w:num="3" w:equalWidth="0">
            <w:col w:w="6030" w:space="459"/>
            <w:col w:w="4369" w:space="816"/>
            <w:col w:w="7526"/>
          </w:cols>
        </w:sectPr>
      </w:pPr>
    </w:p>
    <w:p>
      <w:pPr>
        <w:tabs>
          <w:tab w:pos="6834" w:val="left" w:leader="none"/>
          <w:tab w:pos="9651" w:val="right" w:leader="none"/>
        </w:tabs>
        <w:spacing w:before="407"/>
        <w:ind w:left="418" w:right="0" w:firstLine="0"/>
        <w:jc w:val="left"/>
        <w:rPr>
          <w:rFonts w:ascii="Arial" w:eastAsia="Arial"/>
          <w:sz w:val="21"/>
        </w:rPr>
      </w:pPr>
      <w:r>
        <w:rPr>
          <w:rFonts w:ascii="宋体" w:eastAsia="宋体" w:hint="eastAsia"/>
          <w:position w:val="2"/>
          <w:sz w:val="16"/>
        </w:rPr>
        <w:t>证监会审</w:t>
      </w:r>
      <w:r>
        <w:rPr>
          <w:rFonts w:ascii="宋体" w:eastAsia="宋体" w:hint="eastAsia"/>
          <w:spacing w:val="-3"/>
          <w:position w:val="2"/>
          <w:sz w:val="16"/>
        </w:rPr>
        <w:t>核</w:t>
      </w:r>
      <w:r>
        <w:rPr>
          <w:rFonts w:ascii="宋体" w:eastAsia="宋体" w:hint="eastAsia"/>
          <w:position w:val="2"/>
          <w:sz w:val="16"/>
        </w:rPr>
        <w:t>华创</w:t>
      </w:r>
      <w:r>
        <w:rPr>
          <w:rFonts w:ascii="宋体" w:eastAsia="宋体" w:hint="eastAsia"/>
          <w:spacing w:val="-3"/>
          <w:position w:val="2"/>
          <w:sz w:val="16"/>
        </w:rPr>
        <w:t>证</w:t>
      </w:r>
      <w:r>
        <w:rPr>
          <w:rFonts w:ascii="宋体" w:eastAsia="宋体" w:hint="eastAsia"/>
          <w:position w:val="2"/>
          <w:sz w:val="16"/>
        </w:rPr>
        <w:t>券投</w:t>
      </w:r>
      <w:r>
        <w:rPr>
          <w:rFonts w:ascii="宋体" w:eastAsia="宋体" w:hint="eastAsia"/>
          <w:spacing w:val="-3"/>
          <w:position w:val="2"/>
          <w:sz w:val="16"/>
        </w:rPr>
        <w:t>资</w:t>
      </w:r>
      <w:r>
        <w:rPr>
          <w:rFonts w:ascii="宋体" w:eastAsia="宋体" w:hint="eastAsia"/>
          <w:position w:val="2"/>
          <w:sz w:val="16"/>
        </w:rPr>
        <w:t>咨询</w:t>
      </w:r>
      <w:r>
        <w:rPr>
          <w:rFonts w:ascii="宋体" w:eastAsia="宋体" w:hint="eastAsia"/>
          <w:spacing w:val="-3"/>
          <w:position w:val="2"/>
          <w:sz w:val="16"/>
        </w:rPr>
        <w:t>业</w:t>
      </w:r>
      <w:r>
        <w:rPr>
          <w:rFonts w:ascii="宋体" w:eastAsia="宋体" w:hint="eastAsia"/>
          <w:position w:val="2"/>
          <w:sz w:val="16"/>
        </w:rPr>
        <w:t>务资</w:t>
      </w:r>
      <w:r>
        <w:rPr>
          <w:rFonts w:ascii="宋体" w:eastAsia="宋体" w:hint="eastAsia"/>
          <w:spacing w:val="-3"/>
          <w:position w:val="2"/>
          <w:sz w:val="16"/>
        </w:rPr>
        <w:t>格</w:t>
      </w:r>
      <w:r>
        <w:rPr>
          <w:rFonts w:ascii="宋体" w:eastAsia="宋体" w:hint="eastAsia"/>
          <w:position w:val="2"/>
          <w:sz w:val="16"/>
        </w:rPr>
        <w:t>批文</w:t>
      </w:r>
      <w:r>
        <w:rPr>
          <w:rFonts w:ascii="宋体" w:eastAsia="宋体" w:hint="eastAsia"/>
          <w:spacing w:val="-3"/>
          <w:position w:val="2"/>
          <w:sz w:val="16"/>
        </w:rPr>
        <w:t>号</w:t>
      </w:r>
      <w:r>
        <w:rPr>
          <w:rFonts w:ascii="宋体" w:eastAsia="宋体" w:hint="eastAsia"/>
          <w:position w:val="2"/>
          <w:sz w:val="16"/>
        </w:rPr>
        <w:t>：证</w:t>
      </w:r>
      <w:r>
        <w:rPr>
          <w:rFonts w:ascii="宋体" w:eastAsia="宋体" w:hint="eastAsia"/>
          <w:spacing w:val="-3"/>
          <w:position w:val="2"/>
          <w:sz w:val="16"/>
        </w:rPr>
        <w:t>监</w:t>
      </w:r>
      <w:r>
        <w:rPr>
          <w:rFonts w:ascii="宋体" w:eastAsia="宋体" w:hint="eastAsia"/>
          <w:position w:val="2"/>
          <w:sz w:val="16"/>
        </w:rPr>
        <w:t>许可（</w:t>
      </w:r>
      <w:r>
        <w:rPr>
          <w:rFonts w:ascii="Arial" w:eastAsia="Arial"/>
          <w:position w:val="2"/>
          <w:sz w:val="16"/>
        </w:rPr>
        <w:t>2009</w:t>
      </w:r>
      <w:r>
        <w:rPr>
          <w:rFonts w:ascii="宋体" w:eastAsia="宋体" w:hint="eastAsia"/>
          <w:position w:val="2"/>
          <w:sz w:val="16"/>
        </w:rPr>
        <w:t>）</w:t>
      </w:r>
      <w:r>
        <w:rPr>
          <w:rFonts w:ascii="Arial" w:eastAsia="Arial"/>
          <w:position w:val="2"/>
          <w:sz w:val="16"/>
        </w:rPr>
        <w:t>1210</w:t>
      </w:r>
      <w:r>
        <w:rPr>
          <w:rFonts w:ascii="Arial" w:eastAsia="Arial"/>
          <w:spacing w:val="6"/>
          <w:position w:val="2"/>
          <w:sz w:val="16"/>
        </w:rPr>
        <w:t> </w:t>
      </w:r>
      <w:r>
        <w:rPr>
          <w:rFonts w:ascii="宋体" w:eastAsia="宋体" w:hint="eastAsia"/>
          <w:position w:val="2"/>
          <w:sz w:val="16"/>
        </w:rPr>
        <w:t>号</w:t>
        <w:tab/>
        <w:t>未经许可</w:t>
      </w:r>
      <w:r>
        <w:rPr>
          <w:rFonts w:ascii="宋体" w:eastAsia="宋体" w:hint="eastAsia"/>
          <w:spacing w:val="-3"/>
          <w:position w:val="2"/>
          <w:sz w:val="16"/>
        </w:rPr>
        <w:t>，</w:t>
      </w:r>
      <w:r>
        <w:rPr>
          <w:rFonts w:ascii="宋体" w:eastAsia="宋体" w:hint="eastAsia"/>
          <w:position w:val="2"/>
          <w:sz w:val="16"/>
        </w:rPr>
        <w:t>禁止</w:t>
      </w:r>
      <w:r>
        <w:rPr>
          <w:rFonts w:ascii="宋体" w:eastAsia="宋体" w:hint="eastAsia"/>
          <w:spacing w:val="-3"/>
          <w:position w:val="2"/>
          <w:sz w:val="16"/>
        </w:rPr>
        <w:t>转</w:t>
      </w:r>
      <w:r>
        <w:rPr>
          <w:rFonts w:ascii="宋体" w:eastAsia="宋体" w:hint="eastAsia"/>
          <w:position w:val="2"/>
          <w:sz w:val="16"/>
        </w:rPr>
        <w:t>载</w:t>
      </w:r>
      <w:r>
        <w:rPr>
          <w:rFonts w:ascii="Times New Roman" w:eastAsia="Times New Roman"/>
          <w:position w:val="2"/>
          <w:sz w:val="16"/>
        </w:rPr>
        <w:tab/>
      </w:r>
      <w:r>
        <w:rPr>
          <w:rFonts w:ascii="Arial" w:eastAsia="Arial"/>
          <w:color w:val="888888"/>
          <w:sz w:val="21"/>
        </w:rPr>
        <w:t>7</w:t>
      </w:r>
    </w:p>
    <w:p>
      <w:pPr>
        <w:tabs>
          <w:tab w:pos="4034" w:val="left" w:leader="none"/>
          <w:tab w:pos="4928" w:val="left" w:leader="none"/>
          <w:tab w:pos="5821" w:val="left" w:leader="none"/>
          <w:tab w:pos="6714" w:val="left" w:leader="none"/>
          <w:tab w:pos="7667" w:val="left" w:leader="none"/>
        </w:tabs>
        <w:spacing w:line="171" w:lineRule="exact" w:before="2"/>
        <w:ind w:left="3141" w:right="0" w:firstLine="0"/>
        <w:jc w:val="left"/>
        <w:rPr>
          <w:rFonts w:ascii="Times New Roman" w:hAnsi="Times New Roman"/>
          <w:sz w:val="16"/>
        </w:rPr>
      </w:pPr>
      <w:r>
        <w:rPr/>
        <w:br w:type="column"/>
      </w:r>
      <w:r>
        <w:rPr>
          <w:rFonts w:ascii="Times New Roman" w:hAnsi="Times New Roman"/>
          <w:position w:val="1"/>
          <w:sz w:val="16"/>
        </w:rPr>
        <w:t>60-64</w:t>
        <w:tab/>
        <w:t>65-69</w:t>
        <w:tab/>
        <w:t>70-74</w:t>
        <w:tab/>
        <w:t>75-79</w:t>
        <w:tab/>
        <w:t>80-84</w:t>
        <w:tab/>
      </w:r>
      <w:r>
        <w:rPr>
          <w:rFonts w:ascii="Times New Roman" w:hAnsi="Times New Roman"/>
          <w:sz w:val="16"/>
        </w:rPr>
        <w:t>≥85</w:t>
      </w:r>
    </w:p>
    <w:p>
      <w:pPr>
        <w:spacing w:line="293" w:lineRule="exact" w:before="0"/>
        <w:ind w:left="325" w:right="0" w:firstLine="0"/>
        <w:jc w:val="left"/>
        <w:rPr>
          <w:sz w:val="18"/>
        </w:rPr>
      </w:pPr>
      <w:r>
        <w:rPr>
          <w:color w:val="57585B"/>
          <w:sz w:val="18"/>
        </w:rPr>
        <w:t>数据来源：Zeinab Breijyeh et.al. Comprehensive Review on Alzheimer’s Disease: Causes and</w:t>
      </w:r>
    </w:p>
    <w:p>
      <w:pPr>
        <w:spacing w:line="316" w:lineRule="exact" w:before="0"/>
        <w:ind w:left="325" w:right="0" w:firstLine="0"/>
        <w:jc w:val="left"/>
        <w:rPr>
          <w:sz w:val="18"/>
        </w:rPr>
      </w:pPr>
      <w:r>
        <w:rPr>
          <w:color w:val="57585B"/>
          <w:sz w:val="18"/>
        </w:rPr>
        <w:t>Treatment，Rujing Ren, et al. The China Alzheimer Report 2022，华创证券</w:t>
      </w:r>
    </w:p>
    <w:p>
      <w:pPr>
        <w:spacing w:after="0" w:line="316" w:lineRule="exact"/>
        <w:jc w:val="left"/>
        <w:rPr>
          <w:sz w:val="18"/>
        </w:rPr>
        <w:sectPr>
          <w:type w:val="continuous"/>
          <w:pgSz w:w="19200" w:h="10800" w:orient="landscape"/>
          <w:pgMar w:top="140" w:bottom="0" w:left="0" w:right="0"/>
          <w:cols w:num="2" w:equalWidth="0">
            <w:col w:w="9652" w:space="40"/>
            <w:col w:w="9508"/>
          </w:cols>
        </w:sectPr>
      </w:pPr>
    </w:p>
    <w:p>
      <w:pPr>
        <w:pStyle w:val="BodyText"/>
        <w:spacing w:before="18"/>
        <w:rPr>
          <w:sz w:val="26"/>
        </w:rPr>
      </w:pPr>
    </w:p>
    <w:p>
      <w:pPr>
        <w:pStyle w:val="Heading3"/>
        <w:jc w:val="both"/>
      </w:pPr>
      <w:r>
        <w:rPr/>
        <w:drawing>
          <wp:anchor distT="0" distB="0" distL="0" distR="0" allowOverlap="1" layoutInCell="1" locked="0" behindDoc="0" simplePos="0" relativeHeight="15741952">
            <wp:simplePos x="0" y="0"/>
            <wp:positionH relativeFrom="page">
              <wp:posOffset>9144</wp:posOffset>
            </wp:positionH>
            <wp:positionV relativeFrom="paragraph">
              <wp:posOffset>-158273</wp:posOffset>
            </wp:positionV>
            <wp:extent cx="12182855" cy="89915"/>
            <wp:effectExtent l="0" t="0" r="0" b="0"/>
            <wp:wrapNone/>
            <wp:docPr id="25" name="image5.png"/>
            <wp:cNvGraphicFramePr>
              <a:graphicFrameLocks noChangeAspect="1"/>
            </wp:cNvGraphicFramePr>
            <a:graphic>
              <a:graphicData uri="http://schemas.openxmlformats.org/drawingml/2006/picture">
                <pic:pic>
                  <pic:nvPicPr>
                    <pic:cNvPr id="26" name="image5.png"/>
                    <pic:cNvPicPr/>
                  </pic:nvPicPr>
                  <pic:blipFill>
                    <a:blip r:embed="rId14" cstate="print"/>
                    <a:stretch>
                      <a:fillRect/>
                    </a:stretch>
                  </pic:blipFill>
                  <pic:spPr>
                    <a:xfrm>
                      <a:off x="0" y="0"/>
                      <a:ext cx="12182855" cy="89915"/>
                    </a:xfrm>
                    <a:prstGeom prst="rect">
                      <a:avLst/>
                    </a:prstGeom>
                  </pic:spPr>
                </pic:pic>
              </a:graphicData>
            </a:graphic>
          </wp:anchor>
        </w:drawing>
      </w:r>
      <w:r>
        <w:rPr>
          <w:rFonts w:ascii="Microsoft YaHei UI Light" w:hAnsi="Microsoft YaHei UI Light" w:eastAsia="Microsoft YaHei UI Light" w:hint="eastAsia"/>
          <w:b w:val="0"/>
          <w:color w:val="00AFEF"/>
        </w:rPr>
        <w:t>┃ </w:t>
      </w:r>
      <w:r>
        <w:rPr>
          <w:color w:val="57585B"/>
        </w:rPr>
        <w:t>阿尔兹海默症发病周期跨度久，早期诊断可实现治疗前移</w:t>
      </w:r>
    </w:p>
    <w:p>
      <w:pPr>
        <w:pStyle w:val="ListParagraph"/>
        <w:numPr>
          <w:ilvl w:val="2"/>
          <w:numId w:val="2"/>
        </w:numPr>
        <w:tabs>
          <w:tab w:pos="1217" w:val="left" w:leader="none"/>
        </w:tabs>
        <w:spacing w:line="172" w:lineRule="auto" w:before="215" w:after="0"/>
        <w:ind w:left="1216" w:right="2271" w:hanging="284"/>
        <w:jc w:val="both"/>
        <w:rPr>
          <w:sz w:val="28"/>
        </w:rPr>
      </w:pPr>
      <w:r>
        <w:rPr>
          <w:color w:val="57585B"/>
          <w:spacing w:val="-3"/>
          <w:sz w:val="28"/>
        </w:rPr>
        <w:t>阿尔兹海默症从病理改变到临床症状出现周期跨度较久。阿尔兹海默症根据认知功能可分为</w:t>
      </w:r>
      <w:r>
        <w:rPr>
          <w:color w:val="57585B"/>
          <w:sz w:val="28"/>
        </w:rPr>
        <w:t>5</w:t>
      </w:r>
      <w:r>
        <w:rPr>
          <w:color w:val="57585B"/>
          <w:spacing w:val="-1"/>
          <w:sz w:val="28"/>
        </w:rPr>
        <w:t>个阶段：临床前期</w:t>
      </w:r>
      <w:r>
        <w:rPr>
          <w:color w:val="57585B"/>
          <w:spacing w:val="-3"/>
          <w:sz w:val="28"/>
        </w:rPr>
        <w:t>AD</w:t>
      </w:r>
      <w:r>
        <w:rPr>
          <w:color w:val="57585B"/>
          <w:spacing w:val="-1"/>
          <w:sz w:val="28"/>
        </w:rPr>
        <w:t>、轻度认知障碍（Mild</w:t>
      </w:r>
      <w:r>
        <w:rPr>
          <w:color w:val="57585B"/>
          <w:spacing w:val="18"/>
          <w:sz w:val="28"/>
        </w:rPr>
        <w:t> </w:t>
      </w:r>
      <w:r>
        <w:rPr>
          <w:color w:val="57585B"/>
          <w:spacing w:val="-3"/>
          <w:sz w:val="28"/>
        </w:rPr>
        <w:t>Cognitive</w:t>
      </w:r>
      <w:r>
        <w:rPr>
          <w:color w:val="57585B"/>
          <w:spacing w:val="18"/>
          <w:sz w:val="28"/>
        </w:rPr>
        <w:t> </w:t>
      </w:r>
      <w:r>
        <w:rPr>
          <w:color w:val="57585B"/>
          <w:sz w:val="28"/>
        </w:rPr>
        <w:t>Impairment，MCI）</w:t>
      </w:r>
      <w:r>
        <w:rPr>
          <w:color w:val="57585B"/>
          <w:spacing w:val="-2"/>
          <w:sz w:val="28"/>
        </w:rPr>
        <w:t>、轻度</w:t>
      </w:r>
      <w:r>
        <w:rPr>
          <w:color w:val="57585B"/>
          <w:spacing w:val="-3"/>
          <w:sz w:val="28"/>
        </w:rPr>
        <w:t>AD</w:t>
      </w:r>
      <w:r>
        <w:rPr>
          <w:color w:val="57585B"/>
          <w:spacing w:val="-2"/>
          <w:sz w:val="28"/>
        </w:rPr>
        <w:t>、中度</w:t>
      </w:r>
      <w:r>
        <w:rPr>
          <w:color w:val="57585B"/>
          <w:spacing w:val="-3"/>
          <w:sz w:val="28"/>
        </w:rPr>
        <w:t>AD</w:t>
      </w:r>
      <w:r>
        <w:rPr>
          <w:color w:val="57585B"/>
          <w:spacing w:val="-2"/>
          <w:sz w:val="28"/>
        </w:rPr>
        <w:t>、重度</w:t>
      </w:r>
      <w:r>
        <w:rPr>
          <w:color w:val="57585B"/>
          <w:sz w:val="28"/>
        </w:rPr>
        <w:t>AD</w:t>
      </w:r>
      <w:r>
        <w:rPr>
          <w:color w:val="57585B"/>
          <w:spacing w:val="-3"/>
          <w:sz w:val="28"/>
        </w:rPr>
        <w:t>。在临床前期，患者认知功能正常，但病理实际已发生改变，最早可发生在临床症状出现的20</w:t>
      </w:r>
      <w:r>
        <w:rPr>
          <w:color w:val="57585B"/>
          <w:sz w:val="28"/>
        </w:rPr>
        <w:t>年前。随着β-淀粉样蛋白沉积，AD进展到临床阶段，大脑功能受到损害，最终导致患者</w:t>
      </w:r>
      <w:r>
        <w:rPr>
          <w:color w:val="57585B"/>
          <w:spacing w:val="-3"/>
          <w:sz w:val="28"/>
        </w:rPr>
        <w:t>出现严重的认知障碍、记忆丧失以及代谢紊乱等问题。</w:t>
      </w:r>
    </w:p>
    <w:p>
      <w:pPr>
        <w:pStyle w:val="ListParagraph"/>
        <w:numPr>
          <w:ilvl w:val="2"/>
          <w:numId w:val="2"/>
        </w:numPr>
        <w:tabs>
          <w:tab w:pos="1217" w:val="left" w:leader="none"/>
        </w:tabs>
        <w:spacing w:line="172" w:lineRule="auto" w:before="232" w:after="0"/>
        <w:ind w:left="1216" w:right="2271" w:hanging="284"/>
        <w:jc w:val="both"/>
        <w:rPr>
          <w:sz w:val="28"/>
        </w:rPr>
      </w:pPr>
      <w:r>
        <w:rPr>
          <w:color w:val="57585B"/>
          <w:sz w:val="28"/>
        </w:rPr>
        <w:t>而早期诊断结合干预治疗，可有效减轻AD负担。根据贾建平教授等在</w:t>
      </w:r>
      <w:r>
        <w:rPr>
          <w:color w:val="57585B"/>
          <w:spacing w:val="-3"/>
          <w:sz w:val="28"/>
        </w:rPr>
        <w:t>A&amp;D</w:t>
      </w:r>
      <w:r>
        <w:rPr>
          <w:color w:val="57585B"/>
          <w:sz w:val="28"/>
        </w:rPr>
        <w:t>的文献数据显示，2015年，我国AD患者造成的社会经济负担达到了1677.4亿美元，预计到2050年会增长至18900亿美元。虽然目前还没有逆转或阻止AD的治疗手段，但如果能够</w:t>
      </w:r>
      <w:r>
        <w:rPr>
          <w:color w:val="57585B"/>
          <w:spacing w:val="1"/>
          <w:sz w:val="28"/>
        </w:rPr>
        <w:t>在早期诊断出</w:t>
      </w:r>
      <w:r>
        <w:rPr>
          <w:color w:val="57585B"/>
          <w:sz w:val="28"/>
        </w:rPr>
        <w:t>AD并进行干预治疗，延缓AD患者的功能衰退速度，也能够起到降低社会经济负担的作用。研究显示，若能将</w:t>
      </w:r>
      <w:r>
        <w:rPr>
          <w:color w:val="57585B"/>
          <w:spacing w:val="-4"/>
          <w:sz w:val="28"/>
        </w:rPr>
        <w:t>AD </w:t>
      </w:r>
      <w:r>
        <w:rPr>
          <w:color w:val="57585B"/>
          <w:spacing w:val="-3"/>
          <w:sz w:val="28"/>
        </w:rPr>
        <w:t>患者的功能衰退速度延缓</w:t>
      </w:r>
      <w:r>
        <w:rPr>
          <w:color w:val="57585B"/>
          <w:sz w:val="28"/>
        </w:rPr>
        <w:t>10</w:t>
      </w:r>
      <w:r>
        <w:rPr>
          <w:color w:val="57585B"/>
          <w:spacing w:val="-4"/>
          <w:sz w:val="28"/>
        </w:rPr>
        <w:t>%，则能够使患者人均经济负担降低</w:t>
      </w:r>
      <w:r>
        <w:rPr>
          <w:color w:val="57585B"/>
          <w:sz w:val="28"/>
        </w:rPr>
        <w:t>3880</w:t>
      </w:r>
      <w:r>
        <w:rPr>
          <w:color w:val="57585B"/>
          <w:spacing w:val="-2"/>
          <w:sz w:val="28"/>
        </w:rPr>
        <w:t>美元。</w:t>
      </w:r>
    </w:p>
    <w:p>
      <w:pPr>
        <w:pStyle w:val="ListParagraph"/>
        <w:numPr>
          <w:ilvl w:val="3"/>
          <w:numId w:val="2"/>
        </w:numPr>
        <w:tabs>
          <w:tab w:pos="1524" w:val="left" w:leader="none"/>
          <w:tab w:pos="9395" w:val="left" w:leader="none"/>
        </w:tabs>
        <w:spacing w:line="360" w:lineRule="exact" w:before="0" w:after="0"/>
        <w:ind w:left="1523" w:right="0" w:hanging="453"/>
        <w:jc w:val="both"/>
        <w:rPr>
          <w:b/>
          <w:sz w:val="22"/>
        </w:rPr>
      </w:pPr>
      <w:r>
        <w:rPr/>
        <w:drawing>
          <wp:anchor distT="0" distB="0" distL="0" distR="0" allowOverlap="1" layoutInCell="1" locked="0" behindDoc="0" simplePos="0" relativeHeight="15742464">
            <wp:simplePos x="0" y="0"/>
            <wp:positionH relativeFrom="page">
              <wp:posOffset>666600</wp:posOffset>
            </wp:positionH>
            <wp:positionV relativeFrom="paragraph">
              <wp:posOffset>389590</wp:posOffset>
            </wp:positionV>
            <wp:extent cx="4685372" cy="2559689"/>
            <wp:effectExtent l="0" t="0" r="0" b="0"/>
            <wp:wrapNone/>
            <wp:docPr id="27" name="image8.jpeg"/>
            <wp:cNvGraphicFramePr>
              <a:graphicFrameLocks noChangeAspect="1"/>
            </wp:cNvGraphicFramePr>
            <a:graphic>
              <a:graphicData uri="http://schemas.openxmlformats.org/drawingml/2006/picture">
                <pic:pic>
                  <pic:nvPicPr>
                    <pic:cNvPr id="28" name="image8.jpeg"/>
                    <pic:cNvPicPr/>
                  </pic:nvPicPr>
                  <pic:blipFill>
                    <a:blip r:embed="rId24" cstate="print"/>
                    <a:stretch>
                      <a:fillRect/>
                    </a:stretch>
                  </pic:blipFill>
                  <pic:spPr>
                    <a:xfrm>
                      <a:off x="0" y="0"/>
                      <a:ext cx="4685372" cy="2559689"/>
                    </a:xfrm>
                    <a:prstGeom prst="rect">
                      <a:avLst/>
                    </a:prstGeom>
                  </pic:spPr>
                </pic:pic>
              </a:graphicData>
            </a:graphic>
          </wp:anchor>
        </w:drawing>
      </w:r>
      <w:r>
        <w:rPr>
          <w:b/>
          <w:color w:val="0A4EA1"/>
          <w:sz w:val="22"/>
        </w:rPr>
        <w:t>阿尔茨海默病不同阶段</w:t>
      </w:r>
      <w:r>
        <w:rPr>
          <w:b/>
          <w:color w:val="0A4EA1"/>
          <w:spacing w:val="-3"/>
          <w:sz w:val="22"/>
        </w:rPr>
        <w:t>特</w:t>
      </w:r>
      <w:r>
        <w:rPr>
          <w:b/>
          <w:color w:val="0A4EA1"/>
          <w:sz w:val="22"/>
        </w:rPr>
        <w:t>征变化</w:t>
        <w:tab/>
      </w:r>
      <w:r>
        <w:rPr>
          <w:rFonts w:ascii="Wingdings" w:hAnsi="Wingdings" w:eastAsia="Wingdings"/>
          <w:color w:val="0A4EA1"/>
          <w:sz w:val="22"/>
        </w:rPr>
        <w:t></w:t>
      </w:r>
      <w:r>
        <w:rPr>
          <w:rFonts w:ascii="Times New Roman" w:hAnsi="Times New Roman" w:eastAsia="Times New Roman"/>
          <w:color w:val="0A4EA1"/>
          <w:spacing w:val="11"/>
          <w:sz w:val="22"/>
        </w:rPr>
        <w:t> </w:t>
      </w:r>
      <w:r>
        <w:rPr>
          <w:b/>
          <w:color w:val="0A4EA1"/>
          <w:sz w:val="22"/>
        </w:rPr>
        <w:t>阿尔茨海默病不同阶段</w:t>
      </w:r>
      <w:r>
        <w:rPr>
          <w:b/>
          <w:color w:val="0A4EA1"/>
          <w:spacing w:val="-3"/>
          <w:sz w:val="22"/>
        </w:rPr>
        <w:t>特</w:t>
      </w:r>
      <w:r>
        <w:rPr>
          <w:b/>
          <w:color w:val="0A4EA1"/>
          <w:sz w:val="22"/>
        </w:rPr>
        <w:t>征及</w:t>
      </w:r>
      <w:r>
        <w:rPr>
          <w:b/>
          <w:color w:val="0A4EA1"/>
          <w:spacing w:val="-3"/>
          <w:sz w:val="22"/>
        </w:rPr>
        <w:t>诊</w:t>
      </w:r>
      <w:r>
        <w:rPr>
          <w:b/>
          <w:color w:val="0A4EA1"/>
          <w:sz w:val="22"/>
        </w:rPr>
        <w:t>断、</w:t>
      </w:r>
      <w:r>
        <w:rPr>
          <w:b/>
          <w:color w:val="0A4EA1"/>
          <w:spacing w:val="-3"/>
          <w:sz w:val="22"/>
        </w:rPr>
        <w:t>治</w:t>
      </w:r>
      <w:r>
        <w:rPr>
          <w:b/>
          <w:color w:val="0A4EA1"/>
          <w:sz w:val="22"/>
        </w:rPr>
        <w:t>疗方式</w:t>
      </w:r>
    </w:p>
    <w:p>
      <w:pPr>
        <w:pStyle w:val="BodyText"/>
        <w:spacing w:before="4"/>
        <w:rPr>
          <w:b/>
          <w:sz w:val="8"/>
        </w:rPr>
      </w:pPr>
      <w:r>
        <w:rPr/>
        <w:drawing>
          <wp:anchor distT="0" distB="0" distL="0" distR="0" allowOverlap="1" layoutInCell="1" locked="0" behindDoc="0" simplePos="0" relativeHeight="25">
            <wp:simplePos x="0" y="0"/>
            <wp:positionH relativeFrom="page">
              <wp:posOffset>5963411</wp:posOffset>
            </wp:positionH>
            <wp:positionV relativeFrom="paragraph">
              <wp:posOffset>121570</wp:posOffset>
            </wp:positionV>
            <wp:extent cx="4697958" cy="2498026"/>
            <wp:effectExtent l="0" t="0" r="0" b="0"/>
            <wp:wrapTopAndBottom/>
            <wp:docPr id="29" name="image9.jpeg"/>
            <wp:cNvGraphicFramePr>
              <a:graphicFrameLocks noChangeAspect="1"/>
            </wp:cNvGraphicFramePr>
            <a:graphic>
              <a:graphicData uri="http://schemas.openxmlformats.org/drawingml/2006/picture">
                <pic:pic>
                  <pic:nvPicPr>
                    <pic:cNvPr id="30" name="image9.jpeg"/>
                    <pic:cNvPicPr/>
                  </pic:nvPicPr>
                  <pic:blipFill>
                    <a:blip r:embed="rId25" cstate="print"/>
                    <a:stretch>
                      <a:fillRect/>
                    </a:stretch>
                  </pic:blipFill>
                  <pic:spPr>
                    <a:xfrm>
                      <a:off x="0" y="0"/>
                      <a:ext cx="4697958" cy="2498026"/>
                    </a:xfrm>
                    <a:prstGeom prst="rect">
                      <a:avLst/>
                    </a:prstGeom>
                  </pic:spPr>
                </pic:pic>
              </a:graphicData>
            </a:graphic>
          </wp:anchor>
        </w:drawing>
      </w:r>
    </w:p>
    <w:p>
      <w:pPr>
        <w:spacing w:before="29"/>
        <w:ind w:left="10072" w:right="0" w:firstLine="0"/>
        <w:jc w:val="left"/>
        <w:rPr>
          <w:sz w:val="18"/>
        </w:rPr>
      </w:pPr>
      <w:r>
        <w:rPr>
          <w:color w:val="57585B"/>
          <w:sz w:val="18"/>
        </w:rPr>
        <w:t>数据来源：Clifford R Jack Jr et.al. Tracking pathophysiological processes in Alzheimer’s disease:</w:t>
      </w:r>
    </w:p>
    <w:p>
      <w:pPr>
        <w:spacing w:after="0"/>
        <w:jc w:val="left"/>
        <w:rPr>
          <w:sz w:val="18"/>
        </w:rPr>
        <w:sectPr>
          <w:headerReference w:type="default" r:id="rId22"/>
          <w:footerReference w:type="default" r:id="rId23"/>
          <w:pgSz w:w="19200" w:h="10800" w:orient="landscape"/>
          <w:pgMar w:header="471" w:footer="121" w:top="1100" w:bottom="320" w:left="0" w:right="0"/>
        </w:sectPr>
      </w:pPr>
    </w:p>
    <w:p>
      <w:pPr>
        <w:pStyle w:val="BodyText"/>
        <w:spacing w:before="18"/>
        <w:rPr>
          <w:sz w:val="26"/>
        </w:rPr>
      </w:pPr>
    </w:p>
    <w:p>
      <w:pPr>
        <w:pStyle w:val="Heading3"/>
        <w:tabs>
          <w:tab w:pos="1407" w:val="left" w:leader="none"/>
        </w:tabs>
      </w:pPr>
      <w:r>
        <w:rPr/>
        <w:drawing>
          <wp:anchor distT="0" distB="0" distL="0" distR="0" allowOverlap="1" layoutInCell="1" locked="0" behindDoc="0" simplePos="0" relativeHeight="15744000">
            <wp:simplePos x="0" y="0"/>
            <wp:positionH relativeFrom="page">
              <wp:posOffset>9144</wp:posOffset>
            </wp:positionH>
            <wp:positionV relativeFrom="paragraph">
              <wp:posOffset>-158273</wp:posOffset>
            </wp:positionV>
            <wp:extent cx="12182855" cy="89915"/>
            <wp:effectExtent l="0" t="0" r="0" b="0"/>
            <wp:wrapNone/>
            <wp:docPr id="33" name="image5.png"/>
            <wp:cNvGraphicFramePr>
              <a:graphicFrameLocks noChangeAspect="1"/>
            </wp:cNvGraphicFramePr>
            <a:graphic>
              <a:graphicData uri="http://schemas.openxmlformats.org/drawingml/2006/picture">
                <pic:pic>
                  <pic:nvPicPr>
                    <pic:cNvPr id="34" name="image5.png"/>
                    <pic:cNvPicPr/>
                  </pic:nvPicPr>
                  <pic:blipFill>
                    <a:blip r:embed="rId14" cstate="print"/>
                    <a:stretch>
                      <a:fillRect/>
                    </a:stretch>
                  </pic:blipFill>
                  <pic:spPr>
                    <a:xfrm>
                      <a:off x="0" y="0"/>
                      <a:ext cx="12182855" cy="89915"/>
                    </a:xfrm>
                    <a:prstGeom prst="rect">
                      <a:avLst/>
                    </a:prstGeom>
                  </pic:spPr>
                </pic:pic>
              </a:graphicData>
            </a:graphic>
          </wp:anchor>
        </w:drawing>
      </w:r>
      <w:r>
        <w:rPr>
          <w:rFonts w:ascii="Microsoft YaHei UI Light" w:hAnsi="Microsoft YaHei UI Light" w:eastAsia="Microsoft YaHei UI Light" w:hint="eastAsia"/>
          <w:b w:val="0"/>
          <w:color w:val="00AFEF"/>
        </w:rPr>
        <w:t>┃</w:t>
        <w:tab/>
      </w:r>
      <w:r>
        <w:rPr>
          <w:color w:val="57585B"/>
          <w:spacing w:val="-3"/>
        </w:rPr>
        <w:t>阿尔兹海默症诊断标准不断更新，淀粉样Aβ蛋白和</w:t>
      </w:r>
      <w:r>
        <w:rPr>
          <w:color w:val="57585B"/>
        </w:rPr>
        <w:t>tau</w:t>
      </w:r>
      <w:r>
        <w:rPr>
          <w:color w:val="57585B"/>
          <w:spacing w:val="-3"/>
        </w:rPr>
        <w:t>是两大有效检测标志物</w:t>
      </w:r>
    </w:p>
    <w:p>
      <w:pPr>
        <w:pStyle w:val="ListParagraph"/>
        <w:numPr>
          <w:ilvl w:val="2"/>
          <w:numId w:val="2"/>
        </w:numPr>
        <w:tabs>
          <w:tab w:pos="1217" w:val="left" w:leader="none"/>
        </w:tabs>
        <w:spacing w:line="172" w:lineRule="auto" w:before="215" w:after="0"/>
        <w:ind w:left="1216" w:right="2272" w:hanging="284"/>
        <w:jc w:val="left"/>
        <w:rPr>
          <w:sz w:val="28"/>
        </w:rPr>
      </w:pPr>
      <w:r>
        <w:rPr>
          <w:color w:val="57585B"/>
          <w:spacing w:val="-4"/>
          <w:sz w:val="28"/>
        </w:rPr>
        <w:t>随着阿尔兹海默症临床诊断标准的更新以及检测标志物的不断发现，目前已形成联合诊断模式对阿尔兹海默症进行早期筛查及检</w:t>
      </w:r>
      <w:r>
        <w:rPr>
          <w:color w:val="57585B"/>
          <w:sz w:val="28"/>
        </w:rPr>
        <w:t>测：</w:t>
      </w:r>
    </w:p>
    <w:p>
      <w:pPr>
        <w:pStyle w:val="ListParagraph"/>
        <w:numPr>
          <w:ilvl w:val="2"/>
          <w:numId w:val="2"/>
        </w:numPr>
        <w:tabs>
          <w:tab w:pos="1217" w:val="left" w:leader="none"/>
        </w:tabs>
        <w:spacing w:line="240" w:lineRule="auto" w:before="132" w:after="0"/>
        <w:ind w:left="1216" w:right="0" w:hanging="284"/>
        <w:jc w:val="left"/>
        <w:rPr>
          <w:sz w:val="28"/>
        </w:rPr>
      </w:pPr>
      <w:r>
        <w:rPr>
          <w:color w:val="57585B"/>
          <w:sz w:val="28"/>
        </w:rPr>
        <w:t>1）</w:t>
      </w:r>
      <w:r>
        <w:rPr>
          <w:color w:val="57585B"/>
          <w:spacing w:val="-4"/>
          <w:sz w:val="28"/>
        </w:rPr>
        <w:t>首先，对于潜在患者首先进行临床认知、功能和行为评估，认知评估多以量表为主，结果取决于医师判断；</w:t>
      </w:r>
    </w:p>
    <w:p>
      <w:pPr>
        <w:pStyle w:val="ListParagraph"/>
        <w:numPr>
          <w:ilvl w:val="2"/>
          <w:numId w:val="2"/>
        </w:numPr>
        <w:tabs>
          <w:tab w:pos="1217" w:val="left" w:leader="none"/>
        </w:tabs>
        <w:spacing w:line="172" w:lineRule="auto" w:before="198" w:after="0"/>
        <w:ind w:left="1216" w:right="2273" w:hanging="284"/>
        <w:jc w:val="left"/>
        <w:rPr>
          <w:sz w:val="28"/>
        </w:rPr>
      </w:pPr>
      <w:r>
        <w:rPr>
          <w:color w:val="57585B"/>
          <w:sz w:val="28"/>
        </w:rPr>
        <w:t>2）进一步的可采用磁共振（MRI）、</w:t>
      </w:r>
      <w:r>
        <w:rPr>
          <w:color w:val="57585B"/>
          <w:spacing w:val="-3"/>
          <w:sz w:val="28"/>
        </w:rPr>
        <w:t>CT</w:t>
      </w:r>
      <w:r>
        <w:rPr>
          <w:color w:val="57585B"/>
          <w:spacing w:val="2"/>
          <w:sz w:val="28"/>
        </w:rPr>
        <w:t>、</w:t>
      </w:r>
      <w:r>
        <w:rPr>
          <w:color w:val="57585B"/>
          <w:sz w:val="28"/>
        </w:rPr>
        <w:t>FDG-PET</w:t>
      </w:r>
      <w:r>
        <w:rPr>
          <w:color w:val="57585B"/>
          <w:spacing w:val="-1"/>
          <w:sz w:val="28"/>
        </w:rPr>
        <w:t>等结构成像技术来排除认知障碍的其他原因，但由于不具备特异性，所以结</w:t>
      </w:r>
      <w:r>
        <w:rPr>
          <w:color w:val="57585B"/>
          <w:spacing w:val="-3"/>
          <w:sz w:val="28"/>
        </w:rPr>
        <w:t>构成像仍然不能作为临床上最终诊断</w:t>
      </w:r>
      <w:r>
        <w:rPr>
          <w:color w:val="57585B"/>
          <w:sz w:val="28"/>
        </w:rPr>
        <w:t>AD</w:t>
      </w:r>
      <w:r>
        <w:rPr>
          <w:color w:val="57585B"/>
          <w:spacing w:val="-2"/>
          <w:sz w:val="28"/>
        </w:rPr>
        <w:t>的手段。</w:t>
      </w:r>
    </w:p>
    <w:p>
      <w:pPr>
        <w:pStyle w:val="ListParagraph"/>
        <w:numPr>
          <w:ilvl w:val="2"/>
          <w:numId w:val="2"/>
        </w:numPr>
        <w:tabs>
          <w:tab w:pos="1217" w:val="left" w:leader="none"/>
        </w:tabs>
        <w:spacing w:line="443" w:lineRule="exact" w:before="132" w:after="0"/>
        <w:ind w:left="1216" w:right="0" w:hanging="284"/>
        <w:jc w:val="left"/>
        <w:rPr>
          <w:sz w:val="28"/>
        </w:rPr>
      </w:pPr>
      <w:r>
        <w:rPr>
          <w:color w:val="57585B"/>
          <w:spacing w:val="2"/>
          <w:sz w:val="28"/>
        </w:rPr>
        <w:t>3）</w:t>
      </w:r>
      <w:r>
        <w:rPr>
          <w:color w:val="57585B"/>
          <w:sz w:val="28"/>
        </w:rPr>
        <w:t>当常规方式不能明确时，则需选择生物标志物检测，生物标志物是目前阿尔兹海默症检测的金标准，淀粉样Aβ</w:t>
      </w:r>
      <w:r>
        <w:rPr>
          <w:color w:val="57585B"/>
          <w:spacing w:val="1"/>
          <w:sz w:val="28"/>
        </w:rPr>
        <w:t>蛋白和</w:t>
      </w:r>
      <w:r>
        <w:rPr>
          <w:color w:val="57585B"/>
          <w:sz w:val="28"/>
        </w:rPr>
        <w:t>tau蛋</w:t>
      </w:r>
    </w:p>
    <w:p>
      <w:pPr>
        <w:spacing w:line="370" w:lineRule="exact" w:before="0"/>
        <w:ind w:left="1216" w:right="0" w:firstLine="0"/>
        <w:jc w:val="left"/>
        <w:rPr>
          <w:b/>
          <w:sz w:val="28"/>
        </w:rPr>
      </w:pPr>
      <w:r>
        <w:rPr>
          <w:color w:val="57585B"/>
          <w:sz w:val="28"/>
        </w:rPr>
        <w:t>白是诊断阿尔兹海默症最有效的两种生物标志物，主流检测手段分别是</w:t>
      </w:r>
      <w:r>
        <w:rPr>
          <w:b/>
          <w:color w:val="57585B"/>
          <w:sz w:val="28"/>
        </w:rPr>
        <w:t>神经影像学检查（Aβ-PET、Tau-PET）和脑脊液检查</w:t>
      </w:r>
    </w:p>
    <w:p>
      <w:pPr>
        <w:pStyle w:val="Heading3"/>
        <w:spacing w:line="443" w:lineRule="exact" w:before="0"/>
        <w:ind w:left="1216"/>
      </w:pPr>
      <w:r>
        <w:rPr>
          <w:color w:val="57585B"/>
        </w:rPr>
        <w:t>（Aβ、tau）。</w:t>
      </w:r>
    </w:p>
    <w:p>
      <w:pPr>
        <w:pStyle w:val="ListParagraph"/>
        <w:numPr>
          <w:ilvl w:val="0"/>
          <w:numId w:val="3"/>
        </w:numPr>
        <w:tabs>
          <w:tab w:pos="595" w:val="left" w:leader="none"/>
          <w:tab w:pos="596" w:val="left" w:leader="none"/>
          <w:tab w:pos="8823" w:val="left" w:leader="none"/>
          <w:tab w:pos="9274" w:val="left" w:leader="none"/>
        </w:tabs>
        <w:spacing w:line="240" w:lineRule="auto" w:before="125" w:after="0"/>
        <w:ind w:left="595" w:right="0" w:hanging="452"/>
        <w:jc w:val="left"/>
        <w:rPr>
          <w:b/>
          <w:sz w:val="22"/>
        </w:rPr>
      </w:pPr>
      <w:r>
        <w:rPr>
          <w:b/>
          <w:color w:val="0A4EA1"/>
          <w:sz w:val="22"/>
        </w:rPr>
        <w:t>阿尔茨海默症临床诊断</w:t>
      </w:r>
      <w:r>
        <w:rPr>
          <w:b/>
          <w:color w:val="0A4EA1"/>
          <w:spacing w:val="-3"/>
          <w:sz w:val="22"/>
        </w:rPr>
        <w:t>标</w:t>
      </w:r>
      <w:r>
        <w:rPr>
          <w:b/>
          <w:color w:val="0A4EA1"/>
          <w:sz w:val="22"/>
        </w:rPr>
        <w:t>准和</w:t>
      </w:r>
      <w:r>
        <w:rPr>
          <w:b/>
          <w:color w:val="0A4EA1"/>
          <w:spacing w:val="-3"/>
          <w:sz w:val="22"/>
        </w:rPr>
        <w:t>检</w:t>
      </w:r>
      <w:r>
        <w:rPr>
          <w:b/>
          <w:color w:val="0A4EA1"/>
          <w:sz w:val="22"/>
        </w:rPr>
        <w:t>测标</w:t>
      </w:r>
      <w:r>
        <w:rPr>
          <w:b/>
          <w:color w:val="0A4EA1"/>
          <w:spacing w:val="-3"/>
          <w:sz w:val="22"/>
        </w:rPr>
        <w:t>志</w:t>
      </w:r>
      <w:r>
        <w:rPr>
          <w:b/>
          <w:color w:val="0A4EA1"/>
          <w:sz w:val="22"/>
        </w:rPr>
        <w:t>物发展</w:t>
        <w:tab/>
      </w:r>
      <w:r>
        <w:rPr>
          <w:rFonts w:ascii="Wingdings" w:hAnsi="Wingdings" w:eastAsia="Wingdings"/>
          <w:color w:val="0A4EA1"/>
          <w:sz w:val="22"/>
        </w:rPr>
        <w:t></w:t>
      </w:r>
      <w:r>
        <w:rPr>
          <w:rFonts w:ascii="Times New Roman" w:hAnsi="Times New Roman" w:eastAsia="Times New Roman"/>
          <w:color w:val="0A4EA1"/>
          <w:sz w:val="22"/>
        </w:rPr>
        <w:tab/>
      </w:r>
      <w:r>
        <w:rPr>
          <w:b/>
          <w:color w:val="0A4EA1"/>
          <w:sz w:val="22"/>
        </w:rPr>
        <w:t>阿尔茨海默症诊断步骤</w:t>
      </w:r>
    </w:p>
    <w:p>
      <w:pPr>
        <w:pStyle w:val="BodyText"/>
        <w:spacing w:before="16"/>
        <w:rPr>
          <w:b/>
          <w:sz w:val="5"/>
        </w:rPr>
      </w:pPr>
      <w:r>
        <w:rPr/>
        <w:drawing>
          <wp:anchor distT="0" distB="0" distL="0" distR="0" allowOverlap="1" layoutInCell="1" locked="0" behindDoc="0" simplePos="0" relativeHeight="28">
            <wp:simplePos x="0" y="0"/>
            <wp:positionH relativeFrom="page">
              <wp:posOffset>46165</wp:posOffset>
            </wp:positionH>
            <wp:positionV relativeFrom="paragraph">
              <wp:posOffset>93477</wp:posOffset>
            </wp:positionV>
            <wp:extent cx="5408146" cy="1954529"/>
            <wp:effectExtent l="0" t="0" r="0" b="0"/>
            <wp:wrapTopAndBottom/>
            <wp:docPr id="35" name="image10.jpeg"/>
            <wp:cNvGraphicFramePr>
              <a:graphicFrameLocks noChangeAspect="1"/>
            </wp:cNvGraphicFramePr>
            <a:graphic>
              <a:graphicData uri="http://schemas.openxmlformats.org/drawingml/2006/picture">
                <pic:pic>
                  <pic:nvPicPr>
                    <pic:cNvPr id="36" name="image10.jpeg"/>
                    <pic:cNvPicPr/>
                  </pic:nvPicPr>
                  <pic:blipFill>
                    <a:blip r:embed="rId28" cstate="print"/>
                    <a:stretch>
                      <a:fillRect/>
                    </a:stretch>
                  </pic:blipFill>
                  <pic:spPr>
                    <a:xfrm>
                      <a:off x="0" y="0"/>
                      <a:ext cx="5408146" cy="1954529"/>
                    </a:xfrm>
                    <a:prstGeom prst="rect">
                      <a:avLst/>
                    </a:prstGeom>
                  </pic:spPr>
                </pic:pic>
              </a:graphicData>
            </a:graphic>
          </wp:anchor>
        </w:drawing>
      </w:r>
      <w:r>
        <w:rPr/>
        <w:pict>
          <v:group style="position:absolute;margin-left:435.419312pt;margin-top:7.426887pt;width:514.65pt;height:155.3pt;mso-position-horizontal-relative:page;mso-position-vertical-relative:paragraph;z-index:-15713792;mso-wrap-distance-left:0;mso-wrap-distance-right:0" coordorigin="8708,149" coordsize="10293,3106">
            <v:shape style="position:absolute;left:8708;top:148;width:10293;height:2885" type="#_x0000_t75" stroked="false">
              <v:imagedata r:id="rId29" o:title=""/>
            </v:shape>
            <v:shape style="position:absolute;left:9441;top:1768;width:5780;height:1486" coordorigin="9442,1769" coordsize="5780,1486" path="m10752,2515l9442,2515,9442,3254,10752,3254,10752,2515xm15221,1769l13910,1769,13910,2508,15221,2508,15221,1769xe" filled="true" fillcolor="#ffffff" stroked="false">
              <v:path arrowok="t"/>
              <v:fill type="solid"/>
            </v:shape>
            <v:shape style="position:absolute;left:13911;top:1503;width:2849;height:1510" coordorigin="13912,1503" coordsize="2849,1510" path="m13912,2555l14989,2555,14989,1799,13912,1799,13912,2555xm15450,3013l16760,3013,16760,1503,15450,1503,15450,3013xe" filled="false" stroked="true" strokeweight="1.56pt" strokecolor="#c00000">
              <v:path arrowok="t"/>
              <v:stroke dashstyle="shortdash"/>
            </v:shape>
            <v:shape style="position:absolute;left:9699;top:2602;width:664;height:405" type="#_x0000_t202" filled="false" stroked="false">
              <v:textbox inset="0,0,0,0">
                <w:txbxContent>
                  <w:p>
                    <w:pPr>
                      <w:spacing w:line="156" w:lineRule="auto" w:before="30"/>
                      <w:ind w:left="0" w:right="18" w:firstLine="0"/>
                      <w:jc w:val="left"/>
                      <w:rPr>
                        <w:sz w:val="16"/>
                      </w:rPr>
                    </w:pPr>
                    <w:r>
                      <w:rPr>
                        <w:sz w:val="16"/>
                      </w:rPr>
                      <w:t>病历及家庭评估</w:t>
                    </w:r>
                  </w:p>
                </w:txbxContent>
              </v:textbox>
              <w10:wrap type="none"/>
            </v:shape>
            <v:shape style="position:absolute;left:13911;top:1798;width:1078;height:756" type="#_x0000_t202" filled="true" fillcolor="#ffffff" stroked="true" strokeweight="1.56pt" strokecolor="#c00000">
              <v:textbox inset="0,0,0,0">
                <w:txbxContent>
                  <w:p>
                    <w:pPr>
                      <w:spacing w:before="56"/>
                      <w:ind w:left="241" w:right="0" w:firstLine="0"/>
                      <w:jc w:val="left"/>
                      <w:rPr>
                        <w:rFonts w:ascii="宋体" w:eastAsia="宋体" w:hint="eastAsia"/>
                        <w:sz w:val="16"/>
                      </w:rPr>
                    </w:pPr>
                    <w:r>
                      <w:rPr>
                        <w:rFonts w:ascii="宋体" w:eastAsia="宋体" w:hint="eastAsia"/>
                        <w:sz w:val="16"/>
                      </w:rPr>
                      <w:t>结构成像</w:t>
                    </w:r>
                  </w:p>
                  <w:p>
                    <w:pPr>
                      <w:spacing w:line="198" w:lineRule="exact" w:before="54"/>
                      <w:ind w:left="77" w:right="0" w:firstLine="0"/>
                      <w:jc w:val="left"/>
                      <w:rPr>
                        <w:rFonts w:ascii="Arial" w:eastAsia="Arial"/>
                        <w:sz w:val="16"/>
                      </w:rPr>
                    </w:pPr>
                    <w:r>
                      <w:rPr>
                        <w:rFonts w:ascii="Arial" w:eastAsia="Arial"/>
                        <w:spacing w:val="-1"/>
                        <w:sz w:val="16"/>
                      </w:rPr>
                      <w:t>1</w:t>
                    </w:r>
                    <w:r>
                      <w:rPr>
                        <w:rFonts w:ascii="宋体" w:eastAsia="宋体" w:hint="eastAsia"/>
                        <w:spacing w:val="-1"/>
                        <w:sz w:val="16"/>
                      </w:rPr>
                      <w:t>、</w:t>
                    </w:r>
                    <w:r>
                      <w:rPr>
                        <w:rFonts w:ascii="Arial" w:eastAsia="Arial"/>
                        <w:spacing w:val="-1"/>
                        <w:sz w:val="16"/>
                      </w:rPr>
                      <w:t>MRI/CT</w:t>
                    </w:r>
                  </w:p>
                  <w:p>
                    <w:pPr>
                      <w:spacing w:line="198" w:lineRule="exact" w:before="0"/>
                      <w:ind w:left="77" w:right="0" w:firstLine="0"/>
                      <w:jc w:val="left"/>
                      <w:rPr>
                        <w:rFonts w:ascii="Arial" w:eastAsia="Arial"/>
                        <w:sz w:val="16"/>
                      </w:rPr>
                    </w:pPr>
                    <w:r>
                      <w:rPr>
                        <w:rFonts w:ascii="Arial" w:eastAsia="Arial"/>
                        <w:sz w:val="16"/>
                      </w:rPr>
                      <w:t>2</w:t>
                    </w:r>
                    <w:r>
                      <w:rPr>
                        <w:rFonts w:ascii="宋体" w:eastAsia="宋体" w:hint="eastAsia"/>
                        <w:sz w:val="16"/>
                      </w:rPr>
                      <w:t>、</w:t>
                    </w:r>
                    <w:r>
                      <w:rPr>
                        <w:rFonts w:ascii="Arial" w:eastAsia="Arial"/>
                        <w:sz w:val="16"/>
                      </w:rPr>
                      <w:t>FDG-PET</w:t>
                    </w:r>
                  </w:p>
                </w:txbxContent>
              </v:textbox>
              <v:fill type="solid"/>
              <v:stroke dashstyle="shortdash"/>
              <w10:wrap type="none"/>
            </v:shape>
            <v:shape style="position:absolute;left:15465;top:2205;width:1280;height:792" type="#_x0000_t202" filled="false" stroked="false">
              <v:textbox inset="0,0,0,0">
                <w:txbxContent>
                  <w:p>
                    <w:pPr>
                      <w:spacing w:line="156" w:lineRule="auto" w:before="32"/>
                      <w:ind w:left="87" w:right="141" w:firstLine="0"/>
                      <w:jc w:val="left"/>
                      <w:rPr>
                        <w:sz w:val="16"/>
                      </w:rPr>
                    </w:pPr>
                    <w:r>
                      <w:rPr>
                        <w:sz w:val="16"/>
                      </w:rPr>
                      <w:t>检 查 ：Aβ- PET、tau-PET</w:t>
                    </w:r>
                  </w:p>
                  <w:p>
                    <w:pPr>
                      <w:spacing w:line="170" w:lineRule="exact" w:before="0"/>
                      <w:ind w:left="87" w:right="0" w:firstLine="0"/>
                      <w:jc w:val="left"/>
                      <w:rPr>
                        <w:sz w:val="16"/>
                      </w:rPr>
                    </w:pPr>
                    <w:r>
                      <w:rPr>
                        <w:spacing w:val="-1"/>
                        <w:sz w:val="16"/>
                      </w:rPr>
                      <w:t>2、脑脊液(CSF)</w:t>
                    </w:r>
                  </w:p>
                  <w:p>
                    <w:pPr>
                      <w:spacing w:line="206" w:lineRule="exact" w:before="0"/>
                      <w:ind w:left="87" w:right="0" w:firstLine="0"/>
                      <w:jc w:val="left"/>
                      <w:rPr>
                        <w:sz w:val="16"/>
                      </w:rPr>
                    </w:pPr>
                    <w:r>
                      <w:rPr>
                        <w:sz w:val="16"/>
                      </w:rPr>
                      <w:t>检查： Aβ、tau</w:t>
                    </w:r>
                  </w:p>
                </w:txbxContent>
              </v:textbox>
              <w10:wrap type="none"/>
            </v:shape>
            <v:shape style="position:absolute;left:15465;top:1518;width:1280;height:687" type="#_x0000_t202" filled="true" fillcolor="#ffffff" stroked="false">
              <v:textbox inset="0,0,0,0">
                <w:txbxContent>
                  <w:p>
                    <w:pPr>
                      <w:spacing w:line="239" w:lineRule="exact" w:before="0"/>
                      <w:ind w:left="200" w:right="0" w:firstLine="0"/>
                      <w:jc w:val="left"/>
                      <w:rPr>
                        <w:rFonts w:ascii="Microsoft JhengHei" w:eastAsia="Microsoft JhengHei" w:hint="eastAsia"/>
                        <w:b/>
                        <w:sz w:val="16"/>
                      </w:rPr>
                    </w:pPr>
                    <w:r>
                      <w:rPr>
                        <w:rFonts w:ascii="Arial" w:eastAsia="Arial"/>
                        <w:b/>
                        <w:color w:val="C00000"/>
                        <w:sz w:val="16"/>
                      </w:rPr>
                      <w:t>AD</w:t>
                    </w:r>
                    <w:r>
                      <w:rPr>
                        <w:rFonts w:ascii="Microsoft JhengHei" w:eastAsia="Microsoft JhengHei" w:hint="eastAsia"/>
                        <w:b/>
                        <w:color w:val="C00000"/>
                        <w:sz w:val="16"/>
                      </w:rPr>
                      <w:t>生物标</w:t>
                    </w:r>
                  </w:p>
                  <w:p>
                    <w:pPr>
                      <w:spacing w:line="228" w:lineRule="exact" w:before="0"/>
                      <w:ind w:left="200" w:right="0" w:firstLine="0"/>
                      <w:jc w:val="left"/>
                      <w:rPr>
                        <w:rFonts w:ascii="Microsoft JhengHei" w:eastAsia="Microsoft JhengHei" w:hint="eastAsia"/>
                        <w:b/>
                        <w:sz w:val="16"/>
                      </w:rPr>
                    </w:pPr>
                    <w:r>
                      <w:rPr>
                        <w:rFonts w:ascii="Microsoft JhengHei" w:eastAsia="Microsoft JhengHei" w:hint="eastAsia"/>
                        <w:b/>
                        <w:color w:val="C00000"/>
                        <w:sz w:val="16"/>
                      </w:rPr>
                      <w:t>志物检测</w:t>
                    </w:r>
                  </w:p>
                  <w:p>
                    <w:pPr>
                      <w:spacing w:line="219" w:lineRule="exact" w:before="0"/>
                      <w:ind w:left="87" w:right="0" w:firstLine="0"/>
                      <w:jc w:val="left"/>
                      <w:rPr>
                        <w:sz w:val="16"/>
                      </w:rPr>
                    </w:pPr>
                    <w:r>
                      <w:rPr>
                        <w:sz w:val="16"/>
                      </w:rPr>
                      <w:t>1、神经影像学</w:t>
                    </w:r>
                  </w:p>
                </w:txbxContent>
              </v:textbox>
              <v:fill type="solid"/>
              <w10:wrap type="none"/>
            </v:shape>
            <v:shape style="position:absolute;left:10963;top:2277;width:1311;height:740" type="#_x0000_t202" filled="true" fillcolor="#ffffff" stroked="false">
              <v:textbox inset="0,0,0,0">
                <w:txbxContent>
                  <w:p>
                    <w:pPr>
                      <w:spacing w:line="156" w:lineRule="auto" w:before="89"/>
                      <w:ind w:left="101" w:right="84" w:firstLine="0"/>
                      <w:jc w:val="left"/>
                      <w:rPr>
                        <w:sz w:val="16"/>
                      </w:rPr>
                    </w:pPr>
                    <w:r>
                      <w:rPr>
                        <w:sz w:val="16"/>
                      </w:rPr>
                      <w:t>初始评估、血常规、体格检查</w:t>
                    </w:r>
                  </w:p>
                </w:txbxContent>
              </v:textbox>
              <v:fill type="solid"/>
              <w10:wrap type="none"/>
            </v:shape>
            <v:shape style="position:absolute;left:12436;top:2032;width:1311;height:740" type="#_x0000_t202" filled="true" fillcolor="#ffffff" stroked="false">
              <v:textbox inset="0,0,0,0">
                <w:txbxContent>
                  <w:p>
                    <w:pPr>
                      <w:spacing w:line="156" w:lineRule="auto" w:before="96"/>
                      <w:ind w:left="159" w:right="346" w:firstLine="0"/>
                      <w:jc w:val="left"/>
                      <w:rPr>
                        <w:sz w:val="16"/>
                      </w:rPr>
                    </w:pPr>
                    <w:r>
                      <w:rPr>
                        <w:sz w:val="16"/>
                      </w:rPr>
                      <w:t>认知、功能和行为评估</w:t>
                    </w:r>
                  </w:p>
                </w:txbxContent>
              </v:textbox>
              <v:fill type="solid"/>
              <w10:wrap type="none"/>
            </v:shape>
            <w10:wrap type="topAndBottom"/>
          </v:group>
        </w:pict>
      </w:r>
    </w:p>
    <w:p>
      <w:pPr>
        <w:spacing w:after="0"/>
        <w:rPr>
          <w:sz w:val="5"/>
        </w:rPr>
        <w:sectPr>
          <w:headerReference w:type="default" r:id="rId26"/>
          <w:footerReference w:type="default" r:id="rId27"/>
          <w:pgSz w:w="19200" w:h="10800" w:orient="landscape"/>
          <w:pgMar w:header="471" w:footer="173" w:top="1100" w:bottom="360" w:left="0" w:right="0"/>
        </w:sectPr>
      </w:pPr>
    </w:p>
    <w:p>
      <w:pPr>
        <w:pStyle w:val="BodyText"/>
        <w:spacing w:before="18"/>
        <w:rPr>
          <w:b/>
          <w:sz w:val="26"/>
        </w:rPr>
      </w:pPr>
    </w:p>
    <w:p>
      <w:pPr>
        <w:pStyle w:val="Heading3"/>
        <w:tabs>
          <w:tab w:pos="1407" w:val="left" w:leader="none"/>
        </w:tabs>
      </w:pPr>
      <w:r>
        <w:rPr/>
        <w:drawing>
          <wp:anchor distT="0" distB="0" distL="0" distR="0" allowOverlap="1" layoutInCell="1" locked="0" behindDoc="0" simplePos="0" relativeHeight="15744512">
            <wp:simplePos x="0" y="0"/>
            <wp:positionH relativeFrom="page">
              <wp:posOffset>9144</wp:posOffset>
            </wp:positionH>
            <wp:positionV relativeFrom="paragraph">
              <wp:posOffset>-158273</wp:posOffset>
            </wp:positionV>
            <wp:extent cx="12182855" cy="89915"/>
            <wp:effectExtent l="0" t="0" r="0" b="0"/>
            <wp:wrapNone/>
            <wp:docPr id="41" name="image5.png"/>
            <wp:cNvGraphicFramePr>
              <a:graphicFrameLocks noChangeAspect="1"/>
            </wp:cNvGraphicFramePr>
            <a:graphic>
              <a:graphicData uri="http://schemas.openxmlformats.org/drawingml/2006/picture">
                <pic:pic>
                  <pic:nvPicPr>
                    <pic:cNvPr id="42" name="image5.png"/>
                    <pic:cNvPicPr/>
                  </pic:nvPicPr>
                  <pic:blipFill>
                    <a:blip r:embed="rId14" cstate="print"/>
                    <a:stretch>
                      <a:fillRect/>
                    </a:stretch>
                  </pic:blipFill>
                  <pic:spPr>
                    <a:xfrm>
                      <a:off x="0" y="0"/>
                      <a:ext cx="12182855" cy="89915"/>
                    </a:xfrm>
                    <a:prstGeom prst="rect">
                      <a:avLst/>
                    </a:prstGeom>
                  </pic:spPr>
                </pic:pic>
              </a:graphicData>
            </a:graphic>
          </wp:anchor>
        </w:drawing>
      </w:r>
      <w:r>
        <w:rPr>
          <w:rFonts w:ascii="Microsoft YaHei UI Light" w:hAnsi="Microsoft YaHei UI Light" w:eastAsia="Microsoft YaHei UI Light" w:hint="eastAsia"/>
          <w:b w:val="0"/>
          <w:color w:val="00AFEF"/>
        </w:rPr>
        <w:t>┃</w:t>
        <w:tab/>
      </w:r>
      <w:r>
        <w:rPr>
          <w:color w:val="57585B"/>
          <w:spacing w:val="-3"/>
        </w:rPr>
        <w:t>阿尔兹海默症诊断技术方向：神经影像学检查</w:t>
      </w:r>
    </w:p>
    <w:p>
      <w:pPr>
        <w:pStyle w:val="ListParagraph"/>
        <w:numPr>
          <w:ilvl w:val="1"/>
          <w:numId w:val="3"/>
        </w:numPr>
        <w:tabs>
          <w:tab w:pos="1385" w:val="left" w:leader="none"/>
        </w:tabs>
        <w:spacing w:line="172" w:lineRule="auto" w:before="215" w:after="0"/>
        <w:ind w:left="1384" w:right="2266" w:hanging="452"/>
        <w:jc w:val="both"/>
        <w:rPr>
          <w:sz w:val="28"/>
        </w:rPr>
      </w:pPr>
      <w:r>
        <w:rPr>
          <w:color w:val="57585B"/>
          <w:sz w:val="28"/>
        </w:rPr>
        <w:t>神经影像学检查是指PET显像通过正电子核素标记的显像剂特异性结合</w:t>
      </w:r>
      <w:r>
        <w:rPr>
          <w:color w:val="57585B"/>
          <w:spacing w:val="-3"/>
          <w:sz w:val="28"/>
        </w:rPr>
        <w:t>AD</w:t>
      </w:r>
      <w:r>
        <w:rPr>
          <w:color w:val="57585B"/>
          <w:sz w:val="28"/>
        </w:rPr>
        <w:t>生物标志物（Aβ、tau）来实现活体分子显像，提供</w:t>
      </w:r>
      <w:r>
        <w:rPr>
          <w:color w:val="57585B"/>
          <w:spacing w:val="-3"/>
          <w:sz w:val="28"/>
        </w:rPr>
        <w:t>可定量与可视化的生物信息。</w:t>
      </w:r>
    </w:p>
    <w:p>
      <w:pPr>
        <w:pStyle w:val="ListParagraph"/>
        <w:numPr>
          <w:ilvl w:val="1"/>
          <w:numId w:val="3"/>
        </w:numPr>
        <w:tabs>
          <w:tab w:pos="1385" w:val="left" w:leader="none"/>
        </w:tabs>
        <w:spacing w:line="172" w:lineRule="auto" w:before="236" w:after="0"/>
        <w:ind w:left="1384" w:right="2268" w:hanging="452"/>
        <w:jc w:val="both"/>
        <w:rPr>
          <w:sz w:val="28"/>
        </w:rPr>
      </w:pPr>
      <w:r>
        <w:rPr>
          <w:b/>
          <w:color w:val="57585B"/>
          <w:spacing w:val="-3"/>
          <w:sz w:val="28"/>
        </w:rPr>
        <w:t>海外获批显像剂情况：</w:t>
      </w:r>
      <w:r>
        <w:rPr>
          <w:color w:val="57585B"/>
          <w:sz w:val="28"/>
        </w:rPr>
        <w:t>1）</w:t>
      </w:r>
      <w:r>
        <w:rPr>
          <w:color w:val="57585B"/>
          <w:spacing w:val="81"/>
          <w:sz w:val="28"/>
        </w:rPr>
        <w:t> </w:t>
      </w:r>
      <w:r>
        <w:rPr>
          <w:color w:val="57585B"/>
          <w:sz w:val="28"/>
        </w:rPr>
        <w:t>Aβ-PET：最早的Aβ-PET</w:t>
      </w:r>
      <w:r>
        <w:rPr>
          <w:color w:val="57585B"/>
          <w:spacing w:val="-2"/>
          <w:sz w:val="28"/>
        </w:rPr>
        <w:t>显像剂是</w:t>
      </w:r>
      <w:r>
        <w:rPr>
          <w:color w:val="57585B"/>
          <w:sz w:val="28"/>
        </w:rPr>
        <w:t>11C</w:t>
      </w:r>
      <w:r>
        <w:rPr>
          <w:color w:val="57585B"/>
          <w:spacing w:val="-3"/>
          <w:sz w:val="28"/>
        </w:rPr>
        <w:t>标记的匹兹堡</w:t>
      </w:r>
      <w:r>
        <w:rPr>
          <w:color w:val="57585B"/>
          <w:sz w:val="28"/>
        </w:rPr>
        <w:t>B</w:t>
      </w:r>
      <w:r>
        <w:rPr>
          <w:color w:val="57585B"/>
          <w:spacing w:val="-4"/>
          <w:sz w:val="28"/>
        </w:rPr>
        <w:t>复合物，可附着于脑内</w:t>
      </w:r>
      <w:r>
        <w:rPr>
          <w:color w:val="57585B"/>
          <w:spacing w:val="-3"/>
          <w:sz w:val="28"/>
        </w:rPr>
        <w:t>Aβ，通过</w:t>
      </w:r>
      <w:r>
        <w:rPr>
          <w:color w:val="57585B"/>
          <w:sz w:val="28"/>
        </w:rPr>
        <w:t>PET</w:t>
      </w:r>
      <w:r>
        <w:rPr>
          <w:color w:val="57585B"/>
          <w:spacing w:val="-3"/>
          <w:sz w:val="28"/>
        </w:rPr>
        <w:t>成像，显示脑内Aβ</w:t>
      </w:r>
      <w:r>
        <w:rPr>
          <w:color w:val="57585B"/>
          <w:sz w:val="28"/>
        </w:rPr>
        <w:t>沉淀的水平和部位。此外还存在</w:t>
      </w:r>
      <w:r>
        <w:rPr>
          <w:color w:val="57585B"/>
          <w:spacing w:val="3"/>
          <w:sz w:val="28"/>
        </w:rPr>
        <w:t>3</w:t>
      </w:r>
      <w:r>
        <w:rPr>
          <w:color w:val="57585B"/>
          <w:sz w:val="28"/>
        </w:rPr>
        <w:t>种18F标记的显像剂（即</w:t>
      </w:r>
      <w:r>
        <w:rPr>
          <w:color w:val="57585B"/>
          <w:spacing w:val="-4"/>
          <w:sz w:val="28"/>
        </w:rPr>
        <w:t>AV-45</w:t>
      </w:r>
      <w:r>
        <w:rPr>
          <w:color w:val="57585B"/>
          <w:spacing w:val="-2"/>
          <w:sz w:val="28"/>
        </w:rPr>
        <w:t>，商品名</w:t>
      </w:r>
      <w:r>
        <w:rPr>
          <w:color w:val="57585B"/>
          <w:sz w:val="28"/>
        </w:rPr>
        <w:t>Amyvid，礼来）、flutemetamol（即GE- </w:t>
      </w:r>
      <w:r>
        <w:rPr>
          <w:color w:val="57585B"/>
          <w:spacing w:val="-1"/>
          <w:sz w:val="28"/>
        </w:rPr>
        <w:t>067，商品名Vizamyl，GE医疗</w:t>
      </w:r>
      <w:r>
        <w:rPr>
          <w:color w:val="57585B"/>
          <w:sz w:val="28"/>
        </w:rPr>
        <w:t>）</w:t>
      </w:r>
      <w:r>
        <w:rPr>
          <w:color w:val="57585B"/>
          <w:spacing w:val="-3"/>
          <w:sz w:val="28"/>
        </w:rPr>
        <w:t>、</w:t>
      </w:r>
      <w:r>
        <w:rPr>
          <w:color w:val="57585B"/>
          <w:sz w:val="28"/>
        </w:rPr>
        <w:t>florbetaben（即</w:t>
      </w:r>
      <w:r>
        <w:rPr>
          <w:color w:val="57585B"/>
          <w:spacing w:val="-5"/>
          <w:sz w:val="28"/>
        </w:rPr>
        <w:t>AV-1</w:t>
      </w:r>
      <w:r>
        <w:rPr>
          <w:color w:val="57585B"/>
          <w:spacing w:val="-3"/>
          <w:sz w:val="28"/>
        </w:rPr>
        <w:t>，商品名</w:t>
      </w:r>
      <w:r>
        <w:rPr>
          <w:color w:val="57585B"/>
          <w:sz w:val="28"/>
        </w:rPr>
        <w:t>NeuraCeq，</w:t>
      </w:r>
      <w:r>
        <w:rPr>
          <w:color w:val="57585B"/>
          <w:spacing w:val="-2"/>
          <w:sz w:val="28"/>
        </w:rPr>
        <w:t>欧洲生命分子成像公司</w:t>
      </w:r>
      <w:r>
        <w:rPr>
          <w:color w:val="57585B"/>
          <w:sz w:val="28"/>
        </w:rPr>
        <w:t>）</w:t>
      </w:r>
      <w:r>
        <w:rPr>
          <w:color w:val="57585B"/>
          <w:spacing w:val="-3"/>
          <w:sz w:val="28"/>
        </w:rPr>
        <w:t>在多个国家和地区相继被批准用于Aβ-PET临床显像。2）Tau-PET：2020</w:t>
      </w:r>
      <w:r>
        <w:rPr>
          <w:color w:val="57585B"/>
          <w:sz w:val="28"/>
        </w:rPr>
        <w:t>年，FDA批准了第一款可与tau蛋白结合的显像剂18F-flortaucipir（商品名</w:t>
      </w:r>
      <w:r>
        <w:rPr>
          <w:color w:val="57585B"/>
          <w:spacing w:val="-6"/>
          <w:sz w:val="28"/>
        </w:rPr>
        <w:t>Tauvid</w:t>
      </w:r>
      <w:r>
        <w:rPr>
          <w:color w:val="57585B"/>
          <w:spacing w:val="-2"/>
          <w:sz w:val="28"/>
        </w:rPr>
        <w:t>，礼来</w:t>
      </w:r>
      <w:r>
        <w:rPr>
          <w:color w:val="57585B"/>
          <w:sz w:val="28"/>
        </w:rPr>
        <w:t>）</w:t>
      </w:r>
      <w:r>
        <w:rPr>
          <w:color w:val="57585B"/>
          <w:spacing w:val="-3"/>
          <w:sz w:val="28"/>
        </w:rPr>
        <w:t>，该产品可以通过</w:t>
      </w:r>
      <w:r>
        <w:rPr>
          <w:color w:val="57585B"/>
          <w:sz w:val="28"/>
        </w:rPr>
        <w:t>PET</w:t>
      </w:r>
      <w:r>
        <w:rPr>
          <w:color w:val="57585B"/>
          <w:spacing w:val="-2"/>
          <w:sz w:val="28"/>
        </w:rPr>
        <w:t>检测</w:t>
      </w:r>
      <w:r>
        <w:rPr>
          <w:color w:val="57585B"/>
          <w:sz w:val="28"/>
        </w:rPr>
        <w:t>tau</w:t>
      </w:r>
      <w:r>
        <w:rPr>
          <w:color w:val="57585B"/>
          <w:spacing w:val="-3"/>
          <w:sz w:val="28"/>
        </w:rPr>
        <w:t>积聚及其在大脑中的分布。</w:t>
      </w:r>
    </w:p>
    <w:p>
      <w:pPr>
        <w:pStyle w:val="ListParagraph"/>
        <w:numPr>
          <w:ilvl w:val="1"/>
          <w:numId w:val="3"/>
        </w:numPr>
        <w:tabs>
          <w:tab w:pos="1384" w:val="left" w:leader="none"/>
          <w:tab w:pos="1385" w:val="left" w:leader="none"/>
        </w:tabs>
        <w:spacing w:line="172" w:lineRule="auto" w:before="231" w:after="0"/>
        <w:ind w:left="1384" w:right="1992" w:hanging="452"/>
        <w:jc w:val="left"/>
        <w:rPr>
          <w:sz w:val="28"/>
        </w:rPr>
      </w:pPr>
      <w:r>
        <w:rPr>
          <w:b/>
          <w:color w:val="57585B"/>
          <w:sz w:val="28"/>
        </w:rPr>
        <w:t>中国获批显像剂情况：</w:t>
      </w:r>
      <w:r>
        <w:rPr>
          <w:color w:val="57585B"/>
          <w:sz w:val="28"/>
        </w:rPr>
        <w:t>1）Aβ-PET：国内的先通医药于2017年获得了Neuraceq的中国开发和销售授权，2023年9月15日，其  欧韦宁氟[18F]贝他苯注射液率先获得</w:t>
      </w:r>
      <w:r>
        <w:rPr>
          <w:color w:val="57585B"/>
          <w:spacing w:val="-7"/>
          <w:sz w:val="28"/>
        </w:rPr>
        <w:t>NMPA</w:t>
      </w:r>
      <w:r>
        <w:rPr>
          <w:color w:val="57585B"/>
          <w:sz w:val="28"/>
        </w:rPr>
        <w:t>批准，是国内首个获批用于AD</w:t>
      </w:r>
      <w:r>
        <w:rPr>
          <w:color w:val="57585B"/>
          <w:spacing w:val="1"/>
          <w:sz w:val="28"/>
        </w:rPr>
        <w:t>诊断的</w:t>
      </w:r>
      <w:r>
        <w:rPr>
          <w:color w:val="57585B"/>
          <w:sz w:val="28"/>
        </w:rPr>
        <w:t>Aβ-PET显像剂。</w:t>
      </w:r>
      <w:r>
        <w:rPr>
          <w:color w:val="57585B"/>
          <w:spacing w:val="-3"/>
          <w:sz w:val="28"/>
        </w:rPr>
        <w:t>2）Tau-PET：2020</w:t>
      </w:r>
      <w:r>
        <w:rPr>
          <w:color w:val="57585B"/>
          <w:sz w:val="28"/>
        </w:rPr>
        <w:t>年，新  旭医药的</w:t>
      </w:r>
      <w:r>
        <w:rPr>
          <w:color w:val="57585B"/>
          <w:spacing w:val="-6"/>
          <w:sz w:val="28"/>
        </w:rPr>
        <w:t>Tau-PET</w:t>
      </w:r>
      <w:r>
        <w:rPr>
          <w:color w:val="57585B"/>
          <w:sz w:val="28"/>
        </w:rPr>
        <w:t>示踪剂18F-APN-1607的临床试验申请获得</w:t>
      </w:r>
      <w:r>
        <w:rPr>
          <w:color w:val="57585B"/>
          <w:spacing w:val="-7"/>
          <w:sz w:val="28"/>
        </w:rPr>
        <w:t>NMPA</w:t>
      </w:r>
      <w:r>
        <w:rPr>
          <w:color w:val="57585B"/>
          <w:sz w:val="28"/>
        </w:rPr>
        <w:t>受理。2022年，东诚药业获得18F-APN-1607在国内的开  </w:t>
      </w:r>
      <w:r>
        <w:rPr>
          <w:color w:val="57585B"/>
          <w:spacing w:val="2"/>
          <w:sz w:val="28"/>
        </w:rPr>
        <w:t>发、生产和销售独家授权。先通医药也在</w:t>
      </w:r>
      <w:r>
        <w:rPr>
          <w:color w:val="57585B"/>
          <w:spacing w:val="-6"/>
          <w:sz w:val="28"/>
        </w:rPr>
        <w:t>Tau-PET</w:t>
      </w:r>
      <w:r>
        <w:rPr>
          <w:color w:val="57585B"/>
          <w:spacing w:val="4"/>
          <w:sz w:val="28"/>
        </w:rPr>
        <w:t>领域布局了一款</w:t>
      </w:r>
      <w:r>
        <w:rPr>
          <w:color w:val="57585B"/>
          <w:sz w:val="28"/>
        </w:rPr>
        <w:t>18F</w:t>
      </w:r>
      <w:r>
        <w:rPr>
          <w:color w:val="57585B"/>
          <w:spacing w:val="3"/>
          <w:sz w:val="28"/>
        </w:rPr>
        <w:t>标记的高亲和力</w:t>
      </w:r>
      <w:r>
        <w:rPr>
          <w:color w:val="57585B"/>
          <w:spacing w:val="-6"/>
          <w:sz w:val="28"/>
        </w:rPr>
        <w:t>Tau-PET</w:t>
      </w:r>
      <w:r>
        <w:rPr>
          <w:color w:val="57585B"/>
          <w:spacing w:val="4"/>
          <w:sz w:val="28"/>
        </w:rPr>
        <w:t>显像剂</w:t>
      </w:r>
      <w:r>
        <w:rPr>
          <w:color w:val="57585B"/>
          <w:sz w:val="28"/>
        </w:rPr>
        <w:t>MK-6240（</w:t>
      </w:r>
      <w:r>
        <w:rPr>
          <w:color w:val="57585B"/>
          <w:spacing w:val="4"/>
          <w:sz w:val="28"/>
        </w:rPr>
        <w:t>尚未获批</w:t>
      </w:r>
      <w:r>
        <w:rPr>
          <w:color w:val="57585B"/>
          <w:sz w:val="28"/>
        </w:rPr>
        <w:t>）。</w:t>
      </w:r>
    </w:p>
    <w:p>
      <w:pPr>
        <w:pStyle w:val="ListParagraph"/>
        <w:numPr>
          <w:ilvl w:val="2"/>
          <w:numId w:val="3"/>
        </w:numPr>
        <w:tabs>
          <w:tab w:pos="1989" w:val="left" w:leader="none"/>
          <w:tab w:pos="1990" w:val="left" w:leader="none"/>
        </w:tabs>
        <w:spacing w:line="330" w:lineRule="exact" w:before="0" w:after="0"/>
        <w:ind w:left="1989" w:right="0" w:hanging="452"/>
        <w:jc w:val="left"/>
        <w:rPr>
          <w:b/>
          <w:sz w:val="22"/>
        </w:rPr>
      </w:pPr>
      <w:r>
        <w:rPr/>
        <w:pict>
          <v:shape style="position:absolute;margin-left:69.699997pt;margin-top:17.263512pt;width:486.55pt;height:150.3pt;mso-position-horizontal-relative:page;mso-position-vertical-relative:paragraph;z-index:1574502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19"/>
                    <w:gridCol w:w="2515"/>
                    <w:gridCol w:w="913"/>
                    <w:gridCol w:w="4181"/>
                  </w:tblGrid>
                  <w:tr>
                    <w:trPr>
                      <w:trHeight w:val="353" w:hRule="atLeast"/>
                    </w:trPr>
                    <w:tc>
                      <w:tcPr>
                        <w:tcW w:w="2119" w:type="dxa"/>
                        <w:tcBorders>
                          <w:top w:val="single" w:sz="8" w:space="0" w:color="4F81BC"/>
                          <w:bottom w:val="single" w:sz="8" w:space="0" w:color="4F81BC"/>
                        </w:tcBorders>
                        <w:shd w:val="clear" w:color="auto" w:fill="B8CDE4"/>
                      </w:tcPr>
                      <w:p>
                        <w:pPr>
                          <w:pStyle w:val="TableParagraph"/>
                          <w:spacing w:line="240" w:lineRule="auto" w:before="25"/>
                          <w:ind w:left="1190"/>
                          <w:jc w:val="left"/>
                          <w:rPr>
                            <w:b/>
                            <w:sz w:val="16"/>
                          </w:rPr>
                        </w:pPr>
                        <w:r>
                          <w:rPr>
                            <w:b/>
                            <w:sz w:val="16"/>
                          </w:rPr>
                          <w:t>成像靶点</w:t>
                        </w:r>
                      </w:p>
                    </w:tc>
                    <w:tc>
                      <w:tcPr>
                        <w:tcW w:w="2515" w:type="dxa"/>
                        <w:tcBorders>
                          <w:top w:val="single" w:sz="8" w:space="0" w:color="4F81BC"/>
                          <w:bottom w:val="single" w:sz="8" w:space="0" w:color="4F81BC"/>
                        </w:tcBorders>
                        <w:shd w:val="clear" w:color="auto" w:fill="B8CDE4"/>
                      </w:tcPr>
                      <w:p>
                        <w:pPr>
                          <w:pStyle w:val="TableParagraph"/>
                          <w:spacing w:line="240" w:lineRule="auto" w:before="25"/>
                          <w:ind w:left="272" w:right="183"/>
                          <w:rPr>
                            <w:b/>
                            <w:sz w:val="16"/>
                          </w:rPr>
                        </w:pPr>
                        <w:r>
                          <w:rPr>
                            <w:b/>
                            <w:sz w:val="16"/>
                          </w:rPr>
                          <w:t>显像剂</w:t>
                        </w:r>
                      </w:p>
                    </w:tc>
                    <w:tc>
                      <w:tcPr>
                        <w:tcW w:w="913" w:type="dxa"/>
                        <w:tcBorders>
                          <w:top w:val="single" w:sz="8" w:space="0" w:color="4F81BC"/>
                          <w:bottom w:val="single" w:sz="8" w:space="0" w:color="4F81BC"/>
                        </w:tcBorders>
                        <w:shd w:val="clear" w:color="auto" w:fill="B8CDE4"/>
                      </w:tcPr>
                      <w:p>
                        <w:pPr>
                          <w:pStyle w:val="TableParagraph"/>
                          <w:spacing w:line="240" w:lineRule="auto" w:before="25"/>
                          <w:ind w:left="201"/>
                          <w:jc w:val="left"/>
                          <w:rPr>
                            <w:b/>
                            <w:sz w:val="16"/>
                          </w:rPr>
                        </w:pPr>
                        <w:r>
                          <w:rPr>
                            <w:b/>
                            <w:sz w:val="16"/>
                          </w:rPr>
                          <w:t>核素</w:t>
                        </w:r>
                      </w:p>
                    </w:tc>
                    <w:tc>
                      <w:tcPr>
                        <w:tcW w:w="4181" w:type="dxa"/>
                        <w:tcBorders>
                          <w:top w:val="single" w:sz="8" w:space="0" w:color="4F81BC"/>
                          <w:bottom w:val="single" w:sz="8" w:space="0" w:color="4F81BC"/>
                        </w:tcBorders>
                        <w:shd w:val="clear" w:color="auto" w:fill="B8CDE4"/>
                      </w:tcPr>
                      <w:p>
                        <w:pPr>
                          <w:pStyle w:val="TableParagraph"/>
                          <w:spacing w:line="240" w:lineRule="auto" w:before="25"/>
                          <w:ind w:left="378" w:right="561"/>
                          <w:rPr>
                            <w:b/>
                            <w:sz w:val="16"/>
                          </w:rPr>
                        </w:pPr>
                        <w:r>
                          <w:rPr>
                            <w:b/>
                            <w:sz w:val="16"/>
                          </w:rPr>
                          <w:t>厂家</w:t>
                        </w:r>
                      </w:p>
                    </w:tc>
                  </w:tr>
                  <w:tr>
                    <w:trPr>
                      <w:trHeight w:val="358" w:hRule="atLeast"/>
                    </w:trPr>
                    <w:tc>
                      <w:tcPr>
                        <w:tcW w:w="2119" w:type="dxa"/>
                        <w:tcBorders>
                          <w:top w:val="single" w:sz="8" w:space="0" w:color="4F81BC"/>
                        </w:tcBorders>
                      </w:tcPr>
                      <w:p>
                        <w:pPr>
                          <w:pStyle w:val="TableParagraph"/>
                          <w:spacing w:line="240" w:lineRule="auto"/>
                          <w:jc w:val="left"/>
                          <w:rPr>
                            <w:rFonts w:ascii="Times New Roman"/>
                            <w:sz w:val="24"/>
                          </w:rPr>
                        </w:pPr>
                      </w:p>
                    </w:tc>
                    <w:tc>
                      <w:tcPr>
                        <w:tcW w:w="2515" w:type="dxa"/>
                        <w:tcBorders>
                          <w:top w:val="single" w:sz="8" w:space="0" w:color="4F81BC"/>
                        </w:tcBorders>
                      </w:tcPr>
                      <w:p>
                        <w:pPr>
                          <w:pStyle w:val="TableParagraph"/>
                          <w:spacing w:line="240" w:lineRule="auto" w:before="25"/>
                          <w:ind w:left="272" w:right="185"/>
                          <w:rPr>
                            <w:sz w:val="16"/>
                          </w:rPr>
                        </w:pPr>
                        <w:r>
                          <w:rPr>
                            <w:sz w:val="16"/>
                          </w:rPr>
                          <w:t>匹兹堡B复合物</w:t>
                        </w:r>
                      </w:p>
                    </w:tc>
                    <w:tc>
                      <w:tcPr>
                        <w:tcW w:w="913" w:type="dxa"/>
                        <w:tcBorders>
                          <w:top w:val="single" w:sz="8" w:space="0" w:color="4F81BC"/>
                        </w:tcBorders>
                      </w:tcPr>
                      <w:p>
                        <w:pPr>
                          <w:pStyle w:val="TableParagraph"/>
                          <w:spacing w:line="240" w:lineRule="auto" w:before="27"/>
                          <w:ind w:left="247"/>
                          <w:jc w:val="left"/>
                          <w:rPr>
                            <w:sz w:val="16"/>
                          </w:rPr>
                        </w:pPr>
                        <w:r>
                          <w:rPr>
                            <w:w w:val="105"/>
                            <w:sz w:val="10"/>
                          </w:rPr>
                          <w:t>11</w:t>
                        </w:r>
                        <w:r>
                          <w:rPr>
                            <w:w w:val="105"/>
                            <w:position w:val="-4"/>
                            <w:sz w:val="16"/>
                          </w:rPr>
                          <w:t>C</w:t>
                        </w:r>
                      </w:p>
                    </w:tc>
                    <w:tc>
                      <w:tcPr>
                        <w:tcW w:w="4181" w:type="dxa"/>
                        <w:tcBorders>
                          <w:top w:val="single" w:sz="8" w:space="0" w:color="4F81BC"/>
                        </w:tcBorders>
                      </w:tcPr>
                      <w:p>
                        <w:pPr>
                          <w:pStyle w:val="TableParagraph"/>
                          <w:spacing w:line="240" w:lineRule="auto" w:before="25"/>
                          <w:ind w:left="378" w:right="561"/>
                          <w:rPr>
                            <w:sz w:val="16"/>
                          </w:rPr>
                        </w:pPr>
                        <w:r>
                          <w:rPr>
                            <w:sz w:val="16"/>
                          </w:rPr>
                          <w:t>--</w:t>
                        </w:r>
                      </w:p>
                    </w:tc>
                  </w:tr>
                  <w:tr>
                    <w:trPr>
                      <w:trHeight w:val="279" w:hRule="atLeast"/>
                    </w:trPr>
                    <w:tc>
                      <w:tcPr>
                        <w:tcW w:w="2119" w:type="dxa"/>
                      </w:tcPr>
                      <w:p>
                        <w:pPr>
                          <w:pStyle w:val="TableParagraph"/>
                          <w:spacing w:line="240" w:lineRule="auto"/>
                          <w:jc w:val="left"/>
                          <w:rPr>
                            <w:rFonts w:ascii="Times New Roman"/>
                            <w:sz w:val="20"/>
                          </w:rPr>
                        </w:pPr>
                      </w:p>
                    </w:tc>
                    <w:tc>
                      <w:tcPr>
                        <w:tcW w:w="2515" w:type="dxa"/>
                      </w:tcPr>
                      <w:p>
                        <w:pPr>
                          <w:pStyle w:val="TableParagraph"/>
                          <w:spacing w:line="221" w:lineRule="exact" w:before="39"/>
                          <w:ind w:left="272" w:right="183"/>
                          <w:rPr>
                            <w:sz w:val="16"/>
                          </w:rPr>
                        </w:pPr>
                        <w:r>
                          <w:rPr>
                            <w:sz w:val="16"/>
                          </w:rPr>
                          <w:t>Amyvid</w:t>
                        </w:r>
                      </w:p>
                    </w:tc>
                    <w:tc>
                      <w:tcPr>
                        <w:tcW w:w="913" w:type="dxa"/>
                      </w:tcPr>
                      <w:p>
                        <w:pPr>
                          <w:pStyle w:val="TableParagraph"/>
                          <w:spacing w:line="219" w:lineRule="exact" w:before="41"/>
                          <w:ind w:left="256"/>
                          <w:jc w:val="left"/>
                          <w:rPr>
                            <w:sz w:val="16"/>
                          </w:rPr>
                        </w:pPr>
                        <w:r>
                          <w:rPr>
                            <w:w w:val="105"/>
                            <w:sz w:val="10"/>
                          </w:rPr>
                          <w:t>18</w:t>
                        </w:r>
                        <w:r>
                          <w:rPr>
                            <w:w w:val="105"/>
                            <w:position w:val="-4"/>
                            <w:sz w:val="16"/>
                          </w:rPr>
                          <w:t>F</w:t>
                        </w:r>
                      </w:p>
                    </w:tc>
                    <w:tc>
                      <w:tcPr>
                        <w:tcW w:w="4181" w:type="dxa"/>
                      </w:tcPr>
                      <w:p>
                        <w:pPr>
                          <w:pStyle w:val="TableParagraph"/>
                          <w:spacing w:line="221" w:lineRule="exact" w:before="39"/>
                          <w:ind w:left="378" w:right="561"/>
                          <w:rPr>
                            <w:sz w:val="16"/>
                          </w:rPr>
                        </w:pPr>
                        <w:r>
                          <w:rPr>
                            <w:sz w:val="16"/>
                          </w:rPr>
                          <w:t>礼来</w:t>
                        </w:r>
                      </w:p>
                    </w:tc>
                  </w:tr>
                  <w:tr>
                    <w:trPr>
                      <w:trHeight w:val="186" w:hRule="atLeast"/>
                    </w:trPr>
                    <w:tc>
                      <w:tcPr>
                        <w:tcW w:w="2119" w:type="dxa"/>
                      </w:tcPr>
                      <w:p>
                        <w:pPr>
                          <w:pStyle w:val="TableParagraph"/>
                          <w:spacing w:line="167" w:lineRule="exact"/>
                          <w:ind w:left="1406"/>
                          <w:jc w:val="left"/>
                          <w:rPr>
                            <w:sz w:val="16"/>
                          </w:rPr>
                        </w:pPr>
                        <w:r>
                          <w:rPr>
                            <w:sz w:val="16"/>
                          </w:rPr>
                          <w:t>Aβ</w:t>
                        </w:r>
                      </w:p>
                    </w:tc>
                    <w:tc>
                      <w:tcPr>
                        <w:tcW w:w="2515" w:type="dxa"/>
                      </w:tcPr>
                      <w:p>
                        <w:pPr>
                          <w:pStyle w:val="TableParagraph"/>
                          <w:spacing w:line="240" w:lineRule="auto"/>
                          <w:jc w:val="left"/>
                          <w:rPr>
                            <w:rFonts w:ascii="Times New Roman"/>
                            <w:sz w:val="12"/>
                          </w:rPr>
                        </w:pPr>
                      </w:p>
                    </w:tc>
                    <w:tc>
                      <w:tcPr>
                        <w:tcW w:w="913" w:type="dxa"/>
                      </w:tcPr>
                      <w:p>
                        <w:pPr>
                          <w:pStyle w:val="TableParagraph"/>
                          <w:spacing w:line="240" w:lineRule="auto"/>
                          <w:jc w:val="left"/>
                          <w:rPr>
                            <w:rFonts w:ascii="Times New Roman"/>
                            <w:sz w:val="12"/>
                          </w:rPr>
                        </w:pPr>
                      </w:p>
                    </w:tc>
                    <w:tc>
                      <w:tcPr>
                        <w:tcW w:w="4181" w:type="dxa"/>
                      </w:tcPr>
                      <w:p>
                        <w:pPr>
                          <w:pStyle w:val="TableParagraph"/>
                          <w:spacing w:line="240" w:lineRule="auto"/>
                          <w:jc w:val="left"/>
                          <w:rPr>
                            <w:rFonts w:ascii="Times New Roman"/>
                            <w:sz w:val="12"/>
                          </w:rPr>
                        </w:pPr>
                      </w:p>
                    </w:tc>
                  </w:tr>
                  <w:tr>
                    <w:trPr>
                      <w:trHeight w:val="279" w:hRule="atLeast"/>
                    </w:trPr>
                    <w:tc>
                      <w:tcPr>
                        <w:tcW w:w="2119" w:type="dxa"/>
                      </w:tcPr>
                      <w:p>
                        <w:pPr>
                          <w:pStyle w:val="TableParagraph"/>
                          <w:spacing w:line="241" w:lineRule="exact"/>
                          <w:ind w:left="248"/>
                          <w:jc w:val="left"/>
                          <w:rPr>
                            <w:sz w:val="16"/>
                          </w:rPr>
                        </w:pPr>
                        <w:r>
                          <w:rPr>
                            <w:sz w:val="16"/>
                          </w:rPr>
                          <w:t>海外</w:t>
                        </w:r>
                      </w:p>
                    </w:tc>
                    <w:tc>
                      <w:tcPr>
                        <w:tcW w:w="2515" w:type="dxa"/>
                      </w:tcPr>
                      <w:p>
                        <w:pPr>
                          <w:pStyle w:val="TableParagraph"/>
                          <w:spacing w:line="241" w:lineRule="exact"/>
                          <w:ind w:left="272" w:right="184"/>
                          <w:rPr>
                            <w:sz w:val="16"/>
                          </w:rPr>
                        </w:pPr>
                        <w:r>
                          <w:rPr>
                            <w:sz w:val="16"/>
                          </w:rPr>
                          <w:t>Vizamyl</w:t>
                        </w:r>
                      </w:p>
                    </w:tc>
                    <w:tc>
                      <w:tcPr>
                        <w:tcW w:w="913" w:type="dxa"/>
                      </w:tcPr>
                      <w:p>
                        <w:pPr>
                          <w:pStyle w:val="TableParagraph"/>
                          <w:spacing w:line="243" w:lineRule="exact"/>
                          <w:ind w:left="256"/>
                          <w:jc w:val="left"/>
                          <w:rPr>
                            <w:sz w:val="16"/>
                          </w:rPr>
                        </w:pPr>
                        <w:r>
                          <w:rPr>
                            <w:w w:val="105"/>
                            <w:sz w:val="10"/>
                          </w:rPr>
                          <w:t>18</w:t>
                        </w:r>
                        <w:r>
                          <w:rPr>
                            <w:w w:val="105"/>
                            <w:position w:val="-4"/>
                            <w:sz w:val="16"/>
                          </w:rPr>
                          <w:t>F</w:t>
                        </w:r>
                      </w:p>
                    </w:tc>
                    <w:tc>
                      <w:tcPr>
                        <w:tcW w:w="4181" w:type="dxa"/>
                      </w:tcPr>
                      <w:p>
                        <w:pPr>
                          <w:pStyle w:val="TableParagraph"/>
                          <w:spacing w:line="241" w:lineRule="exact"/>
                          <w:ind w:left="380" w:right="561"/>
                          <w:rPr>
                            <w:sz w:val="16"/>
                          </w:rPr>
                        </w:pPr>
                        <w:r>
                          <w:rPr>
                            <w:sz w:val="16"/>
                          </w:rPr>
                          <w:t>GE医疗</w:t>
                        </w:r>
                      </w:p>
                    </w:tc>
                  </w:tr>
                  <w:tr>
                    <w:trPr>
                      <w:trHeight w:val="373" w:hRule="atLeast"/>
                    </w:trPr>
                    <w:tc>
                      <w:tcPr>
                        <w:tcW w:w="2119" w:type="dxa"/>
                      </w:tcPr>
                      <w:p>
                        <w:pPr>
                          <w:pStyle w:val="TableParagraph"/>
                          <w:spacing w:line="240" w:lineRule="auto"/>
                          <w:jc w:val="left"/>
                          <w:rPr>
                            <w:rFonts w:ascii="Times New Roman"/>
                            <w:sz w:val="24"/>
                          </w:rPr>
                        </w:pPr>
                      </w:p>
                    </w:tc>
                    <w:tc>
                      <w:tcPr>
                        <w:tcW w:w="2515" w:type="dxa"/>
                      </w:tcPr>
                      <w:p>
                        <w:pPr>
                          <w:pStyle w:val="TableParagraph"/>
                          <w:spacing w:line="240" w:lineRule="auto" w:before="39"/>
                          <w:ind w:left="271" w:right="185"/>
                          <w:rPr>
                            <w:sz w:val="16"/>
                          </w:rPr>
                        </w:pPr>
                        <w:r>
                          <w:rPr>
                            <w:sz w:val="16"/>
                          </w:rPr>
                          <w:t>NeuraCeq</w:t>
                        </w:r>
                      </w:p>
                    </w:tc>
                    <w:tc>
                      <w:tcPr>
                        <w:tcW w:w="913" w:type="dxa"/>
                      </w:tcPr>
                      <w:p>
                        <w:pPr>
                          <w:pStyle w:val="TableParagraph"/>
                          <w:spacing w:line="240" w:lineRule="auto" w:before="41"/>
                          <w:ind w:left="256"/>
                          <w:jc w:val="left"/>
                          <w:rPr>
                            <w:sz w:val="16"/>
                          </w:rPr>
                        </w:pPr>
                        <w:r>
                          <w:rPr>
                            <w:w w:val="105"/>
                            <w:sz w:val="10"/>
                          </w:rPr>
                          <w:t>18</w:t>
                        </w:r>
                        <w:r>
                          <w:rPr>
                            <w:w w:val="105"/>
                            <w:position w:val="-4"/>
                            <w:sz w:val="16"/>
                          </w:rPr>
                          <w:t>F</w:t>
                        </w:r>
                      </w:p>
                    </w:tc>
                    <w:tc>
                      <w:tcPr>
                        <w:tcW w:w="4181" w:type="dxa"/>
                      </w:tcPr>
                      <w:p>
                        <w:pPr>
                          <w:pStyle w:val="TableParagraph"/>
                          <w:spacing w:line="240" w:lineRule="auto" w:before="39"/>
                          <w:ind w:left="378" w:right="561"/>
                          <w:rPr>
                            <w:sz w:val="16"/>
                          </w:rPr>
                        </w:pPr>
                        <w:r>
                          <w:rPr>
                            <w:sz w:val="16"/>
                          </w:rPr>
                          <w:t>欧洲生命分子成像公司</w:t>
                        </w:r>
                      </w:p>
                    </w:tc>
                  </w:tr>
                  <w:tr>
                    <w:trPr>
                      <w:trHeight w:val="367" w:hRule="atLeast"/>
                    </w:trPr>
                    <w:tc>
                      <w:tcPr>
                        <w:tcW w:w="2119" w:type="dxa"/>
                        <w:tcBorders>
                          <w:bottom w:val="single" w:sz="8" w:space="0" w:color="000000"/>
                        </w:tcBorders>
                      </w:tcPr>
                      <w:p>
                        <w:pPr>
                          <w:pStyle w:val="TableParagraph"/>
                          <w:spacing w:line="240" w:lineRule="auto" w:before="39"/>
                          <w:ind w:left="1373"/>
                          <w:jc w:val="left"/>
                          <w:rPr>
                            <w:sz w:val="16"/>
                          </w:rPr>
                        </w:pPr>
                        <w:r>
                          <w:rPr>
                            <w:sz w:val="16"/>
                          </w:rPr>
                          <w:t>Tau</w:t>
                        </w:r>
                      </w:p>
                    </w:tc>
                    <w:tc>
                      <w:tcPr>
                        <w:tcW w:w="2515" w:type="dxa"/>
                        <w:tcBorders>
                          <w:bottom w:val="single" w:sz="8" w:space="0" w:color="000000"/>
                        </w:tcBorders>
                      </w:tcPr>
                      <w:p>
                        <w:pPr>
                          <w:pStyle w:val="TableParagraph"/>
                          <w:spacing w:line="240" w:lineRule="auto" w:before="39"/>
                          <w:ind w:left="271" w:right="185"/>
                          <w:rPr>
                            <w:sz w:val="16"/>
                          </w:rPr>
                        </w:pPr>
                        <w:r>
                          <w:rPr>
                            <w:sz w:val="16"/>
                          </w:rPr>
                          <w:t>Tauvid</w:t>
                        </w:r>
                      </w:p>
                    </w:tc>
                    <w:tc>
                      <w:tcPr>
                        <w:tcW w:w="913" w:type="dxa"/>
                        <w:tcBorders>
                          <w:bottom w:val="single" w:sz="8" w:space="0" w:color="000000"/>
                        </w:tcBorders>
                      </w:tcPr>
                      <w:p>
                        <w:pPr>
                          <w:pStyle w:val="TableParagraph"/>
                          <w:spacing w:line="240" w:lineRule="auto" w:before="41"/>
                          <w:ind w:left="256"/>
                          <w:jc w:val="left"/>
                          <w:rPr>
                            <w:sz w:val="16"/>
                          </w:rPr>
                        </w:pPr>
                        <w:r>
                          <w:rPr>
                            <w:w w:val="105"/>
                            <w:sz w:val="10"/>
                          </w:rPr>
                          <w:t>18</w:t>
                        </w:r>
                        <w:r>
                          <w:rPr>
                            <w:w w:val="105"/>
                            <w:position w:val="-4"/>
                            <w:sz w:val="16"/>
                          </w:rPr>
                          <w:t>F</w:t>
                        </w:r>
                      </w:p>
                    </w:tc>
                    <w:tc>
                      <w:tcPr>
                        <w:tcW w:w="4181" w:type="dxa"/>
                        <w:tcBorders>
                          <w:bottom w:val="single" w:sz="8" w:space="0" w:color="000000"/>
                        </w:tcBorders>
                      </w:tcPr>
                      <w:p>
                        <w:pPr>
                          <w:pStyle w:val="TableParagraph"/>
                          <w:spacing w:line="240" w:lineRule="auto" w:before="39"/>
                          <w:ind w:left="378" w:right="561"/>
                          <w:rPr>
                            <w:sz w:val="16"/>
                          </w:rPr>
                        </w:pPr>
                        <w:r>
                          <w:rPr>
                            <w:sz w:val="16"/>
                          </w:rPr>
                          <w:t>礼来</w:t>
                        </w:r>
                      </w:p>
                    </w:tc>
                  </w:tr>
                  <w:tr>
                    <w:trPr>
                      <w:trHeight w:val="265" w:hRule="atLeast"/>
                    </w:trPr>
                    <w:tc>
                      <w:tcPr>
                        <w:tcW w:w="2119" w:type="dxa"/>
                        <w:tcBorders>
                          <w:top w:val="single" w:sz="8" w:space="0" w:color="000000"/>
                        </w:tcBorders>
                      </w:tcPr>
                      <w:p>
                        <w:pPr>
                          <w:pStyle w:val="TableParagraph"/>
                          <w:spacing w:line="221" w:lineRule="exact" w:before="25"/>
                          <w:ind w:left="1406"/>
                          <w:jc w:val="left"/>
                          <w:rPr>
                            <w:sz w:val="16"/>
                          </w:rPr>
                        </w:pPr>
                        <w:r>
                          <w:rPr>
                            <w:sz w:val="16"/>
                          </w:rPr>
                          <w:t>Aβ</w:t>
                        </w:r>
                      </w:p>
                    </w:tc>
                    <w:tc>
                      <w:tcPr>
                        <w:tcW w:w="2515" w:type="dxa"/>
                        <w:tcBorders>
                          <w:top w:val="single" w:sz="8" w:space="0" w:color="000000"/>
                        </w:tcBorders>
                      </w:tcPr>
                      <w:p>
                        <w:pPr>
                          <w:pStyle w:val="TableParagraph"/>
                          <w:spacing w:line="221" w:lineRule="exact" w:before="25"/>
                          <w:ind w:left="272" w:right="183"/>
                          <w:rPr>
                            <w:sz w:val="16"/>
                          </w:rPr>
                        </w:pPr>
                        <w:r>
                          <w:rPr>
                            <w:sz w:val="16"/>
                          </w:rPr>
                          <w:t>欧韦宁</w:t>
                        </w:r>
                      </w:p>
                    </w:tc>
                    <w:tc>
                      <w:tcPr>
                        <w:tcW w:w="913" w:type="dxa"/>
                        <w:tcBorders>
                          <w:top w:val="single" w:sz="8" w:space="0" w:color="000000"/>
                        </w:tcBorders>
                      </w:tcPr>
                      <w:p>
                        <w:pPr>
                          <w:pStyle w:val="TableParagraph"/>
                          <w:spacing w:line="219" w:lineRule="exact" w:before="27"/>
                          <w:ind w:left="256"/>
                          <w:jc w:val="left"/>
                          <w:rPr>
                            <w:sz w:val="16"/>
                          </w:rPr>
                        </w:pPr>
                        <w:r>
                          <w:rPr>
                            <w:w w:val="105"/>
                            <w:sz w:val="10"/>
                          </w:rPr>
                          <w:t>18</w:t>
                        </w:r>
                        <w:r>
                          <w:rPr>
                            <w:w w:val="105"/>
                            <w:position w:val="-4"/>
                            <w:sz w:val="16"/>
                          </w:rPr>
                          <w:t>F</w:t>
                        </w:r>
                      </w:p>
                    </w:tc>
                    <w:tc>
                      <w:tcPr>
                        <w:tcW w:w="4181" w:type="dxa"/>
                        <w:tcBorders>
                          <w:top w:val="single" w:sz="8" w:space="0" w:color="000000"/>
                        </w:tcBorders>
                      </w:tcPr>
                      <w:p>
                        <w:pPr>
                          <w:pStyle w:val="TableParagraph"/>
                          <w:spacing w:line="221" w:lineRule="exact" w:before="25"/>
                          <w:ind w:left="380" w:right="561"/>
                          <w:rPr>
                            <w:sz w:val="16"/>
                          </w:rPr>
                        </w:pPr>
                        <w:r>
                          <w:rPr>
                            <w:sz w:val="16"/>
                          </w:rPr>
                          <w:t>先通医药（授权来自欧洲生命分子成像公司）</w:t>
                        </w:r>
                      </w:p>
                    </w:tc>
                  </w:tr>
                  <w:tr>
                    <w:trPr>
                      <w:trHeight w:val="186" w:hRule="atLeast"/>
                    </w:trPr>
                    <w:tc>
                      <w:tcPr>
                        <w:tcW w:w="2119" w:type="dxa"/>
                      </w:tcPr>
                      <w:p>
                        <w:pPr>
                          <w:pStyle w:val="TableParagraph"/>
                          <w:spacing w:line="167" w:lineRule="exact"/>
                          <w:ind w:left="248"/>
                          <w:jc w:val="left"/>
                          <w:rPr>
                            <w:sz w:val="16"/>
                          </w:rPr>
                        </w:pPr>
                        <w:r>
                          <w:rPr>
                            <w:sz w:val="16"/>
                          </w:rPr>
                          <w:t>国内</w:t>
                        </w:r>
                      </w:p>
                    </w:tc>
                    <w:tc>
                      <w:tcPr>
                        <w:tcW w:w="2515" w:type="dxa"/>
                      </w:tcPr>
                      <w:p>
                        <w:pPr>
                          <w:pStyle w:val="TableParagraph"/>
                          <w:spacing w:line="240" w:lineRule="auto"/>
                          <w:jc w:val="left"/>
                          <w:rPr>
                            <w:rFonts w:ascii="Times New Roman"/>
                            <w:sz w:val="12"/>
                          </w:rPr>
                        </w:pPr>
                      </w:p>
                    </w:tc>
                    <w:tc>
                      <w:tcPr>
                        <w:tcW w:w="913" w:type="dxa"/>
                      </w:tcPr>
                      <w:p>
                        <w:pPr>
                          <w:pStyle w:val="TableParagraph"/>
                          <w:spacing w:line="240" w:lineRule="auto"/>
                          <w:jc w:val="left"/>
                          <w:rPr>
                            <w:rFonts w:ascii="Times New Roman"/>
                            <w:sz w:val="12"/>
                          </w:rPr>
                        </w:pPr>
                      </w:p>
                    </w:tc>
                    <w:tc>
                      <w:tcPr>
                        <w:tcW w:w="4181" w:type="dxa"/>
                      </w:tcPr>
                      <w:p>
                        <w:pPr>
                          <w:pStyle w:val="TableParagraph"/>
                          <w:spacing w:line="240" w:lineRule="auto"/>
                          <w:jc w:val="left"/>
                          <w:rPr>
                            <w:rFonts w:ascii="Times New Roman"/>
                            <w:sz w:val="12"/>
                          </w:rPr>
                        </w:pPr>
                      </w:p>
                    </w:tc>
                  </w:tr>
                  <w:tr>
                    <w:trPr>
                      <w:trHeight w:val="273" w:hRule="atLeast"/>
                    </w:trPr>
                    <w:tc>
                      <w:tcPr>
                        <w:tcW w:w="2119" w:type="dxa"/>
                        <w:tcBorders>
                          <w:bottom w:val="single" w:sz="8" w:space="0" w:color="4F81BC"/>
                        </w:tcBorders>
                      </w:tcPr>
                      <w:p>
                        <w:pPr>
                          <w:pStyle w:val="TableParagraph"/>
                          <w:spacing w:line="241" w:lineRule="exact"/>
                          <w:ind w:left="1373"/>
                          <w:jc w:val="left"/>
                          <w:rPr>
                            <w:sz w:val="16"/>
                          </w:rPr>
                        </w:pPr>
                        <w:r>
                          <w:rPr>
                            <w:sz w:val="16"/>
                          </w:rPr>
                          <w:t>Tau</w:t>
                        </w:r>
                      </w:p>
                    </w:tc>
                    <w:tc>
                      <w:tcPr>
                        <w:tcW w:w="2515" w:type="dxa"/>
                        <w:tcBorders>
                          <w:bottom w:val="single" w:sz="8" w:space="0" w:color="4F81BC"/>
                        </w:tcBorders>
                      </w:tcPr>
                      <w:p>
                        <w:pPr>
                          <w:pStyle w:val="TableParagraph"/>
                          <w:spacing w:line="241" w:lineRule="exact"/>
                          <w:ind w:left="272" w:right="185"/>
                          <w:rPr>
                            <w:sz w:val="16"/>
                          </w:rPr>
                        </w:pPr>
                        <w:r>
                          <w:rPr>
                            <w:position w:val="5"/>
                            <w:sz w:val="10"/>
                          </w:rPr>
                          <w:t>18</w:t>
                        </w:r>
                        <w:r>
                          <w:rPr>
                            <w:sz w:val="16"/>
                          </w:rPr>
                          <w:t>F-APN-1607（尚未获批）</w:t>
                        </w:r>
                      </w:p>
                    </w:tc>
                    <w:tc>
                      <w:tcPr>
                        <w:tcW w:w="913" w:type="dxa"/>
                        <w:tcBorders>
                          <w:bottom w:val="single" w:sz="8" w:space="0" w:color="4F81BC"/>
                        </w:tcBorders>
                      </w:tcPr>
                      <w:p>
                        <w:pPr>
                          <w:pStyle w:val="TableParagraph"/>
                          <w:spacing w:line="243" w:lineRule="exact"/>
                          <w:ind w:left="256"/>
                          <w:jc w:val="left"/>
                          <w:rPr>
                            <w:sz w:val="16"/>
                          </w:rPr>
                        </w:pPr>
                        <w:r>
                          <w:rPr>
                            <w:w w:val="105"/>
                            <w:sz w:val="10"/>
                          </w:rPr>
                          <w:t>18</w:t>
                        </w:r>
                        <w:r>
                          <w:rPr>
                            <w:w w:val="105"/>
                            <w:position w:val="-4"/>
                            <w:sz w:val="16"/>
                          </w:rPr>
                          <w:t>F</w:t>
                        </w:r>
                      </w:p>
                    </w:tc>
                    <w:tc>
                      <w:tcPr>
                        <w:tcW w:w="4181" w:type="dxa"/>
                        <w:tcBorders>
                          <w:bottom w:val="single" w:sz="8" w:space="0" w:color="4F81BC"/>
                        </w:tcBorders>
                      </w:tcPr>
                      <w:p>
                        <w:pPr>
                          <w:pStyle w:val="TableParagraph"/>
                          <w:spacing w:line="241" w:lineRule="exact"/>
                          <w:ind w:left="380" w:right="561"/>
                          <w:rPr>
                            <w:sz w:val="16"/>
                          </w:rPr>
                        </w:pPr>
                        <w:r>
                          <w:rPr>
                            <w:sz w:val="16"/>
                          </w:rPr>
                          <w:t>东诚药业（授权来自新旭医药）</w:t>
                        </w:r>
                      </w:p>
                    </w:tc>
                  </w:tr>
                </w:tbl>
                <w:p>
                  <w:pPr>
                    <w:pStyle w:val="BodyText"/>
                  </w:pPr>
                </w:p>
              </w:txbxContent>
            </v:textbox>
            <w10:wrap type="none"/>
          </v:shape>
        </w:pict>
      </w:r>
      <w:r>
        <w:rPr>
          <w:b/>
          <w:color w:val="0A4EA1"/>
          <w:spacing w:val="-1"/>
          <w:sz w:val="22"/>
        </w:rPr>
        <w:t>海外及国内显像剂获批情况</w:t>
      </w:r>
    </w:p>
    <w:p>
      <w:pPr>
        <w:pStyle w:val="BodyText"/>
        <w:rPr>
          <w:b/>
        </w:rPr>
      </w:pPr>
    </w:p>
    <w:p>
      <w:pPr>
        <w:pStyle w:val="BodyText"/>
        <w:rPr>
          <w:b/>
        </w:rPr>
      </w:pPr>
    </w:p>
    <w:p>
      <w:pPr>
        <w:pStyle w:val="BodyText"/>
        <w:rPr>
          <w:b/>
        </w:rPr>
      </w:pPr>
    </w:p>
    <w:p>
      <w:pPr>
        <w:pStyle w:val="BodyText"/>
        <w:rPr>
          <w:b/>
        </w:rPr>
      </w:pPr>
    </w:p>
    <w:p>
      <w:pPr>
        <w:pStyle w:val="BodyText"/>
        <w:spacing w:before="1"/>
        <w:rPr>
          <w:b/>
          <w:sz w:val="41"/>
        </w:rPr>
      </w:pPr>
    </w:p>
    <w:p>
      <w:pPr>
        <w:spacing w:before="0"/>
        <w:ind w:left="11954" w:right="0" w:firstLine="0"/>
        <w:jc w:val="left"/>
        <w:rPr>
          <w:sz w:val="18"/>
        </w:rPr>
      </w:pPr>
      <w:r>
        <w:rPr>
          <w:color w:val="57585B"/>
          <w:sz w:val="18"/>
        </w:rPr>
        <w:t>数据来源：公司公告，医脉通，中华医学会核医学分会等《淀粉样蛋白PET脑</w:t>
      </w:r>
    </w:p>
    <w:p>
      <w:pPr>
        <w:spacing w:after="0"/>
        <w:jc w:val="left"/>
        <w:rPr>
          <w:sz w:val="18"/>
        </w:rPr>
        <w:sectPr>
          <w:headerReference w:type="default" r:id="rId30"/>
          <w:footerReference w:type="default" r:id="rId31"/>
          <w:pgSz w:w="19200" w:h="10800" w:orient="landscape"/>
          <w:pgMar w:header="471" w:footer="163" w:top="1100" w:bottom="360" w:left="0" w:right="0"/>
        </w:sectPr>
      </w:pPr>
    </w:p>
    <w:p>
      <w:pPr>
        <w:pStyle w:val="BodyText"/>
        <w:spacing w:before="18"/>
        <w:rPr>
          <w:sz w:val="26"/>
        </w:rPr>
      </w:pPr>
    </w:p>
    <w:p>
      <w:pPr>
        <w:pStyle w:val="Heading3"/>
        <w:jc w:val="both"/>
      </w:pPr>
      <w:r>
        <w:rPr/>
        <w:drawing>
          <wp:anchor distT="0" distB="0" distL="0" distR="0" allowOverlap="1" layoutInCell="1" locked="0" behindDoc="0" simplePos="0" relativeHeight="15745536">
            <wp:simplePos x="0" y="0"/>
            <wp:positionH relativeFrom="page">
              <wp:posOffset>9144</wp:posOffset>
            </wp:positionH>
            <wp:positionV relativeFrom="paragraph">
              <wp:posOffset>-158273</wp:posOffset>
            </wp:positionV>
            <wp:extent cx="12182855" cy="89915"/>
            <wp:effectExtent l="0" t="0" r="0" b="0"/>
            <wp:wrapNone/>
            <wp:docPr id="47" name="image5.png"/>
            <wp:cNvGraphicFramePr>
              <a:graphicFrameLocks noChangeAspect="1"/>
            </wp:cNvGraphicFramePr>
            <a:graphic>
              <a:graphicData uri="http://schemas.openxmlformats.org/drawingml/2006/picture">
                <pic:pic>
                  <pic:nvPicPr>
                    <pic:cNvPr id="48" name="image5.png"/>
                    <pic:cNvPicPr/>
                  </pic:nvPicPr>
                  <pic:blipFill>
                    <a:blip r:embed="rId14" cstate="print"/>
                    <a:stretch>
                      <a:fillRect/>
                    </a:stretch>
                  </pic:blipFill>
                  <pic:spPr>
                    <a:xfrm>
                      <a:off x="0" y="0"/>
                      <a:ext cx="12182855" cy="89915"/>
                    </a:xfrm>
                    <a:prstGeom prst="rect">
                      <a:avLst/>
                    </a:prstGeom>
                  </pic:spPr>
                </pic:pic>
              </a:graphicData>
            </a:graphic>
          </wp:anchor>
        </w:drawing>
      </w:r>
      <w:r>
        <w:rPr>
          <w:rFonts w:ascii="Microsoft YaHei UI Light" w:hAnsi="Microsoft YaHei UI Light" w:eastAsia="Microsoft YaHei UI Light" w:hint="eastAsia"/>
          <w:b w:val="0"/>
          <w:color w:val="00AFEF"/>
        </w:rPr>
        <w:t>┃ </w:t>
      </w:r>
      <w:r>
        <w:rPr>
          <w:color w:val="57585B"/>
        </w:rPr>
        <w:t>阿尔兹海默症诊断技术方向：脑脊液检查</w:t>
      </w:r>
    </w:p>
    <w:p>
      <w:pPr>
        <w:pStyle w:val="ListParagraph"/>
        <w:numPr>
          <w:ilvl w:val="1"/>
          <w:numId w:val="3"/>
        </w:numPr>
        <w:tabs>
          <w:tab w:pos="1385" w:val="left" w:leader="none"/>
        </w:tabs>
        <w:spacing w:line="172" w:lineRule="auto" w:before="215" w:after="0"/>
        <w:ind w:left="1384" w:right="2271" w:hanging="452"/>
        <w:jc w:val="both"/>
        <w:rPr>
          <w:b/>
          <w:sz w:val="28"/>
        </w:rPr>
      </w:pPr>
      <w:r>
        <w:rPr>
          <w:color w:val="57585B"/>
          <w:sz w:val="28"/>
        </w:rPr>
        <w:t>脑脊液（CSF）检查能够直接反映脑组织的病理改变，与AD相关的核心生物标志物包括Aβ</w:t>
      </w:r>
      <w:r>
        <w:rPr>
          <w:color w:val="57585B"/>
          <w:sz w:val="28"/>
          <w:vertAlign w:val="subscript"/>
        </w:rPr>
        <w:t>42</w:t>
      </w:r>
      <w:r>
        <w:rPr>
          <w:color w:val="57585B"/>
          <w:sz w:val="28"/>
          <w:vertAlign w:val="baseline"/>
        </w:rPr>
        <w:t>、总tau蛋白</w:t>
      </w:r>
      <w:r>
        <w:rPr>
          <w:color w:val="57585B"/>
          <w:spacing w:val="-3"/>
          <w:sz w:val="28"/>
          <w:vertAlign w:val="baseline"/>
        </w:rPr>
        <w:t>（t-tau）</w:t>
      </w:r>
      <w:r>
        <w:rPr>
          <w:color w:val="57585B"/>
          <w:sz w:val="28"/>
          <w:vertAlign w:val="baseline"/>
        </w:rPr>
        <w:t>和磷酸化的tau蛋白（p-tau）。其中Aβ</w:t>
      </w:r>
      <w:r>
        <w:rPr>
          <w:color w:val="57585B"/>
          <w:sz w:val="28"/>
          <w:vertAlign w:val="subscript"/>
        </w:rPr>
        <w:t>42</w:t>
      </w:r>
      <w:r>
        <w:rPr>
          <w:color w:val="57585B"/>
          <w:spacing w:val="-1"/>
          <w:sz w:val="28"/>
          <w:vertAlign w:val="baseline"/>
        </w:rPr>
        <w:t>反映了皮层淀粉样蛋白沉积；</w:t>
      </w:r>
      <w:r>
        <w:rPr>
          <w:color w:val="57585B"/>
          <w:spacing w:val="-4"/>
          <w:sz w:val="28"/>
          <w:vertAlign w:val="baseline"/>
        </w:rPr>
        <w:t>t-tau</w:t>
      </w:r>
      <w:r>
        <w:rPr>
          <w:color w:val="57585B"/>
          <w:sz w:val="28"/>
          <w:vertAlign w:val="baseline"/>
        </w:rPr>
        <w:t>蛋白反映了神经变性的密度；p-tau与神经元纤维缠结病理改变相关。这些核心CSF标记物有较高的诊断准确性，在MCI期的敏感度和特异性可达85-90%；不仅可作为AD痴呆期的诊断标志物，还可以用于预测MCI的转归。</w:t>
      </w:r>
      <w:r>
        <w:rPr>
          <w:b/>
          <w:color w:val="57585B"/>
          <w:sz w:val="28"/>
          <w:vertAlign w:val="baseline"/>
        </w:rPr>
        <w:t>在AD早期，来自大脑的AD生物标志物就可以从脑脊液中检测到，并且脑脊液检测和Aβ- PET</w:t>
      </w:r>
      <w:r>
        <w:rPr>
          <w:b/>
          <w:color w:val="57585B"/>
          <w:spacing w:val="-3"/>
          <w:sz w:val="28"/>
          <w:vertAlign w:val="baseline"/>
        </w:rPr>
        <w:t>检测结果之间存在很强的一致性，所以脑脊液检测已经被广泛应用于AD的早期诊断中。</w:t>
      </w:r>
    </w:p>
    <w:p>
      <w:pPr>
        <w:pStyle w:val="ListParagraph"/>
        <w:numPr>
          <w:ilvl w:val="1"/>
          <w:numId w:val="3"/>
        </w:numPr>
        <w:tabs>
          <w:tab w:pos="1385" w:val="left" w:leader="none"/>
        </w:tabs>
        <w:spacing w:line="172" w:lineRule="auto" w:before="230" w:after="0"/>
        <w:ind w:left="1384" w:right="2265" w:hanging="452"/>
        <w:jc w:val="both"/>
        <w:rPr>
          <w:sz w:val="28"/>
        </w:rPr>
      </w:pPr>
      <w:r>
        <w:rPr>
          <w:b/>
          <w:color w:val="57585B"/>
          <w:spacing w:val="-3"/>
          <w:sz w:val="28"/>
        </w:rPr>
        <w:t>脑脊液检查与神经影像学检查的对比</w:t>
      </w:r>
      <w:r>
        <w:rPr>
          <w:b/>
          <w:color w:val="57585B"/>
          <w:sz w:val="28"/>
        </w:rPr>
        <w:t>（以Aβ</w:t>
      </w:r>
      <w:r>
        <w:rPr>
          <w:b/>
          <w:color w:val="57585B"/>
          <w:spacing w:val="-2"/>
          <w:sz w:val="28"/>
        </w:rPr>
        <w:t>检测为例</w:t>
      </w:r>
      <w:r>
        <w:rPr>
          <w:b/>
          <w:color w:val="57585B"/>
          <w:sz w:val="28"/>
        </w:rPr>
        <w:t>）：</w:t>
      </w:r>
      <w:r>
        <w:rPr>
          <w:color w:val="57585B"/>
          <w:spacing w:val="-1"/>
          <w:sz w:val="28"/>
        </w:rPr>
        <w:t>成本方面，</w:t>
      </w:r>
      <w:r>
        <w:rPr>
          <w:color w:val="57585B"/>
          <w:sz w:val="28"/>
        </w:rPr>
        <w:t>Aβ-PET</w:t>
      </w:r>
      <w:r>
        <w:rPr>
          <w:color w:val="57585B"/>
          <w:spacing w:val="-2"/>
          <w:sz w:val="28"/>
        </w:rPr>
        <w:t>花费昂贵，国内单次约需</w:t>
      </w:r>
      <w:r>
        <w:rPr>
          <w:color w:val="57585B"/>
          <w:sz w:val="28"/>
        </w:rPr>
        <w:t>1</w:t>
      </w:r>
      <w:r>
        <w:rPr>
          <w:color w:val="57585B"/>
          <w:spacing w:val="-3"/>
          <w:sz w:val="28"/>
        </w:rPr>
        <w:t>万元，远高于脑脊液检</w:t>
      </w:r>
      <w:r>
        <w:rPr>
          <w:color w:val="57585B"/>
          <w:sz w:val="28"/>
        </w:rPr>
        <w:t>查。Aβ-PET有一定的辐射风险，但侵入性低；脑脊液的腰椎穿刺侵入性高，患者接受度低，并且低于2%的人在腰椎穿刺后会</w:t>
      </w:r>
      <w:r>
        <w:rPr>
          <w:color w:val="57585B"/>
          <w:spacing w:val="-4"/>
          <w:sz w:val="28"/>
        </w:rPr>
        <w:t>出现头痛。此外脑脊液检查前需要评估患者凝血功能，腰椎穿刺步骤复杂，有感染风险；</w:t>
      </w:r>
      <w:r>
        <w:rPr>
          <w:color w:val="57585B"/>
          <w:sz w:val="28"/>
        </w:rPr>
        <w:t>Aβ-PET</w:t>
      </w:r>
      <w:r>
        <w:rPr>
          <w:color w:val="57585B"/>
          <w:spacing w:val="-3"/>
          <w:sz w:val="28"/>
        </w:rPr>
        <w:t>的影像结果解读可能会因为医师经验不同而有所差异，在正常和病理表现直接缺乏明确的临界值。</w:t>
      </w:r>
    </w:p>
    <w:p>
      <w:pPr>
        <w:pStyle w:val="ListParagraph"/>
        <w:numPr>
          <w:ilvl w:val="2"/>
          <w:numId w:val="3"/>
        </w:numPr>
        <w:tabs>
          <w:tab w:pos="1850" w:val="left" w:leader="none"/>
          <w:tab w:pos="1851" w:val="left" w:leader="none"/>
        </w:tabs>
        <w:spacing w:line="240" w:lineRule="auto" w:before="9" w:after="0"/>
        <w:ind w:left="1850" w:right="0" w:hanging="452"/>
        <w:jc w:val="left"/>
        <w:rPr>
          <w:b/>
          <w:sz w:val="22"/>
        </w:rPr>
      </w:pPr>
      <w:r>
        <w:rPr>
          <w:b/>
          <w:color w:val="0A4EA1"/>
          <w:spacing w:val="-2"/>
          <w:sz w:val="22"/>
        </w:rPr>
        <w:t>脑脊液检查与神经影像学检查的对比</w:t>
      </w:r>
      <w:r>
        <w:rPr>
          <w:b/>
          <w:color w:val="0A4EA1"/>
          <w:spacing w:val="-3"/>
          <w:sz w:val="22"/>
        </w:rPr>
        <w:t>（</w:t>
      </w:r>
      <w:r>
        <w:rPr>
          <w:b/>
          <w:color w:val="0A4EA1"/>
          <w:sz w:val="22"/>
        </w:rPr>
        <w:t>以Aβ</w:t>
      </w:r>
      <w:r>
        <w:rPr>
          <w:b/>
          <w:color w:val="0A4EA1"/>
          <w:spacing w:val="-1"/>
          <w:sz w:val="22"/>
        </w:rPr>
        <w:t>检测为例</w:t>
      </w:r>
      <w:r>
        <w:rPr>
          <w:b/>
          <w:color w:val="0A4EA1"/>
          <w:sz w:val="22"/>
        </w:rPr>
        <w:t>）</w:t>
      </w:r>
    </w:p>
    <w:p>
      <w:pPr>
        <w:pStyle w:val="BodyText"/>
        <w:spacing w:before="8"/>
        <w:rPr>
          <w:b/>
          <w:sz w:val="5"/>
        </w:rPr>
      </w:pPr>
    </w:p>
    <w:tbl>
      <w:tblPr>
        <w:tblW w:w="0" w:type="auto"/>
        <w:jc w:val="left"/>
        <w:tblInd w:w="13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01"/>
        <w:gridCol w:w="5381"/>
        <w:gridCol w:w="5907"/>
      </w:tblGrid>
      <w:tr>
        <w:trPr>
          <w:trHeight w:val="531" w:hRule="atLeast"/>
        </w:trPr>
        <w:tc>
          <w:tcPr>
            <w:tcW w:w="2401" w:type="dxa"/>
            <w:tcBorders>
              <w:top w:val="single" w:sz="8" w:space="0" w:color="4F81BC"/>
              <w:bottom w:val="single" w:sz="8" w:space="0" w:color="4F81BC"/>
            </w:tcBorders>
            <w:shd w:val="clear" w:color="auto" w:fill="B8CDE4"/>
          </w:tcPr>
          <w:p>
            <w:pPr>
              <w:pStyle w:val="TableParagraph"/>
              <w:spacing w:line="240" w:lineRule="auto" w:before="82"/>
              <w:ind w:left="545" w:right="814"/>
              <w:rPr>
                <w:b/>
                <w:sz w:val="20"/>
              </w:rPr>
            </w:pPr>
            <w:r>
              <w:rPr>
                <w:b/>
                <w:sz w:val="20"/>
              </w:rPr>
              <w:t>对比指标</w:t>
            </w:r>
          </w:p>
        </w:tc>
        <w:tc>
          <w:tcPr>
            <w:tcW w:w="5381" w:type="dxa"/>
            <w:tcBorders>
              <w:top w:val="single" w:sz="8" w:space="0" w:color="4F81BC"/>
              <w:bottom w:val="single" w:sz="8" w:space="0" w:color="4F81BC"/>
            </w:tcBorders>
            <w:shd w:val="clear" w:color="auto" w:fill="B8CDE4"/>
          </w:tcPr>
          <w:p>
            <w:pPr>
              <w:pStyle w:val="TableParagraph"/>
              <w:spacing w:line="240" w:lineRule="auto" w:before="82"/>
              <w:ind w:left="812" w:right="1009"/>
              <w:rPr>
                <w:b/>
                <w:sz w:val="20"/>
              </w:rPr>
            </w:pPr>
            <w:r>
              <w:rPr>
                <w:b/>
                <w:sz w:val="20"/>
              </w:rPr>
              <w:t>脑脊液检查</w:t>
            </w:r>
          </w:p>
        </w:tc>
        <w:tc>
          <w:tcPr>
            <w:tcW w:w="5907" w:type="dxa"/>
            <w:tcBorders>
              <w:top w:val="single" w:sz="8" w:space="0" w:color="4F81BC"/>
              <w:bottom w:val="single" w:sz="8" w:space="0" w:color="4F81BC"/>
            </w:tcBorders>
            <w:shd w:val="clear" w:color="auto" w:fill="B8CDE4"/>
          </w:tcPr>
          <w:p>
            <w:pPr>
              <w:pStyle w:val="TableParagraph"/>
              <w:spacing w:line="240" w:lineRule="auto" w:before="82"/>
              <w:ind w:left="1010" w:right="938"/>
              <w:rPr>
                <w:b/>
                <w:sz w:val="20"/>
              </w:rPr>
            </w:pPr>
            <w:r>
              <w:rPr>
                <w:b/>
                <w:sz w:val="20"/>
              </w:rPr>
              <w:t>Aβ-PET</w:t>
            </w:r>
          </w:p>
        </w:tc>
      </w:tr>
      <w:tr>
        <w:trPr>
          <w:trHeight w:val="536" w:hRule="atLeast"/>
        </w:trPr>
        <w:tc>
          <w:tcPr>
            <w:tcW w:w="2401" w:type="dxa"/>
            <w:tcBorders>
              <w:top w:val="single" w:sz="8" w:space="0" w:color="4F81BC"/>
              <w:bottom w:val="single" w:sz="4" w:space="0" w:color="000000"/>
            </w:tcBorders>
          </w:tcPr>
          <w:p>
            <w:pPr>
              <w:pStyle w:val="TableParagraph"/>
              <w:spacing w:line="240" w:lineRule="auto" w:before="82"/>
              <w:ind w:left="545" w:right="814"/>
              <w:rPr>
                <w:sz w:val="20"/>
              </w:rPr>
            </w:pPr>
            <w:r>
              <w:rPr>
                <w:sz w:val="20"/>
              </w:rPr>
              <w:t>成本</w:t>
            </w:r>
          </w:p>
        </w:tc>
        <w:tc>
          <w:tcPr>
            <w:tcW w:w="5381" w:type="dxa"/>
            <w:tcBorders>
              <w:top w:val="single" w:sz="8" w:space="0" w:color="4F81BC"/>
              <w:bottom w:val="single" w:sz="4" w:space="0" w:color="000000"/>
            </w:tcBorders>
          </w:tcPr>
          <w:p>
            <w:pPr>
              <w:pStyle w:val="TableParagraph"/>
              <w:spacing w:line="240" w:lineRule="auto" w:before="82"/>
              <w:ind w:left="812" w:right="1009"/>
              <w:rPr>
                <w:sz w:val="20"/>
              </w:rPr>
            </w:pPr>
            <w:r>
              <w:rPr>
                <w:sz w:val="20"/>
              </w:rPr>
              <w:t>成本适中（1000-3000元）</w:t>
            </w:r>
          </w:p>
        </w:tc>
        <w:tc>
          <w:tcPr>
            <w:tcW w:w="5907" w:type="dxa"/>
            <w:tcBorders>
              <w:top w:val="single" w:sz="8" w:space="0" w:color="4F81BC"/>
              <w:bottom w:val="single" w:sz="4" w:space="0" w:color="000000"/>
            </w:tcBorders>
          </w:tcPr>
          <w:p>
            <w:pPr>
              <w:pStyle w:val="TableParagraph"/>
              <w:spacing w:line="240" w:lineRule="auto" w:before="82"/>
              <w:ind w:left="1010" w:right="937"/>
              <w:rPr>
                <w:sz w:val="20"/>
              </w:rPr>
            </w:pPr>
            <w:r>
              <w:rPr>
                <w:sz w:val="20"/>
              </w:rPr>
              <w:t>成本高（单次约1万元）</w:t>
            </w:r>
          </w:p>
        </w:tc>
      </w:tr>
      <w:tr>
        <w:trPr>
          <w:trHeight w:val="541" w:hRule="atLeast"/>
        </w:trPr>
        <w:tc>
          <w:tcPr>
            <w:tcW w:w="2401" w:type="dxa"/>
            <w:tcBorders>
              <w:top w:val="single" w:sz="4" w:space="0" w:color="000000"/>
              <w:bottom w:val="single" w:sz="4" w:space="0" w:color="000000"/>
            </w:tcBorders>
          </w:tcPr>
          <w:p>
            <w:pPr>
              <w:pStyle w:val="TableParagraph"/>
              <w:spacing w:line="240" w:lineRule="auto" w:before="87"/>
              <w:ind w:left="545" w:right="814"/>
              <w:rPr>
                <w:sz w:val="20"/>
              </w:rPr>
            </w:pPr>
            <w:r>
              <w:rPr>
                <w:sz w:val="20"/>
              </w:rPr>
              <w:t>辐射</w:t>
            </w:r>
          </w:p>
        </w:tc>
        <w:tc>
          <w:tcPr>
            <w:tcW w:w="5381" w:type="dxa"/>
            <w:tcBorders>
              <w:top w:val="single" w:sz="4" w:space="0" w:color="000000"/>
              <w:bottom w:val="single" w:sz="4" w:space="0" w:color="000000"/>
            </w:tcBorders>
          </w:tcPr>
          <w:p>
            <w:pPr>
              <w:pStyle w:val="TableParagraph"/>
              <w:spacing w:line="240" w:lineRule="auto" w:before="87"/>
              <w:ind w:right="197"/>
              <w:rPr>
                <w:sz w:val="20"/>
              </w:rPr>
            </w:pPr>
            <w:r>
              <w:rPr>
                <w:w w:val="99"/>
                <w:sz w:val="20"/>
              </w:rPr>
              <w:t>无</w:t>
            </w:r>
          </w:p>
        </w:tc>
        <w:tc>
          <w:tcPr>
            <w:tcW w:w="5907" w:type="dxa"/>
            <w:tcBorders>
              <w:top w:val="single" w:sz="4" w:space="0" w:color="000000"/>
              <w:bottom w:val="single" w:sz="4" w:space="0" w:color="000000"/>
            </w:tcBorders>
          </w:tcPr>
          <w:p>
            <w:pPr>
              <w:pStyle w:val="TableParagraph"/>
              <w:spacing w:line="240" w:lineRule="auto" w:before="87"/>
              <w:ind w:left="72"/>
              <w:rPr>
                <w:sz w:val="20"/>
              </w:rPr>
            </w:pPr>
            <w:r>
              <w:rPr>
                <w:w w:val="99"/>
                <w:sz w:val="20"/>
              </w:rPr>
              <w:t>有</w:t>
            </w:r>
          </w:p>
        </w:tc>
      </w:tr>
      <w:tr>
        <w:trPr>
          <w:trHeight w:val="541" w:hRule="atLeast"/>
        </w:trPr>
        <w:tc>
          <w:tcPr>
            <w:tcW w:w="2401" w:type="dxa"/>
            <w:tcBorders>
              <w:top w:val="single" w:sz="4" w:space="0" w:color="000000"/>
              <w:bottom w:val="single" w:sz="4" w:space="0" w:color="000000"/>
            </w:tcBorders>
          </w:tcPr>
          <w:p>
            <w:pPr>
              <w:pStyle w:val="TableParagraph"/>
              <w:spacing w:line="240" w:lineRule="auto" w:before="87"/>
              <w:ind w:left="547" w:right="814"/>
              <w:rPr>
                <w:sz w:val="20"/>
              </w:rPr>
            </w:pPr>
            <w:r>
              <w:rPr>
                <w:sz w:val="20"/>
              </w:rPr>
              <w:t>头痛后遗症</w:t>
            </w:r>
          </w:p>
        </w:tc>
        <w:tc>
          <w:tcPr>
            <w:tcW w:w="5381" w:type="dxa"/>
            <w:tcBorders>
              <w:top w:val="single" w:sz="4" w:space="0" w:color="000000"/>
              <w:bottom w:val="single" w:sz="4" w:space="0" w:color="000000"/>
            </w:tcBorders>
          </w:tcPr>
          <w:p>
            <w:pPr>
              <w:pStyle w:val="TableParagraph"/>
              <w:spacing w:line="240" w:lineRule="auto" w:before="87"/>
              <w:ind w:left="810" w:right="1010"/>
              <w:rPr>
                <w:sz w:val="20"/>
              </w:rPr>
            </w:pPr>
            <w:r>
              <w:rPr>
                <w:sz w:val="20"/>
              </w:rPr>
              <w:t>低于2%的人在腰椎穿刺后会出现头痛</w:t>
            </w:r>
          </w:p>
        </w:tc>
        <w:tc>
          <w:tcPr>
            <w:tcW w:w="5907" w:type="dxa"/>
            <w:tcBorders>
              <w:top w:val="single" w:sz="4" w:space="0" w:color="000000"/>
              <w:bottom w:val="single" w:sz="4" w:space="0" w:color="000000"/>
            </w:tcBorders>
          </w:tcPr>
          <w:p>
            <w:pPr>
              <w:pStyle w:val="TableParagraph"/>
              <w:spacing w:line="240" w:lineRule="auto" w:before="87"/>
              <w:ind w:left="1008" w:right="938"/>
              <w:rPr>
                <w:sz w:val="20"/>
              </w:rPr>
            </w:pPr>
            <w:r>
              <w:rPr>
                <w:sz w:val="20"/>
              </w:rPr>
              <w:t>极少</w:t>
            </w:r>
          </w:p>
        </w:tc>
      </w:tr>
      <w:tr>
        <w:trPr>
          <w:trHeight w:val="541" w:hRule="atLeast"/>
        </w:trPr>
        <w:tc>
          <w:tcPr>
            <w:tcW w:w="2401" w:type="dxa"/>
            <w:tcBorders>
              <w:top w:val="single" w:sz="4" w:space="0" w:color="000000"/>
              <w:bottom w:val="single" w:sz="4" w:space="0" w:color="000000"/>
            </w:tcBorders>
          </w:tcPr>
          <w:p>
            <w:pPr>
              <w:pStyle w:val="TableParagraph"/>
              <w:spacing w:line="240" w:lineRule="auto" w:before="88"/>
              <w:ind w:left="547" w:right="814"/>
              <w:rPr>
                <w:sz w:val="20"/>
              </w:rPr>
            </w:pPr>
            <w:r>
              <w:rPr>
                <w:sz w:val="20"/>
              </w:rPr>
              <w:t>侵入性</w:t>
            </w:r>
          </w:p>
        </w:tc>
        <w:tc>
          <w:tcPr>
            <w:tcW w:w="5381" w:type="dxa"/>
            <w:tcBorders>
              <w:top w:val="single" w:sz="4" w:space="0" w:color="000000"/>
              <w:bottom w:val="single" w:sz="4" w:space="0" w:color="000000"/>
            </w:tcBorders>
          </w:tcPr>
          <w:p>
            <w:pPr>
              <w:pStyle w:val="TableParagraph"/>
              <w:spacing w:line="240" w:lineRule="auto" w:before="88"/>
              <w:ind w:left="812" w:right="1010"/>
              <w:rPr>
                <w:sz w:val="20"/>
              </w:rPr>
            </w:pPr>
            <w:r>
              <w:rPr>
                <w:sz w:val="20"/>
              </w:rPr>
              <w:t>腰椎穿刺侵入性高，患者接受度低</w:t>
            </w:r>
          </w:p>
        </w:tc>
        <w:tc>
          <w:tcPr>
            <w:tcW w:w="5907" w:type="dxa"/>
            <w:tcBorders>
              <w:top w:val="single" w:sz="4" w:space="0" w:color="000000"/>
              <w:bottom w:val="single" w:sz="4" w:space="0" w:color="000000"/>
            </w:tcBorders>
          </w:tcPr>
          <w:p>
            <w:pPr>
              <w:pStyle w:val="TableParagraph"/>
              <w:spacing w:line="240" w:lineRule="auto" w:before="88"/>
              <w:ind w:left="72"/>
              <w:rPr>
                <w:sz w:val="20"/>
              </w:rPr>
            </w:pPr>
            <w:r>
              <w:rPr>
                <w:w w:val="99"/>
                <w:sz w:val="20"/>
              </w:rPr>
              <w:t>低</w:t>
            </w:r>
          </w:p>
        </w:tc>
      </w:tr>
      <w:tr>
        <w:trPr>
          <w:trHeight w:val="936" w:hRule="atLeast"/>
        </w:trPr>
        <w:tc>
          <w:tcPr>
            <w:tcW w:w="2401" w:type="dxa"/>
            <w:tcBorders>
              <w:top w:val="single" w:sz="4" w:space="0" w:color="000000"/>
              <w:bottom w:val="single" w:sz="8" w:space="0" w:color="4F81BC"/>
            </w:tcBorders>
          </w:tcPr>
          <w:p>
            <w:pPr>
              <w:pStyle w:val="TableParagraph"/>
              <w:spacing w:line="240" w:lineRule="auto" w:before="11"/>
              <w:jc w:val="left"/>
              <w:rPr>
                <w:b/>
                <w:sz w:val="15"/>
              </w:rPr>
            </w:pPr>
          </w:p>
          <w:p>
            <w:pPr>
              <w:pStyle w:val="TableParagraph"/>
              <w:spacing w:line="240" w:lineRule="auto" w:before="1"/>
              <w:ind w:left="545" w:right="814"/>
              <w:rPr>
                <w:sz w:val="20"/>
              </w:rPr>
            </w:pPr>
            <w:r>
              <w:rPr>
                <w:sz w:val="20"/>
              </w:rPr>
              <w:t>其他缺点</w:t>
            </w:r>
          </w:p>
        </w:tc>
        <w:tc>
          <w:tcPr>
            <w:tcW w:w="5381" w:type="dxa"/>
            <w:tcBorders>
              <w:top w:val="single" w:sz="4" w:space="0" w:color="000000"/>
              <w:bottom w:val="single" w:sz="8" w:space="0" w:color="4F81BC"/>
            </w:tcBorders>
          </w:tcPr>
          <w:p>
            <w:pPr>
              <w:pStyle w:val="TableParagraph"/>
              <w:spacing w:line="304" w:lineRule="exact" w:before="168"/>
              <w:ind w:left="811" w:right="1010"/>
              <w:rPr>
                <w:sz w:val="20"/>
              </w:rPr>
            </w:pPr>
            <w:r>
              <w:rPr>
                <w:sz w:val="20"/>
              </w:rPr>
              <w:t>1、需进行患者凝血功能评估；</w:t>
            </w:r>
          </w:p>
          <w:p>
            <w:pPr>
              <w:pStyle w:val="TableParagraph"/>
              <w:spacing w:line="304" w:lineRule="exact"/>
              <w:ind w:left="812" w:right="1010"/>
              <w:rPr>
                <w:sz w:val="20"/>
              </w:rPr>
            </w:pPr>
            <w:r>
              <w:rPr>
                <w:sz w:val="20"/>
              </w:rPr>
              <w:t>2、穿刺步骤复杂，穿刺部位有感染风险</w:t>
            </w:r>
          </w:p>
        </w:tc>
        <w:tc>
          <w:tcPr>
            <w:tcW w:w="5907" w:type="dxa"/>
            <w:tcBorders>
              <w:top w:val="single" w:sz="4" w:space="0" w:color="000000"/>
              <w:bottom w:val="single" w:sz="8" w:space="0" w:color="4F81BC"/>
            </w:tcBorders>
          </w:tcPr>
          <w:p>
            <w:pPr>
              <w:pStyle w:val="TableParagraph"/>
              <w:spacing w:line="304" w:lineRule="exact" w:before="168"/>
              <w:ind w:left="1010" w:right="938"/>
              <w:rPr>
                <w:sz w:val="20"/>
              </w:rPr>
            </w:pPr>
            <w:r>
              <w:rPr>
                <w:sz w:val="20"/>
              </w:rPr>
              <w:t>1、影像结果解读依赖医师经验；</w:t>
            </w:r>
          </w:p>
          <w:p>
            <w:pPr>
              <w:pStyle w:val="TableParagraph"/>
              <w:spacing w:line="304" w:lineRule="exact"/>
              <w:ind w:left="1010" w:right="938"/>
              <w:rPr>
                <w:sz w:val="20"/>
              </w:rPr>
            </w:pPr>
            <w:r>
              <w:rPr>
                <w:sz w:val="20"/>
              </w:rPr>
              <w:t>2、在正常和病理表现直接缺乏明确的临界值</w:t>
            </w:r>
          </w:p>
        </w:tc>
      </w:tr>
    </w:tbl>
    <w:p>
      <w:pPr>
        <w:spacing w:before="0"/>
        <w:ind w:left="11244" w:right="0" w:firstLine="0"/>
        <w:jc w:val="left"/>
        <w:rPr>
          <w:sz w:val="18"/>
        </w:rPr>
      </w:pPr>
      <w:r>
        <w:rPr>
          <w:color w:val="57585B"/>
          <w:sz w:val="18"/>
        </w:rPr>
        <w:t>数据来源：丁香园，A. P. Porsteinsson, et al. Diagnosis of Early Alzheimer’s Disease:</w:t>
      </w:r>
    </w:p>
    <w:p>
      <w:pPr>
        <w:spacing w:after="0"/>
        <w:jc w:val="left"/>
        <w:rPr>
          <w:sz w:val="18"/>
        </w:rPr>
        <w:sectPr>
          <w:headerReference w:type="default" r:id="rId32"/>
          <w:footerReference w:type="default" r:id="rId33"/>
          <w:pgSz w:w="19200" w:h="10800" w:orient="landscape"/>
          <w:pgMar w:header="471" w:footer="70" w:top="1100" w:bottom="260" w:left="0" w:right="0"/>
        </w:sectPr>
      </w:pPr>
    </w:p>
    <w:p>
      <w:pPr>
        <w:pStyle w:val="BodyText"/>
        <w:spacing w:before="18"/>
        <w:rPr>
          <w:sz w:val="26"/>
        </w:rPr>
      </w:pPr>
    </w:p>
    <w:p>
      <w:pPr>
        <w:pStyle w:val="Heading3"/>
        <w:tabs>
          <w:tab w:pos="1407" w:val="left" w:leader="none"/>
        </w:tabs>
      </w:pPr>
      <w:r>
        <w:rPr/>
        <w:drawing>
          <wp:anchor distT="0" distB="0" distL="0" distR="0" allowOverlap="1" layoutInCell="1" locked="0" behindDoc="0" simplePos="0" relativeHeight="15746560">
            <wp:simplePos x="0" y="0"/>
            <wp:positionH relativeFrom="page">
              <wp:posOffset>9144</wp:posOffset>
            </wp:positionH>
            <wp:positionV relativeFrom="paragraph">
              <wp:posOffset>-158273</wp:posOffset>
            </wp:positionV>
            <wp:extent cx="12182855" cy="89915"/>
            <wp:effectExtent l="0" t="0" r="0" b="0"/>
            <wp:wrapNone/>
            <wp:docPr id="53" name="image5.png"/>
            <wp:cNvGraphicFramePr>
              <a:graphicFrameLocks noChangeAspect="1"/>
            </wp:cNvGraphicFramePr>
            <a:graphic>
              <a:graphicData uri="http://schemas.openxmlformats.org/drawingml/2006/picture">
                <pic:pic>
                  <pic:nvPicPr>
                    <pic:cNvPr id="54" name="image5.png"/>
                    <pic:cNvPicPr/>
                  </pic:nvPicPr>
                  <pic:blipFill>
                    <a:blip r:embed="rId14" cstate="print"/>
                    <a:stretch>
                      <a:fillRect/>
                    </a:stretch>
                  </pic:blipFill>
                  <pic:spPr>
                    <a:xfrm>
                      <a:off x="0" y="0"/>
                      <a:ext cx="12182855" cy="89915"/>
                    </a:xfrm>
                    <a:prstGeom prst="rect">
                      <a:avLst/>
                    </a:prstGeom>
                  </pic:spPr>
                </pic:pic>
              </a:graphicData>
            </a:graphic>
          </wp:anchor>
        </w:drawing>
      </w:r>
      <w:r>
        <w:rPr>
          <w:rFonts w:ascii="Microsoft YaHei UI Light" w:hAnsi="Microsoft YaHei UI Light" w:eastAsia="Microsoft YaHei UI Light" w:hint="eastAsia"/>
          <w:b w:val="0"/>
          <w:color w:val="00AFEF"/>
        </w:rPr>
        <w:t>┃</w:t>
        <w:tab/>
      </w:r>
      <w:r>
        <w:rPr>
          <w:color w:val="57585B"/>
          <w:spacing w:val="-4"/>
        </w:rPr>
        <w:t>阿尔兹海默症诊断新兴技术方向： 血液检测</w:t>
      </w:r>
    </w:p>
    <w:p>
      <w:pPr>
        <w:pStyle w:val="ListParagraph"/>
        <w:numPr>
          <w:ilvl w:val="0"/>
          <w:numId w:val="4"/>
        </w:numPr>
        <w:tabs>
          <w:tab w:pos="1301" w:val="left" w:leader="none"/>
        </w:tabs>
        <w:spacing w:line="458" w:lineRule="exact" w:before="279" w:after="0"/>
        <w:ind w:left="1300" w:right="0" w:hanging="453"/>
        <w:jc w:val="both"/>
        <w:rPr>
          <w:sz w:val="28"/>
        </w:rPr>
      </w:pPr>
      <w:r>
        <w:rPr>
          <w:b/>
          <w:color w:val="57585B"/>
          <w:spacing w:val="1"/>
          <w:sz w:val="28"/>
        </w:rPr>
        <w:t>基于血液的</w:t>
      </w:r>
      <w:r>
        <w:rPr>
          <w:b/>
          <w:color w:val="57585B"/>
          <w:sz w:val="28"/>
        </w:rPr>
        <w:t>AD早期诊断更具备可及性，诊断性能也逐渐得到临床验证。</w:t>
      </w:r>
      <w:r>
        <w:rPr>
          <w:color w:val="57585B"/>
          <w:sz w:val="28"/>
        </w:rPr>
        <w:t>神经影像学检查（Aβ-PET、</w:t>
      </w:r>
      <w:r>
        <w:rPr>
          <w:color w:val="57585B"/>
          <w:spacing w:val="-5"/>
          <w:sz w:val="28"/>
        </w:rPr>
        <w:t>Tau-PET）</w:t>
      </w:r>
      <w:r>
        <w:rPr>
          <w:color w:val="57585B"/>
          <w:sz w:val="28"/>
        </w:rPr>
        <w:t>和脑脊液检查</w:t>
      </w:r>
    </w:p>
    <w:p>
      <w:pPr>
        <w:pStyle w:val="BodyText"/>
        <w:spacing w:line="184" w:lineRule="auto" w:before="27"/>
        <w:ind w:left="1300" w:right="2352"/>
        <w:jc w:val="both"/>
      </w:pPr>
      <w:r>
        <w:rPr>
          <w:color w:val="57585B"/>
        </w:rPr>
        <w:t>（Aβ、tau）是已经被临床广泛认可的AD诊断技术，但是PET费用高、脑脊液检查侵入性高，限制了AD早期诊断的普及。与上述两种方法相比，基于血液的生物标志物检测方法侵入性低，并且成本较低，还能够通过大规模的临床使用来降低成本。近年来基于血液的生物标志物用于AD诊断的证据越来越多，具有优异诊断性能的血浆生物标志物也被开发出来并得到了临床验证。</w:t>
      </w:r>
    </w:p>
    <w:p>
      <w:pPr>
        <w:pStyle w:val="ListParagraph"/>
        <w:numPr>
          <w:ilvl w:val="0"/>
          <w:numId w:val="4"/>
        </w:numPr>
        <w:tabs>
          <w:tab w:pos="1300" w:val="left" w:leader="none"/>
          <w:tab w:pos="1301" w:val="left" w:leader="none"/>
        </w:tabs>
        <w:spacing w:line="184" w:lineRule="auto" w:before="248" w:after="0"/>
        <w:ind w:left="1300" w:right="2353" w:hanging="452"/>
        <w:jc w:val="left"/>
        <w:rPr>
          <w:sz w:val="28"/>
        </w:rPr>
      </w:pPr>
      <w:r>
        <w:rPr>
          <w:b/>
          <w:color w:val="57585B"/>
          <w:sz w:val="28"/>
        </w:rPr>
        <w:t>权威指南新建议临床使用AD血液检测，血液检测发展有望加速。</w:t>
      </w:r>
      <w:r>
        <w:rPr>
          <w:color w:val="57585B"/>
          <w:sz w:val="28"/>
        </w:rPr>
        <w:t>2023年7月16日，阿尔兹海默病协会国际会议（AAIC）公布</w:t>
      </w:r>
      <w:r>
        <w:rPr>
          <w:color w:val="57585B"/>
          <w:spacing w:val="-1"/>
          <w:sz w:val="28"/>
        </w:rPr>
        <w:t>了一项最新的</w:t>
      </w:r>
      <w:r>
        <w:rPr>
          <w:color w:val="57585B"/>
          <w:sz w:val="28"/>
        </w:rPr>
        <w:t>AD</w:t>
      </w:r>
      <w:r>
        <w:rPr>
          <w:color w:val="57585B"/>
          <w:spacing w:val="-3"/>
          <w:sz w:val="28"/>
        </w:rPr>
        <w:t>诊断指南草案，其中包括在临床设置中使用基于血液生物标志物检测的建议。</w:t>
      </w:r>
    </w:p>
    <w:p>
      <w:pPr>
        <w:pStyle w:val="BodyText"/>
        <w:spacing w:before="9"/>
        <w:rPr>
          <w:sz w:val="5"/>
        </w:rPr>
      </w:pPr>
    </w:p>
    <w:p>
      <w:pPr>
        <w:pStyle w:val="ListParagraph"/>
        <w:numPr>
          <w:ilvl w:val="0"/>
          <w:numId w:val="5"/>
        </w:numPr>
        <w:tabs>
          <w:tab w:pos="821" w:val="left" w:leader="none"/>
          <w:tab w:pos="822" w:val="left" w:leader="none"/>
          <w:tab w:pos="8718" w:val="left" w:leader="none"/>
          <w:tab w:pos="9169" w:val="left" w:leader="none"/>
        </w:tabs>
        <w:spacing w:line="240" w:lineRule="auto" w:before="44" w:after="0"/>
        <w:ind w:left="821" w:right="0" w:hanging="452"/>
        <w:jc w:val="left"/>
        <w:rPr>
          <w:b/>
          <w:sz w:val="22"/>
        </w:rPr>
      </w:pPr>
      <w:r>
        <w:rPr>
          <w:b/>
          <w:color w:val="0A4EA1"/>
          <w:sz w:val="22"/>
        </w:rPr>
        <w:t>NIA-AA新修订的AD核心生</w:t>
      </w:r>
      <w:r>
        <w:rPr>
          <w:b/>
          <w:color w:val="0A4EA1"/>
          <w:spacing w:val="-3"/>
          <w:sz w:val="22"/>
        </w:rPr>
        <w:t>物</w:t>
      </w:r>
      <w:r>
        <w:rPr>
          <w:b/>
          <w:color w:val="0A4EA1"/>
          <w:sz w:val="22"/>
        </w:rPr>
        <w:t>标志物</w:t>
        <w:tab/>
      </w:r>
      <w:r>
        <w:rPr>
          <w:rFonts w:ascii="Wingdings" w:hAnsi="Wingdings" w:eastAsia="Wingdings"/>
          <w:color w:val="0A4EA1"/>
          <w:sz w:val="22"/>
        </w:rPr>
        <w:t></w:t>
      </w:r>
      <w:r>
        <w:rPr>
          <w:rFonts w:ascii="Times New Roman" w:hAnsi="Times New Roman" w:eastAsia="Times New Roman"/>
          <w:color w:val="0A4EA1"/>
          <w:sz w:val="22"/>
        </w:rPr>
        <w:tab/>
      </w:r>
      <w:r>
        <w:rPr>
          <w:b/>
          <w:color w:val="0A4EA1"/>
          <w:sz w:val="22"/>
        </w:rPr>
        <w:t>阿尔兹海默症检测技术</w:t>
      </w:r>
      <w:r>
        <w:rPr>
          <w:b/>
          <w:color w:val="0A4EA1"/>
          <w:spacing w:val="-3"/>
          <w:sz w:val="22"/>
        </w:rPr>
        <w:t>对</w:t>
      </w:r>
      <w:r>
        <w:rPr>
          <w:b/>
          <w:color w:val="0A4EA1"/>
          <w:sz w:val="22"/>
        </w:rPr>
        <w:t>比</w:t>
      </w:r>
    </w:p>
    <w:p>
      <w:pPr>
        <w:pStyle w:val="BodyText"/>
        <w:spacing w:before="12"/>
        <w:rPr>
          <w:b/>
          <w:sz w:val="19"/>
        </w:rPr>
      </w:pPr>
      <w:r>
        <w:rPr/>
        <w:pict>
          <v:group style="position:absolute;margin-left:11.28pt;margin-top:21.140985pt;width:413.65pt;height:154.950pt;mso-position-horizontal-relative:page;mso-position-vertical-relative:paragraph;z-index:-15711232;mso-wrap-distance-left:0;mso-wrap-distance-right:0" coordorigin="226,423" coordsize="8273,3099">
            <v:shape style="position:absolute;left:225;top:422;width:8273;height:3099" type="#_x0000_t75" stroked="false">
              <v:imagedata r:id="rId36" o:title=""/>
            </v:shape>
            <v:rect style="position:absolute;left:4263;top:505;width:812;height:310" filled="false" stroked="true" strokeweight="1.56pt" strokecolor="#ff0000">
              <v:stroke dashstyle="solid"/>
            </v:rect>
            <w10:wrap type="topAndBottom"/>
          </v:group>
        </w:pict>
      </w:r>
      <w:r>
        <w:rPr/>
        <w:pict>
          <v:shape style="position:absolute;margin-left:434.320007pt;margin-top:20.060986pt;width:519.9500pt;height:187.9pt;mso-position-horizontal-relative:page;mso-position-vertical-relative:paragraph;z-index:-15728640;mso-wrap-distance-left:0;mso-wrap-distance-right:0" type="#_x0000_t202" filled="false" stroked="false">
            <v:textbox inset="0,0,0,0">
              <w:txbxContent>
                <w:tbl>
                  <w:tblPr>
                    <w:tblW w:w="0" w:type="auto"/>
                    <w:jc w:val="left"/>
                    <w:tblInd w:w="10"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CellMar>
                      <w:top w:w="0" w:type="dxa"/>
                      <w:left w:w="0" w:type="dxa"/>
                      <w:bottom w:w="0" w:type="dxa"/>
                      <w:right w:w="0" w:type="dxa"/>
                    </w:tblCellMar>
                    <w:tblLook w:val="01E0"/>
                  </w:tblPr>
                  <w:tblGrid>
                    <w:gridCol w:w="1717"/>
                    <w:gridCol w:w="687"/>
                    <w:gridCol w:w="687"/>
                    <w:gridCol w:w="1293"/>
                    <w:gridCol w:w="889"/>
                    <w:gridCol w:w="687"/>
                    <w:gridCol w:w="1242"/>
                    <w:gridCol w:w="1899"/>
                    <w:gridCol w:w="1263"/>
                  </w:tblGrid>
                  <w:tr>
                    <w:trPr>
                      <w:trHeight w:val="417" w:hRule="atLeast"/>
                    </w:trPr>
                    <w:tc>
                      <w:tcPr>
                        <w:tcW w:w="1717" w:type="dxa"/>
                        <w:shd w:val="clear" w:color="auto" w:fill="0A4EA1"/>
                      </w:tcPr>
                      <w:p>
                        <w:pPr>
                          <w:pStyle w:val="TableParagraph"/>
                          <w:spacing w:line="240" w:lineRule="auto" w:before="47"/>
                          <w:ind w:left="208" w:right="189"/>
                          <w:rPr>
                            <w:b/>
                            <w:sz w:val="18"/>
                          </w:rPr>
                        </w:pPr>
                        <w:r>
                          <w:rPr>
                            <w:b/>
                            <w:color w:val="FFFFFF"/>
                            <w:sz w:val="18"/>
                          </w:rPr>
                          <w:t>对比项</w:t>
                        </w:r>
                      </w:p>
                    </w:tc>
                    <w:tc>
                      <w:tcPr>
                        <w:tcW w:w="687" w:type="dxa"/>
                        <w:shd w:val="clear" w:color="auto" w:fill="0A4EA1"/>
                      </w:tcPr>
                      <w:p>
                        <w:pPr>
                          <w:pStyle w:val="TableParagraph"/>
                          <w:spacing w:line="240" w:lineRule="auto" w:before="47"/>
                          <w:ind w:left="53" w:right="29"/>
                          <w:rPr>
                            <w:b/>
                            <w:sz w:val="18"/>
                          </w:rPr>
                        </w:pPr>
                        <w:r>
                          <w:rPr>
                            <w:b/>
                            <w:color w:val="FFFFFF"/>
                            <w:sz w:val="18"/>
                          </w:rPr>
                          <w:t>灵敏性</w:t>
                        </w:r>
                      </w:p>
                    </w:tc>
                    <w:tc>
                      <w:tcPr>
                        <w:tcW w:w="687" w:type="dxa"/>
                        <w:shd w:val="clear" w:color="auto" w:fill="0A4EA1"/>
                      </w:tcPr>
                      <w:p>
                        <w:pPr>
                          <w:pStyle w:val="TableParagraph"/>
                          <w:spacing w:line="240" w:lineRule="auto" w:before="47"/>
                          <w:ind w:left="54" w:right="29"/>
                          <w:rPr>
                            <w:b/>
                            <w:sz w:val="18"/>
                          </w:rPr>
                        </w:pPr>
                        <w:r>
                          <w:rPr>
                            <w:b/>
                            <w:color w:val="FFFFFF"/>
                            <w:sz w:val="18"/>
                          </w:rPr>
                          <w:t>特异性</w:t>
                        </w:r>
                      </w:p>
                    </w:tc>
                    <w:tc>
                      <w:tcPr>
                        <w:tcW w:w="1293" w:type="dxa"/>
                        <w:shd w:val="clear" w:color="auto" w:fill="0A4EA1"/>
                      </w:tcPr>
                      <w:p>
                        <w:pPr>
                          <w:pStyle w:val="TableParagraph"/>
                          <w:spacing w:line="240" w:lineRule="auto" w:before="47"/>
                          <w:ind w:left="87" w:right="64"/>
                          <w:rPr>
                            <w:b/>
                            <w:sz w:val="18"/>
                          </w:rPr>
                        </w:pPr>
                        <w:r>
                          <w:rPr>
                            <w:b/>
                            <w:color w:val="FFFFFF"/>
                            <w:sz w:val="18"/>
                          </w:rPr>
                          <w:t>检测侵入性</w:t>
                        </w:r>
                      </w:p>
                    </w:tc>
                    <w:tc>
                      <w:tcPr>
                        <w:tcW w:w="889" w:type="dxa"/>
                        <w:shd w:val="clear" w:color="auto" w:fill="0A4EA1"/>
                      </w:tcPr>
                      <w:p>
                        <w:pPr>
                          <w:pStyle w:val="TableParagraph"/>
                          <w:spacing w:line="240" w:lineRule="auto" w:before="47"/>
                          <w:ind w:left="66" w:right="43"/>
                          <w:rPr>
                            <w:b/>
                            <w:sz w:val="18"/>
                          </w:rPr>
                        </w:pPr>
                        <w:r>
                          <w:rPr>
                            <w:b/>
                            <w:color w:val="FFFFFF"/>
                            <w:sz w:val="18"/>
                          </w:rPr>
                          <w:t>诊断效果</w:t>
                        </w:r>
                      </w:p>
                    </w:tc>
                    <w:tc>
                      <w:tcPr>
                        <w:tcW w:w="687" w:type="dxa"/>
                        <w:shd w:val="clear" w:color="auto" w:fill="0A4EA1"/>
                      </w:tcPr>
                      <w:p>
                        <w:pPr>
                          <w:pStyle w:val="TableParagraph"/>
                          <w:spacing w:line="240" w:lineRule="auto" w:before="47"/>
                          <w:ind w:left="55" w:right="27"/>
                          <w:rPr>
                            <w:b/>
                            <w:sz w:val="18"/>
                          </w:rPr>
                        </w:pPr>
                        <w:r>
                          <w:rPr>
                            <w:b/>
                            <w:color w:val="FFFFFF"/>
                            <w:sz w:val="18"/>
                          </w:rPr>
                          <w:t>接受度</w:t>
                        </w:r>
                      </w:p>
                    </w:tc>
                    <w:tc>
                      <w:tcPr>
                        <w:tcW w:w="1242" w:type="dxa"/>
                        <w:shd w:val="clear" w:color="auto" w:fill="0A4EA1"/>
                      </w:tcPr>
                      <w:p>
                        <w:pPr>
                          <w:pStyle w:val="TableParagraph"/>
                          <w:spacing w:line="240" w:lineRule="auto" w:before="47"/>
                          <w:ind w:left="152" w:right="126"/>
                          <w:rPr>
                            <w:b/>
                            <w:sz w:val="18"/>
                          </w:rPr>
                        </w:pPr>
                        <w:r>
                          <w:rPr>
                            <w:b/>
                            <w:color w:val="FFFFFF"/>
                            <w:sz w:val="18"/>
                          </w:rPr>
                          <w:t>设备要求</w:t>
                        </w:r>
                      </w:p>
                    </w:tc>
                    <w:tc>
                      <w:tcPr>
                        <w:tcW w:w="1899" w:type="dxa"/>
                        <w:shd w:val="clear" w:color="auto" w:fill="0A4EA1"/>
                      </w:tcPr>
                      <w:p>
                        <w:pPr>
                          <w:pStyle w:val="TableParagraph"/>
                          <w:spacing w:line="240" w:lineRule="auto" w:before="47"/>
                          <w:ind w:left="124" w:right="93"/>
                          <w:rPr>
                            <w:b/>
                            <w:sz w:val="18"/>
                          </w:rPr>
                        </w:pPr>
                        <w:r>
                          <w:rPr>
                            <w:b/>
                            <w:color w:val="FFFFFF"/>
                            <w:sz w:val="18"/>
                          </w:rPr>
                          <w:t>价格</w:t>
                        </w:r>
                      </w:p>
                    </w:tc>
                    <w:tc>
                      <w:tcPr>
                        <w:tcW w:w="1263" w:type="dxa"/>
                        <w:shd w:val="clear" w:color="auto" w:fill="0A4EA1"/>
                      </w:tcPr>
                      <w:p>
                        <w:pPr>
                          <w:pStyle w:val="TableParagraph"/>
                          <w:spacing w:line="240" w:lineRule="auto" w:before="47"/>
                          <w:ind w:left="167" w:right="136"/>
                          <w:rPr>
                            <w:b/>
                            <w:sz w:val="18"/>
                          </w:rPr>
                        </w:pPr>
                        <w:r>
                          <w:rPr>
                            <w:b/>
                            <w:color w:val="FFFFFF"/>
                            <w:sz w:val="18"/>
                          </w:rPr>
                          <w:t>技术成熟度</w:t>
                        </w:r>
                      </w:p>
                    </w:tc>
                  </w:tr>
                  <w:tr>
                    <w:trPr>
                      <w:trHeight w:val="1080" w:hRule="atLeast"/>
                    </w:trPr>
                    <w:tc>
                      <w:tcPr>
                        <w:tcW w:w="1717" w:type="dxa"/>
                      </w:tcPr>
                      <w:p>
                        <w:pPr>
                          <w:pStyle w:val="TableParagraph"/>
                          <w:spacing w:line="240" w:lineRule="auto" w:before="10"/>
                          <w:jc w:val="left"/>
                          <w:rPr>
                            <w:b/>
                            <w:sz w:val="20"/>
                          </w:rPr>
                        </w:pPr>
                      </w:p>
                      <w:p>
                        <w:pPr>
                          <w:pStyle w:val="TableParagraph"/>
                          <w:spacing w:line="240" w:lineRule="auto"/>
                          <w:ind w:left="208" w:right="189"/>
                          <w:rPr>
                            <w:sz w:val="18"/>
                          </w:rPr>
                        </w:pPr>
                        <w:r>
                          <w:rPr>
                            <w:sz w:val="18"/>
                          </w:rPr>
                          <w:t>神经影像学检查</w:t>
                        </w:r>
                      </w:p>
                    </w:tc>
                    <w:tc>
                      <w:tcPr>
                        <w:tcW w:w="687" w:type="dxa"/>
                      </w:tcPr>
                      <w:p>
                        <w:pPr>
                          <w:pStyle w:val="TableParagraph"/>
                          <w:spacing w:line="240" w:lineRule="auto" w:before="10"/>
                          <w:jc w:val="left"/>
                          <w:rPr>
                            <w:b/>
                            <w:sz w:val="20"/>
                          </w:rPr>
                        </w:pPr>
                      </w:p>
                      <w:p>
                        <w:pPr>
                          <w:pStyle w:val="TableParagraph"/>
                          <w:spacing w:line="240" w:lineRule="auto"/>
                          <w:ind w:left="24"/>
                          <w:rPr>
                            <w:sz w:val="18"/>
                          </w:rPr>
                        </w:pPr>
                        <w:r>
                          <w:rPr>
                            <w:sz w:val="18"/>
                          </w:rPr>
                          <w:t>高</w:t>
                        </w:r>
                      </w:p>
                    </w:tc>
                    <w:tc>
                      <w:tcPr>
                        <w:tcW w:w="687" w:type="dxa"/>
                      </w:tcPr>
                      <w:p>
                        <w:pPr>
                          <w:pStyle w:val="TableParagraph"/>
                          <w:spacing w:line="240" w:lineRule="auto" w:before="10"/>
                          <w:jc w:val="left"/>
                          <w:rPr>
                            <w:b/>
                            <w:sz w:val="20"/>
                          </w:rPr>
                        </w:pPr>
                      </w:p>
                      <w:p>
                        <w:pPr>
                          <w:pStyle w:val="TableParagraph"/>
                          <w:spacing w:line="240" w:lineRule="auto"/>
                          <w:ind w:left="25"/>
                          <w:rPr>
                            <w:sz w:val="18"/>
                          </w:rPr>
                        </w:pPr>
                        <w:r>
                          <w:rPr>
                            <w:sz w:val="18"/>
                          </w:rPr>
                          <w:t>低</w:t>
                        </w:r>
                      </w:p>
                    </w:tc>
                    <w:tc>
                      <w:tcPr>
                        <w:tcW w:w="1293" w:type="dxa"/>
                      </w:tcPr>
                      <w:p>
                        <w:pPr>
                          <w:pStyle w:val="TableParagraph"/>
                          <w:spacing w:line="240" w:lineRule="auto" w:before="10"/>
                          <w:jc w:val="left"/>
                          <w:rPr>
                            <w:b/>
                            <w:sz w:val="20"/>
                          </w:rPr>
                        </w:pPr>
                      </w:p>
                      <w:p>
                        <w:pPr>
                          <w:pStyle w:val="TableParagraph"/>
                          <w:spacing w:line="240" w:lineRule="auto"/>
                          <w:ind w:left="23"/>
                          <w:rPr>
                            <w:sz w:val="18"/>
                          </w:rPr>
                        </w:pPr>
                        <w:r>
                          <w:rPr>
                            <w:sz w:val="18"/>
                          </w:rPr>
                          <w:t>低</w:t>
                        </w:r>
                      </w:p>
                    </w:tc>
                    <w:tc>
                      <w:tcPr>
                        <w:tcW w:w="889" w:type="dxa"/>
                      </w:tcPr>
                      <w:p>
                        <w:pPr>
                          <w:pStyle w:val="TableParagraph"/>
                          <w:spacing w:line="240" w:lineRule="auto" w:before="10"/>
                          <w:jc w:val="left"/>
                          <w:rPr>
                            <w:b/>
                            <w:sz w:val="20"/>
                          </w:rPr>
                        </w:pPr>
                      </w:p>
                      <w:p>
                        <w:pPr>
                          <w:pStyle w:val="TableParagraph"/>
                          <w:spacing w:line="240" w:lineRule="auto"/>
                          <w:ind w:left="26"/>
                          <w:rPr>
                            <w:sz w:val="18"/>
                          </w:rPr>
                        </w:pPr>
                        <w:r>
                          <w:rPr>
                            <w:sz w:val="18"/>
                          </w:rPr>
                          <w:t>差</w:t>
                        </w:r>
                      </w:p>
                    </w:tc>
                    <w:tc>
                      <w:tcPr>
                        <w:tcW w:w="687" w:type="dxa"/>
                      </w:tcPr>
                      <w:p>
                        <w:pPr>
                          <w:pStyle w:val="TableParagraph"/>
                          <w:spacing w:line="240" w:lineRule="auto" w:before="10"/>
                          <w:jc w:val="left"/>
                          <w:rPr>
                            <w:b/>
                            <w:sz w:val="20"/>
                          </w:rPr>
                        </w:pPr>
                      </w:p>
                      <w:p>
                        <w:pPr>
                          <w:pStyle w:val="TableParagraph"/>
                          <w:spacing w:line="240" w:lineRule="auto"/>
                          <w:ind w:left="28"/>
                          <w:rPr>
                            <w:sz w:val="18"/>
                          </w:rPr>
                        </w:pPr>
                        <w:r>
                          <w:rPr>
                            <w:sz w:val="18"/>
                          </w:rPr>
                          <w:t>高</w:t>
                        </w:r>
                      </w:p>
                    </w:tc>
                    <w:tc>
                      <w:tcPr>
                        <w:tcW w:w="1242" w:type="dxa"/>
                      </w:tcPr>
                      <w:p>
                        <w:pPr>
                          <w:pStyle w:val="TableParagraph"/>
                          <w:spacing w:line="240" w:lineRule="auto" w:before="3"/>
                          <w:jc w:val="left"/>
                          <w:rPr>
                            <w:b/>
                            <w:sz w:val="19"/>
                          </w:rPr>
                        </w:pPr>
                      </w:p>
                      <w:p>
                        <w:pPr>
                          <w:pStyle w:val="TableParagraph"/>
                          <w:spacing w:line="156" w:lineRule="auto" w:before="1"/>
                          <w:ind w:left="108" w:right="76" w:firstLine="427"/>
                          <w:jc w:val="left"/>
                          <w:rPr>
                            <w:sz w:val="18"/>
                          </w:rPr>
                        </w:pPr>
                        <w:r>
                          <w:rPr>
                            <w:sz w:val="18"/>
                          </w:rPr>
                          <w:t>高PET/MRI/CT</w:t>
                        </w:r>
                      </w:p>
                    </w:tc>
                    <w:tc>
                      <w:tcPr>
                        <w:tcW w:w="1899" w:type="dxa"/>
                      </w:tcPr>
                      <w:p>
                        <w:pPr>
                          <w:pStyle w:val="TableParagraph"/>
                          <w:spacing w:line="274" w:lineRule="exact" w:before="55"/>
                          <w:ind w:left="29"/>
                          <w:rPr>
                            <w:sz w:val="18"/>
                          </w:rPr>
                        </w:pPr>
                        <w:r>
                          <w:rPr>
                            <w:sz w:val="18"/>
                          </w:rPr>
                          <w:t>高</w:t>
                        </w:r>
                      </w:p>
                      <w:p>
                        <w:pPr>
                          <w:pStyle w:val="TableParagraph"/>
                          <w:spacing w:line="156" w:lineRule="auto" w:before="25"/>
                          <w:ind w:left="211" w:right="177" w:hanging="3"/>
                          <w:rPr>
                            <w:sz w:val="18"/>
                          </w:rPr>
                        </w:pPr>
                        <w:r>
                          <w:rPr>
                            <w:sz w:val="18"/>
                          </w:rPr>
                          <w:t>PET单次约1万元MRI单次约1500元CT单次约300元</w:t>
                        </w:r>
                      </w:p>
                    </w:tc>
                    <w:tc>
                      <w:tcPr>
                        <w:tcW w:w="1263" w:type="dxa"/>
                      </w:tcPr>
                      <w:p>
                        <w:pPr>
                          <w:pStyle w:val="TableParagraph"/>
                          <w:spacing w:line="240" w:lineRule="auto" w:before="10"/>
                          <w:jc w:val="left"/>
                          <w:rPr>
                            <w:b/>
                            <w:sz w:val="20"/>
                          </w:rPr>
                        </w:pPr>
                      </w:p>
                      <w:p>
                        <w:pPr>
                          <w:pStyle w:val="TableParagraph"/>
                          <w:spacing w:line="240" w:lineRule="auto"/>
                          <w:ind w:left="167" w:right="134"/>
                          <w:rPr>
                            <w:sz w:val="18"/>
                          </w:rPr>
                        </w:pPr>
                        <w:r>
                          <w:rPr>
                            <w:sz w:val="18"/>
                          </w:rPr>
                          <w:t>相对成熟</w:t>
                        </w:r>
                      </w:p>
                    </w:tc>
                  </w:tr>
                  <w:tr>
                    <w:trPr>
                      <w:trHeight w:val="530" w:hRule="atLeast"/>
                    </w:trPr>
                    <w:tc>
                      <w:tcPr>
                        <w:tcW w:w="1717" w:type="dxa"/>
                        <w:shd w:val="clear" w:color="auto" w:fill="F1F1F1"/>
                      </w:tcPr>
                      <w:p>
                        <w:pPr>
                          <w:pStyle w:val="TableParagraph"/>
                          <w:spacing w:line="240" w:lineRule="auto" w:before="104"/>
                          <w:ind w:left="208" w:right="186"/>
                          <w:rPr>
                            <w:sz w:val="18"/>
                          </w:rPr>
                        </w:pPr>
                        <w:r>
                          <w:rPr>
                            <w:sz w:val="18"/>
                          </w:rPr>
                          <w:t>脑脊液CSF检查</w:t>
                        </w:r>
                      </w:p>
                    </w:tc>
                    <w:tc>
                      <w:tcPr>
                        <w:tcW w:w="687" w:type="dxa"/>
                        <w:shd w:val="clear" w:color="auto" w:fill="F1F1F1"/>
                      </w:tcPr>
                      <w:p>
                        <w:pPr>
                          <w:pStyle w:val="TableParagraph"/>
                          <w:spacing w:line="240" w:lineRule="auto" w:before="104"/>
                          <w:ind w:left="24"/>
                          <w:rPr>
                            <w:sz w:val="18"/>
                          </w:rPr>
                        </w:pPr>
                        <w:r>
                          <w:rPr>
                            <w:sz w:val="18"/>
                          </w:rPr>
                          <w:t>高</w:t>
                        </w:r>
                      </w:p>
                    </w:tc>
                    <w:tc>
                      <w:tcPr>
                        <w:tcW w:w="687" w:type="dxa"/>
                        <w:shd w:val="clear" w:color="auto" w:fill="F1F1F1"/>
                      </w:tcPr>
                      <w:p>
                        <w:pPr>
                          <w:pStyle w:val="TableParagraph"/>
                          <w:spacing w:line="240" w:lineRule="auto" w:before="104"/>
                          <w:ind w:left="25"/>
                          <w:rPr>
                            <w:sz w:val="18"/>
                          </w:rPr>
                        </w:pPr>
                        <w:r>
                          <w:rPr>
                            <w:sz w:val="18"/>
                          </w:rPr>
                          <w:t>高</w:t>
                        </w:r>
                      </w:p>
                    </w:tc>
                    <w:tc>
                      <w:tcPr>
                        <w:tcW w:w="1293" w:type="dxa"/>
                        <w:shd w:val="clear" w:color="auto" w:fill="F1F1F1"/>
                      </w:tcPr>
                      <w:p>
                        <w:pPr>
                          <w:pStyle w:val="TableParagraph"/>
                          <w:spacing w:line="270" w:lineRule="exact"/>
                          <w:ind w:left="23"/>
                          <w:rPr>
                            <w:sz w:val="18"/>
                          </w:rPr>
                        </w:pPr>
                        <w:r>
                          <w:rPr>
                            <w:sz w:val="18"/>
                          </w:rPr>
                          <w:t>高</w:t>
                        </w:r>
                      </w:p>
                      <w:p>
                        <w:pPr>
                          <w:pStyle w:val="TableParagraph"/>
                          <w:spacing w:line="240" w:lineRule="exact"/>
                          <w:ind w:left="89" w:right="64"/>
                          <w:rPr>
                            <w:sz w:val="18"/>
                          </w:rPr>
                        </w:pPr>
                        <w:r>
                          <w:rPr>
                            <w:sz w:val="18"/>
                          </w:rPr>
                          <w:t>（腰椎穿刺）</w:t>
                        </w:r>
                      </w:p>
                    </w:tc>
                    <w:tc>
                      <w:tcPr>
                        <w:tcW w:w="889" w:type="dxa"/>
                        <w:shd w:val="clear" w:color="auto" w:fill="F1F1F1"/>
                      </w:tcPr>
                      <w:p>
                        <w:pPr>
                          <w:pStyle w:val="TableParagraph"/>
                          <w:spacing w:line="240" w:lineRule="auto" w:before="104"/>
                          <w:ind w:left="26"/>
                          <w:rPr>
                            <w:sz w:val="18"/>
                          </w:rPr>
                        </w:pPr>
                        <w:r>
                          <w:rPr>
                            <w:sz w:val="18"/>
                          </w:rPr>
                          <w:t>中</w:t>
                        </w:r>
                      </w:p>
                    </w:tc>
                    <w:tc>
                      <w:tcPr>
                        <w:tcW w:w="687" w:type="dxa"/>
                        <w:shd w:val="clear" w:color="auto" w:fill="F1F1F1"/>
                      </w:tcPr>
                      <w:p>
                        <w:pPr>
                          <w:pStyle w:val="TableParagraph"/>
                          <w:spacing w:line="240" w:lineRule="auto" w:before="104"/>
                          <w:ind w:left="28"/>
                          <w:rPr>
                            <w:sz w:val="18"/>
                          </w:rPr>
                        </w:pPr>
                        <w:r>
                          <w:rPr>
                            <w:sz w:val="18"/>
                          </w:rPr>
                          <w:t>高</w:t>
                        </w:r>
                      </w:p>
                    </w:tc>
                    <w:tc>
                      <w:tcPr>
                        <w:tcW w:w="1242" w:type="dxa"/>
                        <w:shd w:val="clear" w:color="auto" w:fill="F1F1F1"/>
                      </w:tcPr>
                      <w:p>
                        <w:pPr>
                          <w:pStyle w:val="TableParagraph"/>
                          <w:spacing w:line="240" w:lineRule="auto" w:before="104"/>
                          <w:ind w:left="29"/>
                          <w:rPr>
                            <w:sz w:val="18"/>
                          </w:rPr>
                        </w:pPr>
                        <w:r>
                          <w:rPr>
                            <w:sz w:val="18"/>
                          </w:rPr>
                          <w:t>中</w:t>
                        </w:r>
                      </w:p>
                    </w:tc>
                    <w:tc>
                      <w:tcPr>
                        <w:tcW w:w="1899" w:type="dxa"/>
                        <w:shd w:val="clear" w:color="auto" w:fill="F1F1F1"/>
                      </w:tcPr>
                      <w:p>
                        <w:pPr>
                          <w:pStyle w:val="TableParagraph"/>
                          <w:spacing w:line="270" w:lineRule="exact"/>
                          <w:ind w:left="29"/>
                          <w:rPr>
                            <w:sz w:val="18"/>
                          </w:rPr>
                        </w:pPr>
                        <w:r>
                          <w:rPr>
                            <w:sz w:val="18"/>
                          </w:rPr>
                          <w:t>中</w:t>
                        </w:r>
                      </w:p>
                      <w:p>
                        <w:pPr>
                          <w:pStyle w:val="TableParagraph"/>
                          <w:spacing w:line="240" w:lineRule="exact"/>
                          <w:ind w:left="123" w:right="95"/>
                          <w:rPr>
                            <w:sz w:val="18"/>
                          </w:rPr>
                        </w:pPr>
                        <w:r>
                          <w:rPr>
                            <w:sz w:val="18"/>
                          </w:rPr>
                          <w:t>（1000-3000元）</w:t>
                        </w:r>
                      </w:p>
                    </w:tc>
                    <w:tc>
                      <w:tcPr>
                        <w:tcW w:w="1263" w:type="dxa"/>
                        <w:shd w:val="clear" w:color="auto" w:fill="F1F1F1"/>
                      </w:tcPr>
                      <w:p>
                        <w:pPr>
                          <w:pStyle w:val="TableParagraph"/>
                          <w:spacing w:line="240" w:lineRule="auto" w:before="104"/>
                          <w:ind w:left="167" w:right="134"/>
                          <w:rPr>
                            <w:sz w:val="18"/>
                          </w:rPr>
                        </w:pPr>
                        <w:r>
                          <w:rPr>
                            <w:sz w:val="18"/>
                          </w:rPr>
                          <w:t>相对成熟</w:t>
                        </w:r>
                      </w:p>
                    </w:tc>
                  </w:tr>
                  <w:tr>
                    <w:trPr>
                      <w:trHeight w:val="805" w:hRule="atLeast"/>
                    </w:trPr>
                    <w:tc>
                      <w:tcPr>
                        <w:tcW w:w="1717" w:type="dxa"/>
                      </w:tcPr>
                      <w:p>
                        <w:pPr>
                          <w:pStyle w:val="TableParagraph"/>
                          <w:spacing w:line="240" w:lineRule="auto" w:before="2"/>
                          <w:jc w:val="left"/>
                          <w:rPr>
                            <w:b/>
                            <w:sz w:val="13"/>
                          </w:rPr>
                        </w:pPr>
                      </w:p>
                      <w:p>
                        <w:pPr>
                          <w:pStyle w:val="TableParagraph"/>
                          <w:spacing w:line="240" w:lineRule="auto"/>
                          <w:ind w:left="208" w:right="189"/>
                          <w:rPr>
                            <w:b/>
                            <w:sz w:val="18"/>
                          </w:rPr>
                        </w:pPr>
                        <w:r>
                          <w:rPr>
                            <w:b/>
                            <w:color w:val="C00000"/>
                            <w:sz w:val="18"/>
                          </w:rPr>
                          <w:t>外周血抗体检查</w:t>
                        </w:r>
                      </w:p>
                    </w:tc>
                    <w:tc>
                      <w:tcPr>
                        <w:tcW w:w="687" w:type="dxa"/>
                      </w:tcPr>
                      <w:p>
                        <w:pPr>
                          <w:pStyle w:val="TableParagraph"/>
                          <w:spacing w:line="240" w:lineRule="auto" w:before="2"/>
                          <w:jc w:val="left"/>
                          <w:rPr>
                            <w:b/>
                            <w:sz w:val="13"/>
                          </w:rPr>
                        </w:pPr>
                      </w:p>
                      <w:p>
                        <w:pPr>
                          <w:pStyle w:val="TableParagraph"/>
                          <w:spacing w:line="240" w:lineRule="auto"/>
                          <w:ind w:left="24"/>
                          <w:rPr>
                            <w:b/>
                            <w:sz w:val="18"/>
                          </w:rPr>
                        </w:pPr>
                        <w:r>
                          <w:rPr>
                            <w:b/>
                            <w:color w:val="C00000"/>
                            <w:sz w:val="18"/>
                          </w:rPr>
                          <w:t>低</w:t>
                        </w:r>
                      </w:p>
                    </w:tc>
                    <w:tc>
                      <w:tcPr>
                        <w:tcW w:w="687" w:type="dxa"/>
                      </w:tcPr>
                      <w:p>
                        <w:pPr>
                          <w:pStyle w:val="TableParagraph"/>
                          <w:spacing w:line="240" w:lineRule="auto" w:before="2"/>
                          <w:jc w:val="left"/>
                          <w:rPr>
                            <w:b/>
                            <w:sz w:val="13"/>
                          </w:rPr>
                        </w:pPr>
                      </w:p>
                      <w:p>
                        <w:pPr>
                          <w:pStyle w:val="TableParagraph"/>
                          <w:spacing w:line="240" w:lineRule="auto"/>
                          <w:ind w:left="25"/>
                          <w:rPr>
                            <w:b/>
                            <w:sz w:val="18"/>
                          </w:rPr>
                        </w:pPr>
                        <w:r>
                          <w:rPr>
                            <w:b/>
                            <w:color w:val="C00000"/>
                            <w:sz w:val="18"/>
                          </w:rPr>
                          <w:t>中</w:t>
                        </w:r>
                      </w:p>
                    </w:tc>
                    <w:tc>
                      <w:tcPr>
                        <w:tcW w:w="1293" w:type="dxa"/>
                      </w:tcPr>
                      <w:p>
                        <w:pPr>
                          <w:pStyle w:val="TableParagraph"/>
                          <w:spacing w:line="240" w:lineRule="auto" w:before="2"/>
                          <w:jc w:val="left"/>
                          <w:rPr>
                            <w:b/>
                            <w:sz w:val="13"/>
                          </w:rPr>
                        </w:pPr>
                      </w:p>
                      <w:p>
                        <w:pPr>
                          <w:pStyle w:val="TableParagraph"/>
                          <w:spacing w:line="240" w:lineRule="auto"/>
                          <w:ind w:left="23"/>
                          <w:rPr>
                            <w:b/>
                            <w:sz w:val="18"/>
                          </w:rPr>
                        </w:pPr>
                        <w:r>
                          <w:rPr>
                            <w:b/>
                            <w:color w:val="C00000"/>
                            <w:sz w:val="18"/>
                          </w:rPr>
                          <w:t>低</w:t>
                        </w:r>
                      </w:p>
                    </w:tc>
                    <w:tc>
                      <w:tcPr>
                        <w:tcW w:w="889" w:type="dxa"/>
                      </w:tcPr>
                      <w:p>
                        <w:pPr>
                          <w:pStyle w:val="TableParagraph"/>
                          <w:spacing w:line="240" w:lineRule="auto" w:before="2"/>
                          <w:jc w:val="left"/>
                          <w:rPr>
                            <w:b/>
                            <w:sz w:val="13"/>
                          </w:rPr>
                        </w:pPr>
                      </w:p>
                      <w:p>
                        <w:pPr>
                          <w:pStyle w:val="TableParagraph"/>
                          <w:spacing w:line="240" w:lineRule="auto"/>
                          <w:ind w:left="26"/>
                          <w:rPr>
                            <w:b/>
                            <w:sz w:val="18"/>
                          </w:rPr>
                        </w:pPr>
                        <w:r>
                          <w:rPr>
                            <w:b/>
                            <w:color w:val="C00000"/>
                            <w:sz w:val="18"/>
                          </w:rPr>
                          <w:t>高</w:t>
                        </w:r>
                      </w:p>
                    </w:tc>
                    <w:tc>
                      <w:tcPr>
                        <w:tcW w:w="687" w:type="dxa"/>
                      </w:tcPr>
                      <w:p>
                        <w:pPr>
                          <w:pStyle w:val="TableParagraph"/>
                          <w:spacing w:line="240" w:lineRule="auto" w:before="2"/>
                          <w:jc w:val="left"/>
                          <w:rPr>
                            <w:b/>
                            <w:sz w:val="13"/>
                          </w:rPr>
                        </w:pPr>
                      </w:p>
                      <w:p>
                        <w:pPr>
                          <w:pStyle w:val="TableParagraph"/>
                          <w:spacing w:line="240" w:lineRule="auto"/>
                          <w:ind w:left="28"/>
                          <w:rPr>
                            <w:b/>
                            <w:sz w:val="18"/>
                          </w:rPr>
                        </w:pPr>
                        <w:r>
                          <w:rPr>
                            <w:b/>
                            <w:color w:val="C00000"/>
                            <w:sz w:val="18"/>
                          </w:rPr>
                          <w:t>低</w:t>
                        </w:r>
                      </w:p>
                    </w:tc>
                    <w:tc>
                      <w:tcPr>
                        <w:tcW w:w="1242" w:type="dxa"/>
                      </w:tcPr>
                      <w:p>
                        <w:pPr>
                          <w:pStyle w:val="TableParagraph"/>
                          <w:spacing w:line="274" w:lineRule="exact" w:before="134"/>
                          <w:ind w:left="29"/>
                          <w:rPr>
                            <w:b/>
                            <w:sz w:val="18"/>
                          </w:rPr>
                        </w:pPr>
                        <w:r>
                          <w:rPr>
                            <w:b/>
                            <w:color w:val="C00000"/>
                            <w:sz w:val="18"/>
                          </w:rPr>
                          <w:t>高</w:t>
                        </w:r>
                      </w:p>
                      <w:p>
                        <w:pPr>
                          <w:pStyle w:val="TableParagraph"/>
                          <w:spacing w:line="274" w:lineRule="exact"/>
                          <w:ind w:left="155" w:right="126"/>
                          <w:rPr>
                            <w:b/>
                            <w:sz w:val="18"/>
                          </w:rPr>
                        </w:pPr>
                        <w:r>
                          <w:rPr>
                            <w:b/>
                            <w:color w:val="C00000"/>
                            <w:sz w:val="18"/>
                          </w:rPr>
                          <w:t>（质谱仪）</w:t>
                        </w:r>
                      </w:p>
                    </w:tc>
                    <w:tc>
                      <w:tcPr>
                        <w:tcW w:w="1899" w:type="dxa"/>
                      </w:tcPr>
                      <w:p>
                        <w:pPr>
                          <w:pStyle w:val="TableParagraph"/>
                          <w:spacing w:line="274" w:lineRule="exact" w:before="134"/>
                          <w:ind w:left="29"/>
                          <w:rPr>
                            <w:b/>
                            <w:sz w:val="18"/>
                          </w:rPr>
                        </w:pPr>
                        <w:r>
                          <w:rPr>
                            <w:b/>
                            <w:color w:val="C00000"/>
                            <w:sz w:val="18"/>
                          </w:rPr>
                          <w:t>低</w:t>
                        </w:r>
                      </w:p>
                      <w:p>
                        <w:pPr>
                          <w:pStyle w:val="TableParagraph"/>
                          <w:spacing w:line="274" w:lineRule="exact"/>
                          <w:ind w:left="124" w:right="95"/>
                          <w:rPr>
                            <w:b/>
                            <w:sz w:val="18"/>
                          </w:rPr>
                        </w:pPr>
                        <w:r>
                          <w:rPr>
                            <w:b/>
                            <w:color w:val="C00000"/>
                            <w:sz w:val="18"/>
                          </w:rPr>
                          <w:t>（暂未有上市产品）</w:t>
                        </w:r>
                      </w:p>
                    </w:tc>
                    <w:tc>
                      <w:tcPr>
                        <w:tcW w:w="1263" w:type="dxa"/>
                      </w:tcPr>
                      <w:p>
                        <w:pPr>
                          <w:pStyle w:val="TableParagraph"/>
                          <w:spacing w:line="240" w:lineRule="auto" w:before="2"/>
                          <w:jc w:val="left"/>
                          <w:rPr>
                            <w:b/>
                            <w:sz w:val="13"/>
                          </w:rPr>
                        </w:pPr>
                      </w:p>
                      <w:p>
                        <w:pPr>
                          <w:pStyle w:val="TableParagraph"/>
                          <w:spacing w:line="240" w:lineRule="auto"/>
                          <w:ind w:left="167" w:right="134"/>
                          <w:rPr>
                            <w:b/>
                            <w:sz w:val="18"/>
                          </w:rPr>
                        </w:pPr>
                        <w:r>
                          <w:rPr>
                            <w:b/>
                            <w:color w:val="C00000"/>
                            <w:sz w:val="18"/>
                          </w:rPr>
                          <w:t>初期</w:t>
                        </w:r>
                      </w:p>
                    </w:tc>
                  </w:tr>
                  <w:tr>
                    <w:trPr>
                      <w:trHeight w:val="805" w:hRule="atLeast"/>
                    </w:trPr>
                    <w:tc>
                      <w:tcPr>
                        <w:tcW w:w="1717" w:type="dxa"/>
                        <w:shd w:val="clear" w:color="auto" w:fill="F1F1F1"/>
                      </w:tcPr>
                      <w:p>
                        <w:pPr>
                          <w:pStyle w:val="TableParagraph"/>
                          <w:spacing w:line="240" w:lineRule="auto" w:before="2"/>
                          <w:jc w:val="left"/>
                          <w:rPr>
                            <w:b/>
                            <w:sz w:val="13"/>
                          </w:rPr>
                        </w:pPr>
                      </w:p>
                      <w:p>
                        <w:pPr>
                          <w:pStyle w:val="TableParagraph"/>
                          <w:spacing w:line="240" w:lineRule="auto"/>
                          <w:ind w:left="208" w:right="189"/>
                          <w:rPr>
                            <w:sz w:val="18"/>
                          </w:rPr>
                        </w:pPr>
                        <w:r>
                          <w:rPr>
                            <w:sz w:val="18"/>
                          </w:rPr>
                          <w:t>外泌体检查</w:t>
                        </w:r>
                      </w:p>
                    </w:tc>
                    <w:tc>
                      <w:tcPr>
                        <w:tcW w:w="687" w:type="dxa"/>
                        <w:shd w:val="clear" w:color="auto" w:fill="F1F1F1"/>
                      </w:tcPr>
                      <w:p>
                        <w:pPr>
                          <w:pStyle w:val="TableParagraph"/>
                          <w:spacing w:line="240" w:lineRule="auto" w:before="2"/>
                          <w:jc w:val="left"/>
                          <w:rPr>
                            <w:b/>
                            <w:sz w:val="13"/>
                          </w:rPr>
                        </w:pPr>
                      </w:p>
                      <w:p>
                        <w:pPr>
                          <w:pStyle w:val="TableParagraph"/>
                          <w:spacing w:line="240" w:lineRule="auto"/>
                          <w:ind w:left="24"/>
                          <w:rPr>
                            <w:sz w:val="18"/>
                          </w:rPr>
                        </w:pPr>
                        <w:r>
                          <w:rPr>
                            <w:w w:val="100"/>
                            <w:sz w:val="18"/>
                          </w:rPr>
                          <w:t>高</w:t>
                        </w:r>
                      </w:p>
                    </w:tc>
                    <w:tc>
                      <w:tcPr>
                        <w:tcW w:w="687" w:type="dxa"/>
                        <w:shd w:val="clear" w:color="auto" w:fill="F1F1F1"/>
                      </w:tcPr>
                      <w:p>
                        <w:pPr>
                          <w:pStyle w:val="TableParagraph"/>
                          <w:spacing w:line="240" w:lineRule="auto" w:before="2"/>
                          <w:jc w:val="left"/>
                          <w:rPr>
                            <w:b/>
                            <w:sz w:val="13"/>
                          </w:rPr>
                        </w:pPr>
                      </w:p>
                      <w:p>
                        <w:pPr>
                          <w:pStyle w:val="TableParagraph"/>
                          <w:spacing w:line="240" w:lineRule="auto"/>
                          <w:ind w:left="25"/>
                          <w:rPr>
                            <w:sz w:val="18"/>
                          </w:rPr>
                        </w:pPr>
                        <w:r>
                          <w:rPr>
                            <w:w w:val="100"/>
                            <w:sz w:val="18"/>
                          </w:rPr>
                          <w:t>高</w:t>
                        </w:r>
                      </w:p>
                    </w:tc>
                    <w:tc>
                      <w:tcPr>
                        <w:tcW w:w="1293" w:type="dxa"/>
                        <w:shd w:val="clear" w:color="auto" w:fill="F1F1F1"/>
                      </w:tcPr>
                      <w:p>
                        <w:pPr>
                          <w:pStyle w:val="TableParagraph"/>
                          <w:spacing w:line="240" w:lineRule="auto" w:before="2"/>
                          <w:jc w:val="left"/>
                          <w:rPr>
                            <w:b/>
                            <w:sz w:val="13"/>
                          </w:rPr>
                        </w:pPr>
                      </w:p>
                      <w:p>
                        <w:pPr>
                          <w:pStyle w:val="TableParagraph"/>
                          <w:spacing w:line="240" w:lineRule="auto"/>
                          <w:ind w:left="23"/>
                          <w:rPr>
                            <w:sz w:val="18"/>
                          </w:rPr>
                        </w:pPr>
                        <w:r>
                          <w:rPr>
                            <w:w w:val="100"/>
                            <w:sz w:val="18"/>
                          </w:rPr>
                          <w:t>低</w:t>
                        </w:r>
                      </w:p>
                    </w:tc>
                    <w:tc>
                      <w:tcPr>
                        <w:tcW w:w="889" w:type="dxa"/>
                        <w:shd w:val="clear" w:color="auto" w:fill="F1F1F1"/>
                      </w:tcPr>
                      <w:p>
                        <w:pPr>
                          <w:pStyle w:val="TableParagraph"/>
                          <w:spacing w:line="240" w:lineRule="auto" w:before="2"/>
                          <w:jc w:val="left"/>
                          <w:rPr>
                            <w:b/>
                            <w:sz w:val="13"/>
                          </w:rPr>
                        </w:pPr>
                      </w:p>
                      <w:p>
                        <w:pPr>
                          <w:pStyle w:val="TableParagraph"/>
                          <w:spacing w:line="240" w:lineRule="auto"/>
                          <w:ind w:left="26"/>
                          <w:rPr>
                            <w:sz w:val="18"/>
                          </w:rPr>
                        </w:pPr>
                        <w:r>
                          <w:rPr>
                            <w:w w:val="100"/>
                            <w:sz w:val="18"/>
                          </w:rPr>
                          <w:t>高</w:t>
                        </w:r>
                      </w:p>
                    </w:tc>
                    <w:tc>
                      <w:tcPr>
                        <w:tcW w:w="687" w:type="dxa"/>
                        <w:shd w:val="clear" w:color="auto" w:fill="F1F1F1"/>
                      </w:tcPr>
                      <w:p>
                        <w:pPr>
                          <w:pStyle w:val="TableParagraph"/>
                          <w:spacing w:line="240" w:lineRule="auto" w:before="2"/>
                          <w:jc w:val="left"/>
                          <w:rPr>
                            <w:b/>
                            <w:sz w:val="13"/>
                          </w:rPr>
                        </w:pPr>
                      </w:p>
                      <w:p>
                        <w:pPr>
                          <w:pStyle w:val="TableParagraph"/>
                          <w:spacing w:line="240" w:lineRule="auto"/>
                          <w:ind w:left="29"/>
                          <w:rPr>
                            <w:sz w:val="18"/>
                          </w:rPr>
                        </w:pPr>
                        <w:r>
                          <w:rPr>
                            <w:w w:val="100"/>
                            <w:sz w:val="18"/>
                          </w:rPr>
                          <w:t>低</w:t>
                        </w:r>
                      </w:p>
                    </w:tc>
                    <w:tc>
                      <w:tcPr>
                        <w:tcW w:w="1242" w:type="dxa"/>
                        <w:shd w:val="clear" w:color="auto" w:fill="F1F1F1"/>
                      </w:tcPr>
                      <w:p>
                        <w:pPr>
                          <w:pStyle w:val="TableParagraph"/>
                          <w:spacing w:line="274" w:lineRule="exact" w:before="133"/>
                          <w:ind w:left="29"/>
                          <w:rPr>
                            <w:sz w:val="18"/>
                          </w:rPr>
                        </w:pPr>
                        <w:r>
                          <w:rPr>
                            <w:sz w:val="18"/>
                          </w:rPr>
                          <w:t>低</w:t>
                        </w:r>
                      </w:p>
                      <w:p>
                        <w:pPr>
                          <w:pStyle w:val="TableParagraph"/>
                          <w:spacing w:line="274" w:lineRule="exact"/>
                          <w:ind w:left="152" w:right="126"/>
                          <w:rPr>
                            <w:sz w:val="18"/>
                          </w:rPr>
                        </w:pPr>
                        <w:r>
                          <w:rPr>
                            <w:sz w:val="18"/>
                          </w:rPr>
                          <w:t>（QPCR）</w:t>
                        </w:r>
                      </w:p>
                    </w:tc>
                    <w:tc>
                      <w:tcPr>
                        <w:tcW w:w="1899" w:type="dxa"/>
                        <w:shd w:val="clear" w:color="auto" w:fill="F1F1F1"/>
                      </w:tcPr>
                      <w:p>
                        <w:pPr>
                          <w:pStyle w:val="TableParagraph"/>
                          <w:spacing w:line="274" w:lineRule="exact" w:before="133"/>
                          <w:ind w:left="29"/>
                          <w:rPr>
                            <w:sz w:val="18"/>
                          </w:rPr>
                        </w:pPr>
                        <w:r>
                          <w:rPr>
                            <w:sz w:val="18"/>
                          </w:rPr>
                          <w:t>低</w:t>
                        </w:r>
                      </w:p>
                      <w:p>
                        <w:pPr>
                          <w:pStyle w:val="TableParagraph"/>
                          <w:spacing w:line="274" w:lineRule="exact"/>
                          <w:ind w:left="124" w:right="95"/>
                          <w:rPr>
                            <w:sz w:val="18"/>
                          </w:rPr>
                        </w:pPr>
                        <w:r>
                          <w:rPr>
                            <w:sz w:val="18"/>
                          </w:rPr>
                          <w:t>（暂未有上市产品）</w:t>
                        </w:r>
                      </w:p>
                    </w:tc>
                    <w:tc>
                      <w:tcPr>
                        <w:tcW w:w="1263" w:type="dxa"/>
                        <w:shd w:val="clear" w:color="auto" w:fill="F1F1F1"/>
                      </w:tcPr>
                      <w:p>
                        <w:pPr>
                          <w:pStyle w:val="TableParagraph"/>
                          <w:spacing w:line="240" w:lineRule="auto" w:before="2"/>
                          <w:jc w:val="left"/>
                          <w:rPr>
                            <w:b/>
                            <w:sz w:val="13"/>
                          </w:rPr>
                        </w:pPr>
                      </w:p>
                      <w:p>
                        <w:pPr>
                          <w:pStyle w:val="TableParagraph"/>
                          <w:spacing w:line="240" w:lineRule="auto"/>
                          <w:ind w:left="167" w:right="134"/>
                          <w:rPr>
                            <w:sz w:val="18"/>
                          </w:rPr>
                        </w:pPr>
                        <w:r>
                          <w:rPr>
                            <w:sz w:val="18"/>
                          </w:rPr>
                          <w:t>初期</w:t>
                        </w:r>
                      </w:p>
                    </w:tc>
                  </w:tr>
                </w:tbl>
                <w:p>
                  <w:pPr>
                    <w:pStyle w:val="BodyText"/>
                  </w:pPr>
                </w:p>
              </w:txbxContent>
            </v:textbox>
            <w10:wrap type="topAndBottom"/>
          </v:shape>
        </w:pict>
      </w:r>
    </w:p>
    <w:p>
      <w:pPr>
        <w:spacing w:after="0"/>
        <w:rPr>
          <w:sz w:val="19"/>
        </w:rPr>
        <w:sectPr>
          <w:headerReference w:type="default" r:id="rId34"/>
          <w:footerReference w:type="default" r:id="rId35"/>
          <w:pgSz w:w="19200" w:h="10800" w:orient="landscape"/>
          <w:pgMar w:header="471" w:footer="218" w:top="1100" w:bottom="400" w:left="0" w:right="0"/>
        </w:sectPr>
      </w:pPr>
    </w:p>
    <w:p>
      <w:pPr>
        <w:pStyle w:val="BodyText"/>
        <w:spacing w:before="18"/>
        <w:rPr>
          <w:b/>
          <w:sz w:val="26"/>
        </w:rPr>
      </w:pPr>
    </w:p>
    <w:p>
      <w:pPr>
        <w:pStyle w:val="Heading3"/>
        <w:jc w:val="both"/>
      </w:pPr>
      <w:r>
        <w:rPr/>
        <w:drawing>
          <wp:anchor distT="0" distB="0" distL="0" distR="0" allowOverlap="1" layoutInCell="1" locked="0" behindDoc="0" simplePos="0" relativeHeight="15747072">
            <wp:simplePos x="0" y="0"/>
            <wp:positionH relativeFrom="page">
              <wp:posOffset>9144</wp:posOffset>
            </wp:positionH>
            <wp:positionV relativeFrom="paragraph">
              <wp:posOffset>-158273</wp:posOffset>
            </wp:positionV>
            <wp:extent cx="12182855" cy="89915"/>
            <wp:effectExtent l="0" t="0" r="0" b="0"/>
            <wp:wrapNone/>
            <wp:docPr id="57" name="image5.png"/>
            <wp:cNvGraphicFramePr>
              <a:graphicFrameLocks noChangeAspect="1"/>
            </wp:cNvGraphicFramePr>
            <a:graphic>
              <a:graphicData uri="http://schemas.openxmlformats.org/drawingml/2006/picture">
                <pic:pic>
                  <pic:nvPicPr>
                    <pic:cNvPr id="58" name="image5.png"/>
                    <pic:cNvPicPr/>
                  </pic:nvPicPr>
                  <pic:blipFill>
                    <a:blip r:embed="rId14" cstate="print"/>
                    <a:stretch>
                      <a:fillRect/>
                    </a:stretch>
                  </pic:blipFill>
                  <pic:spPr>
                    <a:xfrm>
                      <a:off x="0" y="0"/>
                      <a:ext cx="12182855" cy="89915"/>
                    </a:xfrm>
                    <a:prstGeom prst="rect">
                      <a:avLst/>
                    </a:prstGeom>
                  </pic:spPr>
                </pic:pic>
              </a:graphicData>
            </a:graphic>
          </wp:anchor>
        </w:drawing>
      </w:r>
      <w:r>
        <w:rPr>
          <w:rFonts w:ascii="Microsoft YaHei UI Light" w:hAnsi="Microsoft YaHei UI Light" w:eastAsia="Microsoft YaHei UI Light" w:hint="eastAsia"/>
          <w:b w:val="0"/>
          <w:color w:val="00AFEF"/>
        </w:rPr>
        <w:t>┃ </w:t>
      </w:r>
      <w:r>
        <w:rPr>
          <w:color w:val="57585B"/>
        </w:rPr>
        <w:t>阿尔兹海默病传统药物治疗手段有限，市场规模逐步萎缩</w:t>
      </w:r>
    </w:p>
    <w:p>
      <w:pPr>
        <w:pStyle w:val="ListParagraph"/>
        <w:numPr>
          <w:ilvl w:val="1"/>
          <w:numId w:val="5"/>
        </w:numPr>
        <w:tabs>
          <w:tab w:pos="1217" w:val="left" w:leader="none"/>
        </w:tabs>
        <w:spacing w:line="184" w:lineRule="auto" w:before="218" w:after="0"/>
        <w:ind w:left="1216" w:right="2372" w:hanging="284"/>
        <w:jc w:val="both"/>
        <w:rPr>
          <w:sz w:val="28"/>
        </w:rPr>
      </w:pPr>
      <w:r>
        <w:rPr>
          <w:color w:val="57585B"/>
          <w:sz w:val="28"/>
        </w:rPr>
        <w:t>由于阿尔兹海默症发病机理尚未阐明，现有治疗药物主要从改善认知症状和控制精神行为症状两方面进行治疗，主要药物包括胆碱酯酶抑制剂，比如多奈哌齐、利斯的明（卡巴拉汀）、加兰他敏、石杉碱甲等；NMDA受体拮抗剂，比如盐酸美金刚；精</w:t>
      </w:r>
      <w:r>
        <w:rPr>
          <w:color w:val="57585B"/>
          <w:spacing w:val="-4"/>
          <w:sz w:val="28"/>
        </w:rPr>
        <w:t>神行为症状治疗药物主要包括抗精神病用药和</w:t>
      </w:r>
      <w:r>
        <w:rPr>
          <w:color w:val="57585B"/>
          <w:sz w:val="28"/>
        </w:rPr>
        <w:t>5</w:t>
      </w:r>
      <w:r>
        <w:rPr>
          <w:color w:val="57585B"/>
          <w:spacing w:val="-4"/>
          <w:sz w:val="28"/>
        </w:rPr>
        <w:t>-羟色胺类药物。</w:t>
      </w:r>
    </w:p>
    <w:p>
      <w:pPr>
        <w:pStyle w:val="ListParagraph"/>
        <w:numPr>
          <w:ilvl w:val="1"/>
          <w:numId w:val="5"/>
        </w:numPr>
        <w:tabs>
          <w:tab w:pos="1217" w:val="left" w:leader="none"/>
        </w:tabs>
        <w:spacing w:line="187" w:lineRule="auto" w:before="244" w:after="0"/>
        <w:ind w:left="1216" w:right="2097" w:hanging="284"/>
        <w:jc w:val="left"/>
        <w:rPr>
          <w:sz w:val="28"/>
        </w:rPr>
      </w:pPr>
      <w:r>
        <w:rPr>
          <w:color w:val="57585B"/>
          <w:sz w:val="28"/>
        </w:rPr>
        <w:t>2022</w:t>
      </w:r>
      <w:r>
        <w:rPr>
          <w:color w:val="57585B"/>
          <w:spacing w:val="4"/>
          <w:sz w:val="28"/>
        </w:rPr>
        <w:t>年中国</w:t>
      </w:r>
      <w:r>
        <w:rPr>
          <w:color w:val="57585B"/>
          <w:sz w:val="28"/>
        </w:rPr>
        <w:t>AD治疗市场规模约36亿元，同比减少11%，2017-2022</w:t>
      </w:r>
      <w:r>
        <w:rPr>
          <w:color w:val="57585B"/>
          <w:spacing w:val="5"/>
          <w:sz w:val="28"/>
        </w:rPr>
        <w:t>年</w:t>
      </w:r>
      <w:r>
        <w:rPr>
          <w:color w:val="57585B"/>
          <w:sz w:val="28"/>
        </w:rPr>
        <w:t>CAGR为-12%，市场规模持续下滑的主要原因包括：</w:t>
      </w:r>
      <w:r>
        <w:rPr>
          <w:color w:val="57585B"/>
          <w:spacing w:val="3"/>
          <w:sz w:val="28"/>
        </w:rPr>
        <w:t>1） </w:t>
      </w:r>
      <w:r>
        <w:rPr>
          <w:color w:val="57585B"/>
          <w:sz w:val="28"/>
        </w:rPr>
        <w:t>多奈哌齐、美金刚已先后纳入第二轮和第七轮国家集采，产品存在降价压力；2）2019年脑苷肌肽被纳入《第一批国家重点监  控合理用药药品目录》，销售收入快速下降。相较于传统药物，2019年11月绿谷制药的AD新药甘露特纳胶囊上市，2021年顺  </w:t>
      </w:r>
      <w:r>
        <w:rPr>
          <w:color w:val="57585B"/>
          <w:spacing w:val="-3"/>
          <w:sz w:val="28"/>
        </w:rPr>
        <w:t>利完成医保谈判，尽管临床疗效尚存争议，但目前保持较快放量速度，</w:t>
      </w:r>
      <w:r>
        <w:rPr>
          <w:color w:val="57585B"/>
          <w:sz w:val="28"/>
        </w:rPr>
        <w:t>2022</w:t>
      </w:r>
      <w:r>
        <w:rPr>
          <w:color w:val="57585B"/>
          <w:spacing w:val="-3"/>
          <w:sz w:val="28"/>
        </w:rPr>
        <w:t>年销售额达</w:t>
      </w:r>
      <w:r>
        <w:rPr>
          <w:color w:val="57585B"/>
          <w:sz w:val="28"/>
        </w:rPr>
        <w:t>3.29</w:t>
      </w:r>
      <w:r>
        <w:rPr>
          <w:color w:val="57585B"/>
          <w:spacing w:val="-3"/>
          <w:sz w:val="28"/>
        </w:rPr>
        <w:t>亿元，同比增长</w:t>
      </w:r>
      <w:r>
        <w:rPr>
          <w:color w:val="57585B"/>
          <w:sz w:val="28"/>
        </w:rPr>
        <w:t>124%。</w:t>
      </w:r>
    </w:p>
    <w:p>
      <w:pPr>
        <w:spacing w:after="0" w:line="187" w:lineRule="auto"/>
        <w:jc w:val="left"/>
        <w:rPr>
          <w:sz w:val="28"/>
        </w:rPr>
        <w:sectPr>
          <w:headerReference w:type="default" r:id="rId37"/>
          <w:footerReference w:type="default" r:id="rId38"/>
          <w:pgSz w:w="19200" w:h="10800" w:orient="landscape"/>
          <w:pgMar w:header="471" w:footer="173" w:top="1100" w:bottom="360" w:left="0" w:right="0"/>
        </w:sectPr>
      </w:pPr>
    </w:p>
    <w:p>
      <w:pPr>
        <w:pStyle w:val="ListParagraph"/>
        <w:numPr>
          <w:ilvl w:val="0"/>
          <w:numId w:val="6"/>
        </w:numPr>
        <w:tabs>
          <w:tab w:pos="748" w:val="left" w:leader="none"/>
          <w:tab w:pos="749" w:val="left" w:leader="none"/>
        </w:tabs>
        <w:spacing w:line="240" w:lineRule="auto" w:before="41" w:after="0"/>
        <w:ind w:left="748" w:right="0" w:hanging="452"/>
        <w:jc w:val="left"/>
        <w:rPr>
          <w:b/>
          <w:sz w:val="22"/>
        </w:rPr>
      </w:pPr>
      <w:r>
        <w:rPr>
          <w:b/>
          <w:color w:val="0A4EA1"/>
          <w:sz w:val="22"/>
        </w:rPr>
        <w:t>国内已上市的常用AD</w:t>
      </w:r>
      <w:r>
        <w:rPr>
          <w:b/>
          <w:color w:val="0A4EA1"/>
          <w:spacing w:val="-2"/>
          <w:sz w:val="22"/>
        </w:rPr>
        <w:t>治疗药物</w:t>
      </w:r>
    </w:p>
    <w:p>
      <w:pPr>
        <w:pStyle w:val="ListParagraph"/>
        <w:numPr>
          <w:ilvl w:val="1"/>
          <w:numId w:val="6"/>
        </w:numPr>
        <w:tabs>
          <w:tab w:pos="875" w:val="left" w:leader="none"/>
          <w:tab w:pos="876" w:val="left" w:leader="none"/>
        </w:tabs>
        <w:spacing w:line="240" w:lineRule="auto" w:before="41" w:after="0"/>
        <w:ind w:left="876" w:right="0" w:hanging="452"/>
        <w:jc w:val="left"/>
        <w:rPr>
          <w:b/>
          <w:sz w:val="22"/>
        </w:rPr>
      </w:pPr>
      <w:r>
        <w:rPr>
          <w:b/>
          <w:color w:val="0A4EA1"/>
          <w:w w:val="100"/>
          <w:sz w:val="22"/>
        </w:rPr>
        <w:br w:type="column"/>
      </w:r>
      <w:r>
        <w:rPr>
          <w:b/>
          <w:color w:val="0A4EA1"/>
          <w:sz w:val="22"/>
        </w:rPr>
        <w:t>中国AD治疗药物市场规模</w:t>
      </w:r>
    </w:p>
    <w:p>
      <w:pPr>
        <w:spacing w:before="133"/>
        <w:ind w:left="297" w:right="0" w:firstLine="0"/>
        <w:jc w:val="left"/>
        <w:rPr>
          <w:rFonts w:ascii="Times New Roman"/>
          <w:sz w:val="16"/>
        </w:rPr>
      </w:pPr>
      <w:r>
        <w:rPr/>
        <w:pict>
          <v:group style="position:absolute;margin-left:361.079987pt;margin-top:11.30875pt;width:260.6500pt;height:183.25pt;mso-position-horizontal-relative:page;mso-position-vertical-relative:paragraph;z-index:-18045440" coordorigin="7222,226" coordsize="5213,3665">
            <v:shape style="position:absolute;left:7524;top:782;width:4606;height:3060" coordorigin="7524,783" coordsize="4606,3060" path="m7867,783l7524,783,7524,3843,7867,3843,7867,783xm8719,1102l8378,1102,8378,3843,8719,3843,8719,1102xm9571,1066l9230,1066,9230,3843,9571,3843,9571,1066xm10426,1853l10085,1853,10085,3843,10426,3843,10426,1853xm11278,2019l10937,2019,10937,3843,11278,3843,11278,2019xm12130,2218l11789,2218,11789,3843,12130,3843,12130,2218xe" filled="true" fillcolor="#e6121b" stroked="false">
              <v:path arrowok="t"/>
              <v:fill type="solid"/>
            </v:shape>
            <v:shape style="position:absolute;left:7221;top:230;width:5213;height:3660" coordorigin="7222,231" coordsize="5213,3660" path="m12386,3843l12386,231m12386,3843l12434,3843m12386,3327l12434,3327m12386,2811l12434,2811m12386,2295l12434,2295m12386,1779l12434,1779m12386,1263l12434,1263m12386,747l12434,747m12386,231l12434,231m7270,3843l7270,231m7222,3843l7270,3843m7222,3392l7270,3392m7222,2941l7270,2941m7222,2489l7270,2489m7222,2038l7270,2038m7222,1587l7270,1587m7222,1136l7270,1136m7222,682l7270,682m7222,231l7270,231m7270,3843l12386,3843m7270,3843l7270,3891m8122,3843l8122,3891m8976,3843l8976,3891m9828,3843l9828,3891m10680,3843l10680,3891m11534,3843l11534,3891m12386,3843l12386,3891e" filled="false" stroked="true" strokeweight=".48pt" strokecolor="#000000">
              <v:path arrowok="t"/>
              <v:stroke dashstyle="solid"/>
            </v:shape>
            <v:shape style="position:absolute;left:8548;top:564;width:3412;height:3123" coordorigin="8549,564" coordsize="3412,3123" path="m8549,1825l8586,1760,8633,1662,8659,1604,8687,1540,8717,1472,8748,1401,8781,1327,8814,1251,8849,1176,8885,1100,8922,1026,8959,954,8997,885,9035,821,9073,761,9111,708,9149,662,9225,593,9298,564,9333,567,9401,610,9442,669,9483,756,9523,869,9544,933,9564,1003,9584,1077,9604,1155,9625,1238,9645,1324,9665,1414,9686,1506,9706,1600,9726,1697,9747,1795,9767,1895,9787,1995,9807,2096,9828,2197,9848,2298,9868,2398,9889,2498,9909,2596,9929,2692,9950,2786,9970,2877,9990,2965,10011,3051,10031,3132,10051,3210,10071,3283,10092,3351,10112,3414,10132,3471,10173,3568,10214,3638,10279,3687,10304,3685,10380,3626,10430,3545,10480,3436,10505,3373,10530,3305,10555,3232,10580,3154,10605,3074,10631,2990,10656,2904,10681,2816,10706,2728,10731,2638,10756,2548,10781,2459,10806,2371,10831,2285,10856,2200,10881,2119,10906,2041,10932,1967,10957,1897,10982,1832,11007,1773,11057,1674,11107,1605,11160,1557,11214,1526,11320,1506,11374,1514,11480,1558,11534,1590,11587,1626,11640,1666,11693,1706,11747,1746,11800,1784,11853,1818,11907,1846,11960,1867e" filled="false" stroked="true" strokeweight="1.44pt" strokecolor="#0161b9">
              <v:path arrowok="t"/>
              <v:stroke dashstyle="solid"/>
            </v:shape>
            <v:shape style="position:absolute;left:7511;top:516;width:386;height:179" type="#_x0000_t202" filled="false" stroked="false">
              <v:textbox inset="0,0,0,0">
                <w:txbxContent>
                  <w:p>
                    <w:pPr>
                      <w:spacing w:line="178" w:lineRule="exact" w:before="0"/>
                      <w:ind w:left="0" w:right="0" w:firstLine="0"/>
                      <w:jc w:val="left"/>
                      <w:rPr>
                        <w:rFonts w:ascii="Times New Roman"/>
                        <w:sz w:val="16"/>
                      </w:rPr>
                    </w:pPr>
                    <w:r>
                      <w:rPr>
                        <w:rFonts w:ascii="Times New Roman"/>
                        <w:sz w:val="16"/>
                      </w:rPr>
                      <w:t>67.79</w:t>
                    </w:r>
                  </w:p>
                </w:txbxContent>
              </v:textbox>
              <w10:wrap type="none"/>
            </v:shape>
            <v:shape style="position:absolute;left:8364;top:836;width:386;height:179" type="#_x0000_t202" filled="false" stroked="false">
              <v:textbox inset="0,0,0,0">
                <w:txbxContent>
                  <w:p>
                    <w:pPr>
                      <w:spacing w:line="178" w:lineRule="exact" w:before="0"/>
                      <w:ind w:left="0" w:right="0" w:firstLine="0"/>
                      <w:jc w:val="left"/>
                      <w:rPr>
                        <w:rFonts w:ascii="Times New Roman"/>
                        <w:sz w:val="16"/>
                      </w:rPr>
                    </w:pPr>
                    <w:r>
                      <w:rPr>
                        <w:rFonts w:ascii="Times New Roman"/>
                        <w:sz w:val="16"/>
                      </w:rPr>
                      <w:t>60.71</w:t>
                    </w:r>
                  </w:p>
                </w:txbxContent>
              </v:textbox>
              <w10:wrap type="none"/>
            </v:shape>
            <v:shape style="position:absolute;left:9217;top:799;width:386;height:179" type="#_x0000_t202" filled="false" stroked="false">
              <v:textbox inset="0,0,0,0">
                <w:txbxContent>
                  <w:p>
                    <w:pPr>
                      <w:spacing w:line="178" w:lineRule="exact" w:before="0"/>
                      <w:ind w:left="0" w:right="0" w:firstLine="0"/>
                      <w:jc w:val="left"/>
                      <w:rPr>
                        <w:rFonts w:ascii="Times New Roman"/>
                        <w:sz w:val="16"/>
                      </w:rPr>
                    </w:pPr>
                    <w:r>
                      <w:rPr>
                        <w:rFonts w:ascii="Times New Roman"/>
                        <w:sz w:val="16"/>
                      </w:rPr>
                      <w:t>61.52</w:t>
                    </w:r>
                  </w:p>
                </w:txbxContent>
              </v:textbox>
              <w10:wrap type="none"/>
            </v:shape>
            <v:shape style="position:absolute;left:10070;top:1587;width:386;height:179" type="#_x0000_t202" filled="false" stroked="false">
              <v:textbox inset="0,0,0,0">
                <w:txbxContent>
                  <w:p>
                    <w:pPr>
                      <w:spacing w:line="178" w:lineRule="exact" w:before="0"/>
                      <w:ind w:left="0" w:right="0" w:firstLine="0"/>
                      <w:jc w:val="left"/>
                      <w:rPr>
                        <w:rFonts w:ascii="Times New Roman"/>
                        <w:sz w:val="16"/>
                      </w:rPr>
                    </w:pPr>
                    <w:r>
                      <w:rPr>
                        <w:rFonts w:ascii="Times New Roman"/>
                        <w:sz w:val="16"/>
                      </w:rPr>
                      <w:t>44.05</w:t>
                    </w:r>
                  </w:p>
                </w:txbxContent>
              </v:textbox>
              <w10:wrap type="none"/>
            </v:shape>
            <v:shape style="position:absolute;left:10923;top:1753;width:386;height:179" type="#_x0000_t202" filled="false" stroked="false">
              <v:textbox inset="0,0,0,0">
                <w:txbxContent>
                  <w:p>
                    <w:pPr>
                      <w:spacing w:line="178" w:lineRule="exact" w:before="0"/>
                      <w:ind w:left="0" w:right="0" w:firstLine="0"/>
                      <w:jc w:val="left"/>
                      <w:rPr>
                        <w:rFonts w:ascii="Times New Roman"/>
                        <w:sz w:val="16"/>
                      </w:rPr>
                    </w:pPr>
                    <w:r>
                      <w:rPr>
                        <w:rFonts w:ascii="Times New Roman"/>
                        <w:sz w:val="16"/>
                      </w:rPr>
                      <w:t>40.39</w:t>
                    </w:r>
                  </w:p>
                </w:txbxContent>
              </v:textbox>
              <w10:wrap type="none"/>
            </v:shape>
            <v:shape style="position:absolute;left:11776;top:1951;width:386;height:179" type="#_x0000_t202" filled="false" stroked="false">
              <v:textbox inset="0,0,0,0">
                <w:txbxContent>
                  <w:p>
                    <w:pPr>
                      <w:spacing w:line="178" w:lineRule="exact" w:before="0"/>
                      <w:ind w:left="0" w:right="0" w:firstLine="0"/>
                      <w:jc w:val="left"/>
                      <w:rPr>
                        <w:rFonts w:ascii="Times New Roman"/>
                        <w:sz w:val="16"/>
                      </w:rPr>
                    </w:pPr>
                    <w:r>
                      <w:rPr>
                        <w:rFonts w:ascii="Times New Roman"/>
                        <w:sz w:val="16"/>
                      </w:rPr>
                      <w:t>36.01</w:t>
                    </w:r>
                  </w:p>
                </w:txbxContent>
              </v:textbox>
              <w10:wrap type="none"/>
            </v:shape>
            <w10:wrap type="none"/>
          </v:group>
        </w:pict>
      </w:r>
      <w:r>
        <w:rPr/>
        <w:pict>
          <v:shape style="position:absolute;margin-left:7.1769pt;margin-top:5.62875pt;width:327.3pt;height:201.6pt;mso-position-horizontal-relative:page;mso-position-vertical-relative:paragraph;z-index:15753728" type="#_x0000_t202" filled="false" stroked="false">
            <v:textbox inset="0,0,0,0">
              <w:txbxContent>
                <w:tbl>
                  <w:tblPr>
                    <w:tblW w:w="0" w:type="auto"/>
                    <w:jc w:val="left"/>
                    <w:tblInd w:w="10"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CellMar>
                      <w:top w:w="0" w:type="dxa"/>
                      <w:left w:w="0" w:type="dxa"/>
                      <w:bottom w:w="0" w:type="dxa"/>
                      <w:right w:w="0" w:type="dxa"/>
                    </w:tblCellMar>
                    <w:tblLook w:val="01E0"/>
                  </w:tblPr>
                  <w:tblGrid>
                    <w:gridCol w:w="1870"/>
                    <w:gridCol w:w="2204"/>
                    <w:gridCol w:w="1324"/>
                    <w:gridCol w:w="1115"/>
                  </w:tblGrid>
                  <w:tr>
                    <w:trPr>
                      <w:trHeight w:val="381" w:hRule="atLeast"/>
                    </w:trPr>
                    <w:tc>
                      <w:tcPr>
                        <w:tcW w:w="1870" w:type="dxa"/>
                        <w:shd w:val="clear" w:color="auto" w:fill="0A4EA1"/>
                      </w:tcPr>
                      <w:p>
                        <w:pPr>
                          <w:pStyle w:val="TableParagraph"/>
                          <w:spacing w:line="349" w:lineRule="exact" w:before="12"/>
                          <w:ind w:left="88" w:right="70"/>
                          <w:rPr>
                            <w:b/>
                            <w:sz w:val="20"/>
                          </w:rPr>
                        </w:pPr>
                        <w:r>
                          <w:rPr>
                            <w:b/>
                            <w:color w:val="FFFFFF"/>
                            <w:sz w:val="20"/>
                          </w:rPr>
                          <w:t>药物类型</w:t>
                        </w:r>
                      </w:p>
                    </w:tc>
                    <w:tc>
                      <w:tcPr>
                        <w:tcW w:w="2204" w:type="dxa"/>
                        <w:shd w:val="clear" w:color="auto" w:fill="0A4EA1"/>
                      </w:tcPr>
                      <w:p>
                        <w:pPr>
                          <w:pStyle w:val="TableParagraph"/>
                          <w:spacing w:line="349" w:lineRule="exact" w:before="12"/>
                          <w:ind w:left="382" w:right="361"/>
                          <w:rPr>
                            <w:b/>
                            <w:sz w:val="20"/>
                          </w:rPr>
                        </w:pPr>
                        <w:r>
                          <w:rPr>
                            <w:b/>
                            <w:color w:val="FFFFFF"/>
                            <w:sz w:val="20"/>
                          </w:rPr>
                          <w:t>通用名</w:t>
                        </w:r>
                      </w:p>
                    </w:tc>
                    <w:tc>
                      <w:tcPr>
                        <w:tcW w:w="1324" w:type="dxa"/>
                        <w:shd w:val="clear" w:color="auto" w:fill="0A4EA1"/>
                      </w:tcPr>
                      <w:p>
                        <w:pPr>
                          <w:pStyle w:val="TableParagraph"/>
                          <w:spacing w:line="349" w:lineRule="exact" w:before="12"/>
                          <w:ind w:left="196" w:right="172"/>
                          <w:rPr>
                            <w:b/>
                            <w:sz w:val="20"/>
                          </w:rPr>
                        </w:pPr>
                        <w:r>
                          <w:rPr>
                            <w:b/>
                            <w:color w:val="FFFFFF"/>
                            <w:sz w:val="20"/>
                          </w:rPr>
                          <w:t>适应症</w:t>
                        </w:r>
                      </w:p>
                    </w:tc>
                    <w:tc>
                      <w:tcPr>
                        <w:tcW w:w="1115" w:type="dxa"/>
                        <w:shd w:val="clear" w:color="auto" w:fill="0A4EA1"/>
                      </w:tcPr>
                      <w:p>
                        <w:pPr>
                          <w:pStyle w:val="TableParagraph"/>
                          <w:spacing w:line="349" w:lineRule="exact" w:before="12"/>
                          <w:ind w:left="140" w:right="115"/>
                          <w:rPr>
                            <w:b/>
                            <w:sz w:val="20"/>
                          </w:rPr>
                        </w:pPr>
                        <w:r>
                          <w:rPr>
                            <w:b/>
                            <w:color w:val="FFFFFF"/>
                            <w:sz w:val="20"/>
                          </w:rPr>
                          <w:t>给药途径</w:t>
                        </w:r>
                      </w:p>
                    </w:tc>
                  </w:tr>
                  <w:tr>
                    <w:trPr>
                      <w:trHeight w:val="381" w:hRule="atLeast"/>
                    </w:trPr>
                    <w:tc>
                      <w:tcPr>
                        <w:tcW w:w="1870" w:type="dxa"/>
                        <w:vMerge w:val="restart"/>
                      </w:tcPr>
                      <w:p>
                        <w:pPr>
                          <w:pStyle w:val="TableParagraph"/>
                          <w:spacing w:line="240" w:lineRule="auto"/>
                          <w:jc w:val="left"/>
                          <w:rPr>
                            <w:sz w:val="26"/>
                          </w:rPr>
                        </w:pPr>
                      </w:p>
                      <w:p>
                        <w:pPr>
                          <w:pStyle w:val="TableParagraph"/>
                          <w:spacing w:line="240" w:lineRule="auto" w:before="3"/>
                          <w:jc w:val="left"/>
                          <w:rPr>
                            <w:sz w:val="18"/>
                          </w:rPr>
                        </w:pPr>
                      </w:p>
                      <w:p>
                        <w:pPr>
                          <w:pStyle w:val="TableParagraph"/>
                          <w:spacing w:line="240" w:lineRule="auto"/>
                          <w:ind w:left="238"/>
                          <w:jc w:val="left"/>
                          <w:rPr>
                            <w:sz w:val="20"/>
                          </w:rPr>
                        </w:pPr>
                        <w:r>
                          <w:rPr>
                            <w:sz w:val="20"/>
                          </w:rPr>
                          <w:t>胆碱酯酶抑制剂</w:t>
                        </w:r>
                      </w:p>
                    </w:tc>
                    <w:tc>
                      <w:tcPr>
                        <w:tcW w:w="2204" w:type="dxa"/>
                      </w:tcPr>
                      <w:p>
                        <w:pPr>
                          <w:pStyle w:val="TableParagraph"/>
                          <w:spacing w:line="349" w:lineRule="exact" w:before="12"/>
                          <w:ind w:left="380" w:right="361"/>
                          <w:rPr>
                            <w:sz w:val="20"/>
                          </w:rPr>
                        </w:pPr>
                        <w:r>
                          <w:rPr>
                            <w:sz w:val="20"/>
                          </w:rPr>
                          <w:t>石杉碱甲</w:t>
                        </w:r>
                      </w:p>
                    </w:tc>
                    <w:tc>
                      <w:tcPr>
                        <w:tcW w:w="1324" w:type="dxa"/>
                      </w:tcPr>
                      <w:p>
                        <w:pPr>
                          <w:pStyle w:val="TableParagraph"/>
                          <w:spacing w:line="349" w:lineRule="exact" w:before="12"/>
                          <w:ind w:left="196" w:right="174"/>
                          <w:rPr>
                            <w:sz w:val="20"/>
                          </w:rPr>
                        </w:pPr>
                        <w:r>
                          <w:rPr>
                            <w:sz w:val="20"/>
                          </w:rPr>
                          <w:t>轻中度AD</w:t>
                        </w:r>
                      </w:p>
                    </w:tc>
                    <w:tc>
                      <w:tcPr>
                        <w:tcW w:w="1115" w:type="dxa"/>
                      </w:tcPr>
                      <w:p>
                        <w:pPr>
                          <w:pStyle w:val="TableParagraph"/>
                          <w:spacing w:line="349" w:lineRule="exact" w:before="12"/>
                          <w:ind w:left="140" w:right="115"/>
                          <w:rPr>
                            <w:sz w:val="20"/>
                          </w:rPr>
                        </w:pPr>
                        <w:r>
                          <w:rPr>
                            <w:sz w:val="20"/>
                          </w:rPr>
                          <w:t>口服</w:t>
                        </w:r>
                      </w:p>
                    </w:tc>
                  </w:tr>
                  <w:tr>
                    <w:trPr>
                      <w:trHeight w:val="380" w:hRule="atLeast"/>
                    </w:trPr>
                    <w:tc>
                      <w:tcPr>
                        <w:tcW w:w="1870" w:type="dxa"/>
                        <w:vMerge/>
                        <w:tcBorders>
                          <w:top w:val="nil"/>
                        </w:tcBorders>
                      </w:tcPr>
                      <w:p>
                        <w:pPr>
                          <w:rPr>
                            <w:sz w:val="2"/>
                            <w:szCs w:val="2"/>
                          </w:rPr>
                        </w:pPr>
                      </w:p>
                    </w:tc>
                    <w:tc>
                      <w:tcPr>
                        <w:tcW w:w="2204" w:type="dxa"/>
                      </w:tcPr>
                      <w:p>
                        <w:pPr>
                          <w:pStyle w:val="TableParagraph"/>
                          <w:spacing w:line="349" w:lineRule="exact" w:before="12"/>
                          <w:ind w:left="380" w:right="361"/>
                          <w:rPr>
                            <w:sz w:val="20"/>
                          </w:rPr>
                        </w:pPr>
                        <w:r>
                          <w:rPr>
                            <w:sz w:val="20"/>
                          </w:rPr>
                          <w:t>多奈哌齐</w:t>
                        </w:r>
                      </w:p>
                    </w:tc>
                    <w:tc>
                      <w:tcPr>
                        <w:tcW w:w="1324" w:type="dxa"/>
                      </w:tcPr>
                      <w:p>
                        <w:pPr>
                          <w:pStyle w:val="TableParagraph"/>
                          <w:spacing w:line="349" w:lineRule="exact" w:before="12"/>
                          <w:ind w:left="196" w:right="174"/>
                          <w:rPr>
                            <w:sz w:val="20"/>
                          </w:rPr>
                        </w:pPr>
                        <w:r>
                          <w:rPr>
                            <w:sz w:val="20"/>
                          </w:rPr>
                          <w:t>轻中度AD</w:t>
                        </w:r>
                      </w:p>
                    </w:tc>
                    <w:tc>
                      <w:tcPr>
                        <w:tcW w:w="1115" w:type="dxa"/>
                      </w:tcPr>
                      <w:p>
                        <w:pPr>
                          <w:pStyle w:val="TableParagraph"/>
                          <w:spacing w:line="349" w:lineRule="exact" w:before="12"/>
                          <w:ind w:left="140" w:right="115"/>
                          <w:rPr>
                            <w:sz w:val="20"/>
                          </w:rPr>
                        </w:pPr>
                        <w:r>
                          <w:rPr>
                            <w:sz w:val="20"/>
                          </w:rPr>
                          <w:t>口服</w:t>
                        </w:r>
                      </w:p>
                    </w:tc>
                  </w:tr>
                  <w:tr>
                    <w:trPr>
                      <w:trHeight w:val="381" w:hRule="atLeast"/>
                    </w:trPr>
                    <w:tc>
                      <w:tcPr>
                        <w:tcW w:w="1870" w:type="dxa"/>
                        <w:vMerge/>
                        <w:tcBorders>
                          <w:top w:val="nil"/>
                        </w:tcBorders>
                      </w:tcPr>
                      <w:p>
                        <w:pPr>
                          <w:rPr>
                            <w:sz w:val="2"/>
                            <w:szCs w:val="2"/>
                          </w:rPr>
                        </w:pPr>
                      </w:p>
                    </w:tc>
                    <w:tc>
                      <w:tcPr>
                        <w:tcW w:w="2204" w:type="dxa"/>
                        <w:vMerge w:val="restart"/>
                      </w:tcPr>
                      <w:p>
                        <w:pPr>
                          <w:pStyle w:val="TableParagraph"/>
                          <w:spacing w:line="240" w:lineRule="auto" w:before="213"/>
                          <w:ind w:left="105"/>
                          <w:jc w:val="left"/>
                          <w:rPr>
                            <w:sz w:val="20"/>
                          </w:rPr>
                        </w:pPr>
                        <w:r>
                          <w:rPr>
                            <w:sz w:val="20"/>
                          </w:rPr>
                          <w:t>利斯的明（卡巴拉汀）</w:t>
                        </w:r>
                      </w:p>
                    </w:tc>
                    <w:tc>
                      <w:tcPr>
                        <w:tcW w:w="1324" w:type="dxa"/>
                        <w:vMerge w:val="restart"/>
                      </w:tcPr>
                      <w:p>
                        <w:pPr>
                          <w:pStyle w:val="TableParagraph"/>
                          <w:spacing w:line="240" w:lineRule="auto" w:before="213"/>
                          <w:ind w:left="219"/>
                          <w:jc w:val="left"/>
                          <w:rPr>
                            <w:sz w:val="20"/>
                          </w:rPr>
                        </w:pPr>
                        <w:r>
                          <w:rPr>
                            <w:sz w:val="20"/>
                          </w:rPr>
                          <w:t>轻中度AD</w:t>
                        </w:r>
                      </w:p>
                    </w:tc>
                    <w:tc>
                      <w:tcPr>
                        <w:tcW w:w="1115" w:type="dxa"/>
                      </w:tcPr>
                      <w:p>
                        <w:pPr>
                          <w:pStyle w:val="TableParagraph"/>
                          <w:spacing w:line="349" w:lineRule="exact" w:before="12"/>
                          <w:ind w:left="140" w:right="115"/>
                          <w:rPr>
                            <w:sz w:val="20"/>
                          </w:rPr>
                        </w:pPr>
                        <w:r>
                          <w:rPr>
                            <w:sz w:val="20"/>
                          </w:rPr>
                          <w:t>口服</w:t>
                        </w:r>
                      </w:p>
                    </w:tc>
                  </w:tr>
                  <w:tr>
                    <w:trPr>
                      <w:trHeight w:val="381" w:hRule="atLeast"/>
                    </w:trPr>
                    <w:tc>
                      <w:tcPr>
                        <w:tcW w:w="1870" w:type="dxa"/>
                        <w:vMerge/>
                        <w:tcBorders>
                          <w:top w:val="nil"/>
                        </w:tcBorders>
                      </w:tcPr>
                      <w:p>
                        <w:pPr>
                          <w:rPr>
                            <w:sz w:val="2"/>
                            <w:szCs w:val="2"/>
                          </w:rPr>
                        </w:pPr>
                      </w:p>
                    </w:tc>
                    <w:tc>
                      <w:tcPr>
                        <w:tcW w:w="2204" w:type="dxa"/>
                        <w:vMerge/>
                        <w:tcBorders>
                          <w:top w:val="nil"/>
                        </w:tcBorders>
                      </w:tcPr>
                      <w:p>
                        <w:pPr>
                          <w:rPr>
                            <w:sz w:val="2"/>
                            <w:szCs w:val="2"/>
                          </w:rPr>
                        </w:pPr>
                      </w:p>
                    </w:tc>
                    <w:tc>
                      <w:tcPr>
                        <w:tcW w:w="1324" w:type="dxa"/>
                        <w:vMerge/>
                        <w:tcBorders>
                          <w:top w:val="nil"/>
                        </w:tcBorders>
                      </w:tcPr>
                      <w:p>
                        <w:pPr>
                          <w:rPr>
                            <w:sz w:val="2"/>
                            <w:szCs w:val="2"/>
                          </w:rPr>
                        </w:pPr>
                      </w:p>
                    </w:tc>
                    <w:tc>
                      <w:tcPr>
                        <w:tcW w:w="1115" w:type="dxa"/>
                      </w:tcPr>
                      <w:p>
                        <w:pPr>
                          <w:pStyle w:val="TableParagraph"/>
                          <w:spacing w:line="348" w:lineRule="exact" w:before="13"/>
                          <w:ind w:left="140" w:right="115"/>
                          <w:rPr>
                            <w:sz w:val="20"/>
                          </w:rPr>
                        </w:pPr>
                        <w:r>
                          <w:rPr>
                            <w:sz w:val="20"/>
                          </w:rPr>
                          <w:t>贴片</w:t>
                        </w:r>
                      </w:p>
                    </w:tc>
                  </w:tr>
                  <w:tr>
                    <w:trPr>
                      <w:trHeight w:val="381" w:hRule="atLeast"/>
                    </w:trPr>
                    <w:tc>
                      <w:tcPr>
                        <w:tcW w:w="1870" w:type="dxa"/>
                        <w:vMerge/>
                        <w:tcBorders>
                          <w:top w:val="nil"/>
                        </w:tcBorders>
                      </w:tcPr>
                      <w:p>
                        <w:pPr>
                          <w:rPr>
                            <w:sz w:val="2"/>
                            <w:szCs w:val="2"/>
                          </w:rPr>
                        </w:pPr>
                      </w:p>
                    </w:tc>
                    <w:tc>
                      <w:tcPr>
                        <w:tcW w:w="2204" w:type="dxa"/>
                      </w:tcPr>
                      <w:p>
                        <w:pPr>
                          <w:pStyle w:val="TableParagraph"/>
                          <w:spacing w:line="348" w:lineRule="exact" w:before="13"/>
                          <w:ind w:left="380" w:right="361"/>
                          <w:rPr>
                            <w:sz w:val="20"/>
                          </w:rPr>
                        </w:pPr>
                        <w:r>
                          <w:rPr>
                            <w:sz w:val="20"/>
                          </w:rPr>
                          <w:t>加兰他敏</w:t>
                        </w:r>
                      </w:p>
                    </w:tc>
                    <w:tc>
                      <w:tcPr>
                        <w:tcW w:w="1324" w:type="dxa"/>
                      </w:tcPr>
                      <w:p>
                        <w:pPr>
                          <w:pStyle w:val="TableParagraph"/>
                          <w:spacing w:line="348" w:lineRule="exact" w:before="13"/>
                          <w:ind w:left="196" w:right="174"/>
                          <w:rPr>
                            <w:sz w:val="20"/>
                          </w:rPr>
                        </w:pPr>
                        <w:r>
                          <w:rPr>
                            <w:sz w:val="20"/>
                          </w:rPr>
                          <w:t>轻中度AD</w:t>
                        </w:r>
                      </w:p>
                    </w:tc>
                    <w:tc>
                      <w:tcPr>
                        <w:tcW w:w="1115" w:type="dxa"/>
                      </w:tcPr>
                      <w:p>
                        <w:pPr>
                          <w:pStyle w:val="TableParagraph"/>
                          <w:spacing w:line="348" w:lineRule="exact" w:before="13"/>
                          <w:ind w:left="140" w:right="115"/>
                          <w:rPr>
                            <w:sz w:val="20"/>
                          </w:rPr>
                        </w:pPr>
                        <w:r>
                          <w:rPr>
                            <w:sz w:val="20"/>
                          </w:rPr>
                          <w:t>口服</w:t>
                        </w:r>
                      </w:p>
                    </w:tc>
                  </w:tr>
                  <w:tr>
                    <w:trPr>
                      <w:trHeight w:val="381" w:hRule="atLeast"/>
                    </w:trPr>
                    <w:tc>
                      <w:tcPr>
                        <w:tcW w:w="1870" w:type="dxa"/>
                      </w:tcPr>
                      <w:p>
                        <w:pPr>
                          <w:pStyle w:val="TableParagraph"/>
                          <w:spacing w:line="348" w:lineRule="exact" w:before="13"/>
                          <w:ind w:left="88" w:right="70"/>
                          <w:rPr>
                            <w:sz w:val="20"/>
                          </w:rPr>
                        </w:pPr>
                        <w:r>
                          <w:rPr>
                            <w:sz w:val="20"/>
                          </w:rPr>
                          <w:t>NMDA受体拮抗剂</w:t>
                        </w:r>
                      </w:p>
                    </w:tc>
                    <w:tc>
                      <w:tcPr>
                        <w:tcW w:w="2204" w:type="dxa"/>
                      </w:tcPr>
                      <w:p>
                        <w:pPr>
                          <w:pStyle w:val="TableParagraph"/>
                          <w:spacing w:line="348" w:lineRule="exact" w:before="13"/>
                          <w:ind w:left="382" w:right="361"/>
                          <w:rPr>
                            <w:sz w:val="20"/>
                          </w:rPr>
                        </w:pPr>
                        <w:r>
                          <w:rPr>
                            <w:sz w:val="20"/>
                          </w:rPr>
                          <w:t>盐酸美金刚</w:t>
                        </w:r>
                      </w:p>
                    </w:tc>
                    <w:tc>
                      <w:tcPr>
                        <w:tcW w:w="1324" w:type="dxa"/>
                      </w:tcPr>
                      <w:p>
                        <w:pPr>
                          <w:pStyle w:val="TableParagraph"/>
                          <w:spacing w:line="348" w:lineRule="exact" w:before="13"/>
                          <w:ind w:left="196" w:right="174"/>
                          <w:rPr>
                            <w:sz w:val="20"/>
                          </w:rPr>
                        </w:pPr>
                        <w:r>
                          <w:rPr>
                            <w:sz w:val="20"/>
                          </w:rPr>
                          <w:t>中重度AD</w:t>
                        </w:r>
                      </w:p>
                    </w:tc>
                    <w:tc>
                      <w:tcPr>
                        <w:tcW w:w="1115" w:type="dxa"/>
                      </w:tcPr>
                      <w:p>
                        <w:pPr>
                          <w:pStyle w:val="TableParagraph"/>
                          <w:spacing w:line="348" w:lineRule="exact" w:before="13"/>
                          <w:ind w:left="140" w:right="115"/>
                          <w:rPr>
                            <w:sz w:val="20"/>
                          </w:rPr>
                        </w:pPr>
                        <w:r>
                          <w:rPr>
                            <w:sz w:val="20"/>
                          </w:rPr>
                          <w:t>口服</w:t>
                        </w:r>
                      </w:p>
                    </w:tc>
                  </w:tr>
                  <w:tr>
                    <w:trPr>
                      <w:trHeight w:val="381" w:hRule="atLeast"/>
                    </w:trPr>
                    <w:tc>
                      <w:tcPr>
                        <w:tcW w:w="1870" w:type="dxa"/>
                        <w:vMerge w:val="restart"/>
                      </w:tcPr>
                      <w:p>
                        <w:pPr>
                          <w:pStyle w:val="TableParagraph"/>
                          <w:spacing w:line="240" w:lineRule="auto" w:before="213"/>
                          <w:ind w:left="88" w:right="70"/>
                          <w:rPr>
                            <w:sz w:val="20"/>
                          </w:rPr>
                        </w:pPr>
                        <w:r>
                          <w:rPr>
                            <w:sz w:val="20"/>
                          </w:rPr>
                          <w:t>其他</w:t>
                        </w:r>
                      </w:p>
                    </w:tc>
                    <w:tc>
                      <w:tcPr>
                        <w:tcW w:w="2204" w:type="dxa"/>
                      </w:tcPr>
                      <w:p>
                        <w:pPr>
                          <w:pStyle w:val="TableParagraph"/>
                          <w:spacing w:line="348" w:lineRule="exact" w:before="12"/>
                          <w:ind w:left="380" w:right="361"/>
                          <w:rPr>
                            <w:sz w:val="20"/>
                          </w:rPr>
                        </w:pPr>
                        <w:r>
                          <w:rPr>
                            <w:sz w:val="20"/>
                          </w:rPr>
                          <w:t>甘露特纳胶囊</w:t>
                        </w:r>
                      </w:p>
                    </w:tc>
                    <w:tc>
                      <w:tcPr>
                        <w:tcW w:w="1324" w:type="dxa"/>
                      </w:tcPr>
                      <w:p>
                        <w:pPr>
                          <w:pStyle w:val="TableParagraph"/>
                          <w:spacing w:line="348" w:lineRule="exact" w:before="12"/>
                          <w:ind w:left="196" w:right="174"/>
                          <w:rPr>
                            <w:sz w:val="20"/>
                          </w:rPr>
                        </w:pPr>
                        <w:r>
                          <w:rPr>
                            <w:sz w:val="20"/>
                          </w:rPr>
                          <w:t>轻中度AD</w:t>
                        </w:r>
                      </w:p>
                    </w:tc>
                    <w:tc>
                      <w:tcPr>
                        <w:tcW w:w="1115" w:type="dxa"/>
                      </w:tcPr>
                      <w:p>
                        <w:pPr>
                          <w:pStyle w:val="TableParagraph"/>
                          <w:spacing w:line="348" w:lineRule="exact" w:before="12"/>
                          <w:ind w:left="140" w:right="115"/>
                          <w:rPr>
                            <w:sz w:val="20"/>
                          </w:rPr>
                        </w:pPr>
                        <w:r>
                          <w:rPr>
                            <w:sz w:val="20"/>
                          </w:rPr>
                          <w:t>口服</w:t>
                        </w:r>
                      </w:p>
                    </w:tc>
                  </w:tr>
                  <w:tr>
                    <w:trPr>
                      <w:trHeight w:val="381" w:hRule="atLeast"/>
                    </w:trPr>
                    <w:tc>
                      <w:tcPr>
                        <w:tcW w:w="1870" w:type="dxa"/>
                        <w:vMerge/>
                        <w:tcBorders>
                          <w:top w:val="nil"/>
                        </w:tcBorders>
                      </w:tcPr>
                      <w:p>
                        <w:pPr>
                          <w:rPr>
                            <w:sz w:val="2"/>
                            <w:szCs w:val="2"/>
                          </w:rPr>
                        </w:pPr>
                      </w:p>
                    </w:tc>
                    <w:tc>
                      <w:tcPr>
                        <w:tcW w:w="2204" w:type="dxa"/>
                      </w:tcPr>
                      <w:p>
                        <w:pPr>
                          <w:pStyle w:val="TableParagraph"/>
                          <w:spacing w:line="348" w:lineRule="exact" w:before="13"/>
                          <w:ind w:left="382" w:right="361"/>
                          <w:rPr>
                            <w:sz w:val="20"/>
                          </w:rPr>
                        </w:pPr>
                        <w:r>
                          <w:rPr>
                            <w:sz w:val="20"/>
                          </w:rPr>
                          <w:t>银杏叶提取物片</w:t>
                        </w:r>
                      </w:p>
                    </w:tc>
                    <w:tc>
                      <w:tcPr>
                        <w:tcW w:w="1324" w:type="dxa"/>
                      </w:tcPr>
                      <w:p>
                        <w:pPr>
                          <w:pStyle w:val="TableParagraph"/>
                          <w:spacing w:line="348" w:lineRule="exact" w:before="13"/>
                          <w:ind w:left="196" w:right="174"/>
                          <w:rPr>
                            <w:sz w:val="20"/>
                          </w:rPr>
                        </w:pPr>
                        <w:r>
                          <w:rPr>
                            <w:sz w:val="20"/>
                          </w:rPr>
                          <w:t>轻中度AD</w:t>
                        </w:r>
                      </w:p>
                    </w:tc>
                    <w:tc>
                      <w:tcPr>
                        <w:tcW w:w="1115" w:type="dxa"/>
                      </w:tcPr>
                      <w:p>
                        <w:pPr>
                          <w:pStyle w:val="TableParagraph"/>
                          <w:spacing w:line="348" w:lineRule="exact" w:before="13"/>
                          <w:ind w:left="140" w:right="115"/>
                          <w:rPr>
                            <w:sz w:val="20"/>
                          </w:rPr>
                        </w:pPr>
                        <w:r>
                          <w:rPr>
                            <w:sz w:val="20"/>
                          </w:rPr>
                          <w:t>口服</w:t>
                        </w:r>
                      </w:p>
                    </w:tc>
                  </w:tr>
                  <w:tr>
                    <w:trPr>
                      <w:trHeight w:val="381" w:hRule="atLeast"/>
                    </w:trPr>
                    <w:tc>
                      <w:tcPr>
                        <w:tcW w:w="4074" w:type="dxa"/>
                        <w:gridSpan w:val="2"/>
                      </w:tcPr>
                      <w:p>
                        <w:pPr>
                          <w:pStyle w:val="TableParagraph"/>
                          <w:spacing w:line="348" w:lineRule="exact" w:before="13"/>
                          <w:ind w:left="1618" w:right="1595"/>
                          <w:rPr>
                            <w:sz w:val="20"/>
                          </w:rPr>
                        </w:pPr>
                        <w:r>
                          <w:rPr>
                            <w:sz w:val="20"/>
                          </w:rPr>
                          <w:t>联合用药</w:t>
                        </w:r>
                      </w:p>
                    </w:tc>
                    <w:tc>
                      <w:tcPr>
                        <w:tcW w:w="1324" w:type="dxa"/>
                      </w:tcPr>
                      <w:p>
                        <w:pPr>
                          <w:pStyle w:val="TableParagraph"/>
                          <w:spacing w:line="348" w:lineRule="exact" w:before="13"/>
                          <w:ind w:left="196" w:right="174"/>
                          <w:rPr>
                            <w:sz w:val="20"/>
                          </w:rPr>
                        </w:pPr>
                        <w:r>
                          <w:rPr>
                            <w:sz w:val="20"/>
                          </w:rPr>
                          <w:t>中重度AD</w:t>
                        </w:r>
                      </w:p>
                    </w:tc>
                    <w:tc>
                      <w:tcPr>
                        <w:tcW w:w="1115" w:type="dxa"/>
                      </w:tcPr>
                      <w:p>
                        <w:pPr>
                          <w:pStyle w:val="TableParagraph"/>
                          <w:spacing w:line="348" w:lineRule="exact" w:before="13"/>
                          <w:ind w:left="140" w:right="115"/>
                          <w:rPr>
                            <w:sz w:val="20"/>
                          </w:rPr>
                        </w:pPr>
                        <w:r>
                          <w:rPr>
                            <w:sz w:val="20"/>
                          </w:rPr>
                          <w:t>口服</w:t>
                        </w:r>
                      </w:p>
                    </w:tc>
                  </w:tr>
                </w:tbl>
                <w:p>
                  <w:pPr>
                    <w:pStyle w:val="BodyText"/>
                  </w:pPr>
                </w:p>
              </w:txbxContent>
            </v:textbox>
            <w10:wrap type="none"/>
          </v:shape>
        </w:pict>
      </w:r>
      <w:r>
        <w:rPr>
          <w:rFonts w:ascii="Times New Roman"/>
          <w:sz w:val="16"/>
        </w:rPr>
        <w:t>80</w:t>
      </w:r>
    </w:p>
    <w:p>
      <w:pPr>
        <w:pStyle w:val="BodyText"/>
        <w:spacing w:before="3"/>
        <w:rPr>
          <w:rFonts w:ascii="Times New Roman"/>
          <w:sz w:val="23"/>
        </w:rPr>
      </w:pPr>
    </w:p>
    <w:p>
      <w:pPr>
        <w:spacing w:before="0"/>
        <w:ind w:left="297" w:right="0" w:firstLine="0"/>
        <w:jc w:val="left"/>
        <w:rPr>
          <w:rFonts w:ascii="Times New Roman"/>
          <w:sz w:val="16"/>
        </w:rPr>
      </w:pPr>
      <w:r>
        <w:rPr>
          <w:rFonts w:ascii="Times New Roman"/>
          <w:sz w:val="16"/>
        </w:rPr>
        <w:t>70</w:t>
      </w:r>
    </w:p>
    <w:p>
      <w:pPr>
        <w:pStyle w:val="BodyText"/>
        <w:spacing w:before="3"/>
        <w:rPr>
          <w:rFonts w:ascii="Times New Roman"/>
          <w:sz w:val="23"/>
        </w:rPr>
      </w:pPr>
    </w:p>
    <w:p>
      <w:pPr>
        <w:spacing w:before="0"/>
        <w:ind w:left="297" w:right="0" w:firstLine="0"/>
        <w:jc w:val="left"/>
        <w:rPr>
          <w:rFonts w:ascii="Times New Roman"/>
          <w:sz w:val="16"/>
        </w:rPr>
      </w:pPr>
      <w:r>
        <w:rPr>
          <w:rFonts w:ascii="Times New Roman"/>
          <w:sz w:val="16"/>
        </w:rPr>
        <w:t>60</w:t>
      </w:r>
    </w:p>
    <w:p>
      <w:pPr>
        <w:pStyle w:val="BodyText"/>
        <w:spacing w:before="2"/>
        <w:rPr>
          <w:rFonts w:ascii="Times New Roman"/>
          <w:sz w:val="23"/>
        </w:rPr>
      </w:pPr>
    </w:p>
    <w:p>
      <w:pPr>
        <w:spacing w:line="120" w:lineRule="exact" w:before="1"/>
        <w:ind w:left="297" w:right="0" w:firstLine="0"/>
        <w:jc w:val="left"/>
        <w:rPr>
          <w:rFonts w:ascii="Times New Roman"/>
          <w:sz w:val="16"/>
        </w:rPr>
      </w:pPr>
      <w:r>
        <w:rPr/>
        <w:pict>
          <v:group style="position:absolute;margin-left:665.039978pt;margin-top:-61.191246pt;width:287.55pt;height:181.6pt;mso-position-horizontal-relative:page;mso-position-vertical-relative:paragraph;z-index:15749120" coordorigin="13301,-1224" coordsize="5751,3632">
            <v:rect style="position:absolute;left:13632;top:2018;width:382;height:344" filled="true" fillcolor="#e6121b" stroked="false">
              <v:fill type="solid"/>
            </v:rect>
            <v:rect style="position:absolute;left:13632;top:2018;width:382;height:344" filled="false" stroked="true" strokeweight="1.44pt" strokecolor="#e6121b">
              <v:stroke dashstyle="solid"/>
            </v:rect>
            <v:rect style="position:absolute;left:13632;top:-449;width:382;height:2468" filled="true" fillcolor="#0161b9" stroked="false">
              <v:fill type="solid"/>
            </v:rect>
            <v:rect style="position:absolute;left:13632;top:-449;width:382;height:2468" filled="false" stroked="true" strokeweight="1.44pt" strokecolor="#0161b9">
              <v:stroke dashstyle="solid"/>
            </v:rect>
            <v:rect style="position:absolute;left:13632;top:-905;width:382;height:456" filled="true" fillcolor="#e6b8b8" stroked="false">
              <v:fill type="solid"/>
            </v:rect>
            <v:rect style="position:absolute;left:13632;top:-905;width:382;height:456" filled="false" stroked="true" strokeweight=".72pt" strokecolor="#e6b8b8">
              <v:stroke dashstyle="solid"/>
            </v:rect>
            <v:rect style="position:absolute;left:13632;top:-984;width:382;height:80" filled="true" fillcolor="#b7dee8" stroked="false">
              <v:fill type="solid"/>
            </v:rect>
            <v:rect style="position:absolute;left:13632;top:-1174;width:382;height:190" filled="true" fillcolor="#db843c" stroked="false">
              <v:fill type="solid"/>
            </v:rect>
            <v:rect style="position:absolute;left:13632;top:-1217;width:382;height:44" filled="true" fillcolor="#92a9cf" stroked="false">
              <v:fill type="solid"/>
            </v:rect>
            <v:rect style="position:absolute;left:13632;top:-1220;width:382;height:3" filled="true" fillcolor="#d19292" stroked="false">
              <v:fill type="solid"/>
            </v:rect>
            <v:rect style="position:absolute;left:14582;top:1884;width:380;height:478" filled="true" fillcolor="#e6121b" stroked="false">
              <v:fill type="solid"/>
            </v:rect>
            <v:rect style="position:absolute;left:14582;top:1884;width:380;height:478" filled="false" stroked="true" strokeweight="1.44pt" strokecolor="#e6121b">
              <v:stroke dashstyle="solid"/>
            </v:rect>
            <v:rect style="position:absolute;left:14582;top:-228;width:380;height:2112" filled="true" fillcolor="#0161b9" stroked="false">
              <v:fill type="solid"/>
            </v:rect>
            <v:rect style="position:absolute;left:14582;top:-228;width:380;height:2112" filled="false" stroked="true" strokeweight="1.44pt" strokecolor="#0161b9">
              <v:stroke dashstyle="solid"/>
            </v:rect>
            <v:rect style="position:absolute;left:14582;top:-828;width:380;height:600" filled="true" fillcolor="#e6b8b8" stroked="false">
              <v:fill type="solid"/>
            </v:rect>
            <v:rect style="position:absolute;left:14582;top:-828;width:380;height:600" filled="false" stroked="true" strokeweight=".72pt" strokecolor="#e6b8b8">
              <v:stroke dashstyle="solid"/>
            </v:rect>
            <v:rect style="position:absolute;left:14582;top:-915;width:380;height:87" filled="true" fillcolor="#b7dee8" stroked="false">
              <v:fill type="solid"/>
            </v:rect>
            <v:rect style="position:absolute;left:14582;top:-1174;width:380;height:260" filled="true" fillcolor="#db843c" stroked="false">
              <v:fill type="solid"/>
            </v:rect>
            <v:rect style="position:absolute;left:14582;top:-1217;width:380;height:44" filled="true" fillcolor="#92a9cf" stroked="false">
              <v:fill type="solid"/>
            </v:rect>
            <v:rect style="position:absolute;left:14582;top:-1220;width:380;height:3" filled="true" fillcolor="#d19292" stroked="false">
              <v:fill type="solid"/>
            </v:rect>
            <v:rect style="position:absolute;left:15532;top:1708;width:380;height:653" filled="true" fillcolor="#e6121b" stroked="false">
              <v:fill type="solid"/>
            </v:rect>
            <v:rect style="position:absolute;left:15532;top:1708;width:380;height:653" filled="false" stroked="true" strokeweight="1.44pt" strokecolor="#e6121b">
              <v:stroke dashstyle="solid"/>
            </v:rect>
            <v:rect style="position:absolute;left:15532;top:-106;width:380;height:1815" filled="true" fillcolor="#0161b9" stroked="false">
              <v:fill type="solid"/>
            </v:rect>
            <v:rect style="position:absolute;left:15532;top:-106;width:380;height:1815" filled="false" stroked="true" strokeweight="1.44pt" strokecolor="#0161b9">
              <v:stroke dashstyle="solid"/>
            </v:rect>
            <v:rect style="position:absolute;left:15532;top:-768;width:380;height:663" filled="true" fillcolor="#e6b8b8" stroked="false">
              <v:fill type="solid"/>
            </v:rect>
            <v:rect style="position:absolute;left:15532;top:-768;width:380;height:663" filled="false" stroked="true" strokeweight=".72pt" strokecolor="#e6b8b8">
              <v:stroke dashstyle="solid"/>
            </v:rect>
            <v:rect style="position:absolute;left:15532;top:-845;width:380;height:77" filled="true" fillcolor="#b7dee8" stroked="false">
              <v:fill type="solid"/>
            </v:rect>
            <v:rect style="position:absolute;left:15532;top:-1174;width:380;height:329" filled="true" fillcolor="#db843c" stroked="false">
              <v:fill type="solid"/>
            </v:rect>
            <v:rect style="position:absolute;left:15532;top:-1217;width:380;height:44" filled="true" fillcolor="#92a9cf" stroked="false">
              <v:fill type="solid"/>
            </v:rect>
            <v:rect style="position:absolute;left:15532;top:-1220;width:380;height:3" filled="true" fillcolor="#d19292" stroked="false">
              <v:fill type="solid"/>
            </v:rect>
            <v:rect style="position:absolute;left:16483;top:1108;width:380;height:1253" filled="true" fillcolor="#e6121b" stroked="false">
              <v:fill type="solid"/>
            </v:rect>
            <v:rect style="position:absolute;left:16483;top:1108;width:380;height:1253" filled="false" stroked="true" strokeweight="1.44pt" strokecolor="#e6121b">
              <v:stroke dashstyle="solid"/>
            </v:rect>
            <v:rect style="position:absolute;left:16483;top:206;width:380;height:903" filled="true" fillcolor="#0161b9" stroked="false">
              <v:fill type="solid"/>
            </v:rect>
            <v:rect style="position:absolute;left:16483;top:206;width:380;height:903" filled="false" stroked="true" strokeweight="1.44pt" strokecolor="#0161b9">
              <v:stroke dashstyle="solid"/>
            </v:rect>
            <v:rect style="position:absolute;left:16483;top:69;width:380;height:137" filled="true" fillcolor="#a6a6a6" stroked="false">
              <v:fill type="solid"/>
            </v:rect>
            <v:rect style="position:absolute;left:16483;top:69;width:380;height:137" filled="false" stroked="true" strokeweight="1.44pt" strokecolor="#a6a6a6">
              <v:stroke dashstyle="solid"/>
            </v:rect>
            <v:rect style="position:absolute;left:16483;top:-476;width:380;height:545" filled="true" fillcolor="#e6b8b8" stroked="false">
              <v:fill type="solid"/>
            </v:rect>
            <v:rect style="position:absolute;left:16483;top:-476;width:380;height:545" filled="false" stroked="true" strokeweight=".72pt" strokecolor="#e6b8b8">
              <v:stroke dashstyle="solid"/>
            </v:rect>
            <v:rect style="position:absolute;left:16483;top:-593;width:380;height:118" filled="true" fillcolor="#b7dee8" stroked="false">
              <v:fill type="solid"/>
            </v:rect>
            <v:rect style="position:absolute;left:16483;top:-1136;width:380;height:543" filled="true" fillcolor="#db843c" stroked="false">
              <v:fill type="solid"/>
            </v:rect>
            <v:rect style="position:absolute;left:16483;top:-1212;width:380;height:77" filled="true" fillcolor="#92a9cf" stroked="false">
              <v:fill type="solid"/>
            </v:rect>
            <v:rect style="position:absolute;left:16483;top:-1220;width:380;height:8" filled="true" fillcolor="#d19292" stroked="false">
              <v:fill type="solid"/>
            </v:rect>
            <v:rect style="position:absolute;left:17431;top:249;width:382;height:2112" filled="true" fillcolor="#e6121b" stroked="false">
              <v:fill type="solid"/>
            </v:rect>
            <v:rect style="position:absolute;left:17431;top:249;width:382;height:2112" filled="false" stroked="true" strokeweight="1.44pt" strokecolor="#e6121b">
              <v:stroke dashstyle="solid"/>
            </v:rect>
            <v:rect style="position:absolute;left:17431;top:-176;width:382;height:425" filled="true" fillcolor="#0161b9" stroked="false">
              <v:fill type="solid"/>
            </v:rect>
            <v:rect style="position:absolute;left:17431;top:-176;width:382;height:425" filled="false" stroked="true" strokeweight="1.44pt" strokecolor="#0161b9">
              <v:stroke dashstyle="solid"/>
            </v:rect>
            <v:rect style="position:absolute;left:17431;top:-305;width:382;height:130" filled="true" fillcolor="#a6a6a6" stroked="false">
              <v:fill type="solid"/>
            </v:rect>
            <v:rect style="position:absolute;left:17431;top:-305;width:382;height:130" filled="false" stroked="true" strokeweight="1.44pt" strokecolor="#a6a6a6">
              <v:stroke dashstyle="solid"/>
            </v:rect>
            <v:rect style="position:absolute;left:17431;top:-708;width:382;height:404" filled="true" fillcolor="#e6b8b8" stroked="false">
              <v:fill type="solid"/>
            </v:rect>
            <v:rect style="position:absolute;left:17431;top:-708;width:382;height:404" filled="false" stroked="true" strokeweight=".72pt" strokecolor="#e6b8b8">
              <v:stroke dashstyle="solid"/>
            </v:rect>
            <v:rect style="position:absolute;left:17431;top:-860;width:382;height:152" filled="true" fillcolor="#b7dee8" stroked="false">
              <v:fill type="solid"/>
            </v:rect>
            <v:rect style="position:absolute;left:17431;top:-1114;width:382;height:255" filled="true" fillcolor="#db843c" stroked="false">
              <v:fill type="solid"/>
            </v:rect>
            <v:rect style="position:absolute;left:17431;top:-1203;width:382;height:89" filled="true" fillcolor="#92a9cf" stroked="false">
              <v:fill type="solid"/>
            </v:rect>
            <v:rect style="position:absolute;left:17431;top:-1220;width:382;height:17" filled="true" fillcolor="#d19292" stroked="false">
              <v:fill type="solid"/>
            </v:rect>
            <v:rect style="position:absolute;left:18381;top:537;width:380;height:1824" filled="true" fillcolor="#e6121b" stroked="false">
              <v:fill type="solid"/>
            </v:rect>
            <v:rect style="position:absolute;left:18381;top:537;width:380;height:1824" filled="false" stroked="true" strokeweight="1.44pt" strokecolor="#e6121b">
              <v:stroke dashstyle="solid"/>
            </v:rect>
            <v:rect style="position:absolute;left:18381;top:139;width:380;height:399" filled="true" fillcolor="#0161b9" stroked="false">
              <v:fill type="solid"/>
            </v:rect>
            <v:rect style="position:absolute;left:18381;top:139;width:380;height:399" filled="false" stroked="true" strokeweight="1.44pt" strokecolor="#0161b9">
              <v:stroke dashstyle="solid"/>
            </v:rect>
            <v:rect style="position:absolute;left:18381;top:-190;width:380;height:329" filled="true" fillcolor="#a6a6a6" stroked="false">
              <v:fill type="solid"/>
            </v:rect>
            <v:rect style="position:absolute;left:18381;top:-190;width:380;height:329" filled="false" stroked="true" strokeweight="1.44pt" strokecolor="#a6a6a6">
              <v:stroke dashstyle="solid"/>
            </v:rect>
            <v:rect style="position:absolute;left:18381;top:-639;width:380;height:449" filled="true" fillcolor="#e6b8b8" stroked="false">
              <v:fill type="solid"/>
            </v:rect>
            <v:rect style="position:absolute;left:18381;top:-639;width:380;height:449" filled="false" stroked="true" strokeweight=".72pt" strokecolor="#e6b8b8">
              <v:stroke dashstyle="solid"/>
            </v:rect>
            <v:rect style="position:absolute;left:18381;top:-831;width:380;height:192" filled="true" fillcolor="#b7dee8" stroked="false">
              <v:fill type="solid"/>
            </v:rect>
            <v:rect style="position:absolute;left:18381;top:-1095;width:380;height:264" filled="true" fillcolor="#db843c" stroked="false">
              <v:fill type="solid"/>
            </v:rect>
            <v:rect style="position:absolute;left:18381;top:-1181;width:380;height:87" filled="true" fillcolor="#92a9cf" stroked="false">
              <v:fill type="solid"/>
            </v:rect>
            <v:rect style="position:absolute;left:18381;top:-1220;width:380;height:39" filled="true" fillcolor="#d19292" stroked="false">
              <v:fill type="solid"/>
            </v:rect>
            <v:shape style="position:absolute;left:13300;top:-1220;width:48;height:3581" coordorigin="13301,-1219" coordsize="48,3581" path="m13349,2362l13349,-1219m13301,2362l13349,2362m13301,2004l13349,2004m13301,1644l13349,1644m13301,1287l13349,1287m13301,929l13349,929m13301,571l13349,571m13301,214l13349,214m13301,-144l13349,-144m13301,-501l13349,-501m13301,-859l13349,-859m13301,-1219l13349,-1219e" filled="false" stroked="true" strokeweight=".48pt" strokecolor="#000000">
              <v:path arrowok="t"/>
              <v:stroke dashstyle="solid"/>
            </v:shape>
            <v:shape style="position:absolute;left:13348;top:2361;width:5698;height:46" coordorigin="13349,2362" coordsize="5698,46" path="m13349,2362l19046,2362m13349,2362l13349,2407m14297,2362l14297,2407m15247,2362l15247,2407m16198,2362l16198,2407m17148,2362l17148,2407m18096,2362l18096,2407m19046,2362l19046,2407e" filled="false" stroked="true" strokeweight=".48pt" strokecolor="#000000">
              <v:path arrowok="t"/>
              <v:stroke dashstyle="solid"/>
            </v:shape>
            <v:shape style="position:absolute;left:13613;top:-1163;width:439;height:580" type="#_x0000_t202" filled="false" stroked="false">
              <v:textbox inset="0,0,0,0">
                <w:txbxContent>
                  <w:p>
                    <w:pPr>
                      <w:spacing w:line="153" w:lineRule="exact" w:before="0"/>
                      <w:ind w:left="40" w:right="0" w:firstLine="0"/>
                      <w:jc w:val="left"/>
                      <w:rPr>
                        <w:rFonts w:ascii="Times New Roman"/>
                        <w:sz w:val="16"/>
                      </w:rPr>
                    </w:pPr>
                    <w:r>
                      <w:rPr>
                        <w:rFonts w:ascii="Times New Roman"/>
                        <w:sz w:val="16"/>
                      </w:rPr>
                      <w:t>5.3%</w:t>
                    </w:r>
                  </w:p>
                  <w:p>
                    <w:pPr>
                      <w:spacing w:line="159" w:lineRule="exact" w:before="0"/>
                      <w:ind w:left="40" w:right="0" w:firstLine="0"/>
                      <w:jc w:val="left"/>
                      <w:rPr>
                        <w:rFonts w:ascii="Times New Roman"/>
                        <w:sz w:val="16"/>
                      </w:rPr>
                    </w:pPr>
                    <w:r>
                      <w:rPr>
                        <w:rFonts w:ascii="Times New Roman"/>
                        <w:sz w:val="16"/>
                      </w:rPr>
                      <w:t>2.2%</w:t>
                    </w:r>
                  </w:p>
                  <w:p>
                    <w:pPr>
                      <w:spacing w:before="83"/>
                      <w:ind w:left="0" w:right="0" w:firstLine="0"/>
                      <w:jc w:val="left"/>
                      <w:rPr>
                        <w:rFonts w:ascii="Times New Roman"/>
                        <w:sz w:val="16"/>
                      </w:rPr>
                    </w:pPr>
                    <w:r>
                      <w:rPr>
                        <w:rFonts w:ascii="Times New Roman"/>
                        <w:sz w:val="16"/>
                      </w:rPr>
                      <w:t>12.7%</w:t>
                    </w:r>
                  </w:p>
                </w:txbxContent>
              </v:textbox>
              <w10:wrap type="none"/>
            </v:shape>
            <v:shape style="position:absolute;left:14604;top:-1129;width:359;height:352" type="#_x0000_t202" filled="false" stroked="false">
              <v:textbox inset="0,0,0,0">
                <w:txbxContent>
                  <w:p>
                    <w:pPr>
                      <w:spacing w:line="173" w:lineRule="exact" w:before="0"/>
                      <w:ind w:left="0" w:right="0" w:firstLine="0"/>
                      <w:jc w:val="left"/>
                      <w:rPr>
                        <w:rFonts w:ascii="Times New Roman"/>
                        <w:sz w:val="16"/>
                      </w:rPr>
                    </w:pPr>
                    <w:r>
                      <w:rPr>
                        <w:rFonts w:ascii="Times New Roman"/>
                        <w:sz w:val="16"/>
                      </w:rPr>
                      <w:t>7.3%</w:t>
                    </w:r>
                  </w:p>
                  <w:p>
                    <w:pPr>
                      <w:spacing w:line="178" w:lineRule="exact" w:before="0"/>
                      <w:ind w:left="0" w:right="0" w:firstLine="0"/>
                      <w:jc w:val="left"/>
                      <w:rPr>
                        <w:rFonts w:ascii="Times New Roman"/>
                        <w:sz w:val="16"/>
                      </w:rPr>
                    </w:pPr>
                    <w:r>
                      <w:rPr>
                        <w:rFonts w:ascii="Times New Roman"/>
                        <w:sz w:val="16"/>
                      </w:rPr>
                      <w:t>2.4%</w:t>
                    </w:r>
                  </w:p>
                </w:txbxContent>
              </v:textbox>
              <w10:wrap type="none"/>
            </v:shape>
            <v:shape style="position:absolute;left:15554;top:-1095;width:359;height:382" type="#_x0000_t202" filled="false" stroked="false">
              <v:textbox inset="0,0,0,0">
                <w:txbxContent>
                  <w:p>
                    <w:pPr>
                      <w:spacing w:line="178" w:lineRule="exact" w:before="0"/>
                      <w:ind w:left="0" w:right="0" w:firstLine="0"/>
                      <w:jc w:val="left"/>
                      <w:rPr>
                        <w:rFonts w:ascii="Times New Roman"/>
                        <w:sz w:val="16"/>
                      </w:rPr>
                    </w:pPr>
                    <w:r>
                      <w:rPr>
                        <w:rFonts w:ascii="Times New Roman"/>
                        <w:sz w:val="16"/>
                      </w:rPr>
                      <w:t>9.2%</w:t>
                    </w:r>
                  </w:p>
                  <w:p>
                    <w:pPr>
                      <w:spacing w:before="19"/>
                      <w:ind w:left="0" w:right="0" w:firstLine="0"/>
                      <w:jc w:val="left"/>
                      <w:rPr>
                        <w:rFonts w:ascii="Times New Roman"/>
                        <w:sz w:val="16"/>
                      </w:rPr>
                    </w:pPr>
                    <w:r>
                      <w:rPr>
                        <w:rFonts w:ascii="Times New Roman"/>
                        <w:sz w:val="16"/>
                      </w:rPr>
                      <w:t>2.2%</w:t>
                    </w:r>
                  </w:p>
                </w:txbxContent>
              </v:textbox>
              <w10:wrap type="none"/>
            </v:shape>
            <v:shape style="position:absolute;left:16463;top:-949;width:439;height:179" type="#_x0000_t202" filled="false" stroked="false">
              <v:textbox inset="0,0,0,0">
                <w:txbxContent>
                  <w:p>
                    <w:pPr>
                      <w:spacing w:line="178" w:lineRule="exact" w:before="0"/>
                      <w:ind w:left="0" w:right="0" w:firstLine="0"/>
                      <w:jc w:val="left"/>
                      <w:rPr>
                        <w:rFonts w:ascii="Times New Roman"/>
                        <w:sz w:val="16"/>
                      </w:rPr>
                    </w:pPr>
                    <w:r>
                      <w:rPr>
                        <w:rFonts w:ascii="Times New Roman"/>
                        <w:sz w:val="16"/>
                      </w:rPr>
                      <w:t>15.2%</w:t>
                    </w:r>
                  </w:p>
                </w:txbxContent>
              </v:textbox>
              <w10:wrap type="none"/>
            </v:shape>
            <v:shape style="position:absolute;left:14563;top:-614;width:439;height:179" type="#_x0000_t202" filled="false" stroked="false">
              <v:textbox inset="0,0,0,0">
                <w:txbxContent>
                  <w:p>
                    <w:pPr>
                      <w:spacing w:line="178" w:lineRule="exact" w:before="0"/>
                      <w:ind w:left="0" w:right="0" w:firstLine="0"/>
                      <w:jc w:val="left"/>
                      <w:rPr>
                        <w:rFonts w:ascii="Times New Roman"/>
                        <w:sz w:val="16"/>
                      </w:rPr>
                    </w:pPr>
                    <w:r>
                      <w:rPr>
                        <w:rFonts w:ascii="Times New Roman"/>
                        <w:sz w:val="16"/>
                      </w:rPr>
                      <w:t>16.8%</w:t>
                    </w:r>
                  </w:p>
                </w:txbxContent>
              </v:textbox>
              <w10:wrap type="none"/>
            </v:shape>
            <v:shape style="position:absolute;left:15513;top:-522;width:439;height:179" type="#_x0000_t202" filled="false" stroked="false">
              <v:textbox inset="0,0,0,0">
                <w:txbxContent>
                  <w:p>
                    <w:pPr>
                      <w:spacing w:line="178" w:lineRule="exact" w:before="0"/>
                      <w:ind w:left="0" w:right="0" w:firstLine="0"/>
                      <w:jc w:val="left"/>
                      <w:rPr>
                        <w:rFonts w:ascii="Times New Roman"/>
                        <w:sz w:val="16"/>
                      </w:rPr>
                    </w:pPr>
                    <w:r>
                      <w:rPr>
                        <w:rFonts w:ascii="Times New Roman"/>
                        <w:sz w:val="16"/>
                      </w:rPr>
                      <w:t>18.5%</w:t>
                    </w:r>
                  </w:p>
                </w:txbxContent>
              </v:textbox>
              <w10:wrap type="none"/>
            </v:shape>
            <v:shape style="position:absolute;left:16463;top:-618;width:440;height:509" type="#_x0000_t202" filled="false" stroked="false">
              <v:textbox inset="0,0,0,0">
                <w:txbxContent>
                  <w:p>
                    <w:pPr>
                      <w:spacing w:line="178" w:lineRule="exact" w:before="0"/>
                      <w:ind w:left="40" w:right="0" w:firstLine="0"/>
                      <w:jc w:val="left"/>
                      <w:rPr>
                        <w:rFonts w:ascii="Times New Roman"/>
                        <w:sz w:val="16"/>
                      </w:rPr>
                    </w:pPr>
                    <w:r>
                      <w:rPr>
                        <w:rFonts w:ascii="Times New Roman"/>
                        <w:sz w:val="16"/>
                      </w:rPr>
                      <w:t>3.3%</w:t>
                    </w:r>
                  </w:p>
                  <w:p>
                    <w:pPr>
                      <w:spacing w:before="147"/>
                      <w:ind w:left="0" w:right="0" w:firstLine="0"/>
                      <w:jc w:val="left"/>
                      <w:rPr>
                        <w:rFonts w:ascii="Times New Roman"/>
                        <w:sz w:val="16"/>
                      </w:rPr>
                    </w:pPr>
                    <w:r>
                      <w:rPr>
                        <w:rFonts w:ascii="Times New Roman"/>
                        <w:sz w:val="16"/>
                      </w:rPr>
                      <w:t>15.2%</w:t>
                    </w:r>
                  </w:p>
                </w:txbxContent>
              </v:textbox>
              <w10:wrap type="none"/>
            </v:shape>
            <v:shape style="position:absolute;left:17413;top:-1072;width:439;height:1203" type="#_x0000_t202" filled="false" stroked="false">
              <v:textbox inset="0,0,0,0">
                <w:txbxContent>
                  <w:p>
                    <w:pPr>
                      <w:spacing w:line="178" w:lineRule="exact" w:before="0"/>
                      <w:ind w:left="40" w:right="0" w:firstLine="0"/>
                      <w:jc w:val="left"/>
                      <w:rPr>
                        <w:rFonts w:ascii="Times New Roman"/>
                        <w:sz w:val="16"/>
                      </w:rPr>
                    </w:pPr>
                    <w:r>
                      <w:rPr>
                        <w:rFonts w:ascii="Times New Roman"/>
                        <w:sz w:val="16"/>
                      </w:rPr>
                      <w:t>7.1%</w:t>
                    </w:r>
                  </w:p>
                  <w:p>
                    <w:pPr>
                      <w:spacing w:before="19"/>
                      <w:ind w:left="40" w:right="0" w:firstLine="0"/>
                      <w:jc w:val="left"/>
                      <w:rPr>
                        <w:rFonts w:ascii="Times New Roman"/>
                        <w:sz w:val="16"/>
                      </w:rPr>
                    </w:pPr>
                    <w:r>
                      <w:rPr>
                        <w:rFonts w:ascii="Times New Roman"/>
                        <w:sz w:val="16"/>
                      </w:rPr>
                      <w:t>4.2%</w:t>
                    </w:r>
                  </w:p>
                  <w:p>
                    <w:pPr>
                      <w:spacing w:before="93"/>
                      <w:ind w:left="0" w:right="0" w:firstLine="0"/>
                      <w:jc w:val="left"/>
                      <w:rPr>
                        <w:rFonts w:ascii="Times New Roman"/>
                        <w:sz w:val="16"/>
                      </w:rPr>
                    </w:pPr>
                    <w:r>
                      <w:rPr>
                        <w:rFonts w:ascii="Times New Roman"/>
                        <w:sz w:val="16"/>
                      </w:rPr>
                      <w:t>11.2%</w:t>
                    </w:r>
                  </w:p>
                  <w:p>
                    <w:pPr>
                      <w:spacing w:before="82"/>
                      <w:ind w:left="40" w:right="0" w:firstLine="0"/>
                      <w:jc w:val="left"/>
                      <w:rPr>
                        <w:rFonts w:ascii="Times New Roman"/>
                        <w:sz w:val="16"/>
                      </w:rPr>
                    </w:pPr>
                    <w:r>
                      <w:rPr>
                        <w:rFonts w:ascii="Times New Roman"/>
                        <w:sz w:val="16"/>
                      </w:rPr>
                      <w:t>3.6%</w:t>
                    </w:r>
                  </w:p>
                  <w:p>
                    <w:pPr>
                      <w:spacing w:before="94"/>
                      <w:ind w:left="0" w:right="0" w:firstLine="0"/>
                      <w:jc w:val="left"/>
                      <w:rPr>
                        <w:rFonts w:ascii="Times New Roman"/>
                        <w:sz w:val="16"/>
                      </w:rPr>
                    </w:pPr>
                    <w:r>
                      <w:rPr>
                        <w:rFonts w:ascii="Times New Roman"/>
                        <w:color w:val="FFFFFF"/>
                        <w:sz w:val="16"/>
                      </w:rPr>
                      <w:t>11.9%</w:t>
                    </w:r>
                  </w:p>
                </w:txbxContent>
              </v:textbox>
              <w10:wrap type="none"/>
            </v:shape>
            <v:shape style="position:absolute;left:18363;top:-1047;width:439;height:1116" type="#_x0000_t202" filled="false" stroked="false">
              <v:textbox inset="0,0,0,0">
                <w:txbxContent>
                  <w:p>
                    <w:pPr>
                      <w:spacing w:line="178" w:lineRule="exact" w:before="0"/>
                      <w:ind w:left="40" w:right="0" w:firstLine="0"/>
                      <w:jc w:val="left"/>
                      <w:rPr>
                        <w:rFonts w:ascii="Times New Roman"/>
                        <w:sz w:val="16"/>
                      </w:rPr>
                    </w:pPr>
                    <w:r>
                      <w:rPr>
                        <w:rFonts w:ascii="Times New Roman"/>
                        <w:sz w:val="16"/>
                      </w:rPr>
                      <w:t>7.4%</w:t>
                    </w:r>
                  </w:p>
                  <w:p>
                    <w:pPr>
                      <w:spacing w:before="43"/>
                      <w:ind w:left="40" w:right="0" w:firstLine="0"/>
                      <w:jc w:val="left"/>
                      <w:rPr>
                        <w:rFonts w:ascii="Times New Roman"/>
                        <w:sz w:val="16"/>
                      </w:rPr>
                    </w:pPr>
                    <w:r>
                      <w:rPr>
                        <w:rFonts w:ascii="Times New Roman"/>
                        <w:sz w:val="16"/>
                      </w:rPr>
                      <w:t>5.4%</w:t>
                    </w:r>
                  </w:p>
                  <w:p>
                    <w:pPr>
                      <w:spacing w:before="137"/>
                      <w:ind w:left="0" w:right="0" w:firstLine="0"/>
                      <w:jc w:val="left"/>
                      <w:rPr>
                        <w:rFonts w:ascii="Times New Roman"/>
                        <w:sz w:val="16"/>
                      </w:rPr>
                    </w:pPr>
                    <w:r>
                      <w:rPr>
                        <w:rFonts w:ascii="Times New Roman"/>
                        <w:sz w:val="16"/>
                      </w:rPr>
                      <w:t>12.6%</w:t>
                    </w:r>
                  </w:p>
                  <w:p>
                    <w:pPr>
                      <w:spacing w:line="240" w:lineRule="auto" w:before="9"/>
                      <w:rPr>
                        <w:rFonts w:ascii="Times New Roman"/>
                        <w:sz w:val="17"/>
                      </w:rPr>
                    </w:pPr>
                  </w:p>
                  <w:p>
                    <w:pPr>
                      <w:spacing w:before="0"/>
                      <w:ind w:left="40" w:right="0" w:firstLine="0"/>
                      <w:jc w:val="left"/>
                      <w:rPr>
                        <w:rFonts w:ascii="Times New Roman"/>
                        <w:sz w:val="16"/>
                      </w:rPr>
                    </w:pPr>
                    <w:r>
                      <w:rPr>
                        <w:rFonts w:ascii="Times New Roman"/>
                        <w:sz w:val="16"/>
                      </w:rPr>
                      <w:t>9.1%</w:t>
                    </w:r>
                  </w:p>
                </w:txbxContent>
              </v:textbox>
              <w10:wrap type="none"/>
            </v:shape>
            <v:shape style="position:absolute;left:16504;top:53;width:358;height:179" type="#_x0000_t202" filled="false" stroked="false">
              <v:textbox inset="0,0,0,0">
                <w:txbxContent>
                  <w:p>
                    <w:pPr>
                      <w:spacing w:line="178" w:lineRule="exact" w:before="0"/>
                      <w:ind w:left="0" w:right="0" w:firstLine="0"/>
                      <w:jc w:val="left"/>
                      <w:rPr>
                        <w:rFonts w:ascii="Times New Roman"/>
                        <w:sz w:val="16"/>
                      </w:rPr>
                    </w:pPr>
                    <w:r>
                      <w:rPr>
                        <w:rFonts w:ascii="Times New Roman"/>
                        <w:sz w:val="16"/>
                      </w:rPr>
                      <w:t>3.8%</w:t>
                    </w:r>
                  </w:p>
                </w:txbxContent>
              </v:textbox>
              <w10:wrap type="none"/>
            </v:shape>
            <v:shape style="position:absolute;left:18363;top:252;width:440;height:179" type="#_x0000_t202" filled="false" stroked="false">
              <v:textbox inset="0,0,0,0">
                <w:txbxContent>
                  <w:p>
                    <w:pPr>
                      <w:spacing w:line="178" w:lineRule="exact" w:before="0"/>
                      <w:ind w:left="0" w:right="0" w:firstLine="0"/>
                      <w:jc w:val="left"/>
                      <w:rPr>
                        <w:rFonts w:ascii="Times New Roman"/>
                        <w:sz w:val="16"/>
                      </w:rPr>
                    </w:pPr>
                    <w:r>
                      <w:rPr>
                        <w:rFonts w:ascii="Times New Roman"/>
                        <w:color w:val="FFFFFF"/>
                        <w:sz w:val="16"/>
                      </w:rPr>
                      <w:t>11.2%</w:t>
                    </w:r>
                  </w:p>
                </w:txbxContent>
              </v:textbox>
              <w10:wrap type="none"/>
            </v:shape>
            <v:shape style="position:absolute;left:13613;top:701;width:439;height:179" type="#_x0000_t202" filled="false" stroked="false">
              <v:textbox inset="0,0,0,0">
                <w:txbxContent>
                  <w:p>
                    <w:pPr>
                      <w:spacing w:line="178" w:lineRule="exact" w:before="0"/>
                      <w:ind w:left="0" w:right="0" w:firstLine="0"/>
                      <w:jc w:val="left"/>
                      <w:rPr>
                        <w:rFonts w:ascii="Times New Roman"/>
                        <w:sz w:val="16"/>
                      </w:rPr>
                    </w:pPr>
                    <w:r>
                      <w:rPr>
                        <w:rFonts w:ascii="Times New Roman"/>
                        <w:color w:val="FFFFFF"/>
                        <w:sz w:val="16"/>
                      </w:rPr>
                      <w:t>68.9%</w:t>
                    </w:r>
                  </w:p>
                </w:txbxContent>
              </v:textbox>
              <w10:wrap type="none"/>
            </v:shape>
            <v:shape style="position:absolute;left:16463;top:572;width:440;height:179" type="#_x0000_t202" filled="false" stroked="false">
              <v:textbox inset="0,0,0,0">
                <w:txbxContent>
                  <w:p>
                    <w:pPr>
                      <w:spacing w:line="178" w:lineRule="exact" w:before="0"/>
                      <w:ind w:left="0" w:right="0" w:firstLine="0"/>
                      <w:jc w:val="left"/>
                      <w:rPr>
                        <w:rFonts w:ascii="Times New Roman"/>
                        <w:sz w:val="16"/>
                      </w:rPr>
                    </w:pPr>
                    <w:r>
                      <w:rPr>
                        <w:rFonts w:ascii="Times New Roman"/>
                        <w:color w:val="FFFFFF"/>
                        <w:sz w:val="16"/>
                      </w:rPr>
                      <w:t>25.2%</w:t>
                    </w:r>
                  </w:p>
                </w:txbxContent>
              </v:textbox>
              <w10:wrap type="none"/>
            </v:shape>
            <v:shape style="position:absolute;left:14563;top:743;width:439;height:179" type="#_x0000_t202" filled="false" stroked="false">
              <v:textbox inset="0,0,0,0">
                <w:txbxContent>
                  <w:p>
                    <w:pPr>
                      <w:spacing w:line="178" w:lineRule="exact" w:before="0"/>
                      <w:ind w:left="0" w:right="0" w:firstLine="0"/>
                      <w:jc w:val="left"/>
                      <w:rPr>
                        <w:rFonts w:ascii="Times New Roman"/>
                        <w:sz w:val="16"/>
                      </w:rPr>
                    </w:pPr>
                    <w:r>
                      <w:rPr>
                        <w:rFonts w:ascii="Times New Roman"/>
                        <w:color w:val="FFFFFF"/>
                        <w:sz w:val="16"/>
                      </w:rPr>
                      <w:t>59.1%</w:t>
                    </w:r>
                  </w:p>
                </w:txbxContent>
              </v:textbox>
              <w10:wrap type="none"/>
            </v:shape>
            <v:shape style="position:absolute;left:15513;top:717;width:439;height:179" type="#_x0000_t202" filled="false" stroked="false">
              <v:textbox inset="0,0,0,0">
                <w:txbxContent>
                  <w:p>
                    <w:pPr>
                      <w:spacing w:line="178" w:lineRule="exact" w:before="0"/>
                      <w:ind w:left="0" w:right="0" w:firstLine="0"/>
                      <w:jc w:val="left"/>
                      <w:rPr>
                        <w:rFonts w:ascii="Times New Roman"/>
                        <w:sz w:val="16"/>
                      </w:rPr>
                    </w:pPr>
                    <w:r>
                      <w:rPr>
                        <w:rFonts w:ascii="Times New Roman"/>
                        <w:color w:val="FFFFFF"/>
                        <w:sz w:val="16"/>
                      </w:rPr>
                      <w:t>50.7%</w:t>
                    </w:r>
                  </w:p>
                </w:txbxContent>
              </v:textbox>
              <w10:wrap type="none"/>
            </v:shape>
            <v:shape style="position:absolute;left:17413;top:1221;width:439;height:179" type="#_x0000_t202" filled="false" stroked="false">
              <v:textbox inset="0,0,0,0">
                <w:txbxContent>
                  <w:p>
                    <w:pPr>
                      <w:spacing w:line="178" w:lineRule="exact" w:before="0"/>
                      <w:ind w:left="0" w:right="0" w:firstLine="0"/>
                      <w:jc w:val="left"/>
                      <w:rPr>
                        <w:rFonts w:ascii="Times New Roman"/>
                        <w:sz w:val="16"/>
                      </w:rPr>
                    </w:pPr>
                    <w:r>
                      <w:rPr>
                        <w:rFonts w:ascii="Times New Roman"/>
                        <w:color w:val="FFFFFF"/>
                        <w:sz w:val="16"/>
                      </w:rPr>
                      <w:t>59.0%</w:t>
                    </w:r>
                  </w:p>
                </w:txbxContent>
              </v:textbox>
              <w10:wrap type="none"/>
            </v:shape>
            <v:shape style="position:absolute;left:18363;top:1365;width:439;height:179" type="#_x0000_t202" filled="false" stroked="false">
              <v:textbox inset="0,0,0,0">
                <w:txbxContent>
                  <w:p>
                    <w:pPr>
                      <w:spacing w:line="178" w:lineRule="exact" w:before="0"/>
                      <w:ind w:left="0" w:right="0" w:firstLine="0"/>
                      <w:jc w:val="left"/>
                      <w:rPr>
                        <w:rFonts w:ascii="Times New Roman"/>
                        <w:sz w:val="16"/>
                      </w:rPr>
                    </w:pPr>
                    <w:r>
                      <w:rPr>
                        <w:rFonts w:ascii="Times New Roman"/>
                        <w:color w:val="FFFFFF"/>
                        <w:sz w:val="16"/>
                      </w:rPr>
                      <w:t>50.9%</w:t>
                    </w:r>
                  </w:p>
                </w:txbxContent>
              </v:textbox>
              <w10:wrap type="none"/>
            </v:shape>
            <v:shape style="position:absolute;left:16463;top:1650;width:439;height:179" type="#_x0000_t202" filled="false" stroked="false">
              <v:textbox inset="0,0,0,0">
                <w:txbxContent>
                  <w:p>
                    <w:pPr>
                      <w:spacing w:line="178" w:lineRule="exact" w:before="0"/>
                      <w:ind w:left="0" w:right="0" w:firstLine="0"/>
                      <w:jc w:val="left"/>
                      <w:rPr>
                        <w:rFonts w:ascii="Times New Roman"/>
                        <w:sz w:val="16"/>
                      </w:rPr>
                    </w:pPr>
                    <w:r>
                      <w:rPr>
                        <w:rFonts w:ascii="Times New Roman"/>
                        <w:color w:val="FFFFFF"/>
                        <w:sz w:val="16"/>
                      </w:rPr>
                      <w:t>35.0%</w:t>
                    </w:r>
                  </w:p>
                </w:txbxContent>
              </v:textbox>
              <w10:wrap type="none"/>
            </v:shape>
            <v:shape style="position:absolute;left:15513;top:1950;width:439;height:179" type="#_x0000_t202" filled="false" stroked="false">
              <v:textbox inset="0,0,0,0">
                <w:txbxContent>
                  <w:p>
                    <w:pPr>
                      <w:spacing w:line="178" w:lineRule="exact" w:before="0"/>
                      <w:ind w:left="0" w:right="0" w:firstLine="0"/>
                      <w:jc w:val="left"/>
                      <w:rPr>
                        <w:rFonts w:ascii="Times New Roman"/>
                        <w:sz w:val="16"/>
                      </w:rPr>
                    </w:pPr>
                    <w:r>
                      <w:rPr>
                        <w:rFonts w:ascii="Times New Roman"/>
                        <w:color w:val="FFFFFF"/>
                        <w:sz w:val="16"/>
                      </w:rPr>
                      <w:t>18.2%</w:t>
                    </w:r>
                  </w:p>
                </w:txbxContent>
              </v:textbox>
              <w10:wrap type="none"/>
            </v:shape>
            <v:shape style="position:absolute;left:13654;top:2106;width:358;height:179" type="#_x0000_t202" filled="false" stroked="false">
              <v:textbox inset="0,0,0,0">
                <w:txbxContent>
                  <w:p>
                    <w:pPr>
                      <w:spacing w:line="178" w:lineRule="exact" w:before="0"/>
                      <w:ind w:left="0" w:right="0" w:firstLine="0"/>
                      <w:jc w:val="left"/>
                      <w:rPr>
                        <w:rFonts w:ascii="Times New Roman"/>
                        <w:sz w:val="16"/>
                      </w:rPr>
                    </w:pPr>
                    <w:r>
                      <w:rPr>
                        <w:rFonts w:ascii="Times New Roman"/>
                        <w:color w:val="FFFFFF"/>
                        <w:sz w:val="16"/>
                      </w:rPr>
                      <w:t>9.5%</w:t>
                    </w:r>
                  </w:p>
                </w:txbxContent>
              </v:textbox>
              <w10:wrap type="none"/>
            </v:shape>
            <v:shape style="position:absolute;left:14563;top:2038;width:439;height:179" type="#_x0000_t202" filled="false" stroked="false">
              <v:textbox inset="0,0,0,0">
                <w:txbxContent>
                  <w:p>
                    <w:pPr>
                      <w:spacing w:line="178" w:lineRule="exact" w:before="0"/>
                      <w:ind w:left="0" w:right="0" w:firstLine="0"/>
                      <w:jc w:val="left"/>
                      <w:rPr>
                        <w:rFonts w:ascii="Times New Roman"/>
                        <w:sz w:val="16"/>
                      </w:rPr>
                    </w:pPr>
                    <w:r>
                      <w:rPr>
                        <w:rFonts w:ascii="Times New Roman"/>
                        <w:color w:val="FFFFFF"/>
                        <w:sz w:val="16"/>
                      </w:rPr>
                      <w:t>13.3%</w:t>
                    </w:r>
                  </w:p>
                </w:txbxContent>
              </v:textbox>
              <w10:wrap type="none"/>
            </v:shape>
            <w10:wrap type="none"/>
          </v:group>
        </w:pict>
      </w:r>
      <w:r>
        <w:rPr>
          <w:rFonts w:ascii="Times New Roman"/>
          <w:sz w:val="16"/>
        </w:rPr>
        <w:t>50</w:t>
      </w:r>
    </w:p>
    <w:p>
      <w:pPr>
        <w:pStyle w:val="BodyText"/>
        <w:rPr>
          <w:rFonts w:ascii="Times New Roman"/>
          <w:sz w:val="18"/>
        </w:rPr>
      </w:pPr>
      <w:r>
        <w:rPr/>
        <w:br w:type="column"/>
      </w:r>
      <w:r>
        <w:rPr>
          <w:rFonts w:ascii="Times New Roman"/>
          <w:sz w:val="18"/>
        </w:rPr>
      </w:r>
    </w:p>
    <w:p>
      <w:pPr>
        <w:pStyle w:val="BodyText"/>
        <w:rPr>
          <w:rFonts w:ascii="Times New Roman"/>
          <w:sz w:val="18"/>
        </w:rPr>
      </w:pPr>
    </w:p>
    <w:p>
      <w:pPr>
        <w:pStyle w:val="BodyText"/>
        <w:spacing w:before="4"/>
        <w:rPr>
          <w:rFonts w:ascii="Times New Roman"/>
          <w:sz w:val="14"/>
        </w:rPr>
      </w:pPr>
    </w:p>
    <w:p>
      <w:pPr>
        <w:spacing w:before="1"/>
        <w:ind w:left="297" w:right="0" w:firstLine="0"/>
        <w:jc w:val="left"/>
        <w:rPr>
          <w:rFonts w:ascii="Times New Roman"/>
          <w:sz w:val="16"/>
        </w:rPr>
      </w:pPr>
      <w:r>
        <w:rPr>
          <w:rFonts w:ascii="Times New Roman"/>
          <w:sz w:val="16"/>
        </w:rPr>
        <w:t>5%</w:t>
      </w:r>
    </w:p>
    <w:p>
      <w:pPr>
        <w:pStyle w:val="BodyText"/>
        <w:rPr>
          <w:rFonts w:ascii="Times New Roman"/>
          <w:sz w:val="18"/>
        </w:rPr>
      </w:pPr>
    </w:p>
    <w:p>
      <w:pPr>
        <w:spacing w:before="125"/>
        <w:ind w:left="297" w:right="0" w:firstLine="0"/>
        <w:jc w:val="left"/>
        <w:rPr>
          <w:rFonts w:ascii="Times New Roman"/>
          <w:sz w:val="16"/>
        </w:rPr>
      </w:pPr>
      <w:r>
        <w:rPr>
          <w:rFonts w:ascii="Times New Roman"/>
          <w:sz w:val="16"/>
        </w:rPr>
        <w:t>0%</w:t>
      </w:r>
    </w:p>
    <w:p>
      <w:pPr>
        <w:pStyle w:val="BodyText"/>
        <w:rPr>
          <w:rFonts w:ascii="Times New Roman"/>
          <w:sz w:val="18"/>
        </w:rPr>
      </w:pPr>
    </w:p>
    <w:p>
      <w:pPr>
        <w:spacing w:before="124"/>
        <w:ind w:left="297" w:right="0" w:firstLine="0"/>
        <w:jc w:val="left"/>
        <w:rPr>
          <w:rFonts w:ascii="Times New Roman"/>
          <w:sz w:val="16"/>
        </w:rPr>
      </w:pPr>
      <w:r>
        <w:rPr>
          <w:rFonts w:ascii="Times New Roman"/>
          <w:sz w:val="16"/>
        </w:rPr>
        <w:t>-5%</w:t>
      </w:r>
    </w:p>
    <w:p>
      <w:pPr>
        <w:pStyle w:val="BodyText"/>
        <w:rPr>
          <w:rFonts w:ascii="Times New Roman"/>
          <w:sz w:val="18"/>
        </w:rPr>
      </w:pPr>
      <w:r>
        <w:rPr/>
        <w:br w:type="column"/>
      </w:r>
      <w:r>
        <w:rPr>
          <w:rFonts w:ascii="Times New Roman"/>
          <w:sz w:val="18"/>
        </w:rPr>
      </w:r>
    </w:p>
    <w:p>
      <w:pPr>
        <w:pStyle w:val="BodyText"/>
        <w:rPr>
          <w:rFonts w:ascii="Times New Roman"/>
          <w:sz w:val="18"/>
        </w:rPr>
      </w:pPr>
    </w:p>
    <w:p>
      <w:pPr>
        <w:pStyle w:val="BodyText"/>
        <w:spacing w:before="6"/>
        <w:rPr>
          <w:rFonts w:ascii="Times New Roman"/>
          <w:sz w:val="17"/>
        </w:rPr>
      </w:pPr>
    </w:p>
    <w:p>
      <w:pPr>
        <w:spacing w:before="0"/>
        <w:ind w:left="8" w:right="0" w:firstLine="0"/>
        <w:jc w:val="left"/>
        <w:rPr>
          <w:rFonts w:ascii="Times New Roman"/>
          <w:sz w:val="16"/>
        </w:rPr>
      </w:pPr>
      <w:r>
        <w:rPr>
          <w:rFonts w:ascii="Times New Roman"/>
          <w:spacing w:val="-1"/>
          <w:sz w:val="16"/>
        </w:rPr>
        <w:t>100%</w:t>
      </w:r>
    </w:p>
    <w:p>
      <w:pPr>
        <w:pStyle w:val="BodyText"/>
        <w:spacing w:before="1"/>
        <w:rPr>
          <w:rFonts w:ascii="Times New Roman"/>
          <w:sz w:val="15"/>
        </w:rPr>
      </w:pPr>
    </w:p>
    <w:p>
      <w:pPr>
        <w:spacing w:before="1"/>
        <w:ind w:left="88" w:right="0" w:firstLine="0"/>
        <w:jc w:val="left"/>
        <w:rPr>
          <w:rFonts w:ascii="Times New Roman"/>
          <w:sz w:val="16"/>
        </w:rPr>
      </w:pPr>
      <w:r>
        <w:rPr>
          <w:rFonts w:ascii="Times New Roman"/>
          <w:spacing w:val="-1"/>
          <w:sz w:val="16"/>
        </w:rPr>
        <w:t>90%</w:t>
      </w:r>
    </w:p>
    <w:p>
      <w:pPr>
        <w:pStyle w:val="BodyText"/>
        <w:spacing w:before="1"/>
        <w:rPr>
          <w:rFonts w:ascii="Times New Roman"/>
          <w:sz w:val="15"/>
        </w:rPr>
      </w:pPr>
    </w:p>
    <w:p>
      <w:pPr>
        <w:spacing w:before="0"/>
        <w:ind w:left="88" w:right="0" w:firstLine="0"/>
        <w:jc w:val="left"/>
        <w:rPr>
          <w:rFonts w:ascii="Times New Roman"/>
          <w:sz w:val="16"/>
        </w:rPr>
      </w:pPr>
      <w:r>
        <w:rPr>
          <w:rFonts w:ascii="Times New Roman"/>
          <w:spacing w:val="-1"/>
          <w:sz w:val="16"/>
        </w:rPr>
        <w:t>80%</w:t>
      </w:r>
    </w:p>
    <w:p>
      <w:pPr>
        <w:pStyle w:val="BodyText"/>
        <w:spacing w:before="1"/>
        <w:rPr>
          <w:rFonts w:ascii="Times New Roman"/>
          <w:sz w:val="15"/>
        </w:rPr>
      </w:pPr>
    </w:p>
    <w:p>
      <w:pPr>
        <w:spacing w:before="0"/>
        <w:ind w:left="88" w:right="0" w:firstLine="0"/>
        <w:jc w:val="left"/>
        <w:rPr>
          <w:rFonts w:ascii="Times New Roman"/>
          <w:sz w:val="16"/>
        </w:rPr>
      </w:pPr>
      <w:r>
        <w:rPr>
          <w:rFonts w:ascii="Times New Roman"/>
          <w:spacing w:val="-1"/>
          <w:sz w:val="16"/>
        </w:rPr>
        <w:t>70%</w:t>
      </w:r>
    </w:p>
    <w:p>
      <w:pPr>
        <w:pStyle w:val="ListParagraph"/>
        <w:numPr>
          <w:ilvl w:val="0"/>
          <w:numId w:val="3"/>
        </w:numPr>
        <w:tabs>
          <w:tab w:pos="617" w:val="left" w:leader="none"/>
          <w:tab w:pos="618" w:val="left" w:leader="none"/>
        </w:tabs>
        <w:spacing w:line="240" w:lineRule="auto" w:before="41" w:after="0"/>
        <w:ind w:left="617" w:right="0" w:hanging="453"/>
        <w:jc w:val="left"/>
        <w:rPr>
          <w:b/>
          <w:sz w:val="22"/>
        </w:rPr>
      </w:pPr>
      <w:r>
        <w:rPr>
          <w:b/>
          <w:color w:val="0A4EA1"/>
          <w:w w:val="100"/>
          <w:sz w:val="22"/>
        </w:rPr>
        <w:br w:type="column"/>
      </w:r>
      <w:r>
        <w:rPr>
          <w:b/>
          <w:color w:val="0A4EA1"/>
          <w:sz w:val="22"/>
        </w:rPr>
        <w:t>中国AD治疗药物市场结构</w:t>
      </w:r>
    </w:p>
    <w:p>
      <w:pPr>
        <w:spacing w:after="0" w:line="240" w:lineRule="auto"/>
        <w:jc w:val="left"/>
        <w:rPr>
          <w:sz w:val="22"/>
        </w:rPr>
        <w:sectPr>
          <w:type w:val="continuous"/>
          <w:pgSz w:w="19200" w:h="10800" w:orient="landscape"/>
          <w:pgMar w:top="140" w:bottom="0" w:left="0" w:right="0"/>
          <w:cols w:num="5" w:equalWidth="0">
            <w:col w:w="3778" w:space="2899"/>
            <w:col w:w="3465" w:space="2084"/>
            <w:col w:w="566" w:space="40"/>
            <w:col w:w="383" w:space="40"/>
            <w:col w:w="5945"/>
          </w:cols>
        </w:sectPr>
      </w:pPr>
    </w:p>
    <w:p>
      <w:pPr>
        <w:spacing w:line="257" w:lineRule="exact" w:before="0"/>
        <w:ind w:left="12524" w:right="0" w:firstLine="0"/>
        <w:jc w:val="left"/>
        <w:rPr>
          <w:rFonts w:ascii="Times New Roman"/>
          <w:sz w:val="16"/>
        </w:rPr>
      </w:pPr>
      <w:r>
        <w:rPr>
          <w:rFonts w:ascii="Times New Roman"/>
          <w:sz w:val="16"/>
        </w:rPr>
        <w:t>-10%</w:t>
      </w:r>
      <w:r>
        <w:rPr>
          <w:rFonts w:ascii="Times New Roman"/>
          <w:spacing w:val="7"/>
          <w:sz w:val="16"/>
        </w:rPr>
        <w:t> </w:t>
      </w:r>
      <w:r>
        <w:rPr>
          <w:rFonts w:ascii="Times New Roman"/>
          <w:position w:val="8"/>
          <w:sz w:val="16"/>
        </w:rPr>
        <w:t>60%</w:t>
      </w:r>
    </w:p>
    <w:p>
      <w:pPr>
        <w:tabs>
          <w:tab w:pos="12920" w:val="left" w:leader="none"/>
        </w:tabs>
        <w:spacing w:before="74"/>
        <w:ind w:left="6974" w:right="0" w:firstLine="0"/>
        <w:jc w:val="left"/>
        <w:rPr>
          <w:rFonts w:ascii="Times New Roman"/>
          <w:sz w:val="16"/>
        </w:rPr>
      </w:pPr>
      <w:r>
        <w:rPr>
          <w:rFonts w:ascii="Times New Roman"/>
          <w:position w:val="2"/>
          <w:sz w:val="16"/>
        </w:rPr>
        <w:t>40</w:t>
        <w:tab/>
      </w:r>
      <w:r>
        <w:rPr>
          <w:rFonts w:ascii="Times New Roman"/>
          <w:sz w:val="16"/>
        </w:rPr>
        <w:t>50%</w:t>
      </w:r>
    </w:p>
    <w:p>
      <w:pPr>
        <w:spacing w:line="152" w:lineRule="exact" w:before="54"/>
        <w:ind w:left="12524" w:right="0" w:firstLine="0"/>
        <w:jc w:val="left"/>
        <w:rPr>
          <w:rFonts w:ascii="Times New Roman"/>
          <w:sz w:val="16"/>
        </w:rPr>
      </w:pPr>
      <w:r>
        <w:rPr>
          <w:rFonts w:ascii="Times New Roman"/>
          <w:sz w:val="16"/>
        </w:rPr>
        <w:t>-15%</w:t>
      </w:r>
    </w:p>
    <w:p>
      <w:pPr>
        <w:tabs>
          <w:tab w:pos="12920" w:val="left" w:leader="none"/>
        </w:tabs>
        <w:spacing w:line="187" w:lineRule="auto" w:before="0"/>
        <w:ind w:left="6974" w:right="0" w:firstLine="0"/>
        <w:jc w:val="left"/>
        <w:rPr>
          <w:rFonts w:ascii="Times New Roman"/>
          <w:sz w:val="16"/>
        </w:rPr>
      </w:pPr>
      <w:r>
        <w:rPr>
          <w:rFonts w:ascii="Times New Roman"/>
          <w:position w:val="-6"/>
          <w:sz w:val="16"/>
        </w:rPr>
        <w:t>30</w:t>
        <w:tab/>
      </w:r>
      <w:r>
        <w:rPr>
          <w:rFonts w:ascii="Times New Roman"/>
          <w:sz w:val="16"/>
        </w:rPr>
        <w:t>40%</w:t>
      </w:r>
    </w:p>
    <w:p>
      <w:pPr>
        <w:spacing w:line="197" w:lineRule="exact" w:before="108"/>
        <w:ind w:left="12524" w:right="0" w:firstLine="0"/>
        <w:jc w:val="left"/>
        <w:rPr>
          <w:rFonts w:ascii="Times New Roman"/>
          <w:sz w:val="16"/>
        </w:rPr>
      </w:pPr>
      <w:r>
        <w:rPr>
          <w:rFonts w:ascii="Times New Roman"/>
          <w:sz w:val="16"/>
        </w:rPr>
        <w:t>-20%</w:t>
      </w:r>
      <w:r>
        <w:rPr>
          <w:rFonts w:ascii="Times New Roman"/>
          <w:spacing w:val="7"/>
          <w:sz w:val="16"/>
        </w:rPr>
        <w:t> </w:t>
      </w:r>
      <w:r>
        <w:rPr>
          <w:rFonts w:ascii="Times New Roman"/>
          <w:position w:val="4"/>
          <w:sz w:val="16"/>
        </w:rPr>
        <w:t>30%</w:t>
      </w:r>
    </w:p>
    <w:p>
      <w:pPr>
        <w:spacing w:line="157" w:lineRule="exact" w:before="0"/>
        <w:ind w:left="6974" w:right="0" w:firstLine="0"/>
        <w:jc w:val="left"/>
        <w:rPr>
          <w:rFonts w:ascii="Times New Roman"/>
          <w:sz w:val="16"/>
        </w:rPr>
      </w:pPr>
      <w:r>
        <w:rPr>
          <w:rFonts w:ascii="Times New Roman"/>
          <w:sz w:val="16"/>
        </w:rPr>
        <w:t>20</w:t>
      </w:r>
    </w:p>
    <w:p>
      <w:pPr>
        <w:spacing w:before="7"/>
        <w:ind w:left="12920" w:right="0" w:firstLine="0"/>
        <w:jc w:val="left"/>
        <w:rPr>
          <w:rFonts w:ascii="Times New Roman"/>
          <w:sz w:val="16"/>
        </w:rPr>
      </w:pPr>
      <w:r>
        <w:rPr>
          <w:rFonts w:ascii="Times New Roman"/>
          <w:sz w:val="16"/>
        </w:rPr>
        <w:t>20%</w:t>
      </w:r>
    </w:p>
    <w:p>
      <w:pPr>
        <w:tabs>
          <w:tab w:pos="12524" w:val="left" w:leader="none"/>
        </w:tabs>
        <w:spacing w:line="203" w:lineRule="exact" w:before="12"/>
        <w:ind w:left="6974" w:right="0" w:firstLine="0"/>
        <w:jc w:val="left"/>
        <w:rPr>
          <w:rFonts w:ascii="Times New Roman"/>
          <w:sz w:val="16"/>
        </w:rPr>
      </w:pPr>
      <w:r>
        <w:rPr>
          <w:rFonts w:ascii="Times New Roman"/>
          <w:position w:val="-5"/>
          <w:sz w:val="16"/>
        </w:rPr>
        <w:t>10</w:t>
        <w:tab/>
      </w:r>
      <w:r>
        <w:rPr>
          <w:rFonts w:ascii="Times New Roman"/>
          <w:sz w:val="16"/>
        </w:rPr>
        <w:t>-25%</w:t>
      </w:r>
    </w:p>
    <w:p>
      <w:pPr>
        <w:spacing w:line="143" w:lineRule="exact" w:before="0"/>
        <w:ind w:left="12920" w:right="0" w:firstLine="0"/>
        <w:jc w:val="left"/>
        <w:rPr>
          <w:rFonts w:ascii="Times New Roman"/>
          <w:sz w:val="16"/>
        </w:rPr>
      </w:pPr>
      <w:r>
        <w:rPr>
          <w:rFonts w:ascii="Times New Roman"/>
          <w:sz w:val="16"/>
        </w:rPr>
        <w:t>10%</w:t>
      </w:r>
    </w:p>
    <w:p>
      <w:pPr>
        <w:spacing w:after="0" w:line="143" w:lineRule="exact"/>
        <w:jc w:val="left"/>
        <w:rPr>
          <w:rFonts w:ascii="Times New Roman"/>
          <w:sz w:val="16"/>
        </w:rPr>
        <w:sectPr>
          <w:type w:val="continuous"/>
          <w:pgSz w:w="19200" w:h="10800" w:orient="landscape"/>
          <w:pgMar w:top="140" w:bottom="0" w:left="0" w:right="0"/>
        </w:sectPr>
      </w:pPr>
    </w:p>
    <w:p>
      <w:pPr>
        <w:pStyle w:val="BodyText"/>
        <w:spacing w:before="9"/>
        <w:rPr>
          <w:rFonts w:ascii="Times New Roman"/>
          <w:sz w:val="14"/>
        </w:rPr>
      </w:pPr>
    </w:p>
    <w:p>
      <w:pPr>
        <w:spacing w:before="0"/>
        <w:ind w:left="2066" w:right="0" w:firstLine="0"/>
        <w:jc w:val="center"/>
        <w:rPr>
          <w:rFonts w:ascii="Times New Roman"/>
          <w:sz w:val="16"/>
        </w:rPr>
      </w:pPr>
      <w:r>
        <w:rPr>
          <w:rFonts w:ascii="Times New Roman"/>
          <w:w w:val="100"/>
          <w:sz w:val="16"/>
        </w:rPr>
        <w:t>0</w:t>
      </w:r>
    </w:p>
    <w:p>
      <w:pPr>
        <w:tabs>
          <w:tab w:pos="8389" w:val="left" w:leader="none"/>
          <w:tab w:pos="9242" w:val="left" w:leader="none"/>
          <w:tab w:pos="10095" w:val="left" w:leader="none"/>
          <w:tab w:pos="10948" w:val="left" w:leader="none"/>
          <w:tab w:pos="11801" w:val="left" w:leader="none"/>
        </w:tabs>
        <w:spacing w:line="130" w:lineRule="exact" w:before="3"/>
        <w:ind w:left="7536" w:right="0" w:firstLine="0"/>
        <w:jc w:val="center"/>
        <w:rPr>
          <w:rFonts w:ascii="Times New Roman"/>
          <w:sz w:val="16"/>
        </w:rPr>
      </w:pPr>
      <w:r>
        <w:rPr/>
        <w:pict>
          <v:group style="position:absolute;margin-left:649.080017pt;margin-top:9.370749pt;width:6.25pt;height:6.25pt;mso-position-horizontal-relative:page;mso-position-vertical-relative:paragraph;z-index:15749632" coordorigin="12982,187" coordsize="125,125">
            <v:rect style="position:absolute;left:12996;top:201;width:96;height:96" filled="true" fillcolor="#e6121b" stroked="false">
              <v:fill type="solid"/>
            </v:rect>
            <v:rect style="position:absolute;left:12996;top:201;width:96;height:96" filled="false" stroked="true" strokeweight="1.44pt" strokecolor="#e6121b">
              <v:stroke dashstyle="solid"/>
            </v:rect>
            <w10:wrap type="none"/>
          </v:group>
        </w:pict>
      </w:r>
      <w:r>
        <w:rPr/>
        <w:pict>
          <v:group style="position:absolute;margin-left:883.320007pt;margin-top:9.73075pt;width:5.55pt;height:5.55pt;mso-position-horizontal-relative:page;mso-position-vertical-relative:paragraph;z-index:-18041856" coordorigin="17666,195" coordsize="111,111">
            <v:rect style="position:absolute;left:17673;top:201;width:96;height:96" filled="true" fillcolor="#e6b8b8" stroked="false">
              <v:fill type="solid"/>
            </v:rect>
            <v:rect style="position:absolute;left:17673;top:201;width:96;height:96" filled="false" stroked="true" strokeweight=".72pt" strokecolor="#e6b8b8">
              <v:stroke dashstyle="solid"/>
            </v:rect>
            <w10:wrap type="none"/>
          </v:group>
        </w:pict>
      </w:r>
      <w:r>
        <w:rPr/>
        <w:pict>
          <v:rect style="position:absolute;margin-left:649.799988pt;margin-top:19.810749pt;width:4.8pt;height:4.8pt;mso-position-horizontal-relative:page;mso-position-vertical-relative:paragraph;z-index:15751680" filled="true" fillcolor="#b7dee8" stroked="false">
            <v:fill type="solid"/>
            <w10:wrap type="none"/>
          </v:rect>
        </w:pict>
      </w:r>
      <w:r>
        <w:rPr/>
        <w:pict>
          <v:rect style="position:absolute;margin-left:727.799988pt;margin-top:19.810749pt;width:4.68pt;height:4.8pt;mso-position-horizontal-relative:page;mso-position-vertical-relative:paragraph;z-index:-18040832" filled="true" fillcolor="#db843c" stroked="false">
            <v:fill type="solid"/>
            <w10:wrap type="none"/>
          </v:rect>
        </w:pict>
      </w:r>
      <w:r>
        <w:rPr/>
        <w:pict>
          <v:rect style="position:absolute;margin-left:805.799988pt;margin-top:19.810749pt;width:4.68pt;height:4.8pt;mso-position-horizontal-relative:page;mso-position-vertical-relative:paragraph;z-index:-18040320" filled="true" fillcolor="#92a9cf" stroked="false">
            <v:fill type="solid"/>
            <w10:wrap type="none"/>
          </v:rect>
        </w:pict>
      </w:r>
      <w:r>
        <w:rPr/>
        <w:pict>
          <v:rect style="position:absolute;margin-left:883.679993pt;margin-top:19.810749pt;width:4.8pt;height:4.8pt;mso-position-horizontal-relative:page;mso-position-vertical-relative:paragraph;z-index:-18039808" filled="true" fillcolor="#d19292" stroked="false">
            <v:fill type="solid"/>
            <w10:wrap type="none"/>
          </v:rect>
        </w:pict>
      </w:r>
      <w:r>
        <w:rPr>
          <w:rFonts w:ascii="Times New Roman"/>
          <w:sz w:val="16"/>
        </w:rPr>
        <w:t>2017</w:t>
        <w:tab/>
        <w:t>2018</w:t>
        <w:tab/>
        <w:t>2019</w:t>
        <w:tab/>
        <w:t>2020</w:t>
        <w:tab/>
        <w:t>2021</w:t>
        <w:tab/>
      </w:r>
      <w:r>
        <w:rPr>
          <w:rFonts w:ascii="Times New Roman"/>
          <w:spacing w:val="-6"/>
          <w:sz w:val="16"/>
        </w:rPr>
        <w:t>2022</w:t>
      </w:r>
    </w:p>
    <w:p>
      <w:pPr>
        <w:pStyle w:val="BodyText"/>
        <w:spacing w:before="1"/>
        <w:rPr>
          <w:rFonts w:ascii="Times New Roman"/>
          <w:sz w:val="15"/>
        </w:rPr>
      </w:pPr>
      <w:r>
        <w:rPr/>
        <w:br w:type="column"/>
      </w:r>
      <w:r>
        <w:rPr>
          <w:rFonts w:ascii="Times New Roman"/>
          <w:sz w:val="15"/>
        </w:rPr>
      </w:r>
    </w:p>
    <w:p>
      <w:pPr>
        <w:spacing w:before="1"/>
        <w:ind w:left="362" w:right="0" w:firstLine="0"/>
        <w:jc w:val="left"/>
        <w:rPr>
          <w:rFonts w:ascii="Times New Roman"/>
          <w:sz w:val="16"/>
        </w:rPr>
      </w:pPr>
      <w:r>
        <w:rPr>
          <w:rFonts w:ascii="Times New Roman"/>
          <w:sz w:val="16"/>
        </w:rPr>
        <w:t>-30% 0%</w:t>
      </w:r>
    </w:p>
    <w:p>
      <w:pPr>
        <w:pStyle w:val="BodyText"/>
        <w:rPr>
          <w:rFonts w:ascii="Times New Roman"/>
          <w:sz w:val="18"/>
        </w:rPr>
      </w:pPr>
      <w:r>
        <w:rPr/>
        <w:br w:type="column"/>
      </w:r>
      <w:r>
        <w:rPr>
          <w:rFonts w:ascii="Times New Roman"/>
          <w:sz w:val="18"/>
        </w:rPr>
      </w:r>
    </w:p>
    <w:p>
      <w:pPr>
        <w:tabs>
          <w:tab w:pos="1361" w:val="left" w:leader="none"/>
          <w:tab w:pos="2311" w:val="left" w:leader="none"/>
          <w:tab w:pos="3261" w:val="left" w:leader="none"/>
          <w:tab w:pos="4211" w:val="left" w:leader="none"/>
          <w:tab w:pos="5161" w:val="left" w:leader="none"/>
        </w:tabs>
        <w:spacing w:line="125" w:lineRule="exact" w:before="155"/>
        <w:ind w:left="412" w:right="0" w:firstLine="0"/>
        <w:jc w:val="left"/>
        <w:rPr>
          <w:rFonts w:ascii="Times New Roman"/>
          <w:sz w:val="16"/>
        </w:rPr>
      </w:pPr>
      <w:r>
        <w:rPr/>
        <w:pict>
          <v:group style="position:absolute;margin-left:727.080017pt;margin-top:16.730747pt;width:6.15pt;height:6.25pt;mso-position-horizontal-relative:page;mso-position-vertical-relative:paragraph;z-index:-18042880" coordorigin="14542,335" coordsize="123,125">
            <v:rect style="position:absolute;left:14556;top:349;width:94;height:96" filled="true" fillcolor="#0161b9" stroked="false">
              <v:fill type="solid"/>
            </v:rect>
            <v:rect style="position:absolute;left:14556;top:349;width:94;height:96" filled="false" stroked="true" strokeweight="1.44pt" strokecolor="#0161b9">
              <v:stroke dashstyle="solid"/>
            </v:rect>
            <w10:wrap type="none"/>
          </v:group>
        </w:pict>
      </w:r>
      <w:r>
        <w:rPr/>
        <w:pict>
          <v:group style="position:absolute;margin-left:805.080017pt;margin-top:16.730747pt;width:6.15pt;height:6.25pt;mso-position-horizontal-relative:page;mso-position-vertical-relative:paragraph;z-index:-18042368" coordorigin="16102,335" coordsize="123,125">
            <v:rect style="position:absolute;left:16116;top:349;width:94;height:96" filled="true" fillcolor="#a6a6a6" stroked="false">
              <v:fill type="solid"/>
            </v:rect>
            <v:rect style="position:absolute;left:16116;top:349;width:94;height:96" filled="false" stroked="true" strokeweight="1.44pt" strokecolor="#a6a6a6">
              <v:stroke dashstyle="solid"/>
            </v:rect>
            <w10:wrap type="none"/>
          </v:group>
        </w:pict>
      </w:r>
      <w:r>
        <w:rPr>
          <w:rFonts w:ascii="Times New Roman"/>
          <w:sz w:val="16"/>
        </w:rPr>
        <w:t>2017</w:t>
        <w:tab/>
        <w:t>2018</w:t>
        <w:tab/>
        <w:t>2019</w:t>
        <w:tab/>
        <w:t>2020</w:t>
        <w:tab/>
        <w:t>2021</w:t>
        <w:tab/>
        <w:t>2022</w:t>
      </w:r>
    </w:p>
    <w:p>
      <w:pPr>
        <w:spacing w:after="0" w:line="125" w:lineRule="exact"/>
        <w:jc w:val="left"/>
        <w:rPr>
          <w:rFonts w:ascii="Times New Roman"/>
          <w:sz w:val="16"/>
        </w:rPr>
        <w:sectPr>
          <w:type w:val="continuous"/>
          <w:pgSz w:w="19200" w:h="10800" w:orient="landscape"/>
          <w:pgMar w:top="140" w:bottom="0" w:left="0" w:right="0"/>
          <w:cols w:num="3" w:equalWidth="0">
            <w:col w:w="12123" w:space="40"/>
            <w:col w:w="1051" w:space="39"/>
            <w:col w:w="5947"/>
          </w:cols>
        </w:sectPr>
      </w:pPr>
    </w:p>
    <w:p>
      <w:pPr>
        <w:tabs>
          <w:tab w:pos="2678" w:val="left" w:leader="none"/>
        </w:tabs>
        <w:spacing w:before="51"/>
        <w:ind w:left="0" w:right="0" w:firstLine="0"/>
        <w:jc w:val="right"/>
        <w:rPr>
          <w:sz w:val="16"/>
        </w:rPr>
      </w:pPr>
      <w:r>
        <w:rPr/>
        <w:pict>
          <v:rect style="position:absolute;margin-left:396.23999pt;margin-top:7.276595pt;width:19.2pt;height:4.8pt;mso-position-horizontal-relative:page;mso-position-vertical-relative:paragraph;z-index:15748096" filled="true" fillcolor="#e6121b" stroked="false">
            <v:fill type="solid"/>
            <w10:wrap type="none"/>
          </v:rect>
        </w:pict>
      </w:r>
      <w:r>
        <w:rPr/>
        <w:pict>
          <v:line style="position:absolute;mso-position-horizontal-relative:page;mso-position-vertical-relative:paragraph;z-index:-18044416" from="530.159973pt,9.676595pt" to="549.359973pt,9.676595pt" stroked="true" strokeweight="1.44pt" strokecolor="#0161b9">
            <v:stroke dashstyle="solid"/>
            <w10:wrap type="none"/>
          </v:line>
        </w:pict>
      </w:r>
      <w:r>
        <w:rPr>
          <w:sz w:val="16"/>
        </w:rPr>
        <w:t>市场规模（亿元）</w:t>
        <w:tab/>
        <w:t>增速（右轴）</w:t>
      </w:r>
    </w:p>
    <w:p>
      <w:pPr>
        <w:tabs>
          <w:tab w:pos="2658" w:val="left" w:leader="none"/>
          <w:tab w:pos="4218" w:val="left" w:leader="none"/>
          <w:tab w:pos="5777" w:val="left" w:leader="none"/>
        </w:tabs>
        <w:spacing w:line="158" w:lineRule="auto" w:before="31"/>
        <w:ind w:left="1098" w:right="744" w:firstLine="0"/>
        <w:jc w:val="left"/>
        <w:rPr>
          <w:sz w:val="16"/>
        </w:rPr>
      </w:pPr>
      <w:r>
        <w:rPr/>
        <w:br w:type="column"/>
      </w:r>
      <w:r>
        <w:rPr>
          <w:sz w:val="16"/>
        </w:rPr>
        <w:t>复方脑肽节苷脂</w:t>
        <w:tab/>
        <w:t>脑苷肌肽</w:t>
        <w:tab/>
        <w:t>甘露特钠</w:t>
        <w:tab/>
        <w:t>多奈哌</w:t>
      </w:r>
      <w:r>
        <w:rPr>
          <w:spacing w:val="-19"/>
          <w:sz w:val="16"/>
        </w:rPr>
        <w:t>齐</w:t>
      </w:r>
      <w:r>
        <w:rPr>
          <w:sz w:val="16"/>
        </w:rPr>
        <w:t>复方苁蓉益智</w:t>
        <w:tab/>
        <w:t>美金刚</w:t>
        <w:tab/>
        <w:t>卡巴拉汀</w:t>
        <w:tab/>
        <w:t>加兰他</w:t>
      </w:r>
      <w:r>
        <w:rPr>
          <w:spacing w:val="-19"/>
          <w:sz w:val="16"/>
        </w:rPr>
        <w:t>敏</w:t>
      </w:r>
    </w:p>
    <w:p>
      <w:pPr>
        <w:spacing w:after="0" w:line="158" w:lineRule="auto"/>
        <w:jc w:val="left"/>
        <w:rPr>
          <w:sz w:val="16"/>
        </w:rPr>
        <w:sectPr>
          <w:type w:val="continuous"/>
          <w:pgSz w:w="19200" w:h="10800" w:orient="landscape"/>
          <w:pgMar w:top="140" w:bottom="0" w:left="0" w:right="0"/>
          <w:cols w:num="2" w:equalWidth="0">
            <w:col w:w="11995" w:space="40"/>
            <w:col w:w="7165"/>
          </w:cols>
        </w:sectPr>
      </w:pPr>
    </w:p>
    <w:p>
      <w:pPr>
        <w:pStyle w:val="BodyText"/>
        <w:spacing w:before="18"/>
        <w:rPr>
          <w:sz w:val="26"/>
        </w:rPr>
      </w:pPr>
    </w:p>
    <w:p>
      <w:pPr>
        <w:pStyle w:val="Heading3"/>
        <w:spacing w:line="515" w:lineRule="exact"/>
        <w:jc w:val="both"/>
      </w:pPr>
      <w:r>
        <w:rPr/>
        <w:drawing>
          <wp:anchor distT="0" distB="0" distL="0" distR="0" allowOverlap="1" layoutInCell="1" locked="0" behindDoc="0" simplePos="0" relativeHeight="15755264">
            <wp:simplePos x="0" y="0"/>
            <wp:positionH relativeFrom="page">
              <wp:posOffset>9144</wp:posOffset>
            </wp:positionH>
            <wp:positionV relativeFrom="paragraph">
              <wp:posOffset>-158273</wp:posOffset>
            </wp:positionV>
            <wp:extent cx="12182855" cy="89915"/>
            <wp:effectExtent l="0" t="0" r="0" b="0"/>
            <wp:wrapNone/>
            <wp:docPr id="61" name="image5.png"/>
            <wp:cNvGraphicFramePr>
              <a:graphicFrameLocks noChangeAspect="1"/>
            </wp:cNvGraphicFramePr>
            <a:graphic>
              <a:graphicData uri="http://schemas.openxmlformats.org/drawingml/2006/picture">
                <pic:pic>
                  <pic:nvPicPr>
                    <pic:cNvPr id="62" name="image5.png"/>
                    <pic:cNvPicPr/>
                  </pic:nvPicPr>
                  <pic:blipFill>
                    <a:blip r:embed="rId14" cstate="print"/>
                    <a:stretch>
                      <a:fillRect/>
                    </a:stretch>
                  </pic:blipFill>
                  <pic:spPr>
                    <a:xfrm>
                      <a:off x="0" y="0"/>
                      <a:ext cx="12182855" cy="89915"/>
                    </a:xfrm>
                    <a:prstGeom prst="rect">
                      <a:avLst/>
                    </a:prstGeom>
                  </pic:spPr>
                </pic:pic>
              </a:graphicData>
            </a:graphic>
          </wp:anchor>
        </w:drawing>
      </w:r>
      <w:r>
        <w:rPr>
          <w:rFonts w:ascii="Microsoft YaHei UI Light" w:hAnsi="Microsoft YaHei UI Light" w:eastAsia="Microsoft YaHei UI Light" w:hint="eastAsia"/>
          <w:b w:val="0"/>
          <w:color w:val="00AFEF"/>
        </w:rPr>
        <w:t>┃ </w:t>
      </w:r>
      <w:r>
        <w:rPr>
          <w:color w:val="57585B"/>
        </w:rPr>
        <w:t>阿尔兹海默病创新药开发难度较大，大药企纷纷折戟</w:t>
      </w:r>
    </w:p>
    <w:p>
      <w:pPr>
        <w:pStyle w:val="ListParagraph"/>
        <w:numPr>
          <w:ilvl w:val="1"/>
          <w:numId w:val="3"/>
        </w:numPr>
        <w:tabs>
          <w:tab w:pos="1217" w:val="left" w:leader="none"/>
        </w:tabs>
        <w:spacing w:line="184" w:lineRule="auto" w:before="85" w:after="0"/>
        <w:ind w:left="1216" w:right="2372" w:hanging="284"/>
        <w:jc w:val="both"/>
        <w:rPr>
          <w:sz w:val="28"/>
        </w:rPr>
      </w:pPr>
      <w:r>
        <w:rPr>
          <w:color w:val="57585B"/>
          <w:spacing w:val="3"/>
          <w:sz w:val="28"/>
        </w:rPr>
        <w:t>阿尔兹海默症创新药开发难度较大。根据《</w:t>
      </w:r>
      <w:r>
        <w:rPr>
          <w:color w:val="57585B"/>
          <w:sz w:val="28"/>
        </w:rPr>
        <w:t>Alzheimer‘s</w:t>
      </w:r>
      <w:r>
        <w:rPr>
          <w:color w:val="57585B"/>
          <w:spacing w:val="67"/>
          <w:sz w:val="28"/>
        </w:rPr>
        <w:t> </w:t>
      </w:r>
      <w:r>
        <w:rPr>
          <w:color w:val="57585B"/>
          <w:sz w:val="28"/>
        </w:rPr>
        <w:t>Medicines:</w:t>
      </w:r>
      <w:r>
        <w:rPr>
          <w:color w:val="57585B"/>
          <w:spacing w:val="66"/>
          <w:sz w:val="28"/>
        </w:rPr>
        <w:t> </w:t>
      </w:r>
      <w:r>
        <w:rPr>
          <w:color w:val="57585B"/>
          <w:sz w:val="28"/>
        </w:rPr>
        <w:t>Setbacks</w:t>
      </w:r>
      <w:r>
        <w:rPr>
          <w:color w:val="57585B"/>
          <w:spacing w:val="64"/>
          <w:sz w:val="28"/>
        </w:rPr>
        <w:t> </w:t>
      </w:r>
      <w:r>
        <w:rPr>
          <w:color w:val="57585B"/>
          <w:sz w:val="28"/>
        </w:rPr>
        <w:t>and</w:t>
      </w:r>
      <w:r>
        <w:rPr>
          <w:color w:val="57585B"/>
          <w:spacing w:val="67"/>
          <w:sz w:val="28"/>
        </w:rPr>
        <w:t> </w:t>
      </w:r>
      <w:r>
        <w:rPr>
          <w:color w:val="57585B"/>
          <w:spacing w:val="-3"/>
          <w:sz w:val="28"/>
        </w:rPr>
        <w:t>Stepping</w:t>
      </w:r>
      <w:r>
        <w:rPr>
          <w:color w:val="57585B"/>
          <w:spacing w:val="66"/>
          <w:sz w:val="28"/>
        </w:rPr>
        <w:t> </w:t>
      </w:r>
      <w:r>
        <w:rPr>
          <w:color w:val="57585B"/>
          <w:spacing w:val="-4"/>
          <w:sz w:val="28"/>
        </w:rPr>
        <w:t>Stones</w:t>
      </w:r>
      <w:r>
        <w:rPr>
          <w:color w:val="57585B"/>
          <w:spacing w:val="3"/>
          <w:sz w:val="28"/>
        </w:rPr>
        <w:t>》报告统计，</w:t>
      </w:r>
      <w:r>
        <w:rPr>
          <w:color w:val="57585B"/>
          <w:sz w:val="28"/>
        </w:rPr>
        <w:t>1998- </w:t>
      </w:r>
      <w:r>
        <w:rPr>
          <w:color w:val="57585B"/>
          <w:spacing w:val="-1"/>
          <w:sz w:val="28"/>
        </w:rPr>
        <w:t>2017</w:t>
      </w:r>
      <w:r>
        <w:rPr>
          <w:color w:val="57585B"/>
          <w:spacing w:val="-2"/>
          <w:sz w:val="28"/>
        </w:rPr>
        <w:t>年全球共</w:t>
      </w:r>
      <w:r>
        <w:rPr>
          <w:color w:val="57585B"/>
          <w:spacing w:val="-1"/>
          <w:sz w:val="28"/>
        </w:rPr>
        <w:t>150项AD</w:t>
      </w:r>
      <w:r>
        <w:rPr>
          <w:color w:val="57585B"/>
          <w:spacing w:val="-3"/>
          <w:sz w:val="28"/>
        </w:rPr>
        <w:t>新药研发项目，其中</w:t>
      </w:r>
      <w:r>
        <w:rPr>
          <w:color w:val="57585B"/>
          <w:spacing w:val="-1"/>
          <w:sz w:val="28"/>
        </w:rPr>
        <w:t>146</w:t>
      </w:r>
      <w:r>
        <w:rPr>
          <w:color w:val="57585B"/>
          <w:spacing w:val="-3"/>
          <w:sz w:val="28"/>
        </w:rPr>
        <w:t>项开发失败，包括辉瑞</w:t>
      </w:r>
      <w:r>
        <w:rPr>
          <w:color w:val="57585B"/>
          <w:sz w:val="28"/>
        </w:rPr>
        <w:t>/</w:t>
      </w:r>
      <w:r>
        <w:rPr>
          <w:color w:val="57585B"/>
          <w:spacing w:val="-2"/>
          <w:sz w:val="28"/>
        </w:rPr>
        <w:t>强生的</w:t>
      </w:r>
      <w:r>
        <w:rPr>
          <w:color w:val="57585B"/>
          <w:sz w:val="28"/>
        </w:rPr>
        <w:t>Bapineuzumab和礼来的Solanezumab</w:t>
      </w:r>
      <w:r>
        <w:rPr>
          <w:color w:val="57585B"/>
          <w:spacing w:val="-2"/>
          <w:sz w:val="28"/>
        </w:rPr>
        <w:t>、罗氏</w:t>
      </w:r>
      <w:r>
        <w:rPr>
          <w:color w:val="57585B"/>
          <w:sz w:val="28"/>
        </w:rPr>
        <w:t>/ 基因泰克的Gantenerumab</w:t>
      </w:r>
      <w:r>
        <w:rPr>
          <w:color w:val="57585B"/>
          <w:spacing w:val="-3"/>
          <w:sz w:val="28"/>
        </w:rPr>
        <w:t>等均宣告开发失败。</w:t>
      </w:r>
    </w:p>
    <w:p>
      <w:pPr>
        <w:pStyle w:val="ListParagraph"/>
        <w:numPr>
          <w:ilvl w:val="1"/>
          <w:numId w:val="3"/>
        </w:numPr>
        <w:tabs>
          <w:tab w:pos="1217" w:val="left" w:leader="none"/>
        </w:tabs>
        <w:spacing w:line="184" w:lineRule="auto" w:before="248" w:after="0"/>
        <w:ind w:left="1216" w:right="2374" w:hanging="284"/>
        <w:jc w:val="both"/>
        <w:rPr>
          <w:sz w:val="28"/>
        </w:rPr>
      </w:pPr>
      <w:r>
        <w:rPr>
          <w:color w:val="57585B"/>
          <w:spacing w:val="4"/>
          <w:sz w:val="28"/>
        </w:rPr>
        <w:t>在</w:t>
      </w:r>
      <w:r>
        <w:rPr>
          <w:color w:val="57585B"/>
          <w:sz w:val="28"/>
        </w:rPr>
        <w:t>2021</w:t>
      </w:r>
      <w:r>
        <w:rPr>
          <w:color w:val="57585B"/>
          <w:spacing w:val="3"/>
          <w:sz w:val="28"/>
        </w:rPr>
        <w:t>年卫材</w:t>
      </w:r>
      <w:r>
        <w:rPr>
          <w:color w:val="57585B"/>
          <w:spacing w:val="4"/>
          <w:sz w:val="28"/>
        </w:rPr>
        <w:t>/</w:t>
      </w:r>
      <w:r>
        <w:rPr>
          <w:color w:val="57585B"/>
          <w:spacing w:val="3"/>
          <w:sz w:val="28"/>
        </w:rPr>
        <w:t>渤健的</w:t>
      </w:r>
      <w:r>
        <w:rPr>
          <w:color w:val="57585B"/>
          <w:sz w:val="28"/>
        </w:rPr>
        <w:t>Aducanumab（</w:t>
      </w:r>
      <w:r>
        <w:rPr>
          <w:color w:val="57585B"/>
          <w:spacing w:val="1"/>
          <w:sz w:val="28"/>
        </w:rPr>
        <w:t>商品名：</w:t>
      </w:r>
      <w:r>
        <w:rPr>
          <w:color w:val="57585B"/>
          <w:sz w:val="28"/>
        </w:rPr>
        <w:t>Aduhelm）</w:t>
      </w:r>
      <w:r>
        <w:rPr>
          <w:color w:val="57585B"/>
          <w:spacing w:val="2"/>
          <w:sz w:val="28"/>
        </w:rPr>
        <w:t>获得</w:t>
      </w:r>
      <w:r>
        <w:rPr>
          <w:color w:val="57585B"/>
          <w:sz w:val="28"/>
        </w:rPr>
        <w:t>FDA</w:t>
      </w:r>
      <w:r>
        <w:rPr>
          <w:color w:val="57585B"/>
          <w:spacing w:val="1"/>
          <w:sz w:val="28"/>
        </w:rPr>
        <w:t>批准前，</w:t>
      </w:r>
      <w:r>
        <w:rPr>
          <w:color w:val="57585B"/>
          <w:sz w:val="28"/>
        </w:rPr>
        <w:t>FDA</w:t>
      </w:r>
      <w:r>
        <w:rPr>
          <w:color w:val="57585B"/>
          <w:spacing w:val="1"/>
          <w:sz w:val="28"/>
        </w:rPr>
        <w:t>期间批准仅</w:t>
      </w:r>
      <w:r>
        <w:rPr>
          <w:color w:val="57585B"/>
          <w:spacing w:val="5"/>
          <w:sz w:val="28"/>
        </w:rPr>
        <w:t>3</w:t>
      </w:r>
      <w:r>
        <w:rPr>
          <w:color w:val="57585B"/>
          <w:sz w:val="28"/>
        </w:rPr>
        <w:t>款药物用于阿尔兹海默症的治</w:t>
      </w:r>
      <w:r>
        <w:rPr>
          <w:color w:val="57585B"/>
          <w:spacing w:val="-2"/>
          <w:sz w:val="28"/>
        </w:rPr>
        <w:t>疗，分别为</w:t>
      </w:r>
      <w:r>
        <w:rPr>
          <w:color w:val="57585B"/>
          <w:sz w:val="28"/>
        </w:rPr>
        <w:t>2000</w:t>
      </w:r>
      <w:r>
        <w:rPr>
          <w:color w:val="57585B"/>
          <w:spacing w:val="-3"/>
          <w:sz w:val="28"/>
        </w:rPr>
        <w:t>年诺华的卡巴拉汀、</w:t>
      </w:r>
      <w:r>
        <w:rPr>
          <w:color w:val="57585B"/>
          <w:sz w:val="28"/>
        </w:rPr>
        <w:t>2001年</w:t>
      </w:r>
      <w:r>
        <w:rPr>
          <w:color w:val="57585B"/>
          <w:spacing w:val="-3"/>
          <w:sz w:val="28"/>
        </w:rPr>
        <w:t>J&amp;J的加兰他敏、</w:t>
      </w:r>
      <w:r>
        <w:rPr>
          <w:color w:val="57585B"/>
          <w:sz w:val="28"/>
        </w:rPr>
        <w:t>2003</w:t>
      </w:r>
      <w:r>
        <w:rPr>
          <w:color w:val="57585B"/>
          <w:spacing w:val="-3"/>
          <w:sz w:val="28"/>
        </w:rPr>
        <w:t>年艾伯维的美金刚</w:t>
      </w:r>
      <w:r>
        <w:rPr>
          <w:color w:val="57585B"/>
          <w:sz w:val="28"/>
        </w:rPr>
        <w:t>（2014</w:t>
      </w:r>
      <w:r>
        <w:rPr>
          <w:color w:val="57585B"/>
          <w:spacing w:val="-3"/>
          <w:sz w:val="28"/>
        </w:rPr>
        <w:t>年多奈哌齐+美金刚联用方案获得FDA</w:t>
      </w:r>
      <w:r>
        <w:rPr>
          <w:color w:val="57585B"/>
          <w:spacing w:val="-1"/>
          <w:sz w:val="28"/>
        </w:rPr>
        <w:t>批准，未统计为创新药</w:t>
      </w:r>
      <w:r>
        <w:rPr>
          <w:color w:val="57585B"/>
          <w:spacing w:val="-3"/>
          <w:sz w:val="28"/>
        </w:rPr>
        <w:t>）。因此在</w:t>
      </w:r>
      <w:r>
        <w:rPr>
          <w:color w:val="57585B"/>
          <w:sz w:val="28"/>
        </w:rPr>
        <w:t>2021</w:t>
      </w:r>
      <w:r>
        <w:rPr>
          <w:color w:val="57585B"/>
          <w:spacing w:val="-3"/>
          <w:sz w:val="28"/>
        </w:rPr>
        <w:t>年，美国已近</w:t>
      </w:r>
      <w:r>
        <w:rPr>
          <w:color w:val="57585B"/>
          <w:sz w:val="28"/>
        </w:rPr>
        <w:t>20</w:t>
      </w:r>
      <w:r>
        <w:rPr>
          <w:color w:val="57585B"/>
          <w:spacing w:val="-3"/>
          <w:sz w:val="28"/>
        </w:rPr>
        <w:t>年无</w:t>
      </w:r>
      <w:r>
        <w:rPr>
          <w:color w:val="57585B"/>
          <w:sz w:val="28"/>
        </w:rPr>
        <w:t>AD</w:t>
      </w:r>
      <w:r>
        <w:rPr>
          <w:color w:val="57585B"/>
          <w:spacing w:val="-2"/>
          <w:sz w:val="28"/>
        </w:rPr>
        <w:t>新药上市。</w:t>
      </w:r>
    </w:p>
    <w:p>
      <w:pPr>
        <w:pStyle w:val="ListParagraph"/>
        <w:numPr>
          <w:ilvl w:val="0"/>
          <w:numId w:val="7"/>
        </w:numPr>
        <w:tabs>
          <w:tab w:pos="957" w:val="left" w:leader="none"/>
          <w:tab w:pos="958" w:val="left" w:leader="none"/>
          <w:tab w:pos="9737" w:val="left" w:leader="none"/>
          <w:tab w:pos="10188" w:val="left" w:leader="none"/>
        </w:tabs>
        <w:spacing w:line="240" w:lineRule="auto" w:before="165" w:after="0"/>
        <w:ind w:left="957" w:right="0" w:hanging="453"/>
        <w:jc w:val="left"/>
        <w:rPr>
          <w:b/>
          <w:sz w:val="22"/>
        </w:rPr>
      </w:pPr>
      <w:r>
        <w:rPr>
          <w:b/>
          <w:color w:val="0A4EA1"/>
          <w:sz w:val="22"/>
        </w:rPr>
        <w:t>1998-2017</w:t>
      </w:r>
      <w:r>
        <w:rPr>
          <w:b/>
          <w:color w:val="0A4EA1"/>
          <w:spacing w:val="-3"/>
          <w:sz w:val="22"/>
        </w:rPr>
        <w:t>年</w:t>
      </w:r>
      <w:r>
        <w:rPr>
          <w:b/>
          <w:color w:val="0A4EA1"/>
          <w:sz w:val="22"/>
        </w:rPr>
        <w:t>全球AD创新</w:t>
      </w:r>
      <w:r>
        <w:rPr>
          <w:b/>
          <w:color w:val="0A4EA1"/>
          <w:spacing w:val="-3"/>
          <w:sz w:val="22"/>
        </w:rPr>
        <w:t>药</w:t>
      </w:r>
      <w:r>
        <w:rPr>
          <w:b/>
          <w:color w:val="0A4EA1"/>
          <w:sz w:val="22"/>
        </w:rPr>
        <w:t>开发</w:t>
      </w:r>
      <w:r>
        <w:rPr>
          <w:b/>
          <w:color w:val="0A4EA1"/>
          <w:spacing w:val="-3"/>
          <w:sz w:val="22"/>
        </w:rPr>
        <w:t>情</w:t>
      </w:r>
      <w:r>
        <w:rPr>
          <w:b/>
          <w:color w:val="0A4EA1"/>
          <w:sz w:val="22"/>
        </w:rPr>
        <w:t>况</w:t>
        <w:tab/>
      </w:r>
      <w:r>
        <w:rPr>
          <w:rFonts w:ascii="Wingdings" w:hAnsi="Wingdings" w:eastAsia="Wingdings"/>
          <w:color w:val="0A4EA1"/>
          <w:sz w:val="22"/>
        </w:rPr>
        <w:t></w:t>
      </w:r>
      <w:r>
        <w:rPr>
          <w:rFonts w:ascii="Times New Roman" w:hAnsi="Times New Roman" w:eastAsia="Times New Roman"/>
          <w:color w:val="0A4EA1"/>
          <w:sz w:val="22"/>
        </w:rPr>
        <w:tab/>
      </w:r>
      <w:r>
        <w:rPr>
          <w:b/>
          <w:color w:val="0A4EA1"/>
          <w:sz w:val="22"/>
        </w:rPr>
        <w:t>全球阿尔兹海默症创新</w:t>
      </w:r>
      <w:r>
        <w:rPr>
          <w:b/>
          <w:color w:val="0A4EA1"/>
          <w:spacing w:val="-3"/>
          <w:sz w:val="22"/>
        </w:rPr>
        <w:t>药</w:t>
      </w:r>
      <w:r>
        <w:rPr>
          <w:b/>
          <w:color w:val="0A4EA1"/>
          <w:sz w:val="22"/>
        </w:rPr>
        <w:t>靶点</w:t>
      </w:r>
      <w:r>
        <w:rPr>
          <w:b/>
          <w:color w:val="0A4EA1"/>
          <w:spacing w:val="-3"/>
          <w:sz w:val="22"/>
        </w:rPr>
        <w:t>研</w:t>
      </w:r>
      <w:r>
        <w:rPr>
          <w:b/>
          <w:color w:val="0A4EA1"/>
          <w:sz w:val="22"/>
        </w:rPr>
        <w:t>发情况</w:t>
      </w:r>
    </w:p>
    <w:p>
      <w:pPr>
        <w:pStyle w:val="BodyText"/>
        <w:spacing w:before="13"/>
        <w:rPr>
          <w:b/>
          <w:sz w:val="11"/>
        </w:rPr>
      </w:pPr>
      <w:r>
        <w:rPr/>
        <w:drawing>
          <wp:anchor distT="0" distB="0" distL="0" distR="0" allowOverlap="1" layoutInCell="1" locked="0" behindDoc="0" simplePos="0" relativeHeight="50">
            <wp:simplePos x="0" y="0"/>
            <wp:positionH relativeFrom="page">
              <wp:posOffset>272372</wp:posOffset>
            </wp:positionH>
            <wp:positionV relativeFrom="paragraph">
              <wp:posOffset>162461</wp:posOffset>
            </wp:positionV>
            <wp:extent cx="5449442" cy="2773680"/>
            <wp:effectExtent l="0" t="0" r="0" b="0"/>
            <wp:wrapTopAndBottom/>
            <wp:docPr id="63" name="image14.jpeg"/>
            <wp:cNvGraphicFramePr>
              <a:graphicFrameLocks noChangeAspect="1"/>
            </wp:cNvGraphicFramePr>
            <a:graphic>
              <a:graphicData uri="http://schemas.openxmlformats.org/drawingml/2006/picture">
                <pic:pic>
                  <pic:nvPicPr>
                    <pic:cNvPr id="64" name="image14.jpeg"/>
                    <pic:cNvPicPr/>
                  </pic:nvPicPr>
                  <pic:blipFill>
                    <a:blip r:embed="rId41" cstate="print"/>
                    <a:stretch>
                      <a:fillRect/>
                    </a:stretch>
                  </pic:blipFill>
                  <pic:spPr>
                    <a:xfrm>
                      <a:off x="0" y="0"/>
                      <a:ext cx="5449442" cy="2773680"/>
                    </a:xfrm>
                    <a:prstGeom prst="rect">
                      <a:avLst/>
                    </a:prstGeom>
                  </pic:spPr>
                </pic:pic>
              </a:graphicData>
            </a:graphic>
          </wp:anchor>
        </w:drawing>
      </w:r>
      <w:r>
        <w:rPr/>
        <w:drawing>
          <wp:anchor distT="0" distB="0" distL="0" distR="0" allowOverlap="1" layoutInCell="1" locked="0" behindDoc="0" simplePos="0" relativeHeight="51">
            <wp:simplePos x="0" y="0"/>
            <wp:positionH relativeFrom="page">
              <wp:posOffset>6186724</wp:posOffset>
            </wp:positionH>
            <wp:positionV relativeFrom="paragraph">
              <wp:posOffset>161771</wp:posOffset>
            </wp:positionV>
            <wp:extent cx="5286677" cy="2969514"/>
            <wp:effectExtent l="0" t="0" r="0" b="0"/>
            <wp:wrapTopAndBottom/>
            <wp:docPr id="65" name="image15.jpeg"/>
            <wp:cNvGraphicFramePr>
              <a:graphicFrameLocks noChangeAspect="1"/>
            </wp:cNvGraphicFramePr>
            <a:graphic>
              <a:graphicData uri="http://schemas.openxmlformats.org/drawingml/2006/picture">
                <pic:pic>
                  <pic:nvPicPr>
                    <pic:cNvPr id="66" name="image15.jpeg"/>
                    <pic:cNvPicPr/>
                  </pic:nvPicPr>
                  <pic:blipFill>
                    <a:blip r:embed="rId42" cstate="print"/>
                    <a:stretch>
                      <a:fillRect/>
                    </a:stretch>
                  </pic:blipFill>
                  <pic:spPr>
                    <a:xfrm>
                      <a:off x="0" y="0"/>
                      <a:ext cx="5286677" cy="2969514"/>
                    </a:xfrm>
                    <a:prstGeom prst="rect">
                      <a:avLst/>
                    </a:prstGeom>
                  </pic:spPr>
                </pic:pic>
              </a:graphicData>
            </a:graphic>
          </wp:anchor>
        </w:drawing>
      </w:r>
    </w:p>
    <w:p>
      <w:pPr>
        <w:spacing w:after="0"/>
        <w:rPr>
          <w:sz w:val="11"/>
        </w:rPr>
        <w:sectPr>
          <w:headerReference w:type="default" r:id="rId39"/>
          <w:footerReference w:type="default" r:id="rId40"/>
          <w:pgSz w:w="19200" w:h="10800" w:orient="landscape"/>
          <w:pgMar w:header="471" w:footer="173" w:top="1100" w:bottom="360" w:left="0" w:right="0"/>
        </w:sectPr>
      </w:pPr>
    </w:p>
    <w:p>
      <w:pPr>
        <w:pStyle w:val="BodyText"/>
        <w:spacing w:before="18"/>
        <w:rPr>
          <w:b/>
          <w:sz w:val="26"/>
        </w:rPr>
      </w:pPr>
    </w:p>
    <w:p>
      <w:pPr>
        <w:spacing w:after="0"/>
        <w:rPr>
          <w:sz w:val="26"/>
        </w:rPr>
        <w:sectPr>
          <w:headerReference w:type="default" r:id="rId43"/>
          <w:footerReference w:type="default" r:id="rId44"/>
          <w:pgSz w:w="19200" w:h="10800" w:orient="landscape"/>
          <w:pgMar w:header="471" w:footer="173" w:top="1100" w:bottom="360" w:left="0" w:right="0"/>
        </w:sectPr>
      </w:pPr>
    </w:p>
    <w:p>
      <w:pPr>
        <w:pStyle w:val="Heading3"/>
        <w:jc w:val="both"/>
      </w:pPr>
      <w:r>
        <w:rPr/>
        <w:drawing>
          <wp:anchor distT="0" distB="0" distL="0" distR="0" allowOverlap="1" layoutInCell="1" locked="0" behindDoc="0" simplePos="0" relativeHeight="15756800">
            <wp:simplePos x="0" y="0"/>
            <wp:positionH relativeFrom="page">
              <wp:posOffset>9144</wp:posOffset>
            </wp:positionH>
            <wp:positionV relativeFrom="paragraph">
              <wp:posOffset>-158273</wp:posOffset>
            </wp:positionV>
            <wp:extent cx="12182855" cy="89915"/>
            <wp:effectExtent l="0" t="0" r="0" b="0"/>
            <wp:wrapNone/>
            <wp:docPr id="69" name="image5.png"/>
            <wp:cNvGraphicFramePr>
              <a:graphicFrameLocks noChangeAspect="1"/>
            </wp:cNvGraphicFramePr>
            <a:graphic>
              <a:graphicData uri="http://schemas.openxmlformats.org/drawingml/2006/picture">
                <pic:pic>
                  <pic:nvPicPr>
                    <pic:cNvPr id="70" name="image5.png"/>
                    <pic:cNvPicPr/>
                  </pic:nvPicPr>
                  <pic:blipFill>
                    <a:blip r:embed="rId14" cstate="print"/>
                    <a:stretch>
                      <a:fillRect/>
                    </a:stretch>
                  </pic:blipFill>
                  <pic:spPr>
                    <a:xfrm>
                      <a:off x="0" y="0"/>
                      <a:ext cx="12182855" cy="89915"/>
                    </a:xfrm>
                    <a:prstGeom prst="rect">
                      <a:avLst/>
                    </a:prstGeom>
                  </pic:spPr>
                </pic:pic>
              </a:graphicData>
            </a:graphic>
          </wp:anchor>
        </w:drawing>
      </w:r>
      <w:r>
        <w:rPr>
          <w:rFonts w:ascii="Microsoft YaHei UI Light" w:hAnsi="Microsoft YaHei UI Light" w:eastAsia="Microsoft YaHei UI Light" w:hint="eastAsia"/>
          <w:b w:val="0"/>
          <w:color w:val="00AFEF"/>
        </w:rPr>
        <w:t>┃ </w:t>
      </w:r>
      <w:r>
        <w:rPr>
          <w:color w:val="57585B"/>
        </w:rPr>
        <w:t>靶向Aβ方向迎来突破，市场有望迎来新增量</w:t>
      </w:r>
    </w:p>
    <w:p>
      <w:pPr>
        <w:pStyle w:val="ListParagraph"/>
        <w:numPr>
          <w:ilvl w:val="1"/>
          <w:numId w:val="7"/>
        </w:numPr>
        <w:tabs>
          <w:tab w:pos="1217" w:val="left" w:leader="none"/>
        </w:tabs>
        <w:spacing w:line="172" w:lineRule="auto" w:before="215" w:after="0"/>
        <w:ind w:left="1216" w:right="0" w:hanging="284"/>
        <w:jc w:val="both"/>
        <w:rPr>
          <w:sz w:val="28"/>
        </w:rPr>
      </w:pPr>
      <w:r>
        <w:rPr>
          <w:b/>
          <w:color w:val="57585B"/>
          <w:sz w:val="28"/>
        </w:rPr>
        <w:t>Lecanemab（</w:t>
      </w:r>
      <w:r>
        <w:rPr>
          <w:b/>
          <w:color w:val="57585B"/>
          <w:spacing w:val="7"/>
          <w:sz w:val="28"/>
        </w:rPr>
        <w:t>仑卡奈单抗</w:t>
      </w:r>
      <w:r>
        <w:rPr>
          <w:b/>
          <w:color w:val="57585B"/>
          <w:spacing w:val="3"/>
          <w:sz w:val="28"/>
        </w:rPr>
        <w:t>）：</w:t>
      </w:r>
      <w:r>
        <w:rPr>
          <w:color w:val="57585B"/>
          <w:spacing w:val="3"/>
          <w:sz w:val="28"/>
        </w:rPr>
        <w:t>2023</w:t>
      </w:r>
      <w:r>
        <w:rPr>
          <w:color w:val="57585B"/>
          <w:spacing w:val="7"/>
          <w:sz w:val="28"/>
        </w:rPr>
        <w:t>年</w:t>
      </w:r>
      <w:r>
        <w:rPr>
          <w:color w:val="57585B"/>
          <w:spacing w:val="8"/>
          <w:sz w:val="28"/>
        </w:rPr>
        <w:t>1</w:t>
      </w:r>
      <w:r>
        <w:rPr>
          <w:color w:val="57585B"/>
          <w:spacing w:val="7"/>
          <w:sz w:val="28"/>
        </w:rPr>
        <w:t>月，卫材/渤健的</w:t>
      </w:r>
      <w:r>
        <w:rPr>
          <w:color w:val="57585B"/>
          <w:sz w:val="28"/>
        </w:rPr>
        <w:t>Lecanemab</w:t>
      </w:r>
      <w:r>
        <w:rPr>
          <w:color w:val="57585B"/>
          <w:spacing w:val="7"/>
          <w:sz w:val="28"/>
        </w:rPr>
        <w:t>获得</w:t>
      </w:r>
      <w:r>
        <w:rPr>
          <w:color w:val="57585B"/>
          <w:sz w:val="28"/>
        </w:rPr>
        <w:t>FDA</w:t>
      </w:r>
      <w:r>
        <w:rPr>
          <w:color w:val="57585B"/>
          <w:spacing w:val="7"/>
          <w:sz w:val="28"/>
        </w:rPr>
        <w:t>的加</w:t>
      </w:r>
      <w:r>
        <w:rPr>
          <w:color w:val="57585B"/>
          <w:sz w:val="28"/>
        </w:rPr>
        <w:t>速批准，2023年7月转为完全批准，成为近20年美国</w:t>
      </w:r>
      <w:r>
        <w:rPr>
          <w:color w:val="57585B"/>
          <w:spacing w:val="-3"/>
          <w:sz w:val="28"/>
        </w:rPr>
        <w:t>FDA</w:t>
      </w:r>
      <w:r>
        <w:rPr>
          <w:color w:val="57585B"/>
          <w:spacing w:val="-1"/>
          <w:sz w:val="28"/>
        </w:rPr>
        <w:t>首个完全批准的阿尔兹海默</w:t>
      </w:r>
      <w:r>
        <w:rPr>
          <w:color w:val="57585B"/>
          <w:spacing w:val="7"/>
          <w:sz w:val="28"/>
        </w:rPr>
        <w:t>症新药。</w:t>
      </w:r>
      <w:r>
        <w:rPr>
          <w:color w:val="57585B"/>
          <w:sz w:val="28"/>
        </w:rPr>
        <w:t>2023</w:t>
      </w:r>
      <w:r>
        <w:rPr>
          <w:color w:val="57585B"/>
          <w:spacing w:val="9"/>
          <w:sz w:val="28"/>
        </w:rPr>
        <w:t>年</w:t>
      </w:r>
      <w:r>
        <w:rPr>
          <w:color w:val="57585B"/>
          <w:spacing w:val="3"/>
          <w:sz w:val="28"/>
        </w:rPr>
        <w:t>10</w:t>
      </w:r>
      <w:r>
        <w:rPr>
          <w:color w:val="57585B"/>
          <w:spacing w:val="7"/>
          <w:sz w:val="28"/>
        </w:rPr>
        <w:t>月</w:t>
      </w:r>
      <w:r>
        <w:rPr>
          <w:color w:val="57585B"/>
          <w:sz w:val="28"/>
        </w:rPr>
        <w:t>Lecanemab</w:t>
      </w:r>
      <w:r>
        <w:rPr>
          <w:color w:val="57585B"/>
          <w:spacing w:val="7"/>
          <w:sz w:val="28"/>
        </w:rPr>
        <w:t>落地海南博鳌。</w:t>
      </w:r>
      <w:r>
        <w:rPr>
          <w:color w:val="57585B"/>
          <w:sz w:val="28"/>
        </w:rPr>
        <w:t>Lecanemab</w:t>
      </w:r>
      <w:r>
        <w:rPr>
          <w:color w:val="57585B"/>
          <w:spacing w:val="6"/>
          <w:sz w:val="28"/>
        </w:rPr>
        <w:t>是卫材和渤健共同研发的一种人源化免疫球蛋白G1（IgG1）</w:t>
      </w:r>
      <w:r>
        <w:rPr>
          <w:color w:val="57585B"/>
          <w:sz w:val="28"/>
        </w:rPr>
        <w:t>单克隆抗体，能够选择性结合可溶性Aβ聚集体，对Aβ原纤维的选择性超过对Aβ单体的选择性1000倍，能够启动小胶质细胞介导的针对Aβ</w:t>
      </w:r>
      <w:r>
        <w:rPr>
          <w:color w:val="57585B"/>
          <w:spacing w:val="-3"/>
          <w:sz w:val="28"/>
        </w:rPr>
        <w:t>原纤维和淀粉样斑块的清除。</w:t>
      </w:r>
    </w:p>
    <w:p>
      <w:pPr>
        <w:pStyle w:val="ListParagraph"/>
        <w:numPr>
          <w:ilvl w:val="1"/>
          <w:numId w:val="7"/>
        </w:numPr>
        <w:tabs>
          <w:tab w:pos="1217" w:val="left" w:leader="none"/>
        </w:tabs>
        <w:spacing w:line="172" w:lineRule="auto" w:before="228" w:after="0"/>
        <w:ind w:left="1216" w:right="5" w:hanging="284"/>
        <w:jc w:val="both"/>
        <w:rPr>
          <w:sz w:val="28"/>
        </w:rPr>
      </w:pPr>
      <w:r>
        <w:rPr>
          <w:color w:val="57585B"/>
          <w:sz w:val="28"/>
        </w:rPr>
        <w:t>Lecanemab</w:t>
      </w:r>
      <w:r>
        <w:rPr>
          <w:color w:val="57585B"/>
          <w:spacing w:val="-1"/>
          <w:sz w:val="28"/>
        </w:rPr>
        <w:t>的获批主要是基于全球</w:t>
      </w:r>
      <w:r>
        <w:rPr>
          <w:color w:val="57585B"/>
          <w:spacing w:val="-2"/>
          <w:sz w:val="28"/>
        </w:rPr>
        <w:t>III</w:t>
      </w:r>
      <w:r>
        <w:rPr>
          <w:color w:val="57585B"/>
          <w:spacing w:val="-3"/>
          <w:sz w:val="28"/>
        </w:rPr>
        <w:t>期临床研究</w:t>
      </w:r>
      <w:r>
        <w:rPr>
          <w:color w:val="57585B"/>
          <w:sz w:val="28"/>
        </w:rPr>
        <w:t>Clarity</w:t>
      </w:r>
      <w:r>
        <w:rPr>
          <w:color w:val="57585B"/>
          <w:spacing w:val="32"/>
          <w:sz w:val="28"/>
        </w:rPr>
        <w:t> </w:t>
      </w:r>
      <w:r>
        <w:rPr>
          <w:color w:val="57585B"/>
          <w:sz w:val="28"/>
        </w:rPr>
        <w:t>AD</w:t>
      </w:r>
      <w:r>
        <w:rPr>
          <w:color w:val="57585B"/>
          <w:spacing w:val="-3"/>
          <w:sz w:val="28"/>
        </w:rPr>
        <w:t>的数据。在该试验中，与</w:t>
      </w:r>
      <w:r>
        <w:rPr>
          <w:color w:val="57585B"/>
          <w:spacing w:val="2"/>
          <w:sz w:val="28"/>
        </w:rPr>
        <w:t>安慰剂相比，</w:t>
      </w:r>
      <w:r>
        <w:rPr>
          <w:color w:val="57585B"/>
          <w:sz w:val="28"/>
        </w:rPr>
        <w:t>Lecanemab</w:t>
      </w:r>
      <w:r>
        <w:rPr>
          <w:color w:val="57585B"/>
          <w:spacing w:val="2"/>
          <w:sz w:val="28"/>
        </w:rPr>
        <w:t>减缓了评估患者认知和日常功能的综合评分临床痴呆评定</w:t>
      </w:r>
      <w:r>
        <w:rPr>
          <w:color w:val="57585B"/>
          <w:spacing w:val="1"/>
          <w:sz w:val="28"/>
        </w:rPr>
        <w:t>量表总评分</w:t>
      </w:r>
      <w:r>
        <w:rPr>
          <w:color w:val="57585B"/>
          <w:sz w:val="28"/>
        </w:rPr>
        <w:t>（CDR-SB）</w:t>
      </w:r>
      <w:r>
        <w:rPr>
          <w:color w:val="57585B"/>
          <w:spacing w:val="4"/>
          <w:sz w:val="28"/>
        </w:rPr>
        <w:t>的</w:t>
      </w:r>
      <w:r>
        <w:rPr>
          <w:color w:val="57585B"/>
          <w:sz w:val="28"/>
        </w:rPr>
        <w:t>27%增加速度，达到主要临床终点。安全性方面，总体耐受性良好。</w:t>
      </w:r>
    </w:p>
    <w:p>
      <w:pPr>
        <w:pStyle w:val="ListParagraph"/>
        <w:numPr>
          <w:ilvl w:val="1"/>
          <w:numId w:val="7"/>
        </w:numPr>
        <w:tabs>
          <w:tab w:pos="1217" w:val="left" w:leader="none"/>
        </w:tabs>
        <w:spacing w:line="172" w:lineRule="auto" w:before="232" w:after="0"/>
        <w:ind w:left="1216" w:right="0" w:hanging="284"/>
        <w:jc w:val="both"/>
        <w:rPr>
          <w:sz w:val="28"/>
        </w:rPr>
      </w:pPr>
      <w:r>
        <w:rPr>
          <w:b/>
          <w:color w:val="57585B"/>
          <w:sz w:val="28"/>
        </w:rPr>
        <w:t>Donanemab：</w:t>
      </w:r>
      <w:r>
        <w:rPr>
          <w:color w:val="57585B"/>
          <w:sz w:val="28"/>
        </w:rPr>
        <w:t>2023</w:t>
      </w:r>
      <w:r>
        <w:rPr>
          <w:color w:val="57585B"/>
          <w:spacing w:val="4"/>
          <w:sz w:val="28"/>
        </w:rPr>
        <w:t>年</w:t>
      </w:r>
      <w:r>
        <w:rPr>
          <w:color w:val="57585B"/>
          <w:spacing w:val="3"/>
          <w:sz w:val="28"/>
        </w:rPr>
        <w:t>5</w:t>
      </w:r>
      <w:r>
        <w:rPr>
          <w:color w:val="57585B"/>
          <w:sz w:val="28"/>
        </w:rPr>
        <w:t>月礼来宣布其阿尔兹海默症新药Donanemab</w:t>
      </w:r>
      <w:r>
        <w:rPr>
          <w:color w:val="57585B"/>
          <w:spacing w:val="3"/>
          <w:sz w:val="28"/>
        </w:rPr>
        <w:t>达到了</w:t>
      </w:r>
      <w:r>
        <w:rPr>
          <w:color w:val="57585B"/>
          <w:sz w:val="28"/>
        </w:rPr>
        <w:t>III</w:t>
      </w:r>
      <w:r>
        <w:rPr>
          <w:color w:val="57585B"/>
          <w:spacing w:val="4"/>
          <w:sz w:val="28"/>
        </w:rPr>
        <w:t>期临</w:t>
      </w:r>
      <w:r>
        <w:rPr>
          <w:color w:val="57585B"/>
          <w:spacing w:val="29"/>
          <w:sz w:val="28"/>
        </w:rPr>
        <w:t>床试验研究 </w:t>
      </w:r>
      <w:r>
        <w:rPr>
          <w:color w:val="57585B"/>
          <w:sz w:val="28"/>
        </w:rPr>
        <w:t>TRAILBLAZER-ALZ</w:t>
      </w:r>
      <w:r>
        <w:rPr>
          <w:color w:val="57585B"/>
          <w:spacing w:val="31"/>
          <w:sz w:val="28"/>
        </w:rPr>
        <w:t> </w:t>
      </w:r>
      <w:r>
        <w:rPr>
          <w:color w:val="57585B"/>
          <w:sz w:val="28"/>
        </w:rPr>
        <w:t>2</w:t>
      </w:r>
      <w:r>
        <w:rPr>
          <w:color w:val="57585B"/>
          <w:spacing w:val="-29"/>
          <w:sz w:val="28"/>
        </w:rPr>
        <w:t> </w:t>
      </w:r>
      <w:r>
        <w:rPr>
          <w:color w:val="57585B"/>
          <w:sz w:val="28"/>
        </w:rPr>
        <w:t>（</w:t>
      </w:r>
      <w:r>
        <w:rPr>
          <w:color w:val="57585B"/>
          <w:spacing w:val="-32"/>
          <w:sz w:val="28"/>
        </w:rPr>
        <w:t> </w:t>
      </w:r>
      <w:r>
        <w:rPr>
          <w:color w:val="57585B"/>
          <w:sz w:val="28"/>
        </w:rPr>
        <w:t>NCT04437511</w:t>
      </w:r>
      <w:r>
        <w:rPr>
          <w:color w:val="57585B"/>
          <w:spacing w:val="-28"/>
          <w:sz w:val="28"/>
        </w:rPr>
        <w:t> </w:t>
      </w:r>
      <w:r>
        <w:rPr>
          <w:color w:val="57585B"/>
          <w:sz w:val="28"/>
        </w:rPr>
        <w:t>）</w:t>
      </w:r>
      <w:r>
        <w:rPr>
          <w:color w:val="57585B"/>
          <w:spacing w:val="38"/>
          <w:sz w:val="28"/>
        </w:rPr>
        <w:t> 主要终点和次要终点。Donanemab</w:t>
      </w:r>
      <w:r>
        <w:rPr>
          <w:color w:val="57585B"/>
          <w:spacing w:val="-3"/>
          <w:sz w:val="28"/>
        </w:rPr>
        <w:t>是是一款靶向</w:t>
      </w:r>
      <w:r>
        <w:rPr>
          <w:color w:val="57585B"/>
          <w:sz w:val="28"/>
        </w:rPr>
        <w:t>Aβ</w:t>
      </w:r>
      <w:r>
        <w:rPr>
          <w:color w:val="57585B"/>
          <w:spacing w:val="28"/>
          <w:sz w:val="28"/>
        </w:rPr>
        <w:t> </w:t>
      </w:r>
      <w:r>
        <w:rPr>
          <w:color w:val="57585B"/>
          <w:spacing w:val="-3"/>
          <w:sz w:val="28"/>
        </w:rPr>
        <w:t>N3pG</w:t>
      </w:r>
      <w:r>
        <w:rPr>
          <w:color w:val="57585B"/>
          <w:spacing w:val="-4"/>
          <w:sz w:val="28"/>
        </w:rPr>
        <w:t>的单抗药物，旨在靶向并破坏阿尔茨海默病患者大脑中形成的淀粉样蛋白斑块。</w:t>
      </w:r>
    </w:p>
    <w:p>
      <w:pPr>
        <w:pStyle w:val="ListParagraph"/>
        <w:numPr>
          <w:ilvl w:val="1"/>
          <w:numId w:val="7"/>
        </w:numPr>
        <w:tabs>
          <w:tab w:pos="1217" w:val="left" w:leader="none"/>
        </w:tabs>
        <w:spacing w:line="172" w:lineRule="auto" w:before="233" w:after="0"/>
        <w:ind w:left="1216" w:right="2" w:hanging="284"/>
        <w:jc w:val="both"/>
        <w:rPr>
          <w:sz w:val="28"/>
        </w:rPr>
      </w:pPr>
      <w:r>
        <w:rPr>
          <w:color w:val="57585B"/>
          <w:spacing w:val="8"/>
          <w:sz w:val="28"/>
        </w:rPr>
        <w:t>23</w:t>
      </w:r>
      <w:r>
        <w:rPr>
          <w:color w:val="57585B"/>
          <w:spacing w:val="14"/>
          <w:sz w:val="28"/>
        </w:rPr>
        <w:t>年</w:t>
      </w:r>
      <w:r>
        <w:rPr>
          <w:color w:val="57585B"/>
          <w:spacing w:val="17"/>
          <w:sz w:val="28"/>
        </w:rPr>
        <w:t>7</w:t>
      </w:r>
      <w:r>
        <w:rPr>
          <w:color w:val="57585B"/>
          <w:spacing w:val="16"/>
          <w:sz w:val="28"/>
        </w:rPr>
        <w:t>月</w:t>
      </w:r>
      <w:r>
        <w:rPr>
          <w:color w:val="57585B"/>
          <w:spacing w:val="2"/>
          <w:sz w:val="28"/>
        </w:rPr>
        <w:t>AAIC</w:t>
      </w:r>
      <w:r>
        <w:rPr>
          <w:color w:val="57585B"/>
          <w:spacing w:val="14"/>
          <w:sz w:val="28"/>
        </w:rPr>
        <w:t>大会上，礼来展示了</w:t>
      </w:r>
      <w:r>
        <w:rPr>
          <w:color w:val="57585B"/>
          <w:sz w:val="28"/>
        </w:rPr>
        <w:t>Donanemab</w:t>
      </w:r>
      <w:r>
        <w:rPr>
          <w:color w:val="57585B"/>
          <w:spacing w:val="15"/>
          <w:sz w:val="28"/>
        </w:rPr>
        <w:t>在其在</w:t>
      </w:r>
      <w:r>
        <w:rPr>
          <w:color w:val="57585B"/>
          <w:spacing w:val="4"/>
          <w:sz w:val="28"/>
        </w:rPr>
        <w:t>tau</w:t>
      </w:r>
      <w:r>
        <w:rPr>
          <w:color w:val="57585B"/>
          <w:spacing w:val="12"/>
          <w:sz w:val="28"/>
        </w:rPr>
        <w:t>蛋白中低水平的受试者(n=1182</w:t>
      </w:r>
      <w:r>
        <w:rPr>
          <w:color w:val="57585B"/>
          <w:spacing w:val="4"/>
          <w:sz w:val="28"/>
        </w:rPr>
        <w:t>)中，使用</w:t>
      </w:r>
      <w:r>
        <w:rPr>
          <w:color w:val="57585B"/>
          <w:sz w:val="28"/>
        </w:rPr>
        <w:t>donanemab治疗显著减缓35</w:t>
      </w:r>
      <w:r>
        <w:rPr>
          <w:color w:val="57585B"/>
          <w:spacing w:val="2"/>
          <w:sz w:val="28"/>
        </w:rPr>
        <w:t>%的</w:t>
      </w:r>
      <w:r>
        <w:rPr>
          <w:color w:val="57585B"/>
          <w:sz w:val="28"/>
        </w:rPr>
        <w:t>iADRS</w:t>
      </w:r>
      <w:r>
        <w:rPr>
          <w:color w:val="57585B"/>
          <w:spacing w:val="1"/>
          <w:sz w:val="28"/>
        </w:rPr>
        <w:t>下降和</w:t>
      </w:r>
      <w:r>
        <w:rPr>
          <w:color w:val="57585B"/>
          <w:sz w:val="28"/>
        </w:rPr>
        <w:t>36%的CDR-SB下</w:t>
      </w:r>
      <w:r>
        <w:rPr>
          <w:color w:val="57585B"/>
          <w:spacing w:val="23"/>
          <w:sz w:val="28"/>
        </w:rPr>
        <w:t>降。在所有淀粉样蛋白阳性的早期症状性阿尔茨海默病的受试者</w:t>
      </w:r>
      <w:r>
        <w:rPr>
          <w:color w:val="57585B"/>
          <w:sz w:val="28"/>
        </w:rPr>
        <w:t>(n=1736</w:t>
      </w:r>
      <w:r>
        <w:rPr>
          <w:color w:val="57585B"/>
          <w:spacing w:val="-7"/>
          <w:sz w:val="28"/>
        </w:rPr>
        <w:t>) 中， donanemab</w:t>
      </w:r>
      <w:r>
        <w:rPr>
          <w:color w:val="57585B"/>
          <w:spacing w:val="9"/>
          <w:sz w:val="28"/>
        </w:rPr>
        <w:t>显著减缓</w:t>
      </w:r>
      <w:r>
        <w:rPr>
          <w:color w:val="57585B"/>
          <w:spacing w:val="3"/>
          <w:sz w:val="28"/>
        </w:rPr>
        <w:t>22</w:t>
      </w:r>
      <w:r>
        <w:rPr>
          <w:color w:val="57585B"/>
          <w:spacing w:val="7"/>
          <w:sz w:val="28"/>
        </w:rPr>
        <w:t>%的</w:t>
      </w:r>
      <w:r>
        <w:rPr>
          <w:color w:val="57585B"/>
          <w:sz w:val="28"/>
        </w:rPr>
        <w:t>iADRS</w:t>
      </w:r>
      <w:r>
        <w:rPr>
          <w:color w:val="57585B"/>
          <w:spacing w:val="11"/>
          <w:sz w:val="28"/>
        </w:rPr>
        <w:t>下降和</w:t>
      </w:r>
      <w:r>
        <w:rPr>
          <w:color w:val="57585B"/>
          <w:spacing w:val="3"/>
          <w:sz w:val="28"/>
        </w:rPr>
        <w:t>29</w:t>
      </w:r>
      <w:r>
        <w:rPr>
          <w:color w:val="57585B"/>
          <w:spacing w:val="6"/>
          <w:sz w:val="28"/>
        </w:rPr>
        <w:t>%的</w:t>
      </w:r>
      <w:r>
        <w:rPr>
          <w:color w:val="57585B"/>
          <w:sz w:val="28"/>
        </w:rPr>
        <w:t>CDR-SB</w:t>
      </w:r>
      <w:r>
        <w:rPr>
          <w:color w:val="57585B"/>
          <w:spacing w:val="9"/>
          <w:sz w:val="28"/>
        </w:rPr>
        <w:t>下降，使用</w:t>
      </w:r>
      <w:r>
        <w:rPr>
          <w:color w:val="57585B"/>
          <w:sz w:val="28"/>
        </w:rPr>
        <w:t>Donanemab </w:t>
      </w:r>
      <w:r>
        <w:rPr>
          <w:color w:val="57585B"/>
          <w:spacing w:val="-3"/>
          <w:sz w:val="28"/>
        </w:rPr>
        <w:t>治疗都能带来认知和功能获益。</w:t>
      </w:r>
    </w:p>
    <w:p>
      <w:pPr>
        <w:pStyle w:val="BodyText"/>
        <w:spacing w:before="11"/>
        <w:rPr>
          <w:sz w:val="31"/>
        </w:rPr>
      </w:pPr>
      <w:r>
        <w:rPr/>
        <w:br w:type="column"/>
      </w:r>
      <w:r>
        <w:rPr>
          <w:sz w:val="31"/>
        </w:rPr>
      </w:r>
    </w:p>
    <w:p>
      <w:pPr>
        <w:pStyle w:val="ListParagraph"/>
        <w:numPr>
          <w:ilvl w:val="0"/>
          <w:numId w:val="8"/>
        </w:numPr>
        <w:tabs>
          <w:tab w:pos="755" w:val="left" w:leader="none"/>
          <w:tab w:pos="756" w:val="left" w:leader="none"/>
        </w:tabs>
        <w:spacing w:line="240" w:lineRule="auto" w:before="1" w:after="0"/>
        <w:ind w:left="755" w:right="0" w:hanging="453"/>
        <w:jc w:val="left"/>
        <w:rPr>
          <w:b/>
          <w:sz w:val="22"/>
        </w:rPr>
      </w:pPr>
      <w:r>
        <w:rPr>
          <w:b/>
          <w:color w:val="0A4EA1"/>
          <w:sz w:val="22"/>
        </w:rPr>
        <w:t>Lecanemab</w:t>
      </w:r>
      <w:r>
        <w:rPr>
          <w:b/>
          <w:color w:val="0A4EA1"/>
          <w:spacing w:val="-7"/>
          <w:sz w:val="22"/>
        </w:rPr>
        <w:t> </w:t>
      </w:r>
      <w:r>
        <w:rPr>
          <w:b/>
          <w:color w:val="0A4EA1"/>
          <w:sz w:val="22"/>
        </w:rPr>
        <w:t>III期临床试验数据</w:t>
      </w:r>
    </w:p>
    <w:p>
      <w:pPr>
        <w:pStyle w:val="BodyText"/>
        <w:spacing w:before="4"/>
        <w:rPr>
          <w:b/>
          <w:sz w:val="7"/>
        </w:rPr>
      </w:pPr>
      <w:r>
        <w:rPr/>
        <w:drawing>
          <wp:anchor distT="0" distB="0" distL="0" distR="0" allowOverlap="1" layoutInCell="1" locked="0" behindDoc="0" simplePos="0" relativeHeight="53">
            <wp:simplePos x="0" y="0"/>
            <wp:positionH relativeFrom="page">
              <wp:posOffset>7579027</wp:posOffset>
            </wp:positionH>
            <wp:positionV relativeFrom="paragraph">
              <wp:posOffset>109598</wp:posOffset>
            </wp:positionV>
            <wp:extent cx="4260784" cy="2068353"/>
            <wp:effectExtent l="0" t="0" r="0" b="0"/>
            <wp:wrapTopAndBottom/>
            <wp:docPr id="71" name="image16.jpeg"/>
            <wp:cNvGraphicFramePr>
              <a:graphicFrameLocks noChangeAspect="1"/>
            </wp:cNvGraphicFramePr>
            <a:graphic>
              <a:graphicData uri="http://schemas.openxmlformats.org/drawingml/2006/picture">
                <pic:pic>
                  <pic:nvPicPr>
                    <pic:cNvPr id="72" name="image16.jpeg"/>
                    <pic:cNvPicPr/>
                  </pic:nvPicPr>
                  <pic:blipFill>
                    <a:blip r:embed="rId45" cstate="print"/>
                    <a:stretch>
                      <a:fillRect/>
                    </a:stretch>
                  </pic:blipFill>
                  <pic:spPr>
                    <a:xfrm>
                      <a:off x="0" y="0"/>
                      <a:ext cx="4260784" cy="2068353"/>
                    </a:xfrm>
                    <a:prstGeom prst="rect">
                      <a:avLst/>
                    </a:prstGeom>
                  </pic:spPr>
                </pic:pic>
              </a:graphicData>
            </a:graphic>
          </wp:anchor>
        </w:drawing>
      </w:r>
    </w:p>
    <w:p>
      <w:pPr>
        <w:pStyle w:val="BodyText"/>
        <w:spacing w:before="11"/>
        <w:rPr>
          <w:b/>
          <w:sz w:val="17"/>
        </w:rPr>
      </w:pPr>
    </w:p>
    <w:p>
      <w:pPr>
        <w:pStyle w:val="ListParagraph"/>
        <w:numPr>
          <w:ilvl w:val="0"/>
          <w:numId w:val="8"/>
        </w:numPr>
        <w:tabs>
          <w:tab w:pos="791" w:val="left" w:leader="none"/>
          <w:tab w:pos="792" w:val="left" w:leader="none"/>
        </w:tabs>
        <w:spacing w:line="240" w:lineRule="auto" w:before="0" w:after="0"/>
        <w:ind w:left="791" w:right="0" w:hanging="452"/>
        <w:jc w:val="left"/>
        <w:rPr>
          <w:b/>
          <w:sz w:val="22"/>
        </w:rPr>
      </w:pPr>
      <w:r>
        <w:rPr>
          <w:b/>
          <w:color w:val="0A4EA1"/>
          <w:sz w:val="22"/>
        </w:rPr>
        <w:t>Donanemab</w:t>
      </w:r>
      <w:r>
        <w:rPr>
          <w:b/>
          <w:color w:val="0A4EA1"/>
          <w:spacing w:val="-5"/>
          <w:sz w:val="22"/>
        </w:rPr>
        <w:t> </w:t>
      </w:r>
      <w:r>
        <w:rPr>
          <w:b/>
          <w:color w:val="0A4EA1"/>
          <w:sz w:val="22"/>
        </w:rPr>
        <w:t>III期临床试验数据（Tau</w:t>
      </w:r>
      <w:r>
        <w:rPr>
          <w:b/>
          <w:color w:val="0A4EA1"/>
          <w:spacing w:val="-1"/>
          <w:sz w:val="22"/>
        </w:rPr>
        <w:t>低水平组</w:t>
      </w:r>
      <w:r>
        <w:rPr>
          <w:b/>
          <w:color w:val="0A4EA1"/>
          <w:sz w:val="22"/>
        </w:rPr>
        <w:t>）</w:t>
      </w:r>
    </w:p>
    <w:p>
      <w:pPr>
        <w:pStyle w:val="BodyText"/>
        <w:spacing w:before="13"/>
        <w:rPr>
          <w:b/>
          <w:sz w:val="5"/>
        </w:rPr>
      </w:pPr>
      <w:r>
        <w:rPr/>
        <w:drawing>
          <wp:anchor distT="0" distB="0" distL="0" distR="0" allowOverlap="1" layoutInCell="1" locked="0" behindDoc="0" simplePos="0" relativeHeight="54">
            <wp:simplePos x="0" y="0"/>
            <wp:positionH relativeFrom="page">
              <wp:posOffset>7508762</wp:posOffset>
            </wp:positionH>
            <wp:positionV relativeFrom="paragraph">
              <wp:posOffset>91538</wp:posOffset>
            </wp:positionV>
            <wp:extent cx="4629378" cy="1947672"/>
            <wp:effectExtent l="0" t="0" r="0" b="0"/>
            <wp:wrapTopAndBottom/>
            <wp:docPr id="73" name="image17.jpeg"/>
            <wp:cNvGraphicFramePr>
              <a:graphicFrameLocks noChangeAspect="1"/>
            </wp:cNvGraphicFramePr>
            <a:graphic>
              <a:graphicData uri="http://schemas.openxmlformats.org/drawingml/2006/picture">
                <pic:pic>
                  <pic:nvPicPr>
                    <pic:cNvPr id="74" name="image17.jpeg"/>
                    <pic:cNvPicPr/>
                  </pic:nvPicPr>
                  <pic:blipFill>
                    <a:blip r:embed="rId46" cstate="print"/>
                    <a:stretch>
                      <a:fillRect/>
                    </a:stretch>
                  </pic:blipFill>
                  <pic:spPr>
                    <a:xfrm>
                      <a:off x="0" y="0"/>
                      <a:ext cx="4629378" cy="1947672"/>
                    </a:xfrm>
                    <a:prstGeom prst="rect">
                      <a:avLst/>
                    </a:prstGeom>
                  </pic:spPr>
                </pic:pic>
              </a:graphicData>
            </a:graphic>
          </wp:anchor>
        </w:drawing>
      </w:r>
    </w:p>
    <w:p>
      <w:pPr>
        <w:spacing w:after="0"/>
        <w:rPr>
          <w:sz w:val="5"/>
        </w:rPr>
        <w:sectPr>
          <w:type w:val="continuous"/>
          <w:pgSz w:w="19200" w:h="10800" w:orient="landscape"/>
          <w:pgMar w:top="140" w:bottom="0" w:left="0" w:right="0"/>
          <w:cols w:num="2" w:equalWidth="0">
            <w:col w:w="11635" w:space="40"/>
            <w:col w:w="7525"/>
          </w:cols>
        </w:sectPr>
      </w:pPr>
    </w:p>
    <w:p>
      <w:pPr>
        <w:pStyle w:val="BodyText"/>
        <w:spacing w:before="18"/>
        <w:rPr>
          <w:b/>
          <w:sz w:val="26"/>
        </w:rPr>
      </w:pPr>
    </w:p>
    <w:p>
      <w:pPr>
        <w:pStyle w:val="Heading3"/>
        <w:tabs>
          <w:tab w:pos="1407" w:val="left" w:leader="none"/>
        </w:tabs>
      </w:pPr>
      <w:r>
        <w:rPr/>
        <w:drawing>
          <wp:anchor distT="0" distB="0" distL="0" distR="0" allowOverlap="1" layoutInCell="1" locked="0" behindDoc="0" simplePos="0" relativeHeight="15757312">
            <wp:simplePos x="0" y="0"/>
            <wp:positionH relativeFrom="page">
              <wp:posOffset>9144</wp:posOffset>
            </wp:positionH>
            <wp:positionV relativeFrom="paragraph">
              <wp:posOffset>-158273</wp:posOffset>
            </wp:positionV>
            <wp:extent cx="12182855" cy="89915"/>
            <wp:effectExtent l="0" t="0" r="0" b="0"/>
            <wp:wrapNone/>
            <wp:docPr id="77" name="image5.png"/>
            <wp:cNvGraphicFramePr>
              <a:graphicFrameLocks noChangeAspect="1"/>
            </wp:cNvGraphicFramePr>
            <a:graphic>
              <a:graphicData uri="http://schemas.openxmlformats.org/drawingml/2006/picture">
                <pic:pic>
                  <pic:nvPicPr>
                    <pic:cNvPr id="78" name="image5.png"/>
                    <pic:cNvPicPr/>
                  </pic:nvPicPr>
                  <pic:blipFill>
                    <a:blip r:embed="rId14" cstate="print"/>
                    <a:stretch>
                      <a:fillRect/>
                    </a:stretch>
                  </pic:blipFill>
                  <pic:spPr>
                    <a:xfrm>
                      <a:off x="0" y="0"/>
                      <a:ext cx="12182855" cy="89915"/>
                    </a:xfrm>
                    <a:prstGeom prst="rect">
                      <a:avLst/>
                    </a:prstGeom>
                  </pic:spPr>
                </pic:pic>
              </a:graphicData>
            </a:graphic>
          </wp:anchor>
        </w:drawing>
      </w:r>
      <w:r>
        <w:rPr/>
        <w:pict>
          <v:group style="position:absolute;margin-left:12.84pt;margin-top:27.497551pt;width:454.8pt;height:407.2pt;mso-position-horizontal-relative:page;mso-position-vertical-relative:paragraph;z-index:15757824" coordorigin="257,550" coordsize="9096,8144">
            <v:shape style="position:absolute;left:268;top:549;width:9012;height:396" coordorigin="269,550" coordsize="9012,396" path="m9083,550l269,550,467,748,269,946,9083,946,9281,748,9083,550xe" filled="true" fillcolor="#033a7b" stroked="false">
              <v:path arrowok="t"/>
              <v:fill type="solid"/>
            </v:shape>
            <v:rect style="position:absolute;left:256;top:1013;width:9024;height:7680" filled="true" fillcolor="#f1f1f1" stroked="false">
              <v:fill type="solid"/>
            </v:rect>
            <v:shape style="position:absolute;left:357;top:1433;width:2038;height:5076" coordorigin="358,1433" coordsize="2038,5076" path="m2395,6131l2389,6102,2373,6078,2349,6061,2320,6056,433,6056,404,6061,380,6078,364,6102,358,6131,358,6434,364,6463,380,6487,404,6503,433,6509,2320,6509,2349,6503,2373,6487,2389,6463,2395,6434,2395,6131xm2395,1509l2389,1479,2373,1455,2349,1439,2320,1433,433,1433,404,1439,380,1455,364,1479,358,1509,358,1811,364,1841,380,1865,404,1881,433,1887,2320,1887,2349,1881,2373,1865,2389,1841,2395,1811,2395,1509xe" filled="true" fillcolor="#c00000" stroked="false">
              <v:path arrowok="t"/>
              <v:fill type="solid"/>
            </v:shape>
            <v:shape style="position:absolute;left:2805;top:1433;width:1491;height:6476" coordorigin="2806,1433" coordsize="1491,6476" path="m4250,3429l4244,3399,4228,3375,4204,3359,4175,3353,2881,3353,2852,3359,2828,3375,2812,3399,2806,3429,2806,3731,2812,3761,2828,3785,2852,3801,2881,3807,4175,3807,4204,3801,4228,3785,4244,3761,4250,3731,4250,3429xm4250,2411l4244,2382,4228,2358,4204,2341,4175,2336,2881,2336,2852,2341,2828,2358,2812,2382,2806,2411,2806,2714,2812,2743,2828,2767,2852,2783,2881,2789,4175,2789,4204,2783,4228,2767,4244,2743,4250,2714,4250,2411xm4258,1509l4252,1479,4235,1455,4211,1439,4182,1433,2886,1433,2857,1439,2833,1455,2816,1479,2810,1509,2810,1811,2816,1841,2833,1865,2857,1881,2886,1887,4182,1887,4211,1881,4235,1865,4252,1841,4258,1811,4258,1509xm4296,7530l4290,7501,4274,7477,4250,7461,4220,7455,2924,7455,2895,7461,2871,7477,2855,7501,2849,7530,2849,7833,2855,7862,2871,7886,2895,7902,2924,7908,4220,7908,4250,7902,4274,7886,4290,7862,4296,7833,4296,7530xm4296,6124l4290,6095,4274,6070,4250,6054,4220,6048,2924,6048,2895,6054,2871,6070,2855,6095,2849,6124,2849,6426,2855,6456,2871,6480,2895,6496,2924,6502,4220,6502,4250,6496,4274,6480,4290,6456,4296,6426,4296,6124xe" filled="true" fillcolor="#4f81bc" stroked="false">
              <v:path arrowok="t"/>
              <v:fill type="solid"/>
            </v:shape>
            <v:shape style="position:absolute;left:2457;top:1447;width:2261;height:6382" coordorigin="2458,1448" coordsize="2261,6382" path="m2686,7829l2658,7829,2635,7827,2619,7825,2614,7823,2614,6076,2619,6074,2635,6072,2658,6070,2686,6070m2477,6300l2559,6300m2666,3603l2638,3602,2615,3601,2600,3599,2594,3597,2594,1454,2600,1451,2615,1449,2638,1448,2666,1448m2458,1678l2539,1678m4459,6070l4487,6070,4510,6072,4526,6074,4531,6076,4531,7823,4526,7825,4510,7827,4487,7829,4459,7829m4637,6912l4719,6912m4560,5508l4532,5508,4509,5507,4494,5505,4488,5502,4488,3359,4494,3357,4509,3355,4532,3354,4560,3353m4327,3584l4409,3584e" filled="false" stroked="true" strokeweight=".72pt" strokecolor="#000000">
              <v:path arrowok="t"/>
              <v:stroke dashstyle="solid"/>
            </v:shape>
            <v:shape style="position:absolute;left:4636;top:3348;width:2043;height:2386" coordorigin="4637,3348" coordsize="2043,2386" path="m6679,5358l6673,5329,6657,5305,6633,5289,6604,5283,4712,5283,4683,5289,4659,5305,4643,5329,4637,5358,4637,5659,4643,5688,4659,5712,4683,5728,4712,5734,6604,5734,6633,5728,6657,5712,6673,5688,6679,5659,6679,5358xm6679,4456l6673,4427,6657,4402,6633,4386,6604,4380,4712,4380,4683,4386,4659,4402,4643,4427,4637,4456,4637,4758,4643,4788,4659,4812,4683,4828,4712,4834,6604,4834,6633,4828,6657,4812,6673,4788,6679,4758,6679,4456xm6679,3424l6673,3395,6657,3370,6633,3354,6604,3348,4712,3348,4683,3354,4659,3370,4643,3395,4637,3424,4637,3726,4643,3756,4659,3780,4683,3796,4712,3802,6604,3802,6633,3796,6657,3780,6673,3756,6679,3726,6679,3424xe" filled="true" fillcolor="#b8cde4" stroked="false">
              <v:path arrowok="t"/>
              <v:fill type="solid"/>
            </v:shape>
            <v:shape style="position:absolute;left:4363;top:1406;width:2626;height:3204" coordorigin="4363,1407" coordsize="2626,3204" path="m6792,4611l6874,4611m4363,1640l4445,1640m6989,4145l6961,4145,6938,4143,6922,4142,6917,4139,6917,3357,6922,3354,6938,3352,6961,3351,6989,3351m6780,3591l6862,3591m4579,2069l4547,2069,4522,2067,4504,2065,4498,2062,4498,1414,4504,1411,4522,1409,4547,1407,4579,1407e" filled="false" stroked="true" strokeweight=".72pt" strokecolor="#000000">
              <v:path arrowok="t"/>
              <v:stroke dashstyle="solid"/>
            </v:shape>
            <v:shape style="position:absolute;left:601;top:1507;width:1566;height:292" type="#_x0000_t202" filled="false" stroked="false">
              <v:textbox inset="0,0,0,0">
                <w:txbxContent>
                  <w:p>
                    <w:pPr>
                      <w:spacing w:line="291" w:lineRule="exact" w:before="0"/>
                      <w:ind w:left="0" w:right="0" w:firstLine="0"/>
                      <w:jc w:val="left"/>
                      <w:rPr>
                        <w:b/>
                        <w:sz w:val="22"/>
                      </w:rPr>
                    </w:pPr>
                    <w:r>
                      <w:rPr>
                        <w:b/>
                        <w:color w:val="FFFFFF"/>
                        <w:sz w:val="22"/>
                      </w:rPr>
                      <w:t>神经影像学诊断</w:t>
                    </w:r>
                  </w:p>
                </w:txbxContent>
              </v:textbox>
              <w10:wrap type="none"/>
            </v:shape>
            <v:shape style="position:absolute;left:3306;top:1507;width:476;height:292" type="#_x0000_t202" filled="false" stroked="false">
              <v:textbox inset="0,0,0,0">
                <w:txbxContent>
                  <w:p>
                    <w:pPr>
                      <w:spacing w:line="291" w:lineRule="exact" w:before="0"/>
                      <w:ind w:left="0" w:right="0" w:firstLine="0"/>
                      <w:jc w:val="left"/>
                      <w:rPr>
                        <w:b/>
                        <w:sz w:val="22"/>
                      </w:rPr>
                    </w:pPr>
                    <w:r>
                      <w:rPr>
                        <w:b/>
                        <w:color w:val="FFFFFF"/>
                        <w:sz w:val="22"/>
                      </w:rPr>
                      <w:t>MRI</w:t>
                    </w:r>
                  </w:p>
                </w:txbxContent>
              </v:textbox>
              <w10:wrap type="none"/>
            </v:shape>
            <v:shape style="position:absolute;left:4574;top:1359;width:4778;height:709" type="#_x0000_t202" filled="false" stroked="false">
              <v:textbox inset="0,0,0,0">
                <w:txbxContent>
                  <w:p>
                    <w:pPr>
                      <w:spacing w:line="349" w:lineRule="exact" w:before="0"/>
                      <w:ind w:left="4" w:right="0" w:firstLine="0"/>
                      <w:jc w:val="left"/>
                      <w:rPr>
                        <w:b/>
                        <w:sz w:val="22"/>
                      </w:rPr>
                    </w:pPr>
                    <w:r>
                      <w:rPr>
                        <w:b/>
                        <w:sz w:val="22"/>
                      </w:rPr>
                      <w:t>北陆药业/医未医疗（核磁AI影像诊断分析平台）</w:t>
                    </w:r>
                  </w:p>
                  <w:p>
                    <w:pPr>
                      <w:spacing w:line="348" w:lineRule="exact" w:before="11"/>
                      <w:ind w:left="0" w:right="0" w:firstLine="0"/>
                      <w:jc w:val="left"/>
                      <w:rPr>
                        <w:b/>
                        <w:sz w:val="22"/>
                      </w:rPr>
                    </w:pPr>
                    <w:r>
                      <w:rPr>
                        <w:b/>
                        <w:sz w:val="22"/>
                      </w:rPr>
                      <w:t>美年健康（自测量表+核磁+基因检测）</w:t>
                    </w:r>
                  </w:p>
                </w:txbxContent>
              </v:textbox>
              <w10:wrap type="none"/>
            </v:shape>
            <v:shape style="position:absolute;left:3385;top:2407;width:308;height:292" type="#_x0000_t202" filled="false" stroked="false">
              <v:textbox inset="0,0,0,0">
                <w:txbxContent>
                  <w:p>
                    <w:pPr>
                      <w:spacing w:line="291" w:lineRule="exact" w:before="0"/>
                      <w:ind w:left="0" w:right="0" w:firstLine="0"/>
                      <w:jc w:val="left"/>
                      <w:rPr>
                        <w:b/>
                        <w:sz w:val="22"/>
                      </w:rPr>
                    </w:pPr>
                    <w:r>
                      <w:rPr>
                        <w:b/>
                        <w:color w:val="FFFFFF"/>
                        <w:sz w:val="22"/>
                      </w:rPr>
                      <w:t>CT</w:t>
                    </w:r>
                  </w:p>
                </w:txbxContent>
              </v:textbox>
              <w10:wrap type="none"/>
            </v:shape>
            <v:shape style="position:absolute;left:3322;top:3426;width:430;height:292" type="#_x0000_t202" filled="false" stroked="false">
              <v:textbox inset="0,0,0,0">
                <w:txbxContent>
                  <w:p>
                    <w:pPr>
                      <w:spacing w:line="291" w:lineRule="exact" w:before="0"/>
                      <w:ind w:left="0" w:right="0" w:firstLine="0"/>
                      <w:jc w:val="left"/>
                      <w:rPr>
                        <w:b/>
                        <w:sz w:val="22"/>
                      </w:rPr>
                    </w:pPr>
                    <w:r>
                      <w:rPr>
                        <w:b/>
                        <w:color w:val="FFFFFF"/>
                        <w:sz w:val="22"/>
                      </w:rPr>
                      <w:t>PET</w:t>
                    </w:r>
                  </w:p>
                </w:txbxContent>
              </v:textbox>
              <w10:wrap type="none"/>
            </v:shape>
            <v:shape style="position:absolute;left:4918;top:3421;width:1501;height:292" type="#_x0000_t202" filled="false" stroked="false">
              <v:textbox inset="0,0,0,0">
                <w:txbxContent>
                  <w:p>
                    <w:pPr>
                      <w:spacing w:line="291" w:lineRule="exact" w:before="0"/>
                      <w:ind w:left="0" w:right="0" w:firstLine="0"/>
                      <w:jc w:val="left"/>
                      <w:rPr>
                        <w:b/>
                        <w:sz w:val="22"/>
                      </w:rPr>
                    </w:pPr>
                    <w:r>
                      <w:rPr>
                        <w:b/>
                        <w:color w:val="FFFFFF"/>
                        <w:sz w:val="22"/>
                      </w:rPr>
                      <w:t>Aβ-PET显像剂</w:t>
                    </w:r>
                  </w:p>
                </w:txbxContent>
              </v:textbox>
              <w10:wrap type="none"/>
            </v:shape>
            <v:shape style="position:absolute;left:7094;top:3302;width:2008;height:292" type="#_x0000_t202" filled="false" stroked="false">
              <v:textbox inset="0,0,0,0">
                <w:txbxContent>
                  <w:p>
                    <w:pPr>
                      <w:spacing w:line="291" w:lineRule="exact" w:before="0"/>
                      <w:ind w:left="0" w:right="0" w:firstLine="0"/>
                      <w:jc w:val="left"/>
                      <w:rPr>
                        <w:b/>
                        <w:sz w:val="22"/>
                      </w:rPr>
                    </w:pPr>
                    <w:r>
                      <w:rPr>
                        <w:b/>
                        <w:sz w:val="22"/>
                      </w:rPr>
                      <w:t>先通医药（已上市）</w:t>
                    </w:r>
                  </w:p>
                </w:txbxContent>
              </v:textbox>
              <w10:wrap type="none"/>
            </v:shape>
            <v:shape style="position:absolute;left:4870;top:4455;width:1597;height:292" type="#_x0000_t202" filled="false" stroked="false">
              <v:textbox inset="0,0,0,0">
                <w:txbxContent>
                  <w:p>
                    <w:pPr>
                      <w:spacing w:line="291" w:lineRule="exact" w:before="0"/>
                      <w:ind w:left="0" w:right="0" w:firstLine="0"/>
                      <w:jc w:val="left"/>
                      <w:rPr>
                        <w:b/>
                        <w:sz w:val="22"/>
                      </w:rPr>
                    </w:pPr>
                    <w:r>
                      <w:rPr>
                        <w:b/>
                        <w:color w:val="FFFFFF"/>
                        <w:sz w:val="22"/>
                      </w:rPr>
                      <w:t>Tau-PET显像剂</w:t>
                    </w:r>
                  </w:p>
                </w:txbxContent>
              </v:textbox>
              <w10:wrap type="none"/>
            </v:shape>
            <v:shape style="position:absolute;left:7094;top:3919;width:2231;height:805" type="#_x0000_t202" filled="false" stroked="false">
              <v:textbox inset="0,0,0,0">
                <w:txbxContent>
                  <w:p>
                    <w:pPr>
                      <w:spacing w:line="349" w:lineRule="exact" w:before="0"/>
                      <w:ind w:left="0" w:right="0" w:firstLine="0"/>
                      <w:jc w:val="left"/>
                      <w:rPr>
                        <w:b/>
                        <w:sz w:val="22"/>
                      </w:rPr>
                    </w:pPr>
                    <w:r>
                      <w:rPr>
                        <w:b/>
                        <w:spacing w:val="-1"/>
                        <w:sz w:val="22"/>
                      </w:rPr>
                      <w:t>原子高科</w:t>
                    </w:r>
                    <w:r>
                      <w:rPr>
                        <w:b/>
                        <w:sz w:val="22"/>
                      </w:rPr>
                      <w:t>（IND获批）</w:t>
                    </w:r>
                  </w:p>
                  <w:p>
                    <w:pPr>
                      <w:spacing w:line="348" w:lineRule="exact" w:before="107"/>
                      <w:ind w:left="0" w:right="0" w:firstLine="0"/>
                      <w:jc w:val="left"/>
                      <w:rPr>
                        <w:b/>
                        <w:sz w:val="22"/>
                      </w:rPr>
                    </w:pPr>
                    <w:r>
                      <w:rPr>
                        <w:b/>
                        <w:sz w:val="22"/>
                      </w:rPr>
                      <w:t>东诚药业（III期临床）</w:t>
                    </w:r>
                  </w:p>
                </w:txbxContent>
              </v:textbox>
              <w10:wrap type="none"/>
            </v:shape>
            <v:shape style="position:absolute;left:4841;top:5355;width:1655;height:292" type="#_x0000_t202" filled="false" stroked="false">
              <v:textbox inset="0,0,0,0">
                <w:txbxContent>
                  <w:p>
                    <w:pPr>
                      <w:spacing w:line="291" w:lineRule="exact" w:before="0"/>
                      <w:ind w:left="0" w:right="0" w:firstLine="0"/>
                      <w:jc w:val="left"/>
                      <w:rPr>
                        <w:b/>
                        <w:sz w:val="22"/>
                      </w:rPr>
                    </w:pPr>
                    <w:r>
                      <w:rPr>
                        <w:b/>
                        <w:color w:val="FFFFFF"/>
                        <w:sz w:val="22"/>
                      </w:rPr>
                      <w:t>FDG-PET显像剂</w:t>
                    </w:r>
                  </w:p>
                </w:txbxContent>
              </v:textbox>
              <w10:wrap type="none"/>
            </v:shape>
            <v:shape style="position:absolute;left:933;top:6130;width:904;height:292" type="#_x0000_t202" filled="false" stroked="false">
              <v:textbox inset="0,0,0,0">
                <w:txbxContent>
                  <w:p>
                    <w:pPr>
                      <w:spacing w:line="291" w:lineRule="exact" w:before="0"/>
                      <w:ind w:left="0" w:right="0" w:firstLine="0"/>
                      <w:jc w:val="left"/>
                      <w:rPr>
                        <w:b/>
                        <w:sz w:val="22"/>
                      </w:rPr>
                    </w:pPr>
                    <w:r>
                      <w:rPr>
                        <w:b/>
                        <w:color w:val="FFFFFF"/>
                        <w:sz w:val="22"/>
                      </w:rPr>
                      <w:t>体液诊断</w:t>
                    </w:r>
                  </w:p>
                </w:txbxContent>
              </v:textbox>
              <w10:wrap type="none"/>
            </v:shape>
            <v:shape style="position:absolute;left:3132;top:6123;width:904;height:292" type="#_x0000_t202" filled="false" stroked="false">
              <v:textbox inset="0,0,0,0">
                <w:txbxContent>
                  <w:p>
                    <w:pPr>
                      <w:spacing w:line="291" w:lineRule="exact" w:before="0"/>
                      <w:ind w:left="0" w:right="0" w:firstLine="0"/>
                      <w:jc w:val="left"/>
                      <w:rPr>
                        <w:b/>
                        <w:sz w:val="22"/>
                      </w:rPr>
                    </w:pPr>
                    <w:r>
                      <w:rPr>
                        <w:b/>
                        <w:color w:val="FFFFFF"/>
                        <w:sz w:val="22"/>
                      </w:rPr>
                      <w:t>血液诊断</w:t>
                    </w:r>
                  </w:p>
                </w:txbxContent>
              </v:textbox>
              <w10:wrap type="none"/>
            </v:shape>
            <v:shape style="position:absolute;left:5042;top:7152;width:419;height:263" type="#_x0000_t202" filled="false" stroked="false">
              <v:textbox inset="0,0,0,0">
                <w:txbxContent>
                  <w:p>
                    <w:pPr>
                      <w:spacing w:line="263" w:lineRule="exact" w:before="0"/>
                      <w:ind w:left="0" w:right="0" w:firstLine="0"/>
                      <w:jc w:val="left"/>
                      <w:rPr>
                        <w:b/>
                        <w:sz w:val="20"/>
                      </w:rPr>
                    </w:pPr>
                    <w:r>
                      <w:rPr>
                        <w:b/>
                        <w:sz w:val="20"/>
                      </w:rPr>
                      <w:t>生物</w:t>
                    </w:r>
                  </w:p>
                </w:txbxContent>
              </v:textbox>
              <w10:wrap type="none"/>
            </v:shape>
            <v:shape style="position:absolute;left:3021;top:7528;width:1124;height:292" type="#_x0000_t202" filled="false" stroked="false">
              <v:textbox inset="0,0,0,0">
                <w:txbxContent>
                  <w:p>
                    <w:pPr>
                      <w:spacing w:line="291" w:lineRule="exact" w:before="0"/>
                      <w:ind w:left="0" w:right="0" w:firstLine="0"/>
                      <w:jc w:val="left"/>
                      <w:rPr>
                        <w:b/>
                        <w:sz w:val="22"/>
                      </w:rPr>
                    </w:pPr>
                    <w:r>
                      <w:rPr>
                        <w:b/>
                        <w:color w:val="FFFFFF"/>
                        <w:sz w:val="22"/>
                      </w:rPr>
                      <w:t>脑脊液诊断</w:t>
                    </w:r>
                  </w:p>
                </w:txbxContent>
              </v:textbox>
              <w10:wrap type="none"/>
            </v:shape>
            <v:shape style="position:absolute;left:4174;top:581;width:1220;height:317" type="#_x0000_t202" filled="false" stroked="false">
              <v:textbox inset="0,0,0,0">
                <w:txbxContent>
                  <w:p>
                    <w:pPr>
                      <w:spacing w:line="317" w:lineRule="exact" w:before="0"/>
                      <w:ind w:left="0" w:right="0" w:firstLine="0"/>
                      <w:jc w:val="left"/>
                      <w:rPr>
                        <w:b/>
                        <w:sz w:val="24"/>
                      </w:rPr>
                    </w:pPr>
                    <w:r>
                      <w:rPr>
                        <w:b/>
                        <w:color w:val="FFFFFF"/>
                        <w:sz w:val="24"/>
                      </w:rPr>
                      <w:t>诊断产业链</w:t>
                    </w:r>
                  </w:p>
                </w:txbxContent>
              </v:textbox>
              <w10:wrap type="none"/>
            </v:shape>
            <v:shape style="position:absolute;left:4898;top:6497;width:2012;height:704" type="#_x0000_t202" filled="true" fillcolor="#f1f1f1" stroked="true" strokeweight=".72pt" strokecolor="#000000">
              <v:textbox inset="0,0,0,0">
                <w:txbxContent>
                  <w:p>
                    <w:pPr>
                      <w:spacing w:line="187" w:lineRule="auto" w:before="77"/>
                      <w:ind w:left="137" w:right="265" w:firstLine="0"/>
                      <w:jc w:val="left"/>
                      <w:rPr>
                        <w:b/>
                        <w:sz w:val="20"/>
                      </w:rPr>
                    </w:pPr>
                    <w:r>
                      <w:rPr>
                        <w:b/>
                        <w:sz w:val="20"/>
                      </w:rPr>
                      <w:t>亚辉龙、金域医</w:t>
                    </w:r>
                    <w:r>
                      <w:rPr>
                        <w:b/>
                        <w:spacing w:val="-3"/>
                        <w:sz w:val="20"/>
                      </w:rPr>
                      <w:t>学、诺唯赞、热景</w:t>
                    </w:r>
                  </w:p>
                </w:txbxContent>
              </v:textbox>
              <v:fill type="solid"/>
              <v:stroke dashstyle="solid"/>
              <w10:wrap type="none"/>
            </v:shape>
            <w10:wrap type="none"/>
          </v:group>
        </w:pict>
      </w:r>
      <w:r>
        <w:rPr/>
        <w:pict>
          <v:group style="position:absolute;margin-left:474.959991pt;margin-top:27.497551pt;width:460.1pt;height:19.8pt;mso-position-horizontal-relative:page;mso-position-vertical-relative:paragraph;z-index:15758336" coordorigin="9499,550" coordsize="9202,396">
            <v:shape style="position:absolute;left:9499;top:549;width:9202;height:396" coordorigin="9499,550" coordsize="9202,396" path="m18503,550l9499,550,9697,748,9499,946,18503,946,18701,748,18503,550xe" filled="true" fillcolor="#4f81bc" stroked="false">
              <v:path arrowok="t"/>
              <v:fill type="solid"/>
            </v:shape>
            <v:shape style="position:absolute;left:9499;top:549;width:9202;height:396" type="#_x0000_t202" filled="false" stroked="false">
              <v:textbox inset="0,0,0,0">
                <w:txbxContent>
                  <w:p>
                    <w:pPr>
                      <w:spacing w:line="396" w:lineRule="exact" w:before="0"/>
                      <w:ind w:left="3983" w:right="3978" w:firstLine="0"/>
                      <w:jc w:val="center"/>
                      <w:rPr>
                        <w:b/>
                        <w:sz w:val="24"/>
                      </w:rPr>
                    </w:pPr>
                    <w:r>
                      <w:rPr>
                        <w:b/>
                        <w:color w:val="FFFFFF"/>
                        <w:sz w:val="24"/>
                      </w:rPr>
                      <w:t>治疗产业链</w:t>
                    </w:r>
                  </w:p>
                </w:txbxContent>
              </v:textbox>
              <w10:wrap type="none"/>
            </v:shape>
            <w10:wrap type="none"/>
          </v:group>
        </w:pict>
      </w:r>
      <w:r>
        <w:rPr/>
        <w:pict>
          <v:group style="position:absolute;margin-left:474.959991pt;margin-top:52.577549pt;width:461.4pt;height:382.1pt;mso-position-horizontal-relative:page;mso-position-vertical-relative:paragraph;z-index:15758848" coordorigin="9499,1052" coordsize="9228,7642">
            <v:rect style="position:absolute;left:9499;top:1051;width:9228;height:7642" filled="true" fillcolor="#f1f1f1" stroked="false">
              <v:fill type="solid"/>
            </v:rect>
            <v:shape style="position:absolute;left:11388;top:2059;width:209;height:3288" coordorigin="11388,2060" coordsize="209,3288" path="m11597,5348l11569,5347,11546,5346,11530,5344,11525,5342,11525,2066,11530,2063,11546,2061,11569,2060,11597,2060m11388,2290l11470,2290e" filled="false" stroked="true" strokeweight=".72pt" strokecolor="#000000">
              <v:path arrowok="t"/>
              <v:stroke dashstyle="solid"/>
            </v:shape>
            <v:shape style="position:absolute;left:9859;top:1137;width:1419;height:4827" coordorigin="9859,1138" coordsize="1419,4827" path="m11278,5586l11272,5557,11255,5533,11231,5517,11202,5511,9935,5511,9905,5517,9881,5533,9865,5557,9859,5586,9859,5889,9865,5918,9881,5942,9905,5958,9935,5964,11202,5964,11231,5958,11255,5942,11272,5918,11278,5889,11278,5586xm11278,2135l11272,2106,11255,2082,11231,2065,11202,2060,9935,2060,9905,2065,9881,2082,9865,2106,9859,2135,9859,2438,9865,2467,9881,2491,9905,2507,9935,2513,11202,2513,11231,2507,11255,2491,11272,2467,11278,2438,11278,2135xm11278,1214l11272,1184,11255,1160,11231,1144,11202,1138,9935,1138,9905,1144,9881,1160,9865,1184,9859,1214,9859,1516,9865,1545,9881,1569,9905,1586,9935,1592,11202,1592,11231,1586,11255,1569,11272,1545,11278,1516,11278,1214xe" filled="true" fillcolor="#c00000" stroked="false">
              <v:path arrowok="t"/>
              <v:fill type="solid"/>
            </v:shape>
            <v:shape style="position:absolute;left:11388;top:1116;width:221;height:6836" coordorigin="11388,1116" coordsize="221,6836" path="m11597,7952l11569,7951,11546,7950,11530,7948,11525,7946,11525,5519,11530,5517,11546,5515,11569,5514,11597,5513m11388,5746l11470,5746m11609,1908l11581,1908,11558,1907,11542,1905,11537,1902,11537,1122,11542,1120,11558,1118,11581,1117,11609,1116m11400,1443l11482,1443e" filled="false" stroked="true" strokeweight=".72pt" strokecolor="#000000">
              <v:path arrowok="t"/>
              <v:stroke dashstyle="solid"/>
            </v:shape>
            <v:shape style="position:absolute;left:9859;top:8179;width:1419;height:454" coordorigin="9859,8180" coordsize="1419,454" path="m11202,8180l9935,8180,9905,8185,9881,8202,9865,8226,9859,8255,9859,8558,9865,8587,9881,8611,9905,8627,9935,8633,11202,8633,11231,8627,11255,8611,11272,8587,11278,8558,11278,8255,11272,8226,11255,8202,11231,8185,11202,8180xe" filled="true" fillcolor="#c00000" stroked="false">
              <v:path arrowok="t"/>
              <v:fill type="solid"/>
            </v:shape>
            <v:line style="position:absolute" from="11388,8405" to="11470,8405" stroked="true" strokeweight=".72pt" strokecolor="#000000">
              <v:stroke dashstyle="solid"/>
            </v:line>
            <v:shape style="position:absolute;left:10238;top:1211;width:683;height:7335" type="#_x0000_t202" filled="false" stroked="false">
              <v:textbox inset="0,0,0,0">
                <w:txbxContent>
                  <w:p>
                    <w:pPr>
                      <w:spacing w:line="349" w:lineRule="exact" w:before="0"/>
                      <w:ind w:left="0" w:right="0" w:firstLine="0"/>
                      <w:jc w:val="left"/>
                      <w:rPr>
                        <w:b/>
                        <w:sz w:val="22"/>
                      </w:rPr>
                    </w:pPr>
                    <w:r>
                      <w:rPr>
                        <w:b/>
                        <w:color w:val="FFFFFF"/>
                        <w:sz w:val="22"/>
                      </w:rPr>
                      <w:t>生物药</w:t>
                    </w:r>
                  </w:p>
                  <w:p>
                    <w:pPr>
                      <w:spacing w:line="240" w:lineRule="auto" w:before="17"/>
                      <w:rPr>
                        <w:b/>
                        <w:sz w:val="27"/>
                      </w:rPr>
                    </w:pPr>
                  </w:p>
                  <w:p>
                    <w:pPr>
                      <w:spacing w:before="1"/>
                      <w:ind w:left="110" w:right="0" w:firstLine="0"/>
                      <w:jc w:val="left"/>
                      <w:rPr>
                        <w:b/>
                        <w:sz w:val="22"/>
                      </w:rPr>
                    </w:pPr>
                    <w:r>
                      <w:rPr>
                        <w:b/>
                        <w:color w:val="FFFFFF"/>
                        <w:sz w:val="22"/>
                      </w:rPr>
                      <w:t>化药</w:t>
                    </w:r>
                  </w:p>
                  <w:p>
                    <w:pPr>
                      <w:spacing w:line="240" w:lineRule="auto" w:before="0"/>
                      <w:rPr>
                        <w:b/>
                        <w:sz w:val="28"/>
                      </w:rPr>
                    </w:pPr>
                  </w:p>
                  <w:p>
                    <w:pPr>
                      <w:spacing w:line="240" w:lineRule="auto" w:before="0"/>
                      <w:rPr>
                        <w:b/>
                        <w:sz w:val="28"/>
                      </w:rPr>
                    </w:pPr>
                  </w:p>
                  <w:p>
                    <w:pPr>
                      <w:spacing w:line="240" w:lineRule="auto" w:before="0"/>
                      <w:rPr>
                        <w:b/>
                        <w:sz w:val="28"/>
                      </w:rPr>
                    </w:pPr>
                  </w:p>
                  <w:p>
                    <w:pPr>
                      <w:spacing w:line="240" w:lineRule="auto" w:before="0"/>
                      <w:rPr>
                        <w:b/>
                        <w:sz w:val="28"/>
                      </w:rPr>
                    </w:pPr>
                  </w:p>
                  <w:p>
                    <w:pPr>
                      <w:spacing w:line="240" w:lineRule="auto" w:before="0"/>
                      <w:rPr>
                        <w:b/>
                        <w:sz w:val="28"/>
                      </w:rPr>
                    </w:pPr>
                  </w:p>
                  <w:p>
                    <w:pPr>
                      <w:spacing w:line="240" w:lineRule="auto" w:before="5"/>
                      <w:rPr>
                        <w:b/>
                        <w:sz w:val="25"/>
                      </w:rPr>
                    </w:pPr>
                  </w:p>
                  <w:p>
                    <w:pPr>
                      <w:spacing w:before="0"/>
                      <w:ind w:left="110" w:right="0" w:firstLine="0"/>
                      <w:jc w:val="left"/>
                      <w:rPr>
                        <w:b/>
                        <w:sz w:val="22"/>
                      </w:rPr>
                    </w:pPr>
                    <w:r>
                      <w:rPr>
                        <w:b/>
                        <w:color w:val="FFFFFF"/>
                        <w:sz w:val="22"/>
                      </w:rPr>
                      <w:t>中药</w:t>
                    </w:r>
                  </w:p>
                  <w:p>
                    <w:pPr>
                      <w:spacing w:line="240" w:lineRule="auto" w:before="0"/>
                      <w:rPr>
                        <w:b/>
                        <w:sz w:val="28"/>
                      </w:rPr>
                    </w:pPr>
                  </w:p>
                  <w:p>
                    <w:pPr>
                      <w:spacing w:line="240" w:lineRule="auto" w:before="0"/>
                      <w:rPr>
                        <w:b/>
                        <w:sz w:val="28"/>
                      </w:rPr>
                    </w:pPr>
                  </w:p>
                  <w:p>
                    <w:pPr>
                      <w:spacing w:line="240" w:lineRule="auto" w:before="0"/>
                      <w:rPr>
                        <w:b/>
                        <w:sz w:val="28"/>
                      </w:rPr>
                    </w:pPr>
                  </w:p>
                  <w:p>
                    <w:pPr>
                      <w:spacing w:line="240" w:lineRule="auto" w:before="15"/>
                      <w:rPr>
                        <w:b/>
                        <w:sz w:val="38"/>
                      </w:rPr>
                    </w:pPr>
                  </w:p>
                  <w:p>
                    <w:pPr>
                      <w:spacing w:line="348" w:lineRule="exact" w:before="0"/>
                      <w:ind w:left="110" w:right="0" w:firstLine="0"/>
                      <w:jc w:val="left"/>
                      <w:rPr>
                        <w:b/>
                        <w:sz w:val="22"/>
                      </w:rPr>
                    </w:pPr>
                    <w:r>
                      <w:rPr>
                        <w:b/>
                        <w:color w:val="FFFFFF"/>
                        <w:sz w:val="22"/>
                      </w:rPr>
                      <w:t>疫苗</w:t>
                    </w:r>
                  </w:p>
                </w:txbxContent>
              </v:textbox>
              <w10:wrap type="none"/>
            </v:shape>
            <v:shape style="position:absolute;left:11835;top:1072;width:5783;height:7484" type="#_x0000_t202" filled="false" stroked="false">
              <v:textbox inset="0,0,0,0">
                <w:txbxContent>
                  <w:p>
                    <w:pPr>
                      <w:spacing w:line="349" w:lineRule="exact" w:before="0"/>
                      <w:ind w:left="0" w:right="0" w:firstLine="0"/>
                      <w:jc w:val="left"/>
                      <w:rPr>
                        <w:b/>
                        <w:sz w:val="22"/>
                      </w:rPr>
                    </w:pPr>
                    <w:r>
                      <w:rPr>
                        <w:b/>
                        <w:sz w:val="22"/>
                      </w:rPr>
                      <w:t>恒瑞医药：SHR-1707（I期临床）</w:t>
                    </w:r>
                  </w:p>
                  <w:p>
                    <w:pPr>
                      <w:spacing w:line="404" w:lineRule="exact" w:before="41"/>
                      <w:ind w:left="0" w:right="0" w:firstLine="0"/>
                      <w:jc w:val="left"/>
                      <w:rPr>
                        <w:b/>
                        <w:sz w:val="22"/>
                      </w:rPr>
                    </w:pPr>
                    <w:r>
                      <w:rPr>
                        <w:b/>
                        <w:sz w:val="22"/>
                      </w:rPr>
                      <w:t>石药集团：GX-G6（申请临床）</w:t>
                    </w:r>
                  </w:p>
                  <w:p>
                    <w:pPr>
                      <w:spacing w:line="404" w:lineRule="exact" w:before="0"/>
                      <w:ind w:left="0" w:right="0" w:firstLine="0"/>
                      <w:jc w:val="left"/>
                      <w:rPr>
                        <w:b/>
                        <w:sz w:val="22"/>
                      </w:rPr>
                    </w:pPr>
                    <w:r>
                      <w:rPr>
                        <w:b/>
                        <w:sz w:val="22"/>
                      </w:rPr>
                      <w:t>通化金马：八氢氨吖啶（III期临床）</w:t>
                    </w:r>
                  </w:p>
                  <w:p>
                    <w:pPr>
                      <w:spacing w:line="266" w:lineRule="auto" w:before="46"/>
                      <w:ind w:left="0" w:right="1700" w:firstLine="0"/>
                      <w:jc w:val="left"/>
                      <w:rPr>
                        <w:b/>
                        <w:sz w:val="22"/>
                      </w:rPr>
                    </w:pPr>
                    <w:r>
                      <w:rPr>
                        <w:b/>
                        <w:sz w:val="22"/>
                      </w:rPr>
                      <w:t>先声药业：Varoglutamstat（II期临床） 康缘药业：氟诺哌齐（II期临床）</w:t>
                    </w:r>
                  </w:p>
                  <w:p>
                    <w:pPr>
                      <w:spacing w:line="254" w:lineRule="auto" w:before="16"/>
                      <w:ind w:left="0" w:right="2590" w:firstLine="0"/>
                      <w:jc w:val="both"/>
                      <w:rPr>
                        <w:b/>
                        <w:sz w:val="22"/>
                      </w:rPr>
                    </w:pPr>
                    <w:r>
                      <w:rPr>
                        <w:b/>
                        <w:sz w:val="22"/>
                      </w:rPr>
                      <w:t>东阳光：HEC30654（I期临床） 新华制药：OAB-14（I期临床） 信立泰：SAL0114（申请临床）</w:t>
                    </w:r>
                  </w:p>
                  <w:p>
                    <w:pPr>
                      <w:spacing w:before="52"/>
                      <w:ind w:left="0" w:right="0" w:firstLine="0"/>
                      <w:jc w:val="left"/>
                      <w:rPr>
                        <w:b/>
                        <w:sz w:val="22"/>
                      </w:rPr>
                    </w:pPr>
                    <w:r>
                      <w:rPr>
                        <w:b/>
                        <w:sz w:val="22"/>
                      </w:rPr>
                      <w:t>海正药业：AD-35（II期临床，无进展）</w:t>
                    </w:r>
                  </w:p>
                  <w:p>
                    <w:pPr>
                      <w:spacing w:line="385" w:lineRule="exact" w:before="46"/>
                      <w:ind w:left="0" w:right="0" w:firstLine="0"/>
                      <w:jc w:val="left"/>
                      <w:rPr>
                        <w:b/>
                        <w:sz w:val="22"/>
                      </w:rPr>
                    </w:pPr>
                    <w:r>
                      <w:rPr>
                        <w:b/>
                        <w:sz w:val="22"/>
                      </w:rPr>
                      <w:t>福安药业：左黄皮酰胺（II期临床，无进展）</w:t>
                    </w:r>
                  </w:p>
                  <w:p>
                    <w:pPr>
                      <w:spacing w:line="385" w:lineRule="exact" w:before="0"/>
                      <w:ind w:left="0" w:right="0" w:firstLine="0"/>
                      <w:jc w:val="left"/>
                      <w:rPr>
                        <w:b/>
                        <w:sz w:val="22"/>
                      </w:rPr>
                    </w:pPr>
                    <w:r>
                      <w:rPr>
                        <w:b/>
                        <w:sz w:val="22"/>
                      </w:rPr>
                      <w:t>佐力药业：乌灵胶囊（</w:t>
                    </w:r>
                    <w:r>
                      <w:rPr>
                        <w:b/>
                        <w:color w:val="C00000"/>
                        <w:sz w:val="22"/>
                      </w:rPr>
                      <w:t>已上市，</w:t>
                    </w:r>
                    <w:r>
                      <w:rPr>
                        <w:b/>
                        <w:sz w:val="22"/>
                      </w:rPr>
                      <w:t>22年销售9.4亿）</w:t>
                    </w:r>
                  </w:p>
                  <w:p>
                    <w:pPr>
                      <w:spacing w:line="276" w:lineRule="auto" w:before="62"/>
                      <w:ind w:left="0" w:right="445" w:firstLine="0"/>
                      <w:jc w:val="left"/>
                      <w:rPr>
                        <w:b/>
                        <w:sz w:val="22"/>
                      </w:rPr>
                    </w:pPr>
                    <w:r>
                      <w:rPr>
                        <w:b/>
                        <w:sz w:val="22"/>
                      </w:rPr>
                      <w:t>弘和制药/四环医药：杏芎（</w:t>
                    </w:r>
                    <w:r>
                      <w:rPr>
                        <w:b/>
                        <w:color w:val="C00000"/>
                        <w:sz w:val="22"/>
                      </w:rPr>
                      <w:t>已上市</w:t>
                    </w:r>
                    <w:r>
                      <w:rPr>
                        <w:b/>
                        <w:sz w:val="22"/>
                      </w:rPr>
                      <w:t>，22年销售3.3亿） 天士力：养血清脑丸（II期临床）</w:t>
                    </w:r>
                  </w:p>
                  <w:p>
                    <w:pPr>
                      <w:spacing w:before="1"/>
                      <w:ind w:left="0" w:right="0" w:firstLine="0"/>
                      <w:jc w:val="left"/>
                      <w:rPr>
                        <w:b/>
                        <w:sz w:val="22"/>
                      </w:rPr>
                    </w:pPr>
                    <w:r>
                      <w:rPr>
                        <w:b/>
                        <w:sz w:val="22"/>
                      </w:rPr>
                      <w:t>康弘药业：五加益智颗粒（ II期临床）</w:t>
                    </w:r>
                  </w:p>
                  <w:p>
                    <w:pPr>
                      <w:spacing w:before="62"/>
                      <w:ind w:left="0" w:right="0" w:firstLine="0"/>
                      <w:jc w:val="left"/>
                      <w:rPr>
                        <w:b/>
                        <w:sz w:val="22"/>
                      </w:rPr>
                    </w:pPr>
                    <w:r>
                      <w:rPr>
                        <w:b/>
                        <w:sz w:val="22"/>
                      </w:rPr>
                      <w:t>双鹭药业：泰思胶囊（ III期临床，无进展）</w:t>
                    </w:r>
                  </w:p>
                  <w:p>
                    <w:pPr>
                      <w:spacing w:before="61"/>
                      <w:ind w:left="0" w:right="0" w:firstLine="0"/>
                      <w:jc w:val="left"/>
                      <w:rPr>
                        <w:b/>
                        <w:sz w:val="22"/>
                      </w:rPr>
                    </w:pPr>
                    <w:r>
                      <w:rPr>
                        <w:b/>
                        <w:sz w:val="22"/>
                      </w:rPr>
                      <w:t>新疆维药/人福医药：棉花花总黄酮片（II期临床，无进展）</w:t>
                    </w:r>
                  </w:p>
                  <w:p>
                    <w:pPr>
                      <w:spacing w:line="348" w:lineRule="exact" w:before="76"/>
                      <w:ind w:left="0" w:right="0" w:firstLine="0"/>
                      <w:jc w:val="left"/>
                      <w:rPr>
                        <w:b/>
                        <w:sz w:val="22"/>
                      </w:rPr>
                    </w:pPr>
                    <w:r>
                      <w:rPr>
                        <w:b/>
                        <w:sz w:val="22"/>
                      </w:rPr>
                      <w:t>恩华药业：Protollin鼻喷剂（I期临床）</w:t>
                    </w:r>
                  </w:p>
                </w:txbxContent>
              </v:textbox>
              <w10:wrap type="none"/>
            </v:shape>
            <w10:wrap type="none"/>
          </v:group>
        </w:pict>
      </w:r>
      <w:r>
        <w:rPr>
          <w:rFonts w:ascii="Microsoft YaHei UI Light" w:hAnsi="Microsoft YaHei UI Light" w:eastAsia="Microsoft YaHei UI Light" w:hint="eastAsia"/>
          <w:b w:val="0"/>
          <w:color w:val="00AFEF"/>
        </w:rPr>
        <w:t>┃</w:t>
        <w:tab/>
      </w:r>
      <w:r>
        <w:rPr>
          <w:color w:val="57585B"/>
          <w:spacing w:val="-3"/>
        </w:rPr>
        <w:t>中国阿尔兹海默症诊断与治疗产业链上市公司概览</w:t>
      </w:r>
    </w:p>
    <w:p>
      <w:pPr>
        <w:spacing w:after="0"/>
        <w:sectPr>
          <w:headerReference w:type="default" r:id="rId47"/>
          <w:footerReference w:type="default" r:id="rId48"/>
          <w:pgSz w:w="19200" w:h="10800" w:orient="landscape"/>
          <w:pgMar w:header="471" w:footer="193" w:top="1100" w:bottom="380" w:left="0" w:right="0"/>
        </w:sectPr>
      </w:pPr>
    </w:p>
    <w:p>
      <w:pPr>
        <w:pStyle w:val="BodyText"/>
        <w:spacing w:before="2"/>
        <w:rPr>
          <w:b/>
          <w:sz w:val="27"/>
        </w:rPr>
      </w:pPr>
      <w:r>
        <w:rPr/>
        <w:pict>
          <v:shape style="position:absolute;margin-left:20.927999pt;margin-top:522.665588pt;width:393.2pt;height:9pt;mso-position-horizontal-relative:page;mso-position-vertical-relative:page;z-index:-18033664" type="#_x0000_t202" filled="false" stroked="false">
            <v:textbox inset="0,0,0,0">
              <w:txbxContent>
                <w:p>
                  <w:pPr>
                    <w:tabs>
                      <w:tab w:pos="6416" w:val="left" w:leader="none"/>
                    </w:tabs>
                    <w:spacing w:line="180" w:lineRule="exact" w:before="0"/>
                    <w:ind w:left="0" w:right="0" w:firstLine="0"/>
                    <w:jc w:val="left"/>
                    <w:rPr>
                      <w:rFonts w:ascii="宋体" w:eastAsia="宋体" w:hint="eastAsia"/>
                      <w:sz w:val="16"/>
                    </w:rPr>
                  </w:pPr>
                  <w:r>
                    <w:rPr>
                      <w:rFonts w:ascii="宋体" w:eastAsia="宋体" w:hint="eastAsia"/>
                      <w:sz w:val="16"/>
                    </w:rPr>
                    <w:t>证监会审</w:t>
                  </w:r>
                  <w:r>
                    <w:rPr>
                      <w:rFonts w:ascii="宋体" w:eastAsia="宋体" w:hint="eastAsia"/>
                      <w:spacing w:val="-3"/>
                      <w:sz w:val="16"/>
                    </w:rPr>
                    <w:t>核</w:t>
                  </w:r>
                  <w:r>
                    <w:rPr>
                      <w:rFonts w:ascii="宋体" w:eastAsia="宋体" w:hint="eastAsia"/>
                      <w:sz w:val="16"/>
                    </w:rPr>
                    <w:t>华创</w:t>
                  </w:r>
                  <w:r>
                    <w:rPr>
                      <w:rFonts w:ascii="宋体" w:eastAsia="宋体" w:hint="eastAsia"/>
                      <w:spacing w:val="-3"/>
                      <w:sz w:val="16"/>
                    </w:rPr>
                    <w:t>证</w:t>
                  </w:r>
                  <w:r>
                    <w:rPr>
                      <w:rFonts w:ascii="宋体" w:eastAsia="宋体" w:hint="eastAsia"/>
                      <w:sz w:val="16"/>
                    </w:rPr>
                    <w:t>券投</w:t>
                  </w:r>
                  <w:r>
                    <w:rPr>
                      <w:rFonts w:ascii="宋体" w:eastAsia="宋体" w:hint="eastAsia"/>
                      <w:spacing w:val="-3"/>
                      <w:sz w:val="16"/>
                    </w:rPr>
                    <w:t>资</w:t>
                  </w:r>
                  <w:r>
                    <w:rPr>
                      <w:rFonts w:ascii="宋体" w:eastAsia="宋体" w:hint="eastAsia"/>
                      <w:sz w:val="16"/>
                    </w:rPr>
                    <w:t>咨询</w:t>
                  </w:r>
                  <w:r>
                    <w:rPr>
                      <w:rFonts w:ascii="宋体" w:eastAsia="宋体" w:hint="eastAsia"/>
                      <w:spacing w:val="-3"/>
                      <w:sz w:val="16"/>
                    </w:rPr>
                    <w:t>业</w:t>
                  </w:r>
                  <w:r>
                    <w:rPr>
                      <w:rFonts w:ascii="宋体" w:eastAsia="宋体" w:hint="eastAsia"/>
                      <w:sz w:val="16"/>
                    </w:rPr>
                    <w:t>务资</w:t>
                  </w:r>
                  <w:r>
                    <w:rPr>
                      <w:rFonts w:ascii="宋体" w:eastAsia="宋体" w:hint="eastAsia"/>
                      <w:spacing w:val="-3"/>
                      <w:sz w:val="16"/>
                    </w:rPr>
                    <w:t>格</w:t>
                  </w:r>
                  <w:r>
                    <w:rPr>
                      <w:rFonts w:ascii="宋体" w:eastAsia="宋体" w:hint="eastAsia"/>
                      <w:sz w:val="16"/>
                    </w:rPr>
                    <w:t>批文</w:t>
                  </w:r>
                  <w:r>
                    <w:rPr>
                      <w:rFonts w:ascii="宋体" w:eastAsia="宋体" w:hint="eastAsia"/>
                      <w:spacing w:val="-3"/>
                      <w:sz w:val="16"/>
                    </w:rPr>
                    <w:t>号</w:t>
                  </w:r>
                  <w:r>
                    <w:rPr>
                      <w:rFonts w:ascii="宋体" w:eastAsia="宋体" w:hint="eastAsia"/>
                      <w:sz w:val="16"/>
                    </w:rPr>
                    <w:t>：证</w:t>
                  </w:r>
                  <w:r>
                    <w:rPr>
                      <w:rFonts w:ascii="宋体" w:eastAsia="宋体" w:hint="eastAsia"/>
                      <w:spacing w:val="-3"/>
                      <w:sz w:val="16"/>
                    </w:rPr>
                    <w:t>监</w:t>
                  </w:r>
                  <w:r>
                    <w:rPr>
                      <w:rFonts w:ascii="宋体" w:eastAsia="宋体" w:hint="eastAsia"/>
                      <w:sz w:val="16"/>
                    </w:rPr>
                    <w:t>许可（</w:t>
                  </w:r>
                  <w:r>
                    <w:rPr>
                      <w:rFonts w:ascii="Arial" w:eastAsia="Arial"/>
                      <w:sz w:val="16"/>
                    </w:rPr>
                    <w:t>2009</w:t>
                  </w:r>
                  <w:r>
                    <w:rPr>
                      <w:rFonts w:ascii="宋体" w:eastAsia="宋体" w:hint="eastAsia"/>
                      <w:sz w:val="16"/>
                    </w:rPr>
                    <w:t>）</w:t>
                  </w:r>
                  <w:r>
                    <w:rPr>
                      <w:rFonts w:ascii="Arial" w:eastAsia="Arial"/>
                      <w:sz w:val="16"/>
                    </w:rPr>
                    <w:t>1210</w:t>
                  </w:r>
                  <w:r>
                    <w:rPr>
                      <w:rFonts w:ascii="Arial" w:eastAsia="Arial"/>
                      <w:spacing w:val="6"/>
                      <w:sz w:val="16"/>
                    </w:rPr>
                    <w:t> </w:t>
                  </w:r>
                  <w:r>
                    <w:rPr>
                      <w:rFonts w:ascii="宋体" w:eastAsia="宋体" w:hint="eastAsia"/>
                      <w:sz w:val="16"/>
                    </w:rPr>
                    <w:t>号</w:t>
                    <w:tab/>
                    <w:t>未经许可</w:t>
                  </w:r>
                  <w:r>
                    <w:rPr>
                      <w:rFonts w:ascii="宋体" w:eastAsia="宋体" w:hint="eastAsia"/>
                      <w:spacing w:val="-3"/>
                      <w:sz w:val="16"/>
                    </w:rPr>
                    <w:t>，</w:t>
                  </w:r>
                  <w:r>
                    <w:rPr>
                      <w:rFonts w:ascii="宋体" w:eastAsia="宋体" w:hint="eastAsia"/>
                      <w:sz w:val="16"/>
                    </w:rPr>
                    <w:t>禁止</w:t>
                  </w:r>
                  <w:r>
                    <w:rPr>
                      <w:rFonts w:ascii="宋体" w:eastAsia="宋体" w:hint="eastAsia"/>
                      <w:spacing w:val="-3"/>
                      <w:sz w:val="16"/>
                    </w:rPr>
                    <w:t>转</w:t>
                  </w:r>
                  <w:r>
                    <w:rPr>
                      <w:rFonts w:ascii="宋体" w:eastAsia="宋体" w:hint="eastAsia"/>
                      <w:spacing w:val="-19"/>
                      <w:sz w:val="16"/>
                    </w:rPr>
                    <w:t>载</w:t>
                  </w:r>
                </w:p>
              </w:txbxContent>
            </v:textbox>
            <w10:wrap type="none"/>
          </v:shape>
        </w:pict>
      </w:r>
    </w:p>
    <w:p>
      <w:pPr>
        <w:tabs>
          <w:tab w:pos="1407" w:val="left" w:leader="none"/>
        </w:tabs>
        <w:spacing w:before="33"/>
        <w:ind w:left="956" w:right="0" w:firstLine="0"/>
        <w:jc w:val="left"/>
        <w:rPr>
          <w:b/>
          <w:sz w:val="28"/>
        </w:rPr>
      </w:pPr>
      <w:r>
        <w:rPr/>
        <w:drawing>
          <wp:anchor distT="0" distB="0" distL="0" distR="0" allowOverlap="1" layoutInCell="1" locked="0" behindDoc="0" simplePos="0" relativeHeight="15759872">
            <wp:simplePos x="0" y="0"/>
            <wp:positionH relativeFrom="page">
              <wp:posOffset>9144</wp:posOffset>
            </wp:positionH>
            <wp:positionV relativeFrom="paragraph">
              <wp:posOffset>-158273</wp:posOffset>
            </wp:positionV>
            <wp:extent cx="12182855" cy="89915"/>
            <wp:effectExtent l="0" t="0" r="0" b="0"/>
            <wp:wrapNone/>
            <wp:docPr id="81" name="image5.png"/>
            <wp:cNvGraphicFramePr>
              <a:graphicFrameLocks noChangeAspect="1"/>
            </wp:cNvGraphicFramePr>
            <a:graphic>
              <a:graphicData uri="http://schemas.openxmlformats.org/drawingml/2006/picture">
                <pic:pic>
                  <pic:nvPicPr>
                    <pic:cNvPr id="82" name="image5.png"/>
                    <pic:cNvPicPr/>
                  </pic:nvPicPr>
                  <pic:blipFill>
                    <a:blip r:embed="rId14" cstate="print"/>
                    <a:stretch>
                      <a:fillRect/>
                    </a:stretch>
                  </pic:blipFill>
                  <pic:spPr>
                    <a:xfrm>
                      <a:off x="0" y="0"/>
                      <a:ext cx="12182855" cy="89915"/>
                    </a:xfrm>
                    <a:prstGeom prst="rect">
                      <a:avLst/>
                    </a:prstGeom>
                  </pic:spPr>
                </pic:pic>
              </a:graphicData>
            </a:graphic>
          </wp:anchor>
        </w:drawing>
      </w:r>
      <w:r>
        <w:rPr>
          <w:rFonts w:ascii="Microsoft YaHei UI Light" w:hAnsi="Microsoft YaHei UI Light" w:eastAsia="Microsoft YaHei UI Light" w:hint="eastAsia"/>
          <w:b w:val="0"/>
          <w:color w:val="00AFEF"/>
          <w:sz w:val="28"/>
        </w:rPr>
        <w:t>┃</w:t>
        <w:tab/>
      </w:r>
      <w:r>
        <w:rPr>
          <w:b/>
          <w:color w:val="57585B"/>
          <w:spacing w:val="-3"/>
          <w:sz w:val="28"/>
        </w:rPr>
        <w:t>诊断产业链：上市公司布局</w:t>
      </w:r>
    </w:p>
    <w:p>
      <w:pPr>
        <w:pStyle w:val="BodyText"/>
        <w:spacing w:before="9"/>
        <w:rPr>
          <w:b/>
          <w:sz w:val="19"/>
        </w:rPr>
      </w:pPr>
    </w:p>
    <w:p>
      <w:pPr>
        <w:pStyle w:val="ListParagraph"/>
        <w:numPr>
          <w:ilvl w:val="1"/>
          <w:numId w:val="8"/>
        </w:numPr>
        <w:tabs>
          <w:tab w:pos="1301" w:val="left" w:leader="none"/>
        </w:tabs>
        <w:spacing w:line="187" w:lineRule="auto" w:before="1" w:after="0"/>
        <w:ind w:left="1300" w:right="2355" w:hanging="452"/>
        <w:jc w:val="both"/>
        <w:rPr>
          <w:sz w:val="28"/>
        </w:rPr>
      </w:pPr>
      <w:r>
        <w:rPr>
          <w:b/>
          <w:color w:val="57585B"/>
          <w:sz w:val="28"/>
        </w:rPr>
        <w:t>北陆药业：</w:t>
      </w:r>
      <w:r>
        <w:rPr>
          <w:color w:val="57585B"/>
          <w:sz w:val="28"/>
        </w:rPr>
        <w:t>参股公司医未医疗的脑医生产品是中枢神经系统核磁影像AI诊断分析平台，聚焦在提升阿尔茨海默病等脑病的早筛及诊断效率。</w:t>
      </w:r>
    </w:p>
    <w:p>
      <w:pPr>
        <w:pStyle w:val="ListParagraph"/>
        <w:numPr>
          <w:ilvl w:val="1"/>
          <w:numId w:val="8"/>
        </w:numPr>
        <w:tabs>
          <w:tab w:pos="1301" w:val="left" w:leader="none"/>
        </w:tabs>
        <w:spacing w:line="187" w:lineRule="auto" w:before="234" w:after="0"/>
        <w:ind w:left="1300" w:right="2355" w:hanging="452"/>
        <w:jc w:val="both"/>
        <w:rPr>
          <w:sz w:val="28"/>
        </w:rPr>
      </w:pPr>
      <w:r>
        <w:rPr>
          <w:b/>
          <w:color w:val="57585B"/>
          <w:spacing w:val="-3"/>
          <w:sz w:val="28"/>
        </w:rPr>
        <w:t>美年健康：</w:t>
      </w:r>
      <w:r>
        <w:rPr>
          <w:color w:val="57585B"/>
          <w:spacing w:val="-3"/>
          <w:sz w:val="28"/>
        </w:rPr>
        <w:t>“脑睿佳”产品针对脑认知、 脑卒中潜在风险人群进行早期筛查， 尤其是脑认知筛查，通过将核磁扫描和AI、基因检测进行创新性组合，在行业内率先实现了阿尔兹海默症的早期风险评估。</w:t>
      </w:r>
    </w:p>
    <w:p>
      <w:pPr>
        <w:pStyle w:val="ListParagraph"/>
        <w:numPr>
          <w:ilvl w:val="1"/>
          <w:numId w:val="8"/>
        </w:numPr>
        <w:tabs>
          <w:tab w:pos="1301" w:val="left" w:leader="none"/>
        </w:tabs>
        <w:spacing w:line="184" w:lineRule="auto" w:before="241" w:after="0"/>
        <w:ind w:left="1300" w:right="2355" w:hanging="452"/>
        <w:jc w:val="both"/>
        <w:rPr>
          <w:sz w:val="28"/>
        </w:rPr>
      </w:pPr>
      <w:r>
        <w:rPr>
          <w:b/>
          <w:color w:val="57585B"/>
          <w:spacing w:val="-1"/>
          <w:sz w:val="28"/>
        </w:rPr>
        <w:t>先通医药：</w:t>
      </w:r>
      <w:r>
        <w:rPr>
          <w:color w:val="57585B"/>
          <w:spacing w:val="-2"/>
          <w:sz w:val="28"/>
        </w:rPr>
        <w:t>公司于</w:t>
      </w:r>
      <w:r>
        <w:rPr>
          <w:color w:val="57585B"/>
          <w:spacing w:val="-1"/>
          <w:sz w:val="28"/>
        </w:rPr>
        <w:t>2017年获得了</w:t>
      </w:r>
      <w:r>
        <w:rPr>
          <w:color w:val="57585B"/>
          <w:sz w:val="28"/>
        </w:rPr>
        <w:t>Neuraceq</w:t>
      </w:r>
      <w:r>
        <w:rPr>
          <w:color w:val="57585B"/>
          <w:spacing w:val="-2"/>
          <w:sz w:val="28"/>
        </w:rPr>
        <w:t>的中国开发和销售授权，</w:t>
      </w:r>
      <w:r>
        <w:rPr>
          <w:color w:val="57585B"/>
          <w:sz w:val="28"/>
        </w:rPr>
        <w:t>2023年9月15</w:t>
      </w:r>
      <w:r>
        <w:rPr>
          <w:color w:val="57585B"/>
          <w:spacing w:val="-2"/>
          <w:sz w:val="28"/>
        </w:rPr>
        <w:t>日，其欧韦宁氟[</w:t>
      </w:r>
      <w:r>
        <w:rPr>
          <w:color w:val="57585B"/>
          <w:sz w:val="28"/>
        </w:rPr>
        <w:t>18F</w:t>
      </w:r>
      <w:r>
        <w:rPr>
          <w:color w:val="57585B"/>
          <w:spacing w:val="-3"/>
          <w:sz w:val="28"/>
        </w:rPr>
        <w:t>]贝他苯注射液率先获得</w:t>
      </w:r>
      <w:r>
        <w:rPr>
          <w:color w:val="57585B"/>
          <w:spacing w:val="-7"/>
          <w:sz w:val="28"/>
        </w:rPr>
        <w:t>NMPA</w:t>
      </w:r>
      <w:r>
        <w:rPr>
          <w:color w:val="57585B"/>
          <w:sz w:val="28"/>
        </w:rPr>
        <w:t>批准，是国内首个获批用于</w:t>
      </w:r>
      <w:r>
        <w:rPr>
          <w:color w:val="57585B"/>
          <w:spacing w:val="-3"/>
          <w:sz w:val="28"/>
        </w:rPr>
        <w:t>AD</w:t>
      </w:r>
      <w:r>
        <w:rPr>
          <w:color w:val="57585B"/>
          <w:sz w:val="28"/>
        </w:rPr>
        <w:t>诊断的Aβ-PET显像剂。公司也在</w:t>
      </w:r>
      <w:r>
        <w:rPr>
          <w:color w:val="57585B"/>
          <w:spacing w:val="-6"/>
          <w:sz w:val="28"/>
        </w:rPr>
        <w:t>Tau-PET</w:t>
      </w:r>
      <w:r>
        <w:rPr>
          <w:color w:val="57585B"/>
          <w:sz w:val="28"/>
        </w:rPr>
        <w:t>领域布局了一款18F标记的高亲和力</w:t>
      </w:r>
      <w:r>
        <w:rPr>
          <w:color w:val="57585B"/>
          <w:spacing w:val="-6"/>
          <w:sz w:val="28"/>
        </w:rPr>
        <w:t>Tau-PET</w:t>
      </w:r>
      <w:r>
        <w:rPr>
          <w:color w:val="57585B"/>
          <w:sz w:val="28"/>
        </w:rPr>
        <w:t>显像剂MK-6240（</w:t>
      </w:r>
      <w:r>
        <w:rPr>
          <w:color w:val="57585B"/>
          <w:spacing w:val="-3"/>
          <w:sz w:val="28"/>
        </w:rPr>
        <w:t>尚未获批）</w:t>
      </w:r>
      <w:r>
        <w:rPr>
          <w:color w:val="57585B"/>
          <w:sz w:val="28"/>
        </w:rPr>
        <w:t>。</w:t>
      </w:r>
    </w:p>
    <w:p>
      <w:pPr>
        <w:pStyle w:val="ListParagraph"/>
        <w:numPr>
          <w:ilvl w:val="1"/>
          <w:numId w:val="8"/>
        </w:numPr>
        <w:tabs>
          <w:tab w:pos="1301" w:val="left" w:leader="none"/>
        </w:tabs>
        <w:spacing w:line="184" w:lineRule="auto" w:before="248" w:after="0"/>
        <w:ind w:left="1300" w:right="2360" w:hanging="452"/>
        <w:jc w:val="both"/>
        <w:rPr>
          <w:sz w:val="28"/>
        </w:rPr>
      </w:pPr>
      <w:r>
        <w:rPr>
          <w:b/>
          <w:color w:val="57585B"/>
          <w:sz w:val="28"/>
        </w:rPr>
        <w:t>原子高科：</w:t>
      </w:r>
      <w:r>
        <w:rPr>
          <w:color w:val="57585B"/>
          <w:sz w:val="28"/>
        </w:rPr>
        <w:t>2023年</w:t>
      </w:r>
      <w:r>
        <w:rPr>
          <w:color w:val="57585B"/>
          <w:spacing w:val="3"/>
          <w:sz w:val="28"/>
        </w:rPr>
        <w:t>3</w:t>
      </w:r>
      <w:r>
        <w:rPr>
          <w:color w:val="57585B"/>
          <w:sz w:val="28"/>
        </w:rPr>
        <w:t>月，公司联合北京师范大学“放射性药物教育部重点实验室”崔孟超课题组自主研发的</w:t>
      </w:r>
      <w:r>
        <w:rPr>
          <w:color w:val="57585B"/>
          <w:spacing w:val="3"/>
          <w:sz w:val="28"/>
        </w:rPr>
        <w:t>1</w:t>
      </w:r>
      <w:r>
        <w:rPr>
          <w:color w:val="57585B"/>
          <w:sz w:val="28"/>
        </w:rPr>
        <w:t>类新药“氟[18F] </w:t>
      </w:r>
      <w:r>
        <w:rPr>
          <w:color w:val="57585B"/>
          <w:spacing w:val="-1"/>
          <w:sz w:val="28"/>
        </w:rPr>
        <w:t>贝他嗪注射液”</w:t>
      </w:r>
      <w:r>
        <w:rPr>
          <w:color w:val="57585B"/>
          <w:sz w:val="28"/>
        </w:rPr>
        <w:t>（</w:t>
      </w:r>
      <w:r>
        <w:rPr>
          <w:color w:val="57585B"/>
          <w:spacing w:val="-6"/>
          <w:sz w:val="28"/>
        </w:rPr>
        <w:t> </w:t>
      </w:r>
      <w:r>
        <w:rPr>
          <w:color w:val="57585B"/>
          <w:sz w:val="28"/>
        </w:rPr>
        <w:t>Aβ-PET</w:t>
      </w:r>
      <w:r>
        <w:rPr>
          <w:color w:val="57585B"/>
          <w:spacing w:val="-3"/>
          <w:sz w:val="28"/>
        </w:rPr>
        <w:t>显像剂</w:t>
      </w:r>
      <w:r>
        <w:rPr>
          <w:color w:val="57585B"/>
          <w:sz w:val="28"/>
        </w:rPr>
        <w:t>）</w:t>
      </w:r>
      <w:r>
        <w:rPr>
          <w:color w:val="57585B"/>
          <w:spacing w:val="-3"/>
          <w:sz w:val="28"/>
        </w:rPr>
        <w:t>，正式获得国家药品监督管理局</w:t>
      </w:r>
      <w:r>
        <w:rPr>
          <w:color w:val="57585B"/>
          <w:spacing w:val="-6"/>
          <w:sz w:val="28"/>
        </w:rPr>
        <w:t>（NMPA）</w:t>
      </w:r>
      <w:r>
        <w:rPr>
          <w:color w:val="57585B"/>
          <w:spacing w:val="-3"/>
          <w:sz w:val="28"/>
        </w:rPr>
        <w:t>核准签发的《药物临床试验批准通知书》。</w:t>
      </w:r>
    </w:p>
    <w:p>
      <w:pPr>
        <w:pStyle w:val="ListParagraph"/>
        <w:numPr>
          <w:ilvl w:val="1"/>
          <w:numId w:val="8"/>
        </w:numPr>
        <w:tabs>
          <w:tab w:pos="1301" w:val="left" w:leader="none"/>
        </w:tabs>
        <w:spacing w:line="187" w:lineRule="auto" w:before="240" w:after="0"/>
        <w:ind w:left="1300" w:right="2357" w:hanging="452"/>
        <w:jc w:val="both"/>
        <w:rPr>
          <w:sz w:val="28"/>
        </w:rPr>
      </w:pPr>
      <w:r>
        <w:rPr>
          <w:b/>
          <w:color w:val="57585B"/>
          <w:sz w:val="28"/>
        </w:rPr>
        <w:t>亚辉龙：</w:t>
      </w:r>
      <w:r>
        <w:rPr>
          <w:color w:val="57585B"/>
          <w:sz w:val="28"/>
        </w:rPr>
        <w:t>根据公司2023年</w:t>
      </w:r>
      <w:r>
        <w:rPr>
          <w:color w:val="57585B"/>
          <w:spacing w:val="3"/>
          <w:sz w:val="28"/>
        </w:rPr>
        <w:t>8</w:t>
      </w:r>
      <w:r>
        <w:rPr>
          <w:color w:val="57585B"/>
          <w:sz w:val="28"/>
        </w:rPr>
        <w:t>月投资者关系活动记录表，公司在阿尔兹海默症领域有核心产品在研，公司已经与北京大学第一医</w:t>
      </w:r>
      <w:r>
        <w:rPr>
          <w:color w:val="57585B"/>
          <w:spacing w:val="-3"/>
          <w:sz w:val="28"/>
        </w:rPr>
        <w:t>院、北京宣武医院、北医三院等多家国内顶尖医疗机构开展了阿尔兹海默症</w:t>
      </w:r>
      <w:r>
        <w:rPr>
          <w:color w:val="57585B"/>
          <w:sz w:val="28"/>
        </w:rPr>
        <w:t>（AD）</w:t>
      </w:r>
      <w:r>
        <w:rPr>
          <w:color w:val="57585B"/>
          <w:spacing w:val="-1"/>
          <w:sz w:val="28"/>
        </w:rPr>
        <w:t>等方向的课题合作。</w:t>
      </w:r>
    </w:p>
    <w:p>
      <w:pPr>
        <w:pStyle w:val="ListParagraph"/>
        <w:numPr>
          <w:ilvl w:val="1"/>
          <w:numId w:val="8"/>
        </w:numPr>
        <w:tabs>
          <w:tab w:pos="1300" w:val="left" w:leader="none"/>
          <w:tab w:pos="1301" w:val="left" w:leader="none"/>
        </w:tabs>
        <w:spacing w:line="187" w:lineRule="auto" w:before="235" w:after="0"/>
        <w:ind w:left="1300" w:right="2353" w:hanging="452"/>
        <w:jc w:val="left"/>
        <w:rPr>
          <w:sz w:val="28"/>
        </w:rPr>
      </w:pPr>
      <w:r>
        <w:rPr>
          <w:b/>
          <w:color w:val="57585B"/>
          <w:sz w:val="28"/>
        </w:rPr>
        <w:t>金域医学：</w:t>
      </w:r>
      <w:r>
        <w:rPr>
          <w:color w:val="57585B"/>
          <w:sz w:val="28"/>
        </w:rPr>
        <w:t>公司已形成了完整的AD全病程检测服务，可提供阿尔茨海默病Aβ42、Aβ40、Aβ42/40比值、tau蛋白，神经丝轻链蛋白Nfl</w:t>
      </w:r>
      <w:r>
        <w:rPr>
          <w:color w:val="57585B"/>
          <w:spacing w:val="-3"/>
          <w:sz w:val="28"/>
        </w:rPr>
        <w:t>、</w:t>
      </w:r>
      <w:r>
        <w:rPr>
          <w:color w:val="57585B"/>
          <w:sz w:val="28"/>
        </w:rPr>
        <w:t>APOE</w:t>
      </w:r>
      <w:r>
        <w:rPr>
          <w:color w:val="57585B"/>
          <w:spacing w:val="-3"/>
          <w:sz w:val="28"/>
        </w:rPr>
        <w:t>基因多态性等多个项目，覆盖</w:t>
      </w:r>
      <w:r>
        <w:rPr>
          <w:color w:val="57585B"/>
          <w:sz w:val="28"/>
        </w:rPr>
        <w:t>AD</w:t>
      </w:r>
      <w:r>
        <w:rPr>
          <w:color w:val="57585B"/>
          <w:spacing w:val="-3"/>
          <w:sz w:val="28"/>
        </w:rPr>
        <w:t>诊疗全流程，协助临床实现</w:t>
      </w:r>
      <w:r>
        <w:rPr>
          <w:color w:val="57585B"/>
          <w:sz w:val="28"/>
        </w:rPr>
        <w:t>AD</w:t>
      </w:r>
      <w:r>
        <w:rPr>
          <w:color w:val="57585B"/>
          <w:spacing w:val="-3"/>
          <w:sz w:val="28"/>
        </w:rPr>
        <w:t>的全病程管理。</w:t>
      </w:r>
    </w:p>
    <w:p>
      <w:pPr>
        <w:pStyle w:val="ListParagraph"/>
        <w:numPr>
          <w:ilvl w:val="1"/>
          <w:numId w:val="8"/>
        </w:numPr>
        <w:tabs>
          <w:tab w:pos="1300" w:val="left" w:leader="none"/>
          <w:tab w:pos="1301" w:val="left" w:leader="none"/>
        </w:tabs>
        <w:spacing w:line="240" w:lineRule="auto" w:before="155" w:after="0"/>
        <w:ind w:left="1300" w:right="0" w:hanging="453"/>
        <w:jc w:val="left"/>
        <w:rPr>
          <w:sz w:val="28"/>
        </w:rPr>
      </w:pPr>
      <w:r>
        <w:rPr>
          <w:b/>
          <w:color w:val="57585B"/>
          <w:sz w:val="28"/>
        </w:rPr>
        <w:t>诺唯赞：</w:t>
      </w:r>
      <w:r>
        <w:rPr>
          <w:color w:val="57585B"/>
          <w:spacing w:val="-3"/>
          <w:sz w:val="28"/>
        </w:rPr>
        <w:t>根据公司</w:t>
      </w:r>
      <w:r>
        <w:rPr>
          <w:color w:val="57585B"/>
          <w:sz w:val="28"/>
        </w:rPr>
        <w:t>2023</w:t>
      </w:r>
      <w:r>
        <w:rPr>
          <w:color w:val="57585B"/>
          <w:spacing w:val="-3"/>
          <w:sz w:val="28"/>
        </w:rPr>
        <w:t>年中报，化学发光平台的阿尔茨海默症系列产品在原料研究上取得重大突破，产品已完成可行性验证。</w:t>
      </w:r>
    </w:p>
    <w:p>
      <w:pPr>
        <w:pStyle w:val="ListParagraph"/>
        <w:numPr>
          <w:ilvl w:val="1"/>
          <w:numId w:val="8"/>
        </w:numPr>
        <w:tabs>
          <w:tab w:pos="1300" w:val="left" w:leader="none"/>
          <w:tab w:pos="1301" w:val="left" w:leader="none"/>
        </w:tabs>
        <w:spacing w:line="240" w:lineRule="auto" w:before="123" w:after="0"/>
        <w:ind w:left="1300" w:right="0" w:hanging="453"/>
        <w:jc w:val="left"/>
        <w:rPr>
          <w:sz w:val="28"/>
        </w:rPr>
      </w:pPr>
      <w:r>
        <w:rPr/>
        <w:drawing>
          <wp:anchor distT="0" distB="0" distL="0" distR="0" allowOverlap="1" layoutInCell="1" locked="0" behindDoc="0" simplePos="0" relativeHeight="15760384">
            <wp:simplePos x="0" y="0"/>
            <wp:positionH relativeFrom="page">
              <wp:posOffset>270600</wp:posOffset>
            </wp:positionH>
            <wp:positionV relativeFrom="paragraph">
              <wp:posOffset>504184</wp:posOffset>
            </wp:positionV>
            <wp:extent cx="5550114" cy="116465"/>
            <wp:effectExtent l="0" t="0" r="0" b="0"/>
            <wp:wrapNone/>
            <wp:docPr id="83" name="image12.jpeg"/>
            <wp:cNvGraphicFramePr>
              <a:graphicFrameLocks noChangeAspect="1"/>
            </wp:cNvGraphicFramePr>
            <a:graphic>
              <a:graphicData uri="http://schemas.openxmlformats.org/drawingml/2006/picture">
                <pic:pic>
                  <pic:nvPicPr>
                    <pic:cNvPr id="84" name="image12.jpeg"/>
                    <pic:cNvPicPr/>
                  </pic:nvPicPr>
                  <pic:blipFill>
                    <a:blip r:embed="rId51" cstate="print"/>
                    <a:stretch>
                      <a:fillRect/>
                    </a:stretch>
                  </pic:blipFill>
                  <pic:spPr>
                    <a:xfrm>
                      <a:off x="0" y="0"/>
                      <a:ext cx="5550114" cy="116465"/>
                    </a:xfrm>
                    <a:prstGeom prst="rect">
                      <a:avLst/>
                    </a:prstGeom>
                  </pic:spPr>
                </pic:pic>
              </a:graphicData>
            </a:graphic>
          </wp:anchor>
        </w:drawing>
      </w:r>
      <w:r>
        <w:rPr>
          <w:b/>
          <w:color w:val="57585B"/>
          <w:sz w:val="28"/>
        </w:rPr>
        <w:t>热景生物：</w:t>
      </w:r>
      <w:r>
        <w:rPr>
          <w:color w:val="57585B"/>
          <w:spacing w:val="-3"/>
          <w:sz w:val="28"/>
        </w:rPr>
        <w:t>根据公司</w:t>
      </w:r>
      <w:r>
        <w:rPr>
          <w:color w:val="57585B"/>
          <w:sz w:val="28"/>
        </w:rPr>
        <w:t>2023年7</w:t>
      </w:r>
      <w:r>
        <w:rPr>
          <w:color w:val="57585B"/>
          <w:spacing w:val="-3"/>
          <w:sz w:val="28"/>
        </w:rPr>
        <w:t>月公告，增资的标的智源生物开展了针对阿尔茨海默病的诊断试剂盒的研发。</w:t>
      </w:r>
    </w:p>
    <w:p>
      <w:pPr>
        <w:spacing w:after="0" w:line="240" w:lineRule="auto"/>
        <w:jc w:val="left"/>
        <w:rPr>
          <w:sz w:val="28"/>
        </w:rPr>
        <w:sectPr>
          <w:headerReference w:type="default" r:id="rId49"/>
          <w:footerReference w:type="default" r:id="rId50"/>
          <w:pgSz w:w="19200" w:h="10800" w:orient="landscape"/>
          <w:pgMar w:header="468" w:footer="173" w:top="1100" w:bottom="360" w:left="0" w:right="0"/>
        </w:sectPr>
      </w:pPr>
    </w:p>
    <w:p>
      <w:pPr>
        <w:pStyle w:val="BodyText"/>
        <w:spacing w:before="18"/>
        <w:rPr>
          <w:sz w:val="26"/>
        </w:rPr>
      </w:pPr>
    </w:p>
    <w:p>
      <w:pPr>
        <w:pStyle w:val="Heading3"/>
        <w:tabs>
          <w:tab w:pos="1407" w:val="left" w:leader="none"/>
        </w:tabs>
      </w:pPr>
      <w:r>
        <w:rPr/>
        <w:drawing>
          <wp:anchor distT="0" distB="0" distL="0" distR="0" allowOverlap="1" layoutInCell="1" locked="0" behindDoc="0" simplePos="0" relativeHeight="15760896">
            <wp:simplePos x="0" y="0"/>
            <wp:positionH relativeFrom="page">
              <wp:posOffset>9144</wp:posOffset>
            </wp:positionH>
            <wp:positionV relativeFrom="paragraph">
              <wp:posOffset>-158273</wp:posOffset>
            </wp:positionV>
            <wp:extent cx="12182855" cy="89915"/>
            <wp:effectExtent l="0" t="0" r="0" b="0"/>
            <wp:wrapNone/>
            <wp:docPr id="87" name="image5.png"/>
            <wp:cNvGraphicFramePr>
              <a:graphicFrameLocks noChangeAspect="1"/>
            </wp:cNvGraphicFramePr>
            <a:graphic>
              <a:graphicData uri="http://schemas.openxmlformats.org/drawingml/2006/picture">
                <pic:pic>
                  <pic:nvPicPr>
                    <pic:cNvPr id="88" name="image5.png"/>
                    <pic:cNvPicPr/>
                  </pic:nvPicPr>
                  <pic:blipFill>
                    <a:blip r:embed="rId14" cstate="print"/>
                    <a:stretch>
                      <a:fillRect/>
                    </a:stretch>
                  </pic:blipFill>
                  <pic:spPr>
                    <a:xfrm>
                      <a:off x="0" y="0"/>
                      <a:ext cx="12182855" cy="89915"/>
                    </a:xfrm>
                    <a:prstGeom prst="rect">
                      <a:avLst/>
                    </a:prstGeom>
                  </pic:spPr>
                </pic:pic>
              </a:graphicData>
            </a:graphic>
          </wp:anchor>
        </w:drawing>
      </w:r>
      <w:r>
        <w:rPr>
          <w:rFonts w:ascii="Microsoft YaHei UI Light" w:hAnsi="Microsoft YaHei UI Light" w:eastAsia="Microsoft YaHei UI Light" w:hint="eastAsia"/>
          <w:b w:val="0"/>
          <w:color w:val="00AFEF"/>
        </w:rPr>
        <w:t>┃</w:t>
        <w:tab/>
      </w:r>
      <w:r>
        <w:rPr>
          <w:color w:val="57585B"/>
          <w:spacing w:val="-2"/>
        </w:rPr>
        <w:t>治疗产业链：中国</w:t>
      </w:r>
      <w:r>
        <w:rPr>
          <w:color w:val="57585B"/>
          <w:spacing w:val="-3"/>
        </w:rPr>
        <w:t>AD新药研发格局</w:t>
      </w:r>
    </w:p>
    <w:tbl>
      <w:tblPr>
        <w:tblW w:w="0" w:type="auto"/>
        <w:jc w:val="left"/>
        <w:tblInd w:w="968"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CellMar>
          <w:top w:w="0" w:type="dxa"/>
          <w:left w:w="0" w:type="dxa"/>
          <w:bottom w:w="0" w:type="dxa"/>
          <w:right w:w="0" w:type="dxa"/>
        </w:tblCellMar>
        <w:tblLook w:val="01E0"/>
      </w:tblPr>
      <w:tblGrid>
        <w:gridCol w:w="3560"/>
        <w:gridCol w:w="2360"/>
        <w:gridCol w:w="3560"/>
        <w:gridCol w:w="4547"/>
        <w:gridCol w:w="3560"/>
      </w:tblGrid>
      <w:tr>
        <w:trPr>
          <w:trHeight w:val="181" w:hRule="atLeast"/>
        </w:trPr>
        <w:tc>
          <w:tcPr>
            <w:tcW w:w="3560" w:type="dxa"/>
            <w:shd w:val="clear" w:color="auto" w:fill="0A4EA1"/>
          </w:tcPr>
          <w:p>
            <w:pPr>
              <w:pStyle w:val="TableParagraph"/>
              <w:spacing w:line="161" w:lineRule="exact"/>
              <w:ind w:left="285" w:right="265"/>
              <w:rPr>
                <w:b/>
                <w:sz w:val="12"/>
              </w:rPr>
            </w:pPr>
            <w:r>
              <w:rPr>
                <w:b/>
                <w:color w:val="FFFFFF"/>
                <w:sz w:val="12"/>
              </w:rPr>
              <w:t>药品名称</w:t>
            </w:r>
          </w:p>
        </w:tc>
        <w:tc>
          <w:tcPr>
            <w:tcW w:w="2360" w:type="dxa"/>
            <w:shd w:val="clear" w:color="auto" w:fill="0A4EA1"/>
          </w:tcPr>
          <w:p>
            <w:pPr>
              <w:pStyle w:val="TableParagraph"/>
              <w:spacing w:line="161" w:lineRule="exact"/>
              <w:ind w:left="920" w:right="899"/>
              <w:rPr>
                <w:b/>
                <w:sz w:val="12"/>
              </w:rPr>
            </w:pPr>
            <w:r>
              <w:rPr>
                <w:b/>
                <w:color w:val="FFFFFF"/>
                <w:sz w:val="12"/>
              </w:rPr>
              <w:t>产品类别</w:t>
            </w:r>
          </w:p>
        </w:tc>
        <w:tc>
          <w:tcPr>
            <w:tcW w:w="3560" w:type="dxa"/>
            <w:shd w:val="clear" w:color="auto" w:fill="0A4EA1"/>
          </w:tcPr>
          <w:p>
            <w:pPr>
              <w:pStyle w:val="TableParagraph"/>
              <w:spacing w:line="161" w:lineRule="exact"/>
              <w:ind w:left="286" w:right="263"/>
              <w:rPr>
                <w:b/>
                <w:sz w:val="12"/>
              </w:rPr>
            </w:pPr>
            <w:r>
              <w:rPr>
                <w:b/>
                <w:color w:val="FFFFFF"/>
                <w:sz w:val="12"/>
              </w:rPr>
              <w:t>靶点</w:t>
            </w:r>
          </w:p>
        </w:tc>
        <w:tc>
          <w:tcPr>
            <w:tcW w:w="4547" w:type="dxa"/>
            <w:shd w:val="clear" w:color="auto" w:fill="0A4EA1"/>
          </w:tcPr>
          <w:p>
            <w:pPr>
              <w:pStyle w:val="TableParagraph"/>
              <w:spacing w:line="161" w:lineRule="exact"/>
              <w:ind w:left="1349" w:right="1324"/>
              <w:rPr>
                <w:b/>
                <w:sz w:val="12"/>
              </w:rPr>
            </w:pPr>
            <w:r>
              <w:rPr>
                <w:b/>
                <w:color w:val="FFFFFF"/>
                <w:sz w:val="12"/>
              </w:rPr>
              <w:t>研发机构</w:t>
            </w:r>
          </w:p>
        </w:tc>
        <w:tc>
          <w:tcPr>
            <w:tcW w:w="3560" w:type="dxa"/>
            <w:shd w:val="clear" w:color="auto" w:fill="0A4EA1"/>
          </w:tcPr>
          <w:p>
            <w:pPr>
              <w:pStyle w:val="TableParagraph"/>
              <w:spacing w:line="161" w:lineRule="exact"/>
              <w:ind w:left="286" w:right="262"/>
              <w:rPr>
                <w:b/>
                <w:sz w:val="12"/>
              </w:rPr>
            </w:pPr>
            <w:r>
              <w:rPr>
                <w:b/>
                <w:color w:val="FFFFFF"/>
                <w:sz w:val="12"/>
              </w:rPr>
              <w:t>中国阶段</w:t>
            </w:r>
          </w:p>
        </w:tc>
      </w:tr>
      <w:tr>
        <w:trPr>
          <w:trHeight w:val="181" w:hRule="atLeast"/>
        </w:trPr>
        <w:tc>
          <w:tcPr>
            <w:tcW w:w="3560" w:type="dxa"/>
          </w:tcPr>
          <w:p>
            <w:pPr>
              <w:pStyle w:val="TableParagraph"/>
              <w:spacing w:line="161" w:lineRule="exact"/>
              <w:ind w:left="285" w:right="265"/>
              <w:rPr>
                <w:rFonts w:ascii="等线" w:eastAsia="等线" w:hint="eastAsia"/>
                <w:sz w:val="12"/>
              </w:rPr>
            </w:pPr>
            <w:r>
              <w:rPr>
                <w:rFonts w:ascii="等线" w:eastAsia="等线" w:hint="eastAsia"/>
                <w:sz w:val="12"/>
              </w:rPr>
              <w:t>甘露特钠</w:t>
            </w:r>
          </w:p>
        </w:tc>
        <w:tc>
          <w:tcPr>
            <w:tcW w:w="2360" w:type="dxa"/>
          </w:tcPr>
          <w:p>
            <w:pPr>
              <w:pStyle w:val="TableParagraph"/>
              <w:spacing w:line="161" w:lineRule="exact"/>
              <w:ind w:left="920" w:right="899"/>
              <w:rPr>
                <w:sz w:val="12"/>
              </w:rPr>
            </w:pPr>
            <w:r>
              <w:rPr>
                <w:sz w:val="12"/>
              </w:rPr>
              <w:t>化药</w:t>
            </w:r>
          </w:p>
        </w:tc>
        <w:tc>
          <w:tcPr>
            <w:tcW w:w="3560" w:type="dxa"/>
          </w:tcPr>
          <w:p>
            <w:pPr>
              <w:pStyle w:val="TableParagraph"/>
              <w:spacing w:line="161" w:lineRule="exact"/>
              <w:ind w:left="284" w:right="265"/>
              <w:rPr>
                <w:sz w:val="12"/>
              </w:rPr>
            </w:pPr>
            <w:r>
              <w:rPr>
                <w:sz w:val="12"/>
              </w:rPr>
              <w:t>APP</w:t>
            </w:r>
          </w:p>
        </w:tc>
        <w:tc>
          <w:tcPr>
            <w:tcW w:w="4547" w:type="dxa"/>
          </w:tcPr>
          <w:p>
            <w:pPr>
              <w:pStyle w:val="TableParagraph"/>
              <w:spacing w:line="161" w:lineRule="exact"/>
              <w:ind w:left="1349" w:right="1324"/>
              <w:rPr>
                <w:sz w:val="12"/>
              </w:rPr>
            </w:pPr>
            <w:r>
              <w:rPr>
                <w:sz w:val="12"/>
              </w:rPr>
              <w:t>绿谷制药</w:t>
            </w:r>
          </w:p>
        </w:tc>
        <w:tc>
          <w:tcPr>
            <w:tcW w:w="3560" w:type="dxa"/>
          </w:tcPr>
          <w:p>
            <w:pPr>
              <w:pStyle w:val="TableParagraph"/>
              <w:spacing w:line="161" w:lineRule="exact"/>
              <w:ind w:left="286" w:right="261"/>
              <w:rPr>
                <w:sz w:val="12"/>
              </w:rPr>
            </w:pPr>
            <w:r>
              <w:rPr>
                <w:sz w:val="12"/>
              </w:rPr>
              <w:t>批准上市（2019）</w:t>
            </w:r>
          </w:p>
        </w:tc>
      </w:tr>
      <w:tr>
        <w:trPr>
          <w:trHeight w:val="181" w:hRule="atLeast"/>
        </w:trPr>
        <w:tc>
          <w:tcPr>
            <w:tcW w:w="3560" w:type="dxa"/>
          </w:tcPr>
          <w:p>
            <w:pPr>
              <w:pStyle w:val="TableParagraph"/>
              <w:spacing w:line="161" w:lineRule="exact"/>
              <w:ind w:left="285" w:right="265"/>
              <w:rPr>
                <w:rFonts w:ascii="等线" w:eastAsia="等线" w:hint="eastAsia"/>
                <w:sz w:val="12"/>
              </w:rPr>
            </w:pPr>
            <w:r>
              <w:rPr>
                <w:rFonts w:ascii="等线" w:eastAsia="等线" w:hint="eastAsia"/>
                <w:sz w:val="12"/>
              </w:rPr>
              <w:t>奥拉西坦</w:t>
            </w:r>
          </w:p>
        </w:tc>
        <w:tc>
          <w:tcPr>
            <w:tcW w:w="2360" w:type="dxa"/>
          </w:tcPr>
          <w:p>
            <w:pPr>
              <w:pStyle w:val="TableParagraph"/>
              <w:spacing w:line="161" w:lineRule="exact"/>
              <w:ind w:left="920" w:right="899"/>
              <w:rPr>
                <w:sz w:val="12"/>
              </w:rPr>
            </w:pPr>
            <w:r>
              <w:rPr>
                <w:sz w:val="12"/>
              </w:rPr>
              <w:t>化药</w:t>
            </w:r>
          </w:p>
        </w:tc>
        <w:tc>
          <w:tcPr>
            <w:tcW w:w="3560" w:type="dxa"/>
          </w:tcPr>
          <w:p>
            <w:pPr>
              <w:pStyle w:val="TableParagraph"/>
              <w:spacing w:line="161" w:lineRule="exact"/>
              <w:ind w:left="285" w:right="265"/>
              <w:rPr>
                <w:sz w:val="12"/>
              </w:rPr>
            </w:pPr>
            <w:r>
              <w:rPr>
                <w:sz w:val="12"/>
              </w:rPr>
              <w:t>AMPA receptor</w:t>
            </w:r>
          </w:p>
        </w:tc>
        <w:tc>
          <w:tcPr>
            <w:tcW w:w="4547" w:type="dxa"/>
          </w:tcPr>
          <w:p>
            <w:pPr>
              <w:pStyle w:val="TableParagraph"/>
              <w:spacing w:line="161" w:lineRule="exact"/>
              <w:ind w:left="1349" w:right="1324"/>
              <w:rPr>
                <w:sz w:val="12"/>
              </w:rPr>
            </w:pPr>
            <w:r>
              <w:rPr>
                <w:sz w:val="12"/>
              </w:rPr>
              <w:t>诺华</w:t>
            </w:r>
          </w:p>
        </w:tc>
        <w:tc>
          <w:tcPr>
            <w:tcW w:w="3560" w:type="dxa"/>
          </w:tcPr>
          <w:p>
            <w:pPr>
              <w:pStyle w:val="TableParagraph"/>
              <w:spacing w:line="161" w:lineRule="exact"/>
              <w:ind w:left="286" w:right="261"/>
              <w:rPr>
                <w:sz w:val="12"/>
              </w:rPr>
            </w:pPr>
            <w:r>
              <w:rPr>
                <w:sz w:val="12"/>
              </w:rPr>
              <w:t>批准上市（2021）</w:t>
            </w:r>
          </w:p>
        </w:tc>
      </w:tr>
      <w:tr>
        <w:trPr>
          <w:trHeight w:val="181" w:hRule="atLeast"/>
        </w:trPr>
        <w:tc>
          <w:tcPr>
            <w:tcW w:w="3560" w:type="dxa"/>
          </w:tcPr>
          <w:p>
            <w:pPr>
              <w:pStyle w:val="TableParagraph"/>
              <w:spacing w:line="161" w:lineRule="exact"/>
              <w:ind w:left="285" w:right="265"/>
              <w:rPr>
                <w:rFonts w:ascii="等线" w:eastAsia="等线" w:hint="eastAsia"/>
                <w:sz w:val="12"/>
              </w:rPr>
            </w:pPr>
            <w:r>
              <w:rPr>
                <w:rFonts w:ascii="等线" w:eastAsia="等线" w:hint="eastAsia"/>
                <w:sz w:val="12"/>
              </w:rPr>
              <w:t>杏芎</w:t>
            </w:r>
          </w:p>
        </w:tc>
        <w:tc>
          <w:tcPr>
            <w:tcW w:w="2360" w:type="dxa"/>
          </w:tcPr>
          <w:p>
            <w:pPr>
              <w:pStyle w:val="TableParagraph"/>
              <w:spacing w:line="161" w:lineRule="exact"/>
              <w:ind w:left="920" w:right="899"/>
              <w:rPr>
                <w:sz w:val="12"/>
              </w:rPr>
            </w:pPr>
            <w:r>
              <w:rPr>
                <w:sz w:val="12"/>
              </w:rPr>
              <w:t>中药</w:t>
            </w:r>
          </w:p>
        </w:tc>
        <w:tc>
          <w:tcPr>
            <w:tcW w:w="3560" w:type="dxa"/>
          </w:tcPr>
          <w:p>
            <w:pPr>
              <w:pStyle w:val="TableParagraph"/>
              <w:spacing w:line="161" w:lineRule="exact"/>
              <w:ind w:left="22"/>
              <w:rPr>
                <w:sz w:val="12"/>
              </w:rPr>
            </w:pPr>
            <w:r>
              <w:rPr>
                <w:sz w:val="12"/>
              </w:rPr>
              <w:t>-</w:t>
            </w:r>
          </w:p>
        </w:tc>
        <w:tc>
          <w:tcPr>
            <w:tcW w:w="4547" w:type="dxa"/>
          </w:tcPr>
          <w:p>
            <w:pPr>
              <w:pStyle w:val="TableParagraph"/>
              <w:spacing w:line="161" w:lineRule="exact"/>
              <w:ind w:left="1349" w:right="1325"/>
              <w:rPr>
                <w:sz w:val="12"/>
              </w:rPr>
            </w:pPr>
            <w:r>
              <w:rPr>
                <w:sz w:val="12"/>
              </w:rPr>
              <w:t>弘和制药(四环医药)</w:t>
            </w:r>
          </w:p>
        </w:tc>
        <w:tc>
          <w:tcPr>
            <w:tcW w:w="3560" w:type="dxa"/>
          </w:tcPr>
          <w:p>
            <w:pPr>
              <w:pStyle w:val="TableParagraph"/>
              <w:spacing w:line="161" w:lineRule="exact"/>
              <w:ind w:left="286" w:right="261"/>
              <w:rPr>
                <w:sz w:val="12"/>
              </w:rPr>
            </w:pPr>
            <w:r>
              <w:rPr>
                <w:sz w:val="12"/>
              </w:rPr>
              <w:t>批准上市（2003）</w:t>
            </w:r>
          </w:p>
        </w:tc>
      </w:tr>
      <w:tr>
        <w:trPr>
          <w:trHeight w:val="181" w:hRule="atLeast"/>
        </w:trPr>
        <w:tc>
          <w:tcPr>
            <w:tcW w:w="3560" w:type="dxa"/>
          </w:tcPr>
          <w:p>
            <w:pPr>
              <w:pStyle w:val="TableParagraph"/>
              <w:spacing w:line="161" w:lineRule="exact"/>
              <w:ind w:left="285" w:right="265"/>
              <w:rPr>
                <w:rFonts w:ascii="等线" w:eastAsia="等线" w:hint="eastAsia"/>
                <w:sz w:val="12"/>
              </w:rPr>
            </w:pPr>
            <w:r>
              <w:rPr>
                <w:rFonts w:ascii="等线" w:eastAsia="等线" w:hint="eastAsia"/>
                <w:sz w:val="12"/>
              </w:rPr>
              <w:t>仑卡奈单抗</w:t>
            </w:r>
          </w:p>
        </w:tc>
        <w:tc>
          <w:tcPr>
            <w:tcW w:w="2360" w:type="dxa"/>
          </w:tcPr>
          <w:p>
            <w:pPr>
              <w:pStyle w:val="TableParagraph"/>
              <w:spacing w:line="161" w:lineRule="exact"/>
              <w:ind w:left="920" w:right="899"/>
              <w:rPr>
                <w:sz w:val="12"/>
              </w:rPr>
            </w:pPr>
            <w:r>
              <w:rPr>
                <w:sz w:val="12"/>
              </w:rPr>
              <w:t>生物</w:t>
            </w:r>
          </w:p>
        </w:tc>
        <w:tc>
          <w:tcPr>
            <w:tcW w:w="3560" w:type="dxa"/>
          </w:tcPr>
          <w:p>
            <w:pPr>
              <w:pStyle w:val="TableParagraph"/>
              <w:spacing w:line="161" w:lineRule="exact"/>
              <w:ind w:left="285" w:right="265"/>
              <w:rPr>
                <w:sz w:val="12"/>
              </w:rPr>
            </w:pPr>
            <w:r>
              <w:rPr>
                <w:sz w:val="12"/>
              </w:rPr>
              <w:t>Aβ</w:t>
            </w:r>
          </w:p>
        </w:tc>
        <w:tc>
          <w:tcPr>
            <w:tcW w:w="4547" w:type="dxa"/>
          </w:tcPr>
          <w:p>
            <w:pPr>
              <w:pStyle w:val="TableParagraph"/>
              <w:spacing w:line="161" w:lineRule="exact"/>
              <w:ind w:left="1347" w:right="1325"/>
              <w:rPr>
                <w:sz w:val="12"/>
              </w:rPr>
            </w:pPr>
            <w:r>
              <w:rPr>
                <w:sz w:val="12"/>
              </w:rPr>
              <w:t>卫材/渤健</w:t>
            </w:r>
          </w:p>
        </w:tc>
        <w:tc>
          <w:tcPr>
            <w:tcW w:w="3560" w:type="dxa"/>
          </w:tcPr>
          <w:p>
            <w:pPr>
              <w:pStyle w:val="TableParagraph"/>
              <w:spacing w:line="161" w:lineRule="exact"/>
              <w:ind w:left="286" w:right="262"/>
              <w:rPr>
                <w:sz w:val="12"/>
              </w:rPr>
            </w:pPr>
            <w:r>
              <w:rPr>
                <w:sz w:val="12"/>
              </w:rPr>
              <w:t>申请上市</w:t>
            </w:r>
          </w:p>
        </w:tc>
      </w:tr>
      <w:tr>
        <w:trPr>
          <w:trHeight w:val="181" w:hRule="atLeast"/>
        </w:trPr>
        <w:tc>
          <w:tcPr>
            <w:tcW w:w="3560" w:type="dxa"/>
          </w:tcPr>
          <w:p>
            <w:pPr>
              <w:pStyle w:val="TableParagraph"/>
              <w:spacing w:line="161" w:lineRule="exact"/>
              <w:ind w:left="283" w:right="265"/>
              <w:rPr>
                <w:rFonts w:ascii="等线" w:eastAsia="等线" w:hint="eastAsia"/>
                <w:sz w:val="12"/>
              </w:rPr>
            </w:pPr>
            <w:r>
              <w:rPr>
                <w:rFonts w:ascii="等线" w:eastAsia="等线" w:hint="eastAsia"/>
                <w:sz w:val="12"/>
              </w:rPr>
              <w:t>多奈哌齐+美金刚</w:t>
            </w:r>
          </w:p>
        </w:tc>
        <w:tc>
          <w:tcPr>
            <w:tcW w:w="2360" w:type="dxa"/>
          </w:tcPr>
          <w:p>
            <w:pPr>
              <w:pStyle w:val="TableParagraph"/>
              <w:spacing w:line="161" w:lineRule="exact"/>
              <w:ind w:left="920" w:right="899"/>
              <w:rPr>
                <w:sz w:val="12"/>
              </w:rPr>
            </w:pPr>
            <w:r>
              <w:rPr>
                <w:sz w:val="12"/>
              </w:rPr>
              <w:t>化药</w:t>
            </w:r>
          </w:p>
        </w:tc>
        <w:tc>
          <w:tcPr>
            <w:tcW w:w="3560" w:type="dxa"/>
          </w:tcPr>
          <w:p>
            <w:pPr>
              <w:pStyle w:val="TableParagraph"/>
              <w:spacing w:line="161" w:lineRule="exact"/>
              <w:ind w:left="22"/>
              <w:rPr>
                <w:sz w:val="12"/>
              </w:rPr>
            </w:pPr>
            <w:r>
              <w:rPr>
                <w:sz w:val="12"/>
              </w:rPr>
              <w:t>-</w:t>
            </w:r>
          </w:p>
        </w:tc>
        <w:tc>
          <w:tcPr>
            <w:tcW w:w="4547" w:type="dxa"/>
          </w:tcPr>
          <w:p>
            <w:pPr>
              <w:pStyle w:val="TableParagraph"/>
              <w:spacing w:line="161" w:lineRule="exact"/>
              <w:ind w:left="1349" w:right="1324"/>
              <w:rPr>
                <w:sz w:val="12"/>
              </w:rPr>
            </w:pPr>
            <w:r>
              <w:rPr>
                <w:sz w:val="12"/>
              </w:rPr>
              <w:t>艾伯维</w:t>
            </w:r>
          </w:p>
        </w:tc>
        <w:tc>
          <w:tcPr>
            <w:tcW w:w="3560" w:type="dxa"/>
          </w:tcPr>
          <w:p>
            <w:pPr>
              <w:pStyle w:val="TableParagraph"/>
              <w:spacing w:line="161" w:lineRule="exact"/>
              <w:ind w:left="286" w:right="262"/>
              <w:rPr>
                <w:sz w:val="12"/>
              </w:rPr>
            </w:pPr>
            <w:r>
              <w:rPr>
                <w:sz w:val="12"/>
              </w:rPr>
              <w:t>申请上市</w:t>
            </w:r>
          </w:p>
        </w:tc>
      </w:tr>
      <w:tr>
        <w:trPr>
          <w:trHeight w:val="209" w:hRule="atLeast"/>
        </w:trPr>
        <w:tc>
          <w:tcPr>
            <w:tcW w:w="3560" w:type="dxa"/>
          </w:tcPr>
          <w:p>
            <w:pPr>
              <w:pStyle w:val="TableParagraph"/>
              <w:spacing w:line="240" w:lineRule="auto" w:before="2"/>
              <w:ind w:left="285" w:right="265"/>
              <w:rPr>
                <w:rFonts w:ascii="等线" w:eastAsia="等线" w:hint="eastAsia"/>
                <w:sz w:val="12"/>
              </w:rPr>
            </w:pPr>
            <w:r>
              <w:rPr>
                <w:rFonts w:ascii="等线" w:eastAsia="等线" w:hint="eastAsia"/>
                <w:sz w:val="12"/>
              </w:rPr>
              <w:t>多奈哌齐口腔速溶膜</w:t>
            </w:r>
          </w:p>
        </w:tc>
        <w:tc>
          <w:tcPr>
            <w:tcW w:w="2360" w:type="dxa"/>
          </w:tcPr>
          <w:p>
            <w:pPr>
              <w:pStyle w:val="TableParagraph"/>
              <w:spacing w:line="190" w:lineRule="exact"/>
              <w:ind w:left="920" w:right="899"/>
              <w:rPr>
                <w:sz w:val="12"/>
              </w:rPr>
            </w:pPr>
            <w:r>
              <w:rPr>
                <w:sz w:val="12"/>
              </w:rPr>
              <w:t>化药</w:t>
            </w:r>
          </w:p>
        </w:tc>
        <w:tc>
          <w:tcPr>
            <w:tcW w:w="3560" w:type="dxa"/>
          </w:tcPr>
          <w:p>
            <w:pPr>
              <w:pStyle w:val="TableParagraph"/>
              <w:spacing w:line="190" w:lineRule="exact"/>
              <w:ind w:left="286" w:right="263"/>
              <w:rPr>
                <w:sz w:val="12"/>
              </w:rPr>
            </w:pPr>
            <w:r>
              <w:rPr>
                <w:sz w:val="12"/>
              </w:rPr>
              <w:t>σ1 receptor;α7 receptor;α4β2 receptor;AChE</w:t>
            </w:r>
          </w:p>
        </w:tc>
        <w:tc>
          <w:tcPr>
            <w:tcW w:w="4547" w:type="dxa"/>
          </w:tcPr>
          <w:p>
            <w:pPr>
              <w:pStyle w:val="TableParagraph"/>
              <w:spacing w:line="190" w:lineRule="exact"/>
              <w:ind w:left="1349" w:right="1324"/>
              <w:rPr>
                <w:sz w:val="12"/>
              </w:rPr>
            </w:pPr>
            <w:r>
              <w:rPr>
                <w:sz w:val="12"/>
              </w:rPr>
              <w:t>力品药业</w:t>
            </w:r>
          </w:p>
        </w:tc>
        <w:tc>
          <w:tcPr>
            <w:tcW w:w="3560" w:type="dxa"/>
          </w:tcPr>
          <w:p>
            <w:pPr>
              <w:pStyle w:val="TableParagraph"/>
              <w:spacing w:line="190" w:lineRule="exact"/>
              <w:ind w:left="286" w:right="262"/>
              <w:rPr>
                <w:sz w:val="12"/>
              </w:rPr>
            </w:pPr>
            <w:r>
              <w:rPr>
                <w:sz w:val="12"/>
              </w:rPr>
              <w:t>申请上市</w:t>
            </w:r>
          </w:p>
        </w:tc>
      </w:tr>
      <w:tr>
        <w:trPr>
          <w:trHeight w:val="181" w:hRule="atLeast"/>
        </w:trPr>
        <w:tc>
          <w:tcPr>
            <w:tcW w:w="3560" w:type="dxa"/>
          </w:tcPr>
          <w:p>
            <w:pPr>
              <w:pStyle w:val="TableParagraph"/>
              <w:spacing w:line="161" w:lineRule="exact"/>
              <w:ind w:left="285" w:right="265"/>
              <w:rPr>
                <w:rFonts w:ascii="等线" w:eastAsia="等线" w:hint="eastAsia"/>
                <w:sz w:val="12"/>
              </w:rPr>
            </w:pPr>
            <w:r>
              <w:rPr>
                <w:rFonts w:ascii="等线" w:eastAsia="等线" w:hint="eastAsia"/>
                <w:sz w:val="12"/>
              </w:rPr>
              <w:t>八氢氨吖啶</w:t>
            </w:r>
          </w:p>
        </w:tc>
        <w:tc>
          <w:tcPr>
            <w:tcW w:w="2360" w:type="dxa"/>
          </w:tcPr>
          <w:p>
            <w:pPr>
              <w:pStyle w:val="TableParagraph"/>
              <w:spacing w:line="161" w:lineRule="exact"/>
              <w:ind w:left="920" w:right="899"/>
              <w:rPr>
                <w:sz w:val="12"/>
              </w:rPr>
            </w:pPr>
            <w:r>
              <w:rPr>
                <w:sz w:val="12"/>
              </w:rPr>
              <w:t>化药</w:t>
            </w:r>
          </w:p>
        </w:tc>
        <w:tc>
          <w:tcPr>
            <w:tcW w:w="3560" w:type="dxa"/>
          </w:tcPr>
          <w:p>
            <w:pPr>
              <w:pStyle w:val="TableParagraph"/>
              <w:spacing w:line="161" w:lineRule="exact"/>
              <w:ind w:left="286" w:right="263"/>
              <w:rPr>
                <w:sz w:val="12"/>
              </w:rPr>
            </w:pPr>
            <w:r>
              <w:rPr>
                <w:sz w:val="12"/>
              </w:rPr>
              <w:t>AChE/BuChE</w:t>
            </w:r>
          </w:p>
        </w:tc>
        <w:tc>
          <w:tcPr>
            <w:tcW w:w="4547" w:type="dxa"/>
          </w:tcPr>
          <w:p>
            <w:pPr>
              <w:pStyle w:val="TableParagraph"/>
              <w:spacing w:line="161" w:lineRule="exact"/>
              <w:ind w:left="1349" w:right="1324"/>
              <w:rPr>
                <w:sz w:val="12"/>
              </w:rPr>
            </w:pPr>
            <w:r>
              <w:rPr>
                <w:sz w:val="12"/>
              </w:rPr>
              <w:t>通化金马</w:t>
            </w:r>
          </w:p>
        </w:tc>
        <w:tc>
          <w:tcPr>
            <w:tcW w:w="3560" w:type="dxa"/>
          </w:tcPr>
          <w:p>
            <w:pPr>
              <w:pStyle w:val="TableParagraph"/>
              <w:spacing w:line="161" w:lineRule="exact"/>
              <w:ind w:left="286" w:right="264"/>
              <w:rPr>
                <w:sz w:val="12"/>
              </w:rPr>
            </w:pPr>
            <w:r>
              <w:rPr>
                <w:sz w:val="12"/>
              </w:rPr>
              <w:t>III期临床</w:t>
            </w:r>
          </w:p>
        </w:tc>
      </w:tr>
      <w:tr>
        <w:trPr>
          <w:trHeight w:val="181" w:hRule="atLeast"/>
        </w:trPr>
        <w:tc>
          <w:tcPr>
            <w:tcW w:w="3560" w:type="dxa"/>
          </w:tcPr>
          <w:p>
            <w:pPr>
              <w:pStyle w:val="TableParagraph"/>
              <w:spacing w:line="161" w:lineRule="exact"/>
              <w:ind w:left="285" w:right="265"/>
              <w:rPr>
                <w:rFonts w:ascii="等线" w:eastAsia="等线" w:hint="eastAsia"/>
                <w:sz w:val="12"/>
              </w:rPr>
            </w:pPr>
            <w:r>
              <w:rPr>
                <w:rFonts w:ascii="等线" w:eastAsia="等线" w:hint="eastAsia"/>
                <w:sz w:val="12"/>
              </w:rPr>
              <w:t>司美格鲁肽</w:t>
            </w:r>
          </w:p>
        </w:tc>
        <w:tc>
          <w:tcPr>
            <w:tcW w:w="2360" w:type="dxa"/>
          </w:tcPr>
          <w:p>
            <w:pPr>
              <w:pStyle w:val="TableParagraph"/>
              <w:spacing w:line="161" w:lineRule="exact"/>
              <w:ind w:left="920" w:right="899"/>
              <w:rPr>
                <w:sz w:val="12"/>
              </w:rPr>
            </w:pPr>
            <w:r>
              <w:rPr>
                <w:sz w:val="12"/>
              </w:rPr>
              <w:t>生物</w:t>
            </w:r>
          </w:p>
        </w:tc>
        <w:tc>
          <w:tcPr>
            <w:tcW w:w="3560" w:type="dxa"/>
          </w:tcPr>
          <w:p>
            <w:pPr>
              <w:pStyle w:val="TableParagraph"/>
              <w:spacing w:line="161" w:lineRule="exact"/>
              <w:ind w:left="286" w:right="265"/>
              <w:rPr>
                <w:sz w:val="12"/>
              </w:rPr>
            </w:pPr>
            <w:r>
              <w:rPr>
                <w:sz w:val="12"/>
              </w:rPr>
              <w:t>GLP-1R</w:t>
            </w:r>
          </w:p>
        </w:tc>
        <w:tc>
          <w:tcPr>
            <w:tcW w:w="4547" w:type="dxa"/>
          </w:tcPr>
          <w:p>
            <w:pPr>
              <w:pStyle w:val="TableParagraph"/>
              <w:spacing w:line="161" w:lineRule="exact"/>
              <w:ind w:left="1349" w:right="1324"/>
              <w:rPr>
                <w:sz w:val="12"/>
              </w:rPr>
            </w:pPr>
            <w:r>
              <w:rPr>
                <w:sz w:val="12"/>
              </w:rPr>
              <w:t>诺和诺德</w:t>
            </w:r>
          </w:p>
        </w:tc>
        <w:tc>
          <w:tcPr>
            <w:tcW w:w="3560" w:type="dxa"/>
          </w:tcPr>
          <w:p>
            <w:pPr>
              <w:pStyle w:val="TableParagraph"/>
              <w:spacing w:line="161" w:lineRule="exact"/>
              <w:ind w:left="286" w:right="264"/>
              <w:rPr>
                <w:sz w:val="12"/>
              </w:rPr>
            </w:pPr>
            <w:r>
              <w:rPr>
                <w:sz w:val="12"/>
              </w:rPr>
              <w:t>III期临床</w:t>
            </w:r>
          </w:p>
        </w:tc>
      </w:tr>
      <w:tr>
        <w:trPr>
          <w:trHeight w:val="181" w:hRule="atLeast"/>
        </w:trPr>
        <w:tc>
          <w:tcPr>
            <w:tcW w:w="3560" w:type="dxa"/>
          </w:tcPr>
          <w:p>
            <w:pPr>
              <w:pStyle w:val="TableParagraph"/>
              <w:spacing w:line="161" w:lineRule="exact"/>
              <w:ind w:left="285" w:right="265"/>
              <w:rPr>
                <w:rFonts w:ascii="等线" w:eastAsia="等线" w:hint="eastAsia"/>
                <w:sz w:val="12"/>
              </w:rPr>
            </w:pPr>
            <w:r>
              <w:rPr>
                <w:rFonts w:ascii="等线" w:eastAsia="等线" w:hint="eastAsia"/>
                <w:sz w:val="12"/>
              </w:rPr>
              <w:t>阿杜卡尼单抗</w:t>
            </w:r>
          </w:p>
        </w:tc>
        <w:tc>
          <w:tcPr>
            <w:tcW w:w="2360" w:type="dxa"/>
          </w:tcPr>
          <w:p>
            <w:pPr>
              <w:pStyle w:val="TableParagraph"/>
              <w:spacing w:line="161" w:lineRule="exact"/>
              <w:ind w:left="920" w:right="899"/>
              <w:rPr>
                <w:sz w:val="12"/>
              </w:rPr>
            </w:pPr>
            <w:r>
              <w:rPr>
                <w:sz w:val="12"/>
              </w:rPr>
              <w:t>生物</w:t>
            </w:r>
          </w:p>
        </w:tc>
        <w:tc>
          <w:tcPr>
            <w:tcW w:w="3560" w:type="dxa"/>
          </w:tcPr>
          <w:p>
            <w:pPr>
              <w:pStyle w:val="TableParagraph"/>
              <w:spacing w:line="161" w:lineRule="exact"/>
              <w:ind w:left="285" w:right="265"/>
              <w:rPr>
                <w:sz w:val="12"/>
              </w:rPr>
            </w:pPr>
            <w:r>
              <w:rPr>
                <w:sz w:val="12"/>
              </w:rPr>
              <w:t>Aβ</w:t>
            </w:r>
          </w:p>
        </w:tc>
        <w:tc>
          <w:tcPr>
            <w:tcW w:w="4547" w:type="dxa"/>
          </w:tcPr>
          <w:p>
            <w:pPr>
              <w:pStyle w:val="TableParagraph"/>
              <w:spacing w:line="161" w:lineRule="exact"/>
              <w:ind w:left="1347" w:right="1325"/>
              <w:rPr>
                <w:sz w:val="12"/>
              </w:rPr>
            </w:pPr>
            <w:r>
              <w:rPr>
                <w:sz w:val="12"/>
              </w:rPr>
              <w:t>卫材/渤健</w:t>
            </w:r>
          </w:p>
        </w:tc>
        <w:tc>
          <w:tcPr>
            <w:tcW w:w="3560" w:type="dxa"/>
          </w:tcPr>
          <w:p>
            <w:pPr>
              <w:pStyle w:val="TableParagraph"/>
              <w:spacing w:line="161" w:lineRule="exact"/>
              <w:ind w:left="286" w:right="264"/>
              <w:rPr>
                <w:sz w:val="12"/>
              </w:rPr>
            </w:pPr>
            <w:r>
              <w:rPr>
                <w:sz w:val="12"/>
              </w:rPr>
              <w:t>III期临床</w:t>
            </w:r>
          </w:p>
        </w:tc>
      </w:tr>
      <w:tr>
        <w:trPr>
          <w:trHeight w:val="181" w:hRule="atLeast"/>
        </w:trPr>
        <w:tc>
          <w:tcPr>
            <w:tcW w:w="3560" w:type="dxa"/>
          </w:tcPr>
          <w:p>
            <w:pPr>
              <w:pStyle w:val="TableParagraph"/>
              <w:spacing w:line="161" w:lineRule="exact"/>
              <w:ind w:left="286" w:right="265"/>
              <w:rPr>
                <w:rFonts w:ascii="等线"/>
                <w:sz w:val="12"/>
              </w:rPr>
            </w:pPr>
            <w:r>
              <w:rPr>
                <w:rFonts w:ascii="等线"/>
                <w:sz w:val="12"/>
              </w:rPr>
              <w:t>Rybelsus</w:t>
            </w:r>
          </w:p>
        </w:tc>
        <w:tc>
          <w:tcPr>
            <w:tcW w:w="2360" w:type="dxa"/>
          </w:tcPr>
          <w:p>
            <w:pPr>
              <w:pStyle w:val="TableParagraph"/>
              <w:spacing w:line="161" w:lineRule="exact"/>
              <w:ind w:left="920" w:right="899"/>
              <w:rPr>
                <w:sz w:val="12"/>
              </w:rPr>
            </w:pPr>
            <w:r>
              <w:rPr>
                <w:sz w:val="12"/>
              </w:rPr>
              <w:t>生物</w:t>
            </w:r>
          </w:p>
        </w:tc>
        <w:tc>
          <w:tcPr>
            <w:tcW w:w="3560" w:type="dxa"/>
          </w:tcPr>
          <w:p>
            <w:pPr>
              <w:pStyle w:val="TableParagraph"/>
              <w:spacing w:line="161" w:lineRule="exact"/>
              <w:ind w:left="286" w:right="265"/>
              <w:rPr>
                <w:sz w:val="12"/>
              </w:rPr>
            </w:pPr>
            <w:r>
              <w:rPr>
                <w:sz w:val="12"/>
              </w:rPr>
              <w:t>GLP-1R</w:t>
            </w:r>
          </w:p>
        </w:tc>
        <w:tc>
          <w:tcPr>
            <w:tcW w:w="4547" w:type="dxa"/>
          </w:tcPr>
          <w:p>
            <w:pPr>
              <w:pStyle w:val="TableParagraph"/>
              <w:spacing w:line="161" w:lineRule="exact"/>
              <w:ind w:left="1349" w:right="1324"/>
              <w:rPr>
                <w:sz w:val="12"/>
              </w:rPr>
            </w:pPr>
            <w:r>
              <w:rPr>
                <w:sz w:val="12"/>
              </w:rPr>
              <w:t>诺和诺德</w:t>
            </w:r>
          </w:p>
        </w:tc>
        <w:tc>
          <w:tcPr>
            <w:tcW w:w="3560" w:type="dxa"/>
          </w:tcPr>
          <w:p>
            <w:pPr>
              <w:pStyle w:val="TableParagraph"/>
              <w:spacing w:line="161" w:lineRule="exact"/>
              <w:ind w:left="286" w:right="264"/>
              <w:rPr>
                <w:sz w:val="12"/>
              </w:rPr>
            </w:pPr>
            <w:r>
              <w:rPr>
                <w:sz w:val="12"/>
              </w:rPr>
              <w:t>III期临床</w:t>
            </w:r>
          </w:p>
        </w:tc>
      </w:tr>
      <w:tr>
        <w:trPr>
          <w:trHeight w:val="181" w:hRule="atLeast"/>
        </w:trPr>
        <w:tc>
          <w:tcPr>
            <w:tcW w:w="3560" w:type="dxa"/>
          </w:tcPr>
          <w:p>
            <w:pPr>
              <w:pStyle w:val="TableParagraph"/>
              <w:spacing w:line="161" w:lineRule="exact"/>
              <w:ind w:left="282" w:right="265"/>
              <w:rPr>
                <w:rFonts w:ascii="等线"/>
                <w:sz w:val="12"/>
              </w:rPr>
            </w:pPr>
            <w:r>
              <w:rPr>
                <w:rFonts w:ascii="等线"/>
                <w:sz w:val="12"/>
              </w:rPr>
              <w:t>donanemab</w:t>
            </w:r>
          </w:p>
        </w:tc>
        <w:tc>
          <w:tcPr>
            <w:tcW w:w="2360" w:type="dxa"/>
          </w:tcPr>
          <w:p>
            <w:pPr>
              <w:pStyle w:val="TableParagraph"/>
              <w:spacing w:line="161" w:lineRule="exact"/>
              <w:ind w:left="920" w:right="899"/>
              <w:rPr>
                <w:sz w:val="12"/>
              </w:rPr>
            </w:pPr>
            <w:r>
              <w:rPr>
                <w:sz w:val="12"/>
              </w:rPr>
              <w:t>生物</w:t>
            </w:r>
          </w:p>
        </w:tc>
        <w:tc>
          <w:tcPr>
            <w:tcW w:w="3560" w:type="dxa"/>
          </w:tcPr>
          <w:p>
            <w:pPr>
              <w:pStyle w:val="TableParagraph"/>
              <w:spacing w:line="161" w:lineRule="exact"/>
              <w:ind w:left="285" w:right="265"/>
              <w:rPr>
                <w:sz w:val="12"/>
              </w:rPr>
            </w:pPr>
            <w:r>
              <w:rPr>
                <w:sz w:val="12"/>
              </w:rPr>
              <w:t>pGlu3-Aβ</w:t>
            </w:r>
          </w:p>
        </w:tc>
        <w:tc>
          <w:tcPr>
            <w:tcW w:w="4547" w:type="dxa"/>
          </w:tcPr>
          <w:p>
            <w:pPr>
              <w:pStyle w:val="TableParagraph"/>
              <w:spacing w:line="161" w:lineRule="exact"/>
              <w:ind w:left="1349" w:right="1324"/>
              <w:rPr>
                <w:sz w:val="12"/>
              </w:rPr>
            </w:pPr>
            <w:r>
              <w:rPr>
                <w:sz w:val="12"/>
              </w:rPr>
              <w:t>礼来</w:t>
            </w:r>
          </w:p>
        </w:tc>
        <w:tc>
          <w:tcPr>
            <w:tcW w:w="3560" w:type="dxa"/>
          </w:tcPr>
          <w:p>
            <w:pPr>
              <w:pStyle w:val="TableParagraph"/>
              <w:spacing w:line="161" w:lineRule="exact"/>
              <w:ind w:left="286" w:right="264"/>
              <w:rPr>
                <w:sz w:val="12"/>
              </w:rPr>
            </w:pPr>
            <w:r>
              <w:rPr>
                <w:sz w:val="12"/>
              </w:rPr>
              <w:t>III期临床</w:t>
            </w:r>
          </w:p>
        </w:tc>
      </w:tr>
      <w:tr>
        <w:trPr>
          <w:trHeight w:val="181" w:hRule="atLeast"/>
        </w:trPr>
        <w:tc>
          <w:tcPr>
            <w:tcW w:w="3560" w:type="dxa"/>
          </w:tcPr>
          <w:p>
            <w:pPr>
              <w:pStyle w:val="TableParagraph"/>
              <w:spacing w:line="161" w:lineRule="exact"/>
              <w:ind w:left="281" w:right="265"/>
              <w:rPr>
                <w:rFonts w:ascii="等线"/>
                <w:sz w:val="12"/>
              </w:rPr>
            </w:pPr>
            <w:r>
              <w:rPr>
                <w:rFonts w:ascii="等线"/>
                <w:sz w:val="12"/>
              </w:rPr>
              <w:t>remternetug</w:t>
            </w:r>
          </w:p>
        </w:tc>
        <w:tc>
          <w:tcPr>
            <w:tcW w:w="2360" w:type="dxa"/>
          </w:tcPr>
          <w:p>
            <w:pPr>
              <w:pStyle w:val="TableParagraph"/>
              <w:spacing w:line="161" w:lineRule="exact"/>
              <w:ind w:left="920" w:right="899"/>
              <w:rPr>
                <w:sz w:val="12"/>
              </w:rPr>
            </w:pPr>
            <w:r>
              <w:rPr>
                <w:sz w:val="12"/>
              </w:rPr>
              <w:t>生物</w:t>
            </w:r>
          </w:p>
        </w:tc>
        <w:tc>
          <w:tcPr>
            <w:tcW w:w="3560" w:type="dxa"/>
          </w:tcPr>
          <w:p>
            <w:pPr>
              <w:pStyle w:val="TableParagraph"/>
              <w:spacing w:line="161" w:lineRule="exact"/>
              <w:ind w:left="285" w:right="265"/>
              <w:rPr>
                <w:sz w:val="12"/>
              </w:rPr>
            </w:pPr>
            <w:r>
              <w:rPr>
                <w:sz w:val="12"/>
              </w:rPr>
              <w:t>pGlu3-Aβ</w:t>
            </w:r>
          </w:p>
        </w:tc>
        <w:tc>
          <w:tcPr>
            <w:tcW w:w="4547" w:type="dxa"/>
          </w:tcPr>
          <w:p>
            <w:pPr>
              <w:pStyle w:val="TableParagraph"/>
              <w:spacing w:line="161" w:lineRule="exact"/>
              <w:ind w:left="1349" w:right="1324"/>
              <w:rPr>
                <w:sz w:val="12"/>
              </w:rPr>
            </w:pPr>
            <w:r>
              <w:rPr>
                <w:sz w:val="12"/>
              </w:rPr>
              <w:t>礼来</w:t>
            </w:r>
          </w:p>
        </w:tc>
        <w:tc>
          <w:tcPr>
            <w:tcW w:w="3560" w:type="dxa"/>
          </w:tcPr>
          <w:p>
            <w:pPr>
              <w:pStyle w:val="TableParagraph"/>
              <w:spacing w:line="161" w:lineRule="exact"/>
              <w:ind w:left="286" w:right="264"/>
              <w:rPr>
                <w:sz w:val="12"/>
              </w:rPr>
            </w:pPr>
            <w:r>
              <w:rPr>
                <w:sz w:val="12"/>
              </w:rPr>
              <w:t>III期临床</w:t>
            </w:r>
          </w:p>
        </w:tc>
      </w:tr>
      <w:tr>
        <w:trPr>
          <w:trHeight w:val="181" w:hRule="atLeast"/>
        </w:trPr>
        <w:tc>
          <w:tcPr>
            <w:tcW w:w="3560" w:type="dxa"/>
          </w:tcPr>
          <w:p>
            <w:pPr>
              <w:pStyle w:val="TableParagraph"/>
              <w:spacing w:line="161" w:lineRule="exact"/>
              <w:ind w:left="284" w:right="265"/>
              <w:rPr>
                <w:rFonts w:ascii="等线"/>
                <w:sz w:val="12"/>
              </w:rPr>
            </w:pPr>
            <w:r>
              <w:rPr>
                <w:rFonts w:ascii="等线"/>
                <w:sz w:val="12"/>
              </w:rPr>
              <w:t>umibecestat</w:t>
            </w:r>
          </w:p>
        </w:tc>
        <w:tc>
          <w:tcPr>
            <w:tcW w:w="2360" w:type="dxa"/>
          </w:tcPr>
          <w:p>
            <w:pPr>
              <w:pStyle w:val="TableParagraph"/>
              <w:spacing w:line="161" w:lineRule="exact"/>
              <w:ind w:left="920" w:right="899"/>
              <w:rPr>
                <w:sz w:val="12"/>
              </w:rPr>
            </w:pPr>
            <w:r>
              <w:rPr>
                <w:sz w:val="12"/>
              </w:rPr>
              <w:t>化药</w:t>
            </w:r>
          </w:p>
        </w:tc>
        <w:tc>
          <w:tcPr>
            <w:tcW w:w="3560" w:type="dxa"/>
          </w:tcPr>
          <w:p>
            <w:pPr>
              <w:pStyle w:val="TableParagraph"/>
              <w:spacing w:line="161" w:lineRule="exact"/>
              <w:ind w:left="286" w:right="265"/>
              <w:rPr>
                <w:sz w:val="12"/>
              </w:rPr>
            </w:pPr>
            <w:r>
              <w:rPr>
                <w:sz w:val="12"/>
              </w:rPr>
              <w:t>BACE1</w:t>
            </w:r>
          </w:p>
        </w:tc>
        <w:tc>
          <w:tcPr>
            <w:tcW w:w="4547" w:type="dxa"/>
          </w:tcPr>
          <w:p>
            <w:pPr>
              <w:pStyle w:val="TableParagraph"/>
              <w:spacing w:line="161" w:lineRule="exact"/>
              <w:ind w:left="1347" w:right="1325"/>
              <w:rPr>
                <w:sz w:val="12"/>
              </w:rPr>
            </w:pPr>
            <w:r>
              <w:rPr>
                <w:sz w:val="12"/>
              </w:rPr>
              <w:t>诺华/安进</w:t>
            </w:r>
          </w:p>
        </w:tc>
        <w:tc>
          <w:tcPr>
            <w:tcW w:w="3560" w:type="dxa"/>
          </w:tcPr>
          <w:p>
            <w:pPr>
              <w:pStyle w:val="TableParagraph"/>
              <w:spacing w:line="161" w:lineRule="exact"/>
              <w:ind w:left="286" w:right="262"/>
              <w:rPr>
                <w:sz w:val="12"/>
              </w:rPr>
            </w:pPr>
            <w:r>
              <w:rPr>
                <w:sz w:val="12"/>
              </w:rPr>
              <w:t>II/III期临床</w:t>
            </w:r>
          </w:p>
        </w:tc>
      </w:tr>
      <w:tr>
        <w:trPr>
          <w:trHeight w:val="181" w:hRule="atLeast"/>
        </w:trPr>
        <w:tc>
          <w:tcPr>
            <w:tcW w:w="3560" w:type="dxa"/>
          </w:tcPr>
          <w:p>
            <w:pPr>
              <w:pStyle w:val="TableParagraph"/>
              <w:spacing w:line="161" w:lineRule="exact"/>
              <w:ind w:left="285" w:right="265"/>
              <w:rPr>
                <w:rFonts w:ascii="等线"/>
                <w:sz w:val="12"/>
              </w:rPr>
            </w:pPr>
            <w:r>
              <w:rPr>
                <w:rFonts w:ascii="等线"/>
                <w:sz w:val="12"/>
              </w:rPr>
              <w:t>JK-50561</w:t>
            </w:r>
          </w:p>
        </w:tc>
        <w:tc>
          <w:tcPr>
            <w:tcW w:w="2360" w:type="dxa"/>
          </w:tcPr>
          <w:p>
            <w:pPr>
              <w:pStyle w:val="TableParagraph"/>
              <w:spacing w:line="161" w:lineRule="exact"/>
              <w:ind w:left="920" w:right="899"/>
              <w:rPr>
                <w:sz w:val="12"/>
              </w:rPr>
            </w:pPr>
            <w:r>
              <w:rPr>
                <w:sz w:val="12"/>
              </w:rPr>
              <w:t>化药</w:t>
            </w:r>
          </w:p>
        </w:tc>
        <w:tc>
          <w:tcPr>
            <w:tcW w:w="3560" w:type="dxa"/>
          </w:tcPr>
          <w:p>
            <w:pPr>
              <w:pStyle w:val="TableParagraph"/>
              <w:spacing w:line="161" w:lineRule="exact"/>
              <w:ind w:left="286" w:right="263"/>
              <w:rPr>
                <w:sz w:val="12"/>
              </w:rPr>
            </w:pPr>
            <w:r>
              <w:rPr>
                <w:sz w:val="12"/>
              </w:rPr>
              <w:t>RAC1</w:t>
            </w:r>
          </w:p>
        </w:tc>
        <w:tc>
          <w:tcPr>
            <w:tcW w:w="4547" w:type="dxa"/>
          </w:tcPr>
          <w:p>
            <w:pPr>
              <w:pStyle w:val="TableParagraph"/>
              <w:spacing w:line="161" w:lineRule="exact"/>
              <w:ind w:left="1349" w:right="1324"/>
              <w:rPr>
                <w:sz w:val="12"/>
              </w:rPr>
            </w:pPr>
            <w:r>
              <w:rPr>
                <w:sz w:val="12"/>
              </w:rPr>
              <w:t>卓凯生物</w:t>
            </w:r>
          </w:p>
        </w:tc>
        <w:tc>
          <w:tcPr>
            <w:tcW w:w="3560" w:type="dxa"/>
          </w:tcPr>
          <w:p>
            <w:pPr>
              <w:pStyle w:val="TableParagraph"/>
              <w:spacing w:line="161" w:lineRule="exact"/>
              <w:ind w:left="286" w:right="262"/>
              <w:rPr>
                <w:sz w:val="12"/>
              </w:rPr>
            </w:pPr>
            <w:r>
              <w:rPr>
                <w:sz w:val="12"/>
              </w:rPr>
              <w:t>II期临床</w:t>
            </w:r>
          </w:p>
        </w:tc>
      </w:tr>
      <w:tr>
        <w:trPr>
          <w:trHeight w:val="181" w:hRule="atLeast"/>
        </w:trPr>
        <w:tc>
          <w:tcPr>
            <w:tcW w:w="3560" w:type="dxa"/>
          </w:tcPr>
          <w:p>
            <w:pPr>
              <w:pStyle w:val="TableParagraph"/>
              <w:spacing w:line="161" w:lineRule="exact"/>
              <w:ind w:left="285" w:right="265"/>
              <w:rPr>
                <w:rFonts w:ascii="等线"/>
                <w:sz w:val="12"/>
              </w:rPr>
            </w:pPr>
            <w:r>
              <w:rPr>
                <w:rFonts w:ascii="等线"/>
                <w:sz w:val="12"/>
              </w:rPr>
              <w:t>varoglutamstat</w:t>
            </w:r>
          </w:p>
        </w:tc>
        <w:tc>
          <w:tcPr>
            <w:tcW w:w="2360" w:type="dxa"/>
          </w:tcPr>
          <w:p>
            <w:pPr>
              <w:pStyle w:val="TableParagraph"/>
              <w:spacing w:line="161" w:lineRule="exact"/>
              <w:ind w:left="920" w:right="899"/>
              <w:rPr>
                <w:sz w:val="12"/>
              </w:rPr>
            </w:pPr>
            <w:r>
              <w:rPr>
                <w:sz w:val="12"/>
              </w:rPr>
              <w:t>化药</w:t>
            </w:r>
          </w:p>
        </w:tc>
        <w:tc>
          <w:tcPr>
            <w:tcW w:w="3560" w:type="dxa"/>
          </w:tcPr>
          <w:p>
            <w:pPr>
              <w:pStyle w:val="TableParagraph"/>
              <w:spacing w:line="161" w:lineRule="exact"/>
              <w:ind w:left="286" w:right="265"/>
              <w:rPr>
                <w:sz w:val="12"/>
              </w:rPr>
            </w:pPr>
            <w:r>
              <w:rPr>
                <w:sz w:val="12"/>
              </w:rPr>
              <w:t>QPCTL;QPCT</w:t>
            </w:r>
          </w:p>
        </w:tc>
        <w:tc>
          <w:tcPr>
            <w:tcW w:w="4547" w:type="dxa"/>
          </w:tcPr>
          <w:p>
            <w:pPr>
              <w:pStyle w:val="TableParagraph"/>
              <w:spacing w:line="161" w:lineRule="exact"/>
              <w:ind w:left="1349" w:right="1325"/>
              <w:rPr>
                <w:sz w:val="12"/>
              </w:rPr>
            </w:pPr>
            <w:r>
              <w:rPr>
                <w:sz w:val="12"/>
              </w:rPr>
              <w:t>先声药业/Vivoryon Therapeutics</w:t>
            </w:r>
          </w:p>
        </w:tc>
        <w:tc>
          <w:tcPr>
            <w:tcW w:w="3560" w:type="dxa"/>
          </w:tcPr>
          <w:p>
            <w:pPr>
              <w:pStyle w:val="TableParagraph"/>
              <w:spacing w:line="161" w:lineRule="exact"/>
              <w:ind w:left="286" w:right="262"/>
              <w:rPr>
                <w:sz w:val="12"/>
              </w:rPr>
            </w:pPr>
            <w:r>
              <w:rPr>
                <w:sz w:val="12"/>
              </w:rPr>
              <w:t>II期临床</w:t>
            </w:r>
          </w:p>
        </w:tc>
      </w:tr>
      <w:tr>
        <w:trPr>
          <w:trHeight w:val="181" w:hRule="atLeast"/>
        </w:trPr>
        <w:tc>
          <w:tcPr>
            <w:tcW w:w="3560" w:type="dxa"/>
          </w:tcPr>
          <w:p>
            <w:pPr>
              <w:pStyle w:val="TableParagraph"/>
              <w:spacing w:line="161" w:lineRule="exact"/>
              <w:ind w:left="285" w:right="265"/>
              <w:rPr>
                <w:rFonts w:ascii="等线" w:eastAsia="等线" w:hint="eastAsia"/>
                <w:sz w:val="12"/>
              </w:rPr>
            </w:pPr>
            <w:r>
              <w:rPr>
                <w:rFonts w:ascii="等线" w:eastAsia="等线" w:hint="eastAsia"/>
                <w:sz w:val="12"/>
              </w:rPr>
              <w:t>氟诺哌齐</w:t>
            </w:r>
          </w:p>
        </w:tc>
        <w:tc>
          <w:tcPr>
            <w:tcW w:w="2360" w:type="dxa"/>
          </w:tcPr>
          <w:p>
            <w:pPr>
              <w:pStyle w:val="TableParagraph"/>
              <w:spacing w:line="161" w:lineRule="exact"/>
              <w:ind w:left="920" w:right="899"/>
              <w:rPr>
                <w:sz w:val="12"/>
              </w:rPr>
            </w:pPr>
            <w:r>
              <w:rPr>
                <w:sz w:val="12"/>
              </w:rPr>
              <w:t>化药</w:t>
            </w:r>
          </w:p>
        </w:tc>
        <w:tc>
          <w:tcPr>
            <w:tcW w:w="3560" w:type="dxa"/>
          </w:tcPr>
          <w:p>
            <w:pPr>
              <w:pStyle w:val="TableParagraph"/>
              <w:spacing w:line="161" w:lineRule="exact"/>
              <w:ind w:left="286" w:right="262"/>
              <w:rPr>
                <w:sz w:val="12"/>
              </w:rPr>
            </w:pPr>
            <w:r>
              <w:rPr>
                <w:sz w:val="12"/>
              </w:rPr>
              <w:t>AChE</w:t>
            </w:r>
          </w:p>
        </w:tc>
        <w:tc>
          <w:tcPr>
            <w:tcW w:w="4547" w:type="dxa"/>
          </w:tcPr>
          <w:p>
            <w:pPr>
              <w:pStyle w:val="TableParagraph"/>
              <w:spacing w:line="161" w:lineRule="exact"/>
              <w:ind w:left="1349" w:right="1324"/>
              <w:rPr>
                <w:sz w:val="12"/>
              </w:rPr>
            </w:pPr>
            <w:r>
              <w:rPr>
                <w:sz w:val="12"/>
              </w:rPr>
              <w:t>康缘药业</w:t>
            </w:r>
          </w:p>
        </w:tc>
        <w:tc>
          <w:tcPr>
            <w:tcW w:w="3560" w:type="dxa"/>
          </w:tcPr>
          <w:p>
            <w:pPr>
              <w:pStyle w:val="TableParagraph"/>
              <w:spacing w:line="161" w:lineRule="exact"/>
              <w:ind w:left="286" w:right="262"/>
              <w:rPr>
                <w:sz w:val="12"/>
              </w:rPr>
            </w:pPr>
            <w:r>
              <w:rPr>
                <w:sz w:val="12"/>
              </w:rPr>
              <w:t>II期临床</w:t>
            </w:r>
          </w:p>
        </w:tc>
      </w:tr>
      <w:tr>
        <w:trPr>
          <w:trHeight w:val="181" w:hRule="atLeast"/>
        </w:trPr>
        <w:tc>
          <w:tcPr>
            <w:tcW w:w="3560" w:type="dxa"/>
          </w:tcPr>
          <w:p>
            <w:pPr>
              <w:pStyle w:val="TableParagraph"/>
              <w:spacing w:line="161" w:lineRule="exact"/>
              <w:ind w:left="285" w:right="265"/>
              <w:rPr>
                <w:rFonts w:ascii="等线" w:eastAsia="等线" w:hint="eastAsia"/>
                <w:sz w:val="12"/>
              </w:rPr>
            </w:pPr>
            <w:r>
              <w:rPr>
                <w:rFonts w:ascii="等线" w:eastAsia="等线" w:hint="eastAsia"/>
                <w:sz w:val="12"/>
              </w:rPr>
              <w:t>美金刚硝酸酯</w:t>
            </w:r>
          </w:p>
        </w:tc>
        <w:tc>
          <w:tcPr>
            <w:tcW w:w="2360" w:type="dxa"/>
          </w:tcPr>
          <w:p>
            <w:pPr>
              <w:pStyle w:val="TableParagraph"/>
              <w:spacing w:line="161" w:lineRule="exact"/>
              <w:ind w:left="920" w:right="899"/>
              <w:rPr>
                <w:sz w:val="12"/>
              </w:rPr>
            </w:pPr>
            <w:r>
              <w:rPr>
                <w:sz w:val="12"/>
              </w:rPr>
              <w:t>化药</w:t>
            </w:r>
          </w:p>
        </w:tc>
        <w:tc>
          <w:tcPr>
            <w:tcW w:w="3560" w:type="dxa"/>
          </w:tcPr>
          <w:p>
            <w:pPr>
              <w:pStyle w:val="TableParagraph"/>
              <w:spacing w:line="161" w:lineRule="exact"/>
              <w:ind w:left="286" w:right="264"/>
              <w:rPr>
                <w:sz w:val="12"/>
              </w:rPr>
            </w:pPr>
            <w:r>
              <w:rPr>
                <w:sz w:val="12"/>
              </w:rPr>
              <w:t>NMDA receptor</w:t>
            </w:r>
          </w:p>
        </w:tc>
        <w:tc>
          <w:tcPr>
            <w:tcW w:w="4547" w:type="dxa"/>
          </w:tcPr>
          <w:p>
            <w:pPr>
              <w:pStyle w:val="TableParagraph"/>
              <w:spacing w:line="161" w:lineRule="exact"/>
              <w:ind w:left="1349" w:right="1324"/>
              <w:rPr>
                <w:sz w:val="12"/>
              </w:rPr>
            </w:pPr>
            <w:r>
              <w:rPr>
                <w:sz w:val="12"/>
              </w:rPr>
              <w:t>喜鹊医药</w:t>
            </w:r>
          </w:p>
        </w:tc>
        <w:tc>
          <w:tcPr>
            <w:tcW w:w="3560" w:type="dxa"/>
          </w:tcPr>
          <w:p>
            <w:pPr>
              <w:pStyle w:val="TableParagraph"/>
              <w:spacing w:line="161" w:lineRule="exact"/>
              <w:ind w:left="286" w:right="262"/>
              <w:rPr>
                <w:sz w:val="12"/>
              </w:rPr>
            </w:pPr>
            <w:r>
              <w:rPr>
                <w:sz w:val="12"/>
              </w:rPr>
              <w:t>II期临床</w:t>
            </w:r>
          </w:p>
        </w:tc>
      </w:tr>
      <w:tr>
        <w:trPr>
          <w:trHeight w:val="181" w:hRule="atLeast"/>
        </w:trPr>
        <w:tc>
          <w:tcPr>
            <w:tcW w:w="3560" w:type="dxa"/>
          </w:tcPr>
          <w:p>
            <w:pPr>
              <w:pStyle w:val="TableParagraph"/>
              <w:spacing w:line="161" w:lineRule="exact"/>
              <w:ind w:left="284" w:right="265"/>
              <w:rPr>
                <w:rFonts w:ascii="等线"/>
                <w:sz w:val="12"/>
              </w:rPr>
            </w:pPr>
            <w:r>
              <w:rPr>
                <w:rFonts w:ascii="等线"/>
                <w:sz w:val="12"/>
              </w:rPr>
              <w:t>BT-1</w:t>
            </w:r>
          </w:p>
        </w:tc>
        <w:tc>
          <w:tcPr>
            <w:tcW w:w="2360" w:type="dxa"/>
          </w:tcPr>
          <w:p>
            <w:pPr>
              <w:pStyle w:val="TableParagraph"/>
              <w:spacing w:line="161" w:lineRule="exact"/>
              <w:ind w:left="920" w:right="899"/>
              <w:rPr>
                <w:sz w:val="12"/>
              </w:rPr>
            </w:pPr>
            <w:r>
              <w:rPr>
                <w:sz w:val="12"/>
              </w:rPr>
              <w:t>化药</w:t>
            </w:r>
          </w:p>
        </w:tc>
        <w:tc>
          <w:tcPr>
            <w:tcW w:w="3560" w:type="dxa"/>
          </w:tcPr>
          <w:p>
            <w:pPr>
              <w:pStyle w:val="TableParagraph"/>
              <w:spacing w:line="161" w:lineRule="exact"/>
              <w:ind w:left="285" w:right="265"/>
              <w:rPr>
                <w:sz w:val="12"/>
              </w:rPr>
            </w:pPr>
            <w:r>
              <w:rPr>
                <w:sz w:val="12"/>
              </w:rPr>
              <w:t>vitamin B1</w:t>
            </w:r>
          </w:p>
        </w:tc>
        <w:tc>
          <w:tcPr>
            <w:tcW w:w="4547" w:type="dxa"/>
          </w:tcPr>
          <w:p>
            <w:pPr>
              <w:pStyle w:val="TableParagraph"/>
              <w:spacing w:line="161" w:lineRule="exact"/>
              <w:ind w:left="1349" w:right="1324"/>
              <w:rPr>
                <w:sz w:val="12"/>
              </w:rPr>
            </w:pPr>
            <w:r>
              <w:rPr>
                <w:sz w:val="12"/>
              </w:rPr>
              <w:t>日馨生物</w:t>
            </w:r>
          </w:p>
        </w:tc>
        <w:tc>
          <w:tcPr>
            <w:tcW w:w="3560" w:type="dxa"/>
          </w:tcPr>
          <w:p>
            <w:pPr>
              <w:pStyle w:val="TableParagraph"/>
              <w:spacing w:line="161" w:lineRule="exact"/>
              <w:ind w:left="286" w:right="262"/>
              <w:rPr>
                <w:sz w:val="12"/>
              </w:rPr>
            </w:pPr>
            <w:r>
              <w:rPr>
                <w:sz w:val="12"/>
              </w:rPr>
              <w:t>II期临床</w:t>
            </w:r>
          </w:p>
        </w:tc>
      </w:tr>
      <w:tr>
        <w:trPr>
          <w:trHeight w:val="181" w:hRule="atLeast"/>
        </w:trPr>
        <w:tc>
          <w:tcPr>
            <w:tcW w:w="3560" w:type="dxa"/>
          </w:tcPr>
          <w:p>
            <w:pPr>
              <w:pStyle w:val="TableParagraph"/>
              <w:spacing w:line="161" w:lineRule="exact"/>
              <w:ind w:left="285" w:right="265"/>
              <w:rPr>
                <w:rFonts w:ascii="等线" w:eastAsia="等线" w:hint="eastAsia"/>
                <w:sz w:val="12"/>
              </w:rPr>
            </w:pPr>
            <w:r>
              <w:rPr>
                <w:rFonts w:ascii="等线" w:eastAsia="等线" w:hint="eastAsia"/>
                <w:sz w:val="12"/>
              </w:rPr>
              <w:t>养血清脑</w:t>
            </w:r>
          </w:p>
        </w:tc>
        <w:tc>
          <w:tcPr>
            <w:tcW w:w="2360" w:type="dxa"/>
          </w:tcPr>
          <w:p>
            <w:pPr>
              <w:pStyle w:val="TableParagraph"/>
              <w:spacing w:line="161" w:lineRule="exact"/>
              <w:ind w:left="920" w:right="899"/>
              <w:rPr>
                <w:sz w:val="12"/>
              </w:rPr>
            </w:pPr>
            <w:r>
              <w:rPr>
                <w:sz w:val="12"/>
              </w:rPr>
              <w:t>中药</w:t>
            </w:r>
          </w:p>
        </w:tc>
        <w:tc>
          <w:tcPr>
            <w:tcW w:w="3560" w:type="dxa"/>
          </w:tcPr>
          <w:p>
            <w:pPr>
              <w:pStyle w:val="TableParagraph"/>
              <w:spacing w:line="161" w:lineRule="exact"/>
              <w:ind w:left="22"/>
              <w:rPr>
                <w:sz w:val="12"/>
              </w:rPr>
            </w:pPr>
            <w:r>
              <w:rPr>
                <w:sz w:val="12"/>
              </w:rPr>
              <w:t>-</w:t>
            </w:r>
          </w:p>
        </w:tc>
        <w:tc>
          <w:tcPr>
            <w:tcW w:w="4547" w:type="dxa"/>
          </w:tcPr>
          <w:p>
            <w:pPr>
              <w:pStyle w:val="TableParagraph"/>
              <w:spacing w:line="161" w:lineRule="exact"/>
              <w:ind w:left="1349" w:right="1324"/>
              <w:rPr>
                <w:sz w:val="12"/>
              </w:rPr>
            </w:pPr>
            <w:r>
              <w:rPr>
                <w:sz w:val="12"/>
              </w:rPr>
              <w:t>天士力</w:t>
            </w:r>
          </w:p>
        </w:tc>
        <w:tc>
          <w:tcPr>
            <w:tcW w:w="3560" w:type="dxa"/>
          </w:tcPr>
          <w:p>
            <w:pPr>
              <w:pStyle w:val="TableParagraph"/>
              <w:spacing w:line="161" w:lineRule="exact"/>
              <w:ind w:left="286" w:right="262"/>
              <w:rPr>
                <w:sz w:val="12"/>
              </w:rPr>
            </w:pPr>
            <w:r>
              <w:rPr>
                <w:sz w:val="12"/>
              </w:rPr>
              <w:t>II期临床</w:t>
            </w:r>
          </w:p>
        </w:tc>
      </w:tr>
      <w:tr>
        <w:trPr>
          <w:trHeight w:val="181" w:hRule="atLeast"/>
        </w:trPr>
        <w:tc>
          <w:tcPr>
            <w:tcW w:w="3560" w:type="dxa"/>
          </w:tcPr>
          <w:p>
            <w:pPr>
              <w:pStyle w:val="TableParagraph"/>
              <w:spacing w:line="161" w:lineRule="exact"/>
              <w:ind w:left="285" w:right="265"/>
              <w:rPr>
                <w:rFonts w:ascii="等线" w:eastAsia="等线" w:hint="eastAsia"/>
                <w:sz w:val="12"/>
              </w:rPr>
            </w:pPr>
            <w:r>
              <w:rPr>
                <w:rFonts w:ascii="等线" w:eastAsia="等线" w:hint="eastAsia"/>
                <w:sz w:val="12"/>
              </w:rPr>
              <w:t>五加益智</w:t>
            </w:r>
          </w:p>
        </w:tc>
        <w:tc>
          <w:tcPr>
            <w:tcW w:w="2360" w:type="dxa"/>
          </w:tcPr>
          <w:p>
            <w:pPr>
              <w:pStyle w:val="TableParagraph"/>
              <w:spacing w:line="161" w:lineRule="exact"/>
              <w:ind w:left="920" w:right="899"/>
              <w:rPr>
                <w:sz w:val="12"/>
              </w:rPr>
            </w:pPr>
            <w:r>
              <w:rPr>
                <w:sz w:val="12"/>
              </w:rPr>
              <w:t>中药</w:t>
            </w:r>
          </w:p>
        </w:tc>
        <w:tc>
          <w:tcPr>
            <w:tcW w:w="3560" w:type="dxa"/>
          </w:tcPr>
          <w:p>
            <w:pPr>
              <w:pStyle w:val="TableParagraph"/>
              <w:spacing w:line="161" w:lineRule="exact"/>
              <w:ind w:left="22"/>
              <w:rPr>
                <w:sz w:val="12"/>
              </w:rPr>
            </w:pPr>
            <w:r>
              <w:rPr>
                <w:sz w:val="12"/>
              </w:rPr>
              <w:t>-</w:t>
            </w:r>
          </w:p>
        </w:tc>
        <w:tc>
          <w:tcPr>
            <w:tcW w:w="4547" w:type="dxa"/>
          </w:tcPr>
          <w:p>
            <w:pPr>
              <w:pStyle w:val="TableParagraph"/>
              <w:spacing w:line="161" w:lineRule="exact"/>
              <w:ind w:left="1349" w:right="1324"/>
              <w:rPr>
                <w:sz w:val="12"/>
              </w:rPr>
            </w:pPr>
            <w:r>
              <w:rPr>
                <w:sz w:val="12"/>
              </w:rPr>
              <w:t>康弘药业</w:t>
            </w:r>
          </w:p>
        </w:tc>
        <w:tc>
          <w:tcPr>
            <w:tcW w:w="3560" w:type="dxa"/>
          </w:tcPr>
          <w:p>
            <w:pPr>
              <w:pStyle w:val="TableParagraph"/>
              <w:spacing w:line="161" w:lineRule="exact"/>
              <w:ind w:left="286" w:right="262"/>
              <w:rPr>
                <w:sz w:val="12"/>
              </w:rPr>
            </w:pPr>
            <w:r>
              <w:rPr>
                <w:sz w:val="12"/>
              </w:rPr>
              <w:t>II期临床</w:t>
            </w:r>
          </w:p>
        </w:tc>
      </w:tr>
      <w:tr>
        <w:trPr>
          <w:trHeight w:val="181" w:hRule="atLeast"/>
        </w:trPr>
        <w:tc>
          <w:tcPr>
            <w:tcW w:w="3560" w:type="dxa"/>
          </w:tcPr>
          <w:p>
            <w:pPr>
              <w:pStyle w:val="TableParagraph"/>
              <w:spacing w:line="161" w:lineRule="exact"/>
              <w:ind w:left="285" w:right="265"/>
              <w:rPr>
                <w:rFonts w:ascii="等线" w:eastAsia="等线" w:hint="eastAsia"/>
                <w:sz w:val="12"/>
              </w:rPr>
            </w:pPr>
            <w:r>
              <w:rPr>
                <w:rFonts w:ascii="等线" w:eastAsia="等线" w:hint="eastAsia"/>
                <w:sz w:val="12"/>
              </w:rPr>
              <w:t>棉花花总黄酮</w:t>
            </w:r>
          </w:p>
        </w:tc>
        <w:tc>
          <w:tcPr>
            <w:tcW w:w="2360" w:type="dxa"/>
          </w:tcPr>
          <w:p>
            <w:pPr>
              <w:pStyle w:val="TableParagraph"/>
              <w:spacing w:line="161" w:lineRule="exact"/>
              <w:ind w:left="920" w:right="899"/>
              <w:rPr>
                <w:sz w:val="12"/>
              </w:rPr>
            </w:pPr>
            <w:r>
              <w:rPr>
                <w:sz w:val="12"/>
              </w:rPr>
              <w:t>中药</w:t>
            </w:r>
          </w:p>
        </w:tc>
        <w:tc>
          <w:tcPr>
            <w:tcW w:w="3560" w:type="dxa"/>
          </w:tcPr>
          <w:p>
            <w:pPr>
              <w:pStyle w:val="TableParagraph"/>
              <w:spacing w:line="161" w:lineRule="exact"/>
              <w:ind w:left="22"/>
              <w:rPr>
                <w:sz w:val="12"/>
              </w:rPr>
            </w:pPr>
            <w:r>
              <w:rPr>
                <w:sz w:val="12"/>
              </w:rPr>
              <w:t>-</w:t>
            </w:r>
          </w:p>
        </w:tc>
        <w:tc>
          <w:tcPr>
            <w:tcW w:w="4547" w:type="dxa"/>
          </w:tcPr>
          <w:p>
            <w:pPr>
              <w:pStyle w:val="TableParagraph"/>
              <w:spacing w:line="161" w:lineRule="exact"/>
              <w:ind w:left="1349" w:right="1324"/>
              <w:rPr>
                <w:sz w:val="12"/>
              </w:rPr>
            </w:pPr>
            <w:r>
              <w:rPr>
                <w:sz w:val="12"/>
              </w:rPr>
              <w:t>新疆维药</w:t>
            </w:r>
          </w:p>
        </w:tc>
        <w:tc>
          <w:tcPr>
            <w:tcW w:w="3560" w:type="dxa"/>
          </w:tcPr>
          <w:p>
            <w:pPr>
              <w:pStyle w:val="TableParagraph"/>
              <w:spacing w:line="161" w:lineRule="exact"/>
              <w:ind w:left="286" w:right="262"/>
              <w:rPr>
                <w:sz w:val="12"/>
              </w:rPr>
            </w:pPr>
            <w:r>
              <w:rPr>
                <w:sz w:val="12"/>
              </w:rPr>
              <w:t>II期临床</w:t>
            </w:r>
          </w:p>
        </w:tc>
      </w:tr>
      <w:tr>
        <w:trPr>
          <w:trHeight w:val="181" w:hRule="atLeast"/>
        </w:trPr>
        <w:tc>
          <w:tcPr>
            <w:tcW w:w="3560" w:type="dxa"/>
          </w:tcPr>
          <w:p>
            <w:pPr>
              <w:pStyle w:val="TableParagraph"/>
              <w:spacing w:line="161" w:lineRule="exact"/>
              <w:ind w:left="283" w:right="265"/>
              <w:rPr>
                <w:rFonts w:ascii="等线"/>
                <w:sz w:val="12"/>
              </w:rPr>
            </w:pPr>
            <w:r>
              <w:rPr>
                <w:rFonts w:ascii="等线"/>
                <w:sz w:val="12"/>
              </w:rPr>
              <w:t>HEC30654</w:t>
            </w:r>
          </w:p>
        </w:tc>
        <w:tc>
          <w:tcPr>
            <w:tcW w:w="2360" w:type="dxa"/>
          </w:tcPr>
          <w:p>
            <w:pPr>
              <w:pStyle w:val="TableParagraph"/>
              <w:spacing w:line="161" w:lineRule="exact"/>
              <w:ind w:left="920" w:right="899"/>
              <w:rPr>
                <w:sz w:val="12"/>
              </w:rPr>
            </w:pPr>
            <w:r>
              <w:rPr>
                <w:sz w:val="12"/>
              </w:rPr>
              <w:t>化药</w:t>
            </w:r>
          </w:p>
        </w:tc>
        <w:tc>
          <w:tcPr>
            <w:tcW w:w="3560" w:type="dxa"/>
          </w:tcPr>
          <w:p>
            <w:pPr>
              <w:pStyle w:val="TableParagraph"/>
              <w:spacing w:line="161" w:lineRule="exact"/>
              <w:ind w:left="286" w:right="262"/>
              <w:rPr>
                <w:sz w:val="12"/>
              </w:rPr>
            </w:pPr>
            <w:r>
              <w:rPr>
                <w:sz w:val="12"/>
              </w:rPr>
              <w:t>5-HT6</w:t>
            </w:r>
          </w:p>
        </w:tc>
        <w:tc>
          <w:tcPr>
            <w:tcW w:w="4547" w:type="dxa"/>
          </w:tcPr>
          <w:p>
            <w:pPr>
              <w:pStyle w:val="TableParagraph"/>
              <w:spacing w:line="161" w:lineRule="exact"/>
              <w:ind w:left="1349" w:right="1324"/>
              <w:rPr>
                <w:sz w:val="12"/>
              </w:rPr>
            </w:pPr>
            <w:r>
              <w:rPr>
                <w:sz w:val="12"/>
              </w:rPr>
              <w:t>东阳光药</w:t>
            </w:r>
          </w:p>
        </w:tc>
        <w:tc>
          <w:tcPr>
            <w:tcW w:w="3560" w:type="dxa"/>
          </w:tcPr>
          <w:p>
            <w:pPr>
              <w:pStyle w:val="TableParagraph"/>
              <w:spacing w:line="161" w:lineRule="exact"/>
              <w:ind w:left="286" w:right="264"/>
              <w:rPr>
                <w:sz w:val="12"/>
              </w:rPr>
            </w:pPr>
            <w:r>
              <w:rPr>
                <w:sz w:val="12"/>
              </w:rPr>
              <w:t>I期临床</w:t>
            </w:r>
          </w:p>
        </w:tc>
      </w:tr>
      <w:tr>
        <w:trPr>
          <w:trHeight w:val="181" w:hRule="atLeast"/>
        </w:trPr>
        <w:tc>
          <w:tcPr>
            <w:tcW w:w="3560" w:type="dxa"/>
          </w:tcPr>
          <w:p>
            <w:pPr>
              <w:pStyle w:val="TableParagraph"/>
              <w:spacing w:line="161" w:lineRule="exact"/>
              <w:ind w:left="283" w:right="265"/>
              <w:rPr>
                <w:rFonts w:ascii="等线"/>
                <w:sz w:val="12"/>
              </w:rPr>
            </w:pPr>
            <w:r>
              <w:rPr>
                <w:rFonts w:ascii="等线"/>
                <w:sz w:val="12"/>
              </w:rPr>
              <w:t>OAB-14</w:t>
            </w:r>
          </w:p>
        </w:tc>
        <w:tc>
          <w:tcPr>
            <w:tcW w:w="2360" w:type="dxa"/>
          </w:tcPr>
          <w:p>
            <w:pPr>
              <w:pStyle w:val="TableParagraph"/>
              <w:spacing w:line="161" w:lineRule="exact"/>
              <w:ind w:left="920" w:right="899"/>
              <w:rPr>
                <w:sz w:val="12"/>
              </w:rPr>
            </w:pPr>
            <w:r>
              <w:rPr>
                <w:sz w:val="12"/>
              </w:rPr>
              <w:t>化药</w:t>
            </w:r>
          </w:p>
        </w:tc>
        <w:tc>
          <w:tcPr>
            <w:tcW w:w="3560" w:type="dxa"/>
          </w:tcPr>
          <w:p>
            <w:pPr>
              <w:pStyle w:val="TableParagraph"/>
              <w:spacing w:line="161" w:lineRule="exact"/>
              <w:ind w:left="286" w:right="264"/>
              <w:rPr>
                <w:sz w:val="12"/>
              </w:rPr>
            </w:pPr>
            <w:r>
              <w:rPr>
                <w:sz w:val="12"/>
              </w:rPr>
              <w:t>RXR</w:t>
            </w:r>
          </w:p>
        </w:tc>
        <w:tc>
          <w:tcPr>
            <w:tcW w:w="4547" w:type="dxa"/>
          </w:tcPr>
          <w:p>
            <w:pPr>
              <w:pStyle w:val="TableParagraph"/>
              <w:spacing w:line="161" w:lineRule="exact"/>
              <w:ind w:left="1349" w:right="1324"/>
              <w:rPr>
                <w:sz w:val="12"/>
              </w:rPr>
            </w:pPr>
            <w:r>
              <w:rPr>
                <w:sz w:val="12"/>
              </w:rPr>
              <w:t>新华制药</w:t>
            </w:r>
          </w:p>
        </w:tc>
        <w:tc>
          <w:tcPr>
            <w:tcW w:w="3560" w:type="dxa"/>
          </w:tcPr>
          <w:p>
            <w:pPr>
              <w:pStyle w:val="TableParagraph"/>
              <w:spacing w:line="161" w:lineRule="exact"/>
              <w:ind w:left="286" w:right="264"/>
              <w:rPr>
                <w:sz w:val="12"/>
              </w:rPr>
            </w:pPr>
            <w:r>
              <w:rPr>
                <w:sz w:val="12"/>
              </w:rPr>
              <w:t>I期临床</w:t>
            </w:r>
          </w:p>
        </w:tc>
      </w:tr>
      <w:tr>
        <w:trPr>
          <w:trHeight w:val="181" w:hRule="atLeast"/>
        </w:trPr>
        <w:tc>
          <w:tcPr>
            <w:tcW w:w="3560" w:type="dxa"/>
          </w:tcPr>
          <w:p>
            <w:pPr>
              <w:pStyle w:val="TableParagraph"/>
              <w:spacing w:line="161" w:lineRule="exact"/>
              <w:ind w:left="283" w:right="265"/>
              <w:rPr>
                <w:rFonts w:ascii="等线"/>
                <w:sz w:val="12"/>
              </w:rPr>
            </w:pPr>
            <w:r>
              <w:rPr>
                <w:rFonts w:ascii="等线"/>
                <w:sz w:val="12"/>
              </w:rPr>
              <w:t>RP902</w:t>
            </w:r>
          </w:p>
        </w:tc>
        <w:tc>
          <w:tcPr>
            <w:tcW w:w="2360" w:type="dxa"/>
          </w:tcPr>
          <w:p>
            <w:pPr>
              <w:pStyle w:val="TableParagraph"/>
              <w:spacing w:line="161" w:lineRule="exact"/>
              <w:ind w:left="920" w:right="899"/>
              <w:rPr>
                <w:sz w:val="12"/>
              </w:rPr>
            </w:pPr>
            <w:r>
              <w:rPr>
                <w:sz w:val="12"/>
              </w:rPr>
              <w:t>化药</w:t>
            </w:r>
          </w:p>
        </w:tc>
        <w:tc>
          <w:tcPr>
            <w:tcW w:w="3560" w:type="dxa"/>
          </w:tcPr>
          <w:p>
            <w:pPr>
              <w:pStyle w:val="TableParagraph"/>
              <w:spacing w:line="161" w:lineRule="exact"/>
              <w:ind w:left="285" w:right="265"/>
              <w:rPr>
                <w:sz w:val="12"/>
              </w:rPr>
            </w:pPr>
            <w:r>
              <w:rPr>
                <w:sz w:val="12"/>
              </w:rPr>
              <w:t>Aβ</w:t>
            </w:r>
          </w:p>
        </w:tc>
        <w:tc>
          <w:tcPr>
            <w:tcW w:w="4547" w:type="dxa"/>
          </w:tcPr>
          <w:p>
            <w:pPr>
              <w:pStyle w:val="TableParagraph"/>
              <w:spacing w:line="161" w:lineRule="exact"/>
              <w:ind w:left="1349" w:right="1324"/>
              <w:rPr>
                <w:sz w:val="12"/>
              </w:rPr>
            </w:pPr>
            <w:r>
              <w:rPr>
                <w:sz w:val="12"/>
              </w:rPr>
              <w:t>润佳医药</w:t>
            </w:r>
          </w:p>
        </w:tc>
        <w:tc>
          <w:tcPr>
            <w:tcW w:w="3560" w:type="dxa"/>
          </w:tcPr>
          <w:p>
            <w:pPr>
              <w:pStyle w:val="TableParagraph"/>
              <w:spacing w:line="161" w:lineRule="exact"/>
              <w:ind w:left="286" w:right="264"/>
              <w:rPr>
                <w:sz w:val="12"/>
              </w:rPr>
            </w:pPr>
            <w:r>
              <w:rPr>
                <w:sz w:val="12"/>
              </w:rPr>
              <w:t>I期临床</w:t>
            </w:r>
          </w:p>
        </w:tc>
      </w:tr>
      <w:tr>
        <w:trPr>
          <w:trHeight w:val="181" w:hRule="atLeast"/>
        </w:trPr>
        <w:tc>
          <w:tcPr>
            <w:tcW w:w="3560" w:type="dxa"/>
          </w:tcPr>
          <w:p>
            <w:pPr>
              <w:pStyle w:val="TableParagraph"/>
              <w:spacing w:line="161" w:lineRule="exact"/>
              <w:ind w:left="285" w:right="265"/>
              <w:rPr>
                <w:rFonts w:ascii="等线" w:eastAsia="等线" w:hint="eastAsia"/>
                <w:sz w:val="12"/>
              </w:rPr>
            </w:pPr>
            <w:r>
              <w:rPr>
                <w:rFonts w:ascii="等线" w:eastAsia="等线" w:hint="eastAsia"/>
                <w:sz w:val="12"/>
              </w:rPr>
              <w:t>哌哒甲酮</w:t>
            </w:r>
          </w:p>
        </w:tc>
        <w:tc>
          <w:tcPr>
            <w:tcW w:w="2360" w:type="dxa"/>
          </w:tcPr>
          <w:p>
            <w:pPr>
              <w:pStyle w:val="TableParagraph"/>
              <w:spacing w:line="161" w:lineRule="exact"/>
              <w:ind w:left="920" w:right="899"/>
              <w:rPr>
                <w:sz w:val="12"/>
              </w:rPr>
            </w:pPr>
            <w:r>
              <w:rPr>
                <w:sz w:val="12"/>
              </w:rPr>
              <w:t>化药</w:t>
            </w:r>
          </w:p>
        </w:tc>
        <w:tc>
          <w:tcPr>
            <w:tcW w:w="3560" w:type="dxa"/>
          </w:tcPr>
          <w:p>
            <w:pPr>
              <w:pStyle w:val="TableParagraph"/>
              <w:spacing w:line="161" w:lineRule="exact"/>
              <w:ind w:left="22"/>
              <w:rPr>
                <w:sz w:val="12"/>
              </w:rPr>
            </w:pPr>
            <w:r>
              <w:rPr>
                <w:sz w:val="12"/>
              </w:rPr>
              <w:t>-</w:t>
            </w:r>
          </w:p>
        </w:tc>
        <w:tc>
          <w:tcPr>
            <w:tcW w:w="4547" w:type="dxa"/>
          </w:tcPr>
          <w:p>
            <w:pPr>
              <w:pStyle w:val="TableParagraph"/>
              <w:spacing w:line="161" w:lineRule="exact"/>
              <w:ind w:left="1349" w:right="1324"/>
              <w:rPr>
                <w:sz w:val="12"/>
              </w:rPr>
            </w:pPr>
            <w:r>
              <w:rPr>
                <w:sz w:val="12"/>
              </w:rPr>
              <w:t>华南新药</w:t>
            </w:r>
          </w:p>
        </w:tc>
        <w:tc>
          <w:tcPr>
            <w:tcW w:w="3560" w:type="dxa"/>
          </w:tcPr>
          <w:p>
            <w:pPr>
              <w:pStyle w:val="TableParagraph"/>
              <w:spacing w:line="161" w:lineRule="exact"/>
              <w:ind w:left="286" w:right="264"/>
              <w:rPr>
                <w:sz w:val="12"/>
              </w:rPr>
            </w:pPr>
            <w:r>
              <w:rPr>
                <w:sz w:val="12"/>
              </w:rPr>
              <w:t>I期临床</w:t>
            </w:r>
          </w:p>
        </w:tc>
      </w:tr>
      <w:tr>
        <w:trPr>
          <w:trHeight w:val="181" w:hRule="atLeast"/>
        </w:trPr>
        <w:tc>
          <w:tcPr>
            <w:tcW w:w="3560" w:type="dxa"/>
          </w:tcPr>
          <w:p>
            <w:pPr>
              <w:pStyle w:val="TableParagraph"/>
              <w:spacing w:line="161" w:lineRule="exact"/>
              <w:ind w:left="285" w:right="265"/>
              <w:rPr>
                <w:rFonts w:ascii="等线" w:eastAsia="等线" w:hint="eastAsia"/>
                <w:sz w:val="12"/>
              </w:rPr>
            </w:pPr>
            <w:r>
              <w:rPr>
                <w:rFonts w:ascii="等线" w:eastAsia="等线" w:hint="eastAsia"/>
                <w:sz w:val="12"/>
              </w:rPr>
              <w:t>美可比林</w:t>
            </w:r>
          </w:p>
        </w:tc>
        <w:tc>
          <w:tcPr>
            <w:tcW w:w="2360" w:type="dxa"/>
          </w:tcPr>
          <w:p>
            <w:pPr>
              <w:pStyle w:val="TableParagraph"/>
              <w:spacing w:line="161" w:lineRule="exact"/>
              <w:ind w:left="920" w:right="899"/>
              <w:rPr>
                <w:sz w:val="12"/>
              </w:rPr>
            </w:pPr>
            <w:r>
              <w:rPr>
                <w:sz w:val="12"/>
              </w:rPr>
              <w:t>化药</w:t>
            </w:r>
          </w:p>
        </w:tc>
        <w:tc>
          <w:tcPr>
            <w:tcW w:w="3560" w:type="dxa"/>
          </w:tcPr>
          <w:p>
            <w:pPr>
              <w:pStyle w:val="TableParagraph"/>
              <w:spacing w:line="161" w:lineRule="exact"/>
              <w:ind w:left="286" w:right="264"/>
              <w:rPr>
                <w:sz w:val="12"/>
              </w:rPr>
            </w:pPr>
            <w:r>
              <w:rPr>
                <w:sz w:val="12"/>
              </w:rPr>
              <w:t>Tau;TRPML1;calcium channel;AChE</w:t>
            </w:r>
          </w:p>
        </w:tc>
        <w:tc>
          <w:tcPr>
            <w:tcW w:w="4547" w:type="dxa"/>
          </w:tcPr>
          <w:p>
            <w:pPr>
              <w:pStyle w:val="TableParagraph"/>
              <w:spacing w:line="161" w:lineRule="exact"/>
              <w:ind w:left="1349" w:right="1324"/>
              <w:rPr>
                <w:sz w:val="12"/>
              </w:rPr>
            </w:pPr>
            <w:r>
              <w:rPr>
                <w:sz w:val="12"/>
              </w:rPr>
              <w:t>先声药业</w:t>
            </w:r>
          </w:p>
        </w:tc>
        <w:tc>
          <w:tcPr>
            <w:tcW w:w="3560" w:type="dxa"/>
          </w:tcPr>
          <w:p>
            <w:pPr>
              <w:pStyle w:val="TableParagraph"/>
              <w:spacing w:line="161" w:lineRule="exact"/>
              <w:ind w:left="286" w:right="264"/>
              <w:rPr>
                <w:sz w:val="12"/>
              </w:rPr>
            </w:pPr>
            <w:r>
              <w:rPr>
                <w:sz w:val="12"/>
              </w:rPr>
              <w:t>I期临床</w:t>
            </w:r>
          </w:p>
        </w:tc>
      </w:tr>
      <w:tr>
        <w:trPr>
          <w:trHeight w:val="181" w:hRule="atLeast"/>
        </w:trPr>
        <w:tc>
          <w:tcPr>
            <w:tcW w:w="3560" w:type="dxa"/>
          </w:tcPr>
          <w:p>
            <w:pPr>
              <w:pStyle w:val="TableParagraph"/>
              <w:spacing w:line="161" w:lineRule="exact"/>
              <w:ind w:left="282" w:right="265"/>
              <w:rPr>
                <w:rFonts w:ascii="等线"/>
                <w:sz w:val="12"/>
              </w:rPr>
            </w:pPr>
            <w:r>
              <w:rPr>
                <w:rFonts w:ascii="等线"/>
                <w:sz w:val="12"/>
              </w:rPr>
              <w:t>posdinema</w:t>
            </w:r>
          </w:p>
        </w:tc>
        <w:tc>
          <w:tcPr>
            <w:tcW w:w="2360" w:type="dxa"/>
          </w:tcPr>
          <w:p>
            <w:pPr>
              <w:pStyle w:val="TableParagraph"/>
              <w:spacing w:line="161" w:lineRule="exact"/>
              <w:ind w:left="920" w:right="899"/>
              <w:rPr>
                <w:sz w:val="12"/>
              </w:rPr>
            </w:pPr>
            <w:r>
              <w:rPr>
                <w:sz w:val="12"/>
              </w:rPr>
              <w:t>生物</w:t>
            </w:r>
          </w:p>
        </w:tc>
        <w:tc>
          <w:tcPr>
            <w:tcW w:w="3560" w:type="dxa"/>
          </w:tcPr>
          <w:p>
            <w:pPr>
              <w:pStyle w:val="TableParagraph"/>
              <w:spacing w:line="161" w:lineRule="exact"/>
              <w:ind w:left="286" w:right="263"/>
              <w:rPr>
                <w:sz w:val="12"/>
              </w:rPr>
            </w:pPr>
            <w:r>
              <w:rPr>
                <w:sz w:val="12"/>
              </w:rPr>
              <w:t>Tau</w:t>
            </w:r>
          </w:p>
        </w:tc>
        <w:tc>
          <w:tcPr>
            <w:tcW w:w="4547" w:type="dxa"/>
          </w:tcPr>
          <w:p>
            <w:pPr>
              <w:pStyle w:val="TableParagraph"/>
              <w:spacing w:line="161" w:lineRule="exact"/>
              <w:ind w:left="1349" w:right="1324"/>
              <w:rPr>
                <w:sz w:val="12"/>
              </w:rPr>
            </w:pPr>
            <w:r>
              <w:rPr>
                <w:sz w:val="12"/>
              </w:rPr>
              <w:t>强生</w:t>
            </w:r>
          </w:p>
        </w:tc>
        <w:tc>
          <w:tcPr>
            <w:tcW w:w="3560" w:type="dxa"/>
          </w:tcPr>
          <w:p>
            <w:pPr>
              <w:pStyle w:val="TableParagraph"/>
              <w:spacing w:line="161" w:lineRule="exact"/>
              <w:ind w:left="286" w:right="264"/>
              <w:rPr>
                <w:sz w:val="12"/>
              </w:rPr>
            </w:pPr>
            <w:r>
              <w:rPr>
                <w:sz w:val="12"/>
              </w:rPr>
              <w:t>I期临床</w:t>
            </w:r>
          </w:p>
        </w:tc>
      </w:tr>
      <w:tr>
        <w:trPr>
          <w:trHeight w:val="181" w:hRule="atLeast"/>
        </w:trPr>
        <w:tc>
          <w:tcPr>
            <w:tcW w:w="3560" w:type="dxa"/>
          </w:tcPr>
          <w:p>
            <w:pPr>
              <w:pStyle w:val="TableParagraph"/>
              <w:spacing w:line="161" w:lineRule="exact"/>
              <w:ind w:left="282" w:right="265"/>
              <w:rPr>
                <w:rFonts w:ascii="等线"/>
                <w:sz w:val="12"/>
              </w:rPr>
            </w:pPr>
            <w:r>
              <w:rPr>
                <w:rFonts w:ascii="等线"/>
                <w:sz w:val="12"/>
              </w:rPr>
              <w:t>ahaMSCs-Exo</w:t>
            </w:r>
          </w:p>
        </w:tc>
        <w:tc>
          <w:tcPr>
            <w:tcW w:w="2360" w:type="dxa"/>
          </w:tcPr>
          <w:p>
            <w:pPr>
              <w:pStyle w:val="TableParagraph"/>
              <w:spacing w:line="161" w:lineRule="exact"/>
              <w:ind w:left="920" w:right="899"/>
              <w:rPr>
                <w:sz w:val="12"/>
              </w:rPr>
            </w:pPr>
            <w:r>
              <w:rPr>
                <w:sz w:val="12"/>
              </w:rPr>
              <w:t>生物</w:t>
            </w:r>
          </w:p>
        </w:tc>
        <w:tc>
          <w:tcPr>
            <w:tcW w:w="3560" w:type="dxa"/>
          </w:tcPr>
          <w:p>
            <w:pPr>
              <w:pStyle w:val="TableParagraph"/>
              <w:spacing w:line="161" w:lineRule="exact"/>
              <w:ind w:left="22"/>
              <w:rPr>
                <w:sz w:val="12"/>
              </w:rPr>
            </w:pPr>
            <w:r>
              <w:rPr>
                <w:sz w:val="12"/>
              </w:rPr>
              <w:t>-</w:t>
            </w:r>
          </w:p>
        </w:tc>
        <w:tc>
          <w:tcPr>
            <w:tcW w:w="4547" w:type="dxa"/>
          </w:tcPr>
          <w:p>
            <w:pPr>
              <w:pStyle w:val="TableParagraph"/>
              <w:spacing w:line="161" w:lineRule="exact"/>
              <w:ind w:left="1349" w:right="1324"/>
              <w:rPr>
                <w:sz w:val="12"/>
              </w:rPr>
            </w:pPr>
            <w:r>
              <w:rPr>
                <w:sz w:val="12"/>
              </w:rPr>
              <w:t>西比曼生物科技</w:t>
            </w:r>
          </w:p>
        </w:tc>
        <w:tc>
          <w:tcPr>
            <w:tcW w:w="3560" w:type="dxa"/>
          </w:tcPr>
          <w:p>
            <w:pPr>
              <w:pStyle w:val="TableParagraph"/>
              <w:spacing w:line="161" w:lineRule="exact"/>
              <w:ind w:left="286" w:right="264"/>
              <w:rPr>
                <w:sz w:val="12"/>
              </w:rPr>
            </w:pPr>
            <w:r>
              <w:rPr>
                <w:sz w:val="12"/>
              </w:rPr>
              <w:t>I期临床</w:t>
            </w:r>
          </w:p>
        </w:tc>
      </w:tr>
      <w:tr>
        <w:trPr>
          <w:trHeight w:val="181" w:hRule="atLeast"/>
        </w:trPr>
        <w:tc>
          <w:tcPr>
            <w:tcW w:w="3560" w:type="dxa"/>
          </w:tcPr>
          <w:p>
            <w:pPr>
              <w:pStyle w:val="TableParagraph"/>
              <w:spacing w:line="161" w:lineRule="exact"/>
              <w:ind w:left="286" w:right="265"/>
              <w:rPr>
                <w:rFonts w:ascii="等线"/>
                <w:sz w:val="12"/>
              </w:rPr>
            </w:pPr>
            <w:r>
              <w:rPr>
                <w:rFonts w:ascii="等线"/>
                <w:sz w:val="12"/>
              </w:rPr>
              <w:t>ANGE-S004</w:t>
            </w:r>
          </w:p>
        </w:tc>
        <w:tc>
          <w:tcPr>
            <w:tcW w:w="2360" w:type="dxa"/>
          </w:tcPr>
          <w:p>
            <w:pPr>
              <w:pStyle w:val="TableParagraph"/>
              <w:spacing w:line="161" w:lineRule="exact"/>
              <w:ind w:left="920" w:right="899"/>
              <w:rPr>
                <w:sz w:val="12"/>
              </w:rPr>
            </w:pPr>
            <w:r>
              <w:rPr>
                <w:sz w:val="12"/>
              </w:rPr>
              <w:t>生物</w:t>
            </w:r>
          </w:p>
        </w:tc>
        <w:tc>
          <w:tcPr>
            <w:tcW w:w="3560" w:type="dxa"/>
          </w:tcPr>
          <w:p>
            <w:pPr>
              <w:pStyle w:val="TableParagraph"/>
              <w:spacing w:line="161" w:lineRule="exact"/>
              <w:ind w:left="22"/>
              <w:rPr>
                <w:sz w:val="12"/>
              </w:rPr>
            </w:pPr>
            <w:r>
              <w:rPr>
                <w:sz w:val="12"/>
              </w:rPr>
              <w:t>-</w:t>
            </w:r>
          </w:p>
        </w:tc>
        <w:tc>
          <w:tcPr>
            <w:tcW w:w="4547" w:type="dxa"/>
          </w:tcPr>
          <w:p>
            <w:pPr>
              <w:pStyle w:val="TableParagraph"/>
              <w:spacing w:line="161" w:lineRule="exact"/>
              <w:ind w:left="1349" w:right="1324"/>
              <w:rPr>
                <w:sz w:val="12"/>
              </w:rPr>
            </w:pPr>
            <w:r>
              <w:rPr>
                <w:sz w:val="12"/>
              </w:rPr>
              <w:t>安集协康</w:t>
            </w:r>
          </w:p>
        </w:tc>
        <w:tc>
          <w:tcPr>
            <w:tcW w:w="3560" w:type="dxa"/>
          </w:tcPr>
          <w:p>
            <w:pPr>
              <w:pStyle w:val="TableParagraph"/>
              <w:spacing w:line="161" w:lineRule="exact"/>
              <w:ind w:left="286" w:right="264"/>
              <w:rPr>
                <w:sz w:val="12"/>
              </w:rPr>
            </w:pPr>
            <w:r>
              <w:rPr>
                <w:sz w:val="12"/>
              </w:rPr>
              <w:t>I期临床</w:t>
            </w:r>
          </w:p>
        </w:tc>
      </w:tr>
      <w:tr>
        <w:trPr>
          <w:trHeight w:val="181" w:hRule="atLeast"/>
        </w:trPr>
        <w:tc>
          <w:tcPr>
            <w:tcW w:w="3560" w:type="dxa"/>
          </w:tcPr>
          <w:p>
            <w:pPr>
              <w:pStyle w:val="TableParagraph"/>
              <w:spacing w:line="161" w:lineRule="exact"/>
              <w:ind w:left="283" w:right="265"/>
              <w:rPr>
                <w:rFonts w:ascii="等线"/>
                <w:sz w:val="12"/>
              </w:rPr>
            </w:pPr>
            <w:r>
              <w:rPr>
                <w:rFonts w:ascii="等线"/>
                <w:sz w:val="12"/>
              </w:rPr>
              <w:t>SHR-1707</w:t>
            </w:r>
          </w:p>
        </w:tc>
        <w:tc>
          <w:tcPr>
            <w:tcW w:w="2360" w:type="dxa"/>
          </w:tcPr>
          <w:p>
            <w:pPr>
              <w:pStyle w:val="TableParagraph"/>
              <w:spacing w:line="161" w:lineRule="exact"/>
              <w:ind w:left="920" w:right="899"/>
              <w:rPr>
                <w:sz w:val="12"/>
              </w:rPr>
            </w:pPr>
            <w:r>
              <w:rPr>
                <w:sz w:val="12"/>
              </w:rPr>
              <w:t>生物</w:t>
            </w:r>
          </w:p>
        </w:tc>
        <w:tc>
          <w:tcPr>
            <w:tcW w:w="3560" w:type="dxa"/>
          </w:tcPr>
          <w:p>
            <w:pPr>
              <w:pStyle w:val="TableParagraph"/>
              <w:spacing w:line="161" w:lineRule="exact"/>
              <w:ind w:left="285" w:right="265"/>
              <w:rPr>
                <w:sz w:val="12"/>
              </w:rPr>
            </w:pPr>
            <w:r>
              <w:rPr>
                <w:sz w:val="12"/>
              </w:rPr>
              <w:t>Aβ</w:t>
            </w:r>
          </w:p>
        </w:tc>
        <w:tc>
          <w:tcPr>
            <w:tcW w:w="4547" w:type="dxa"/>
          </w:tcPr>
          <w:p>
            <w:pPr>
              <w:pStyle w:val="TableParagraph"/>
              <w:spacing w:line="161" w:lineRule="exact"/>
              <w:ind w:left="1349" w:right="1324"/>
              <w:rPr>
                <w:sz w:val="12"/>
              </w:rPr>
            </w:pPr>
            <w:r>
              <w:rPr>
                <w:sz w:val="12"/>
              </w:rPr>
              <w:t>恒瑞医药</w:t>
            </w:r>
          </w:p>
        </w:tc>
        <w:tc>
          <w:tcPr>
            <w:tcW w:w="3560" w:type="dxa"/>
          </w:tcPr>
          <w:p>
            <w:pPr>
              <w:pStyle w:val="TableParagraph"/>
              <w:spacing w:line="161" w:lineRule="exact"/>
              <w:ind w:left="286" w:right="264"/>
              <w:rPr>
                <w:sz w:val="12"/>
              </w:rPr>
            </w:pPr>
            <w:r>
              <w:rPr>
                <w:sz w:val="12"/>
              </w:rPr>
              <w:t>I期临床</w:t>
            </w:r>
          </w:p>
        </w:tc>
      </w:tr>
      <w:tr>
        <w:trPr>
          <w:trHeight w:val="205" w:hRule="atLeast"/>
        </w:trPr>
        <w:tc>
          <w:tcPr>
            <w:tcW w:w="3560" w:type="dxa"/>
          </w:tcPr>
          <w:p>
            <w:pPr>
              <w:pStyle w:val="TableParagraph"/>
              <w:spacing w:line="240" w:lineRule="auto" w:before="1"/>
              <w:ind w:left="285" w:right="265"/>
              <w:rPr>
                <w:rFonts w:ascii="等线" w:eastAsia="等线" w:hint="eastAsia"/>
                <w:sz w:val="12"/>
              </w:rPr>
            </w:pPr>
            <w:r>
              <w:rPr>
                <w:rFonts w:ascii="等线" w:eastAsia="等线" w:hint="eastAsia"/>
                <w:sz w:val="12"/>
              </w:rPr>
              <w:t>美金刚口溶膜</w:t>
            </w:r>
          </w:p>
        </w:tc>
        <w:tc>
          <w:tcPr>
            <w:tcW w:w="2360" w:type="dxa"/>
          </w:tcPr>
          <w:p>
            <w:pPr>
              <w:pStyle w:val="TableParagraph"/>
              <w:spacing w:line="185" w:lineRule="exact"/>
              <w:ind w:left="920" w:right="899"/>
              <w:rPr>
                <w:sz w:val="12"/>
              </w:rPr>
            </w:pPr>
            <w:r>
              <w:rPr>
                <w:sz w:val="12"/>
              </w:rPr>
              <w:t>化药</w:t>
            </w:r>
          </w:p>
        </w:tc>
        <w:tc>
          <w:tcPr>
            <w:tcW w:w="3560" w:type="dxa"/>
          </w:tcPr>
          <w:p>
            <w:pPr>
              <w:pStyle w:val="TableParagraph"/>
              <w:spacing w:line="185" w:lineRule="exact"/>
              <w:ind w:left="286" w:right="265"/>
              <w:rPr>
                <w:sz w:val="12"/>
              </w:rPr>
            </w:pPr>
            <w:r>
              <w:rPr>
                <w:sz w:val="12"/>
              </w:rPr>
              <w:t>NMDA receptor;5-HT3 receptor;nAChR;D2 receptor</w:t>
            </w:r>
          </w:p>
        </w:tc>
        <w:tc>
          <w:tcPr>
            <w:tcW w:w="4547" w:type="dxa"/>
          </w:tcPr>
          <w:p>
            <w:pPr>
              <w:pStyle w:val="TableParagraph"/>
              <w:spacing w:line="185" w:lineRule="exact"/>
              <w:ind w:left="1349" w:right="1324"/>
              <w:rPr>
                <w:sz w:val="12"/>
              </w:rPr>
            </w:pPr>
            <w:r>
              <w:rPr>
                <w:sz w:val="12"/>
              </w:rPr>
              <w:t>和泽医药</w:t>
            </w:r>
          </w:p>
        </w:tc>
        <w:tc>
          <w:tcPr>
            <w:tcW w:w="3560" w:type="dxa"/>
          </w:tcPr>
          <w:p>
            <w:pPr>
              <w:pStyle w:val="TableParagraph"/>
              <w:spacing w:line="185" w:lineRule="exact"/>
              <w:ind w:left="286" w:right="261"/>
              <w:rPr>
                <w:sz w:val="12"/>
              </w:rPr>
            </w:pPr>
            <w:r>
              <w:rPr>
                <w:sz w:val="12"/>
              </w:rPr>
              <w:t>IND获批</w:t>
            </w:r>
          </w:p>
        </w:tc>
      </w:tr>
      <w:tr>
        <w:trPr>
          <w:trHeight w:val="181" w:hRule="atLeast"/>
        </w:trPr>
        <w:tc>
          <w:tcPr>
            <w:tcW w:w="3560" w:type="dxa"/>
          </w:tcPr>
          <w:p>
            <w:pPr>
              <w:pStyle w:val="TableParagraph"/>
              <w:spacing w:line="161" w:lineRule="exact"/>
              <w:ind w:left="285" w:right="265"/>
              <w:rPr>
                <w:rFonts w:ascii="等线" w:eastAsia="等线" w:hint="eastAsia"/>
                <w:sz w:val="12"/>
              </w:rPr>
            </w:pPr>
            <w:r>
              <w:rPr>
                <w:rFonts w:ascii="等线" w:eastAsia="等线" w:hint="eastAsia"/>
                <w:sz w:val="12"/>
              </w:rPr>
              <w:t>氢甲硫堇</w:t>
            </w:r>
          </w:p>
        </w:tc>
        <w:tc>
          <w:tcPr>
            <w:tcW w:w="2360" w:type="dxa"/>
          </w:tcPr>
          <w:p>
            <w:pPr>
              <w:pStyle w:val="TableParagraph"/>
              <w:spacing w:line="161" w:lineRule="exact"/>
              <w:ind w:left="920" w:right="899"/>
              <w:rPr>
                <w:sz w:val="12"/>
              </w:rPr>
            </w:pPr>
            <w:r>
              <w:rPr>
                <w:sz w:val="12"/>
              </w:rPr>
              <w:t>化药</w:t>
            </w:r>
          </w:p>
        </w:tc>
        <w:tc>
          <w:tcPr>
            <w:tcW w:w="3560" w:type="dxa"/>
          </w:tcPr>
          <w:p>
            <w:pPr>
              <w:pStyle w:val="TableParagraph"/>
              <w:spacing w:line="161" w:lineRule="exact"/>
              <w:ind w:left="286" w:right="263"/>
              <w:rPr>
                <w:sz w:val="12"/>
              </w:rPr>
            </w:pPr>
            <w:r>
              <w:rPr>
                <w:sz w:val="12"/>
              </w:rPr>
              <w:t>Tau</w:t>
            </w:r>
          </w:p>
        </w:tc>
        <w:tc>
          <w:tcPr>
            <w:tcW w:w="4547" w:type="dxa"/>
          </w:tcPr>
          <w:p>
            <w:pPr>
              <w:pStyle w:val="TableParagraph"/>
              <w:spacing w:line="161" w:lineRule="exact"/>
              <w:ind w:left="1346" w:right="1325"/>
              <w:rPr>
                <w:sz w:val="12"/>
              </w:rPr>
            </w:pPr>
            <w:r>
              <w:rPr>
                <w:sz w:val="12"/>
              </w:rPr>
              <w:t>TauRx Pharmaceuticals</w:t>
            </w:r>
          </w:p>
        </w:tc>
        <w:tc>
          <w:tcPr>
            <w:tcW w:w="3560" w:type="dxa"/>
          </w:tcPr>
          <w:p>
            <w:pPr>
              <w:pStyle w:val="TableParagraph"/>
              <w:spacing w:line="161" w:lineRule="exact"/>
              <w:ind w:left="286" w:right="262"/>
              <w:rPr>
                <w:sz w:val="12"/>
              </w:rPr>
            </w:pPr>
            <w:r>
              <w:rPr>
                <w:sz w:val="12"/>
              </w:rPr>
              <w:t>申报临床</w:t>
            </w:r>
          </w:p>
        </w:tc>
      </w:tr>
      <w:tr>
        <w:trPr>
          <w:trHeight w:val="181" w:hRule="atLeast"/>
        </w:trPr>
        <w:tc>
          <w:tcPr>
            <w:tcW w:w="3560" w:type="dxa"/>
          </w:tcPr>
          <w:p>
            <w:pPr>
              <w:pStyle w:val="TableParagraph"/>
              <w:spacing w:line="161" w:lineRule="exact"/>
              <w:ind w:left="283" w:right="265"/>
              <w:rPr>
                <w:rFonts w:ascii="等线"/>
                <w:sz w:val="12"/>
              </w:rPr>
            </w:pPr>
            <w:r>
              <w:rPr>
                <w:rFonts w:ascii="等线"/>
                <w:sz w:val="12"/>
              </w:rPr>
              <w:t>HECB1701301</w:t>
            </w:r>
          </w:p>
        </w:tc>
        <w:tc>
          <w:tcPr>
            <w:tcW w:w="2360" w:type="dxa"/>
          </w:tcPr>
          <w:p>
            <w:pPr>
              <w:pStyle w:val="TableParagraph"/>
              <w:spacing w:line="161" w:lineRule="exact"/>
              <w:ind w:left="920" w:right="899"/>
              <w:rPr>
                <w:sz w:val="12"/>
              </w:rPr>
            </w:pPr>
            <w:r>
              <w:rPr>
                <w:sz w:val="12"/>
              </w:rPr>
              <w:t>化药</w:t>
            </w:r>
          </w:p>
        </w:tc>
        <w:tc>
          <w:tcPr>
            <w:tcW w:w="3560" w:type="dxa"/>
          </w:tcPr>
          <w:p>
            <w:pPr>
              <w:pStyle w:val="TableParagraph"/>
              <w:spacing w:line="161" w:lineRule="exact"/>
              <w:ind w:left="22"/>
              <w:rPr>
                <w:sz w:val="12"/>
              </w:rPr>
            </w:pPr>
            <w:r>
              <w:rPr>
                <w:sz w:val="12"/>
              </w:rPr>
              <w:t>-</w:t>
            </w:r>
          </w:p>
        </w:tc>
        <w:tc>
          <w:tcPr>
            <w:tcW w:w="4547" w:type="dxa"/>
          </w:tcPr>
          <w:p>
            <w:pPr>
              <w:pStyle w:val="TableParagraph"/>
              <w:spacing w:line="161" w:lineRule="exact"/>
              <w:ind w:left="1349" w:right="1324"/>
              <w:rPr>
                <w:sz w:val="12"/>
              </w:rPr>
            </w:pPr>
            <w:r>
              <w:rPr>
                <w:sz w:val="12"/>
              </w:rPr>
              <w:t>东阳光药</w:t>
            </w:r>
          </w:p>
        </w:tc>
        <w:tc>
          <w:tcPr>
            <w:tcW w:w="3560" w:type="dxa"/>
          </w:tcPr>
          <w:p>
            <w:pPr>
              <w:pStyle w:val="TableParagraph"/>
              <w:spacing w:line="161" w:lineRule="exact"/>
              <w:ind w:left="286" w:right="262"/>
              <w:rPr>
                <w:sz w:val="12"/>
              </w:rPr>
            </w:pPr>
            <w:r>
              <w:rPr>
                <w:sz w:val="12"/>
              </w:rPr>
              <w:t>申报临床</w:t>
            </w:r>
          </w:p>
        </w:tc>
      </w:tr>
      <w:tr>
        <w:trPr>
          <w:trHeight w:val="181" w:hRule="atLeast"/>
        </w:trPr>
        <w:tc>
          <w:tcPr>
            <w:tcW w:w="3560" w:type="dxa"/>
          </w:tcPr>
          <w:p>
            <w:pPr>
              <w:pStyle w:val="TableParagraph"/>
              <w:spacing w:line="161" w:lineRule="exact"/>
              <w:ind w:left="284" w:right="265"/>
              <w:rPr>
                <w:rFonts w:ascii="等线"/>
                <w:sz w:val="12"/>
              </w:rPr>
            </w:pPr>
            <w:r>
              <w:rPr>
                <w:rFonts w:ascii="等线"/>
                <w:sz w:val="12"/>
              </w:rPr>
              <w:t>BrAD-R13</w:t>
            </w:r>
          </w:p>
        </w:tc>
        <w:tc>
          <w:tcPr>
            <w:tcW w:w="2360" w:type="dxa"/>
          </w:tcPr>
          <w:p>
            <w:pPr>
              <w:pStyle w:val="TableParagraph"/>
              <w:spacing w:line="161" w:lineRule="exact"/>
              <w:ind w:left="920" w:right="899"/>
              <w:rPr>
                <w:sz w:val="12"/>
              </w:rPr>
            </w:pPr>
            <w:r>
              <w:rPr>
                <w:sz w:val="12"/>
              </w:rPr>
              <w:t>化药</w:t>
            </w:r>
          </w:p>
        </w:tc>
        <w:tc>
          <w:tcPr>
            <w:tcW w:w="3560" w:type="dxa"/>
          </w:tcPr>
          <w:p>
            <w:pPr>
              <w:pStyle w:val="TableParagraph"/>
              <w:spacing w:line="161" w:lineRule="exact"/>
              <w:ind w:left="286" w:right="263"/>
              <w:rPr>
                <w:sz w:val="12"/>
              </w:rPr>
            </w:pPr>
            <w:r>
              <w:rPr>
                <w:sz w:val="12"/>
              </w:rPr>
              <w:t>TrkB</w:t>
            </w:r>
          </w:p>
        </w:tc>
        <w:tc>
          <w:tcPr>
            <w:tcW w:w="4547" w:type="dxa"/>
          </w:tcPr>
          <w:p>
            <w:pPr>
              <w:pStyle w:val="TableParagraph"/>
              <w:spacing w:line="161" w:lineRule="exact"/>
              <w:ind w:left="1349" w:right="1324"/>
              <w:rPr>
                <w:sz w:val="12"/>
              </w:rPr>
            </w:pPr>
            <w:r>
              <w:rPr>
                <w:sz w:val="12"/>
              </w:rPr>
              <w:t>博芮健</w:t>
            </w:r>
          </w:p>
        </w:tc>
        <w:tc>
          <w:tcPr>
            <w:tcW w:w="3560" w:type="dxa"/>
          </w:tcPr>
          <w:p>
            <w:pPr>
              <w:pStyle w:val="TableParagraph"/>
              <w:spacing w:line="161" w:lineRule="exact"/>
              <w:ind w:left="286" w:right="262"/>
              <w:rPr>
                <w:sz w:val="12"/>
              </w:rPr>
            </w:pPr>
            <w:r>
              <w:rPr>
                <w:sz w:val="12"/>
              </w:rPr>
              <w:t>申报临床</w:t>
            </w:r>
          </w:p>
        </w:tc>
      </w:tr>
      <w:tr>
        <w:trPr>
          <w:trHeight w:val="181" w:hRule="atLeast"/>
        </w:trPr>
        <w:tc>
          <w:tcPr>
            <w:tcW w:w="3560" w:type="dxa"/>
          </w:tcPr>
          <w:p>
            <w:pPr>
              <w:pStyle w:val="TableParagraph"/>
              <w:spacing w:line="161" w:lineRule="exact"/>
              <w:ind w:left="286" w:right="265"/>
              <w:rPr>
                <w:rFonts w:ascii="等线"/>
                <w:sz w:val="12"/>
              </w:rPr>
            </w:pPr>
            <w:r>
              <w:rPr>
                <w:rFonts w:ascii="等线"/>
                <w:sz w:val="12"/>
              </w:rPr>
              <w:t>RX04</w:t>
            </w:r>
          </w:p>
        </w:tc>
        <w:tc>
          <w:tcPr>
            <w:tcW w:w="2360" w:type="dxa"/>
          </w:tcPr>
          <w:p>
            <w:pPr>
              <w:pStyle w:val="TableParagraph"/>
              <w:spacing w:line="161" w:lineRule="exact"/>
              <w:ind w:left="920" w:right="899"/>
              <w:rPr>
                <w:sz w:val="12"/>
              </w:rPr>
            </w:pPr>
            <w:r>
              <w:rPr>
                <w:sz w:val="12"/>
              </w:rPr>
              <w:t>化药</w:t>
            </w:r>
          </w:p>
        </w:tc>
        <w:tc>
          <w:tcPr>
            <w:tcW w:w="3560" w:type="dxa"/>
          </w:tcPr>
          <w:p>
            <w:pPr>
              <w:pStyle w:val="TableParagraph"/>
              <w:spacing w:line="161" w:lineRule="exact"/>
              <w:ind w:left="22"/>
              <w:rPr>
                <w:sz w:val="12"/>
              </w:rPr>
            </w:pPr>
            <w:r>
              <w:rPr>
                <w:sz w:val="12"/>
              </w:rPr>
              <w:t>-</w:t>
            </w:r>
          </w:p>
        </w:tc>
        <w:tc>
          <w:tcPr>
            <w:tcW w:w="4547" w:type="dxa"/>
          </w:tcPr>
          <w:p>
            <w:pPr>
              <w:pStyle w:val="TableParagraph"/>
              <w:spacing w:line="161" w:lineRule="exact"/>
              <w:ind w:left="1349" w:right="1324"/>
              <w:rPr>
                <w:sz w:val="12"/>
              </w:rPr>
            </w:pPr>
            <w:r>
              <w:rPr>
                <w:sz w:val="12"/>
              </w:rPr>
              <w:t>日馨生物</w:t>
            </w:r>
          </w:p>
        </w:tc>
        <w:tc>
          <w:tcPr>
            <w:tcW w:w="3560" w:type="dxa"/>
          </w:tcPr>
          <w:p>
            <w:pPr>
              <w:pStyle w:val="TableParagraph"/>
              <w:spacing w:line="161" w:lineRule="exact"/>
              <w:ind w:left="286" w:right="262"/>
              <w:rPr>
                <w:sz w:val="12"/>
              </w:rPr>
            </w:pPr>
            <w:r>
              <w:rPr>
                <w:sz w:val="12"/>
              </w:rPr>
              <w:t>申报临床</w:t>
            </w:r>
          </w:p>
        </w:tc>
      </w:tr>
      <w:tr>
        <w:trPr>
          <w:trHeight w:val="181" w:hRule="atLeast"/>
        </w:trPr>
        <w:tc>
          <w:tcPr>
            <w:tcW w:w="3560" w:type="dxa"/>
          </w:tcPr>
          <w:p>
            <w:pPr>
              <w:pStyle w:val="TableParagraph"/>
              <w:spacing w:line="161" w:lineRule="exact"/>
              <w:ind w:left="283" w:right="265"/>
              <w:rPr>
                <w:rFonts w:ascii="等线"/>
                <w:sz w:val="12"/>
              </w:rPr>
            </w:pPr>
            <w:r>
              <w:rPr>
                <w:rFonts w:ascii="等线"/>
                <w:sz w:val="12"/>
              </w:rPr>
              <w:t>SAL0114</w:t>
            </w:r>
          </w:p>
        </w:tc>
        <w:tc>
          <w:tcPr>
            <w:tcW w:w="2360" w:type="dxa"/>
          </w:tcPr>
          <w:p>
            <w:pPr>
              <w:pStyle w:val="TableParagraph"/>
              <w:spacing w:line="161" w:lineRule="exact"/>
              <w:ind w:left="920" w:right="899"/>
              <w:rPr>
                <w:sz w:val="12"/>
              </w:rPr>
            </w:pPr>
            <w:r>
              <w:rPr>
                <w:sz w:val="12"/>
              </w:rPr>
              <w:t>化药</w:t>
            </w:r>
          </w:p>
        </w:tc>
        <w:tc>
          <w:tcPr>
            <w:tcW w:w="3560" w:type="dxa"/>
          </w:tcPr>
          <w:p>
            <w:pPr>
              <w:pStyle w:val="TableParagraph"/>
              <w:spacing w:line="161" w:lineRule="exact"/>
              <w:ind w:left="22"/>
              <w:rPr>
                <w:sz w:val="12"/>
              </w:rPr>
            </w:pPr>
            <w:r>
              <w:rPr>
                <w:sz w:val="12"/>
              </w:rPr>
              <w:t>-</w:t>
            </w:r>
          </w:p>
        </w:tc>
        <w:tc>
          <w:tcPr>
            <w:tcW w:w="4547" w:type="dxa"/>
          </w:tcPr>
          <w:p>
            <w:pPr>
              <w:pStyle w:val="TableParagraph"/>
              <w:spacing w:line="161" w:lineRule="exact"/>
              <w:ind w:left="1349" w:right="1324"/>
              <w:rPr>
                <w:sz w:val="12"/>
              </w:rPr>
            </w:pPr>
            <w:r>
              <w:rPr>
                <w:sz w:val="12"/>
              </w:rPr>
              <w:t>信立泰</w:t>
            </w:r>
          </w:p>
        </w:tc>
        <w:tc>
          <w:tcPr>
            <w:tcW w:w="3560" w:type="dxa"/>
          </w:tcPr>
          <w:p>
            <w:pPr>
              <w:pStyle w:val="TableParagraph"/>
              <w:spacing w:line="161" w:lineRule="exact"/>
              <w:ind w:left="286" w:right="262"/>
              <w:rPr>
                <w:sz w:val="12"/>
              </w:rPr>
            </w:pPr>
            <w:r>
              <w:rPr>
                <w:sz w:val="12"/>
              </w:rPr>
              <w:t>申报临床</w:t>
            </w:r>
          </w:p>
        </w:tc>
      </w:tr>
      <w:tr>
        <w:trPr>
          <w:trHeight w:val="181" w:hRule="atLeast"/>
        </w:trPr>
        <w:tc>
          <w:tcPr>
            <w:tcW w:w="3560" w:type="dxa"/>
          </w:tcPr>
          <w:p>
            <w:pPr>
              <w:pStyle w:val="TableParagraph"/>
              <w:spacing w:line="161" w:lineRule="exact"/>
              <w:ind w:left="286" w:right="265"/>
              <w:rPr>
                <w:rFonts w:ascii="等线"/>
                <w:sz w:val="12"/>
              </w:rPr>
            </w:pPr>
            <w:r>
              <w:rPr>
                <w:rFonts w:ascii="等线"/>
                <w:sz w:val="12"/>
              </w:rPr>
              <w:t>GX-G6</w:t>
            </w:r>
          </w:p>
        </w:tc>
        <w:tc>
          <w:tcPr>
            <w:tcW w:w="2360" w:type="dxa"/>
          </w:tcPr>
          <w:p>
            <w:pPr>
              <w:pStyle w:val="TableParagraph"/>
              <w:spacing w:line="161" w:lineRule="exact"/>
              <w:ind w:left="920" w:right="899"/>
              <w:rPr>
                <w:sz w:val="12"/>
              </w:rPr>
            </w:pPr>
            <w:r>
              <w:rPr>
                <w:sz w:val="12"/>
              </w:rPr>
              <w:t>生物</w:t>
            </w:r>
          </w:p>
        </w:tc>
        <w:tc>
          <w:tcPr>
            <w:tcW w:w="3560" w:type="dxa"/>
          </w:tcPr>
          <w:p>
            <w:pPr>
              <w:pStyle w:val="TableParagraph"/>
              <w:spacing w:line="161" w:lineRule="exact"/>
              <w:ind w:left="286" w:right="265"/>
              <w:rPr>
                <w:sz w:val="12"/>
              </w:rPr>
            </w:pPr>
            <w:r>
              <w:rPr>
                <w:sz w:val="12"/>
              </w:rPr>
              <w:t>GLP-1R</w:t>
            </w:r>
          </w:p>
        </w:tc>
        <w:tc>
          <w:tcPr>
            <w:tcW w:w="4547" w:type="dxa"/>
          </w:tcPr>
          <w:p>
            <w:pPr>
              <w:pStyle w:val="TableParagraph"/>
              <w:spacing w:line="161" w:lineRule="exact"/>
              <w:ind w:left="1349" w:right="1324"/>
              <w:rPr>
                <w:sz w:val="12"/>
              </w:rPr>
            </w:pPr>
            <w:r>
              <w:rPr>
                <w:sz w:val="12"/>
              </w:rPr>
              <w:t>石药集团</w:t>
            </w:r>
          </w:p>
        </w:tc>
        <w:tc>
          <w:tcPr>
            <w:tcW w:w="3560" w:type="dxa"/>
          </w:tcPr>
          <w:p>
            <w:pPr>
              <w:pStyle w:val="TableParagraph"/>
              <w:spacing w:line="161" w:lineRule="exact"/>
              <w:ind w:left="286" w:right="262"/>
              <w:rPr>
                <w:sz w:val="12"/>
              </w:rPr>
            </w:pPr>
            <w:r>
              <w:rPr>
                <w:sz w:val="12"/>
              </w:rPr>
              <w:t>申报临床</w:t>
            </w:r>
          </w:p>
        </w:tc>
      </w:tr>
      <w:tr>
        <w:trPr>
          <w:trHeight w:val="181" w:hRule="atLeast"/>
        </w:trPr>
        <w:tc>
          <w:tcPr>
            <w:tcW w:w="3560" w:type="dxa"/>
          </w:tcPr>
          <w:p>
            <w:pPr>
              <w:pStyle w:val="TableParagraph"/>
              <w:spacing w:line="161" w:lineRule="exact"/>
              <w:ind w:left="286" w:right="265"/>
              <w:rPr>
                <w:rFonts w:ascii="等线"/>
                <w:sz w:val="12"/>
              </w:rPr>
            </w:pPr>
            <w:r>
              <w:rPr>
                <w:rFonts w:ascii="等线"/>
                <w:sz w:val="12"/>
              </w:rPr>
              <w:t>BX U001</w:t>
            </w:r>
          </w:p>
        </w:tc>
        <w:tc>
          <w:tcPr>
            <w:tcW w:w="2360" w:type="dxa"/>
          </w:tcPr>
          <w:p>
            <w:pPr>
              <w:pStyle w:val="TableParagraph"/>
              <w:spacing w:line="161" w:lineRule="exact"/>
              <w:ind w:left="920" w:right="899"/>
              <w:rPr>
                <w:sz w:val="12"/>
              </w:rPr>
            </w:pPr>
            <w:r>
              <w:rPr>
                <w:sz w:val="12"/>
              </w:rPr>
              <w:t>生物</w:t>
            </w:r>
          </w:p>
        </w:tc>
        <w:tc>
          <w:tcPr>
            <w:tcW w:w="3560" w:type="dxa"/>
          </w:tcPr>
          <w:p>
            <w:pPr>
              <w:pStyle w:val="TableParagraph"/>
              <w:spacing w:line="161" w:lineRule="exact"/>
              <w:ind w:left="22"/>
              <w:rPr>
                <w:sz w:val="12"/>
              </w:rPr>
            </w:pPr>
            <w:r>
              <w:rPr>
                <w:sz w:val="12"/>
              </w:rPr>
              <w:t>-</w:t>
            </w:r>
          </w:p>
        </w:tc>
        <w:tc>
          <w:tcPr>
            <w:tcW w:w="4547" w:type="dxa"/>
          </w:tcPr>
          <w:p>
            <w:pPr>
              <w:pStyle w:val="TableParagraph"/>
              <w:spacing w:line="161" w:lineRule="exact"/>
              <w:ind w:left="1349" w:right="1324"/>
              <w:rPr>
                <w:sz w:val="12"/>
              </w:rPr>
            </w:pPr>
            <w:r>
              <w:rPr>
                <w:sz w:val="12"/>
              </w:rPr>
              <w:t>贝来生物</w:t>
            </w:r>
          </w:p>
        </w:tc>
        <w:tc>
          <w:tcPr>
            <w:tcW w:w="3560" w:type="dxa"/>
          </w:tcPr>
          <w:p>
            <w:pPr>
              <w:pStyle w:val="TableParagraph"/>
              <w:spacing w:line="161" w:lineRule="exact"/>
              <w:ind w:left="286" w:right="262"/>
              <w:rPr>
                <w:sz w:val="12"/>
              </w:rPr>
            </w:pPr>
            <w:r>
              <w:rPr>
                <w:sz w:val="12"/>
              </w:rPr>
              <w:t>申报临床</w:t>
            </w:r>
          </w:p>
        </w:tc>
      </w:tr>
      <w:tr>
        <w:trPr>
          <w:trHeight w:val="181" w:hRule="atLeast"/>
        </w:trPr>
        <w:tc>
          <w:tcPr>
            <w:tcW w:w="3560" w:type="dxa"/>
          </w:tcPr>
          <w:p>
            <w:pPr>
              <w:pStyle w:val="TableParagraph"/>
              <w:spacing w:line="161" w:lineRule="exact"/>
              <w:ind w:left="286" w:right="265"/>
              <w:rPr>
                <w:rFonts w:ascii="等线"/>
                <w:sz w:val="12"/>
              </w:rPr>
            </w:pPr>
            <w:r>
              <w:rPr>
                <w:rFonts w:ascii="等线"/>
                <w:sz w:val="12"/>
              </w:rPr>
              <w:t>ZT002</w:t>
            </w:r>
          </w:p>
        </w:tc>
        <w:tc>
          <w:tcPr>
            <w:tcW w:w="2360" w:type="dxa"/>
          </w:tcPr>
          <w:p>
            <w:pPr>
              <w:pStyle w:val="TableParagraph"/>
              <w:spacing w:line="161" w:lineRule="exact"/>
              <w:ind w:left="920" w:right="899"/>
              <w:rPr>
                <w:sz w:val="12"/>
              </w:rPr>
            </w:pPr>
            <w:r>
              <w:rPr>
                <w:sz w:val="12"/>
              </w:rPr>
              <w:t>生物</w:t>
            </w:r>
          </w:p>
        </w:tc>
        <w:tc>
          <w:tcPr>
            <w:tcW w:w="3560" w:type="dxa"/>
          </w:tcPr>
          <w:p>
            <w:pPr>
              <w:pStyle w:val="TableParagraph"/>
              <w:spacing w:line="161" w:lineRule="exact"/>
              <w:ind w:left="286" w:right="265"/>
              <w:rPr>
                <w:sz w:val="12"/>
              </w:rPr>
            </w:pPr>
            <w:r>
              <w:rPr>
                <w:sz w:val="12"/>
              </w:rPr>
              <w:t>GLP-1R</w:t>
            </w:r>
          </w:p>
        </w:tc>
        <w:tc>
          <w:tcPr>
            <w:tcW w:w="4547" w:type="dxa"/>
          </w:tcPr>
          <w:p>
            <w:pPr>
              <w:pStyle w:val="TableParagraph"/>
              <w:spacing w:line="161" w:lineRule="exact"/>
              <w:ind w:left="1349" w:right="1324"/>
              <w:rPr>
                <w:sz w:val="12"/>
              </w:rPr>
            </w:pPr>
            <w:r>
              <w:rPr>
                <w:sz w:val="12"/>
              </w:rPr>
              <w:t>质肽生物</w:t>
            </w:r>
          </w:p>
        </w:tc>
        <w:tc>
          <w:tcPr>
            <w:tcW w:w="3560" w:type="dxa"/>
          </w:tcPr>
          <w:p>
            <w:pPr>
              <w:pStyle w:val="TableParagraph"/>
              <w:spacing w:line="161" w:lineRule="exact"/>
              <w:ind w:left="286" w:right="262"/>
              <w:rPr>
                <w:sz w:val="12"/>
              </w:rPr>
            </w:pPr>
            <w:r>
              <w:rPr>
                <w:sz w:val="12"/>
              </w:rPr>
              <w:t>申报临床</w:t>
            </w:r>
          </w:p>
        </w:tc>
      </w:tr>
    </w:tbl>
    <w:p>
      <w:pPr>
        <w:spacing w:after="0" w:line="161" w:lineRule="exact"/>
        <w:rPr>
          <w:sz w:val="12"/>
        </w:rPr>
        <w:sectPr>
          <w:headerReference w:type="default" r:id="rId52"/>
          <w:footerReference w:type="default" r:id="rId53"/>
          <w:pgSz w:w="19200" w:h="10800" w:orient="landscape"/>
          <w:pgMar w:header="471" w:footer="173" w:top="1100" w:bottom="360" w:left="0" w:right="0"/>
          <w:pgNumType w:start="18"/>
        </w:sectPr>
      </w:pPr>
    </w:p>
    <w:p>
      <w:pPr>
        <w:pStyle w:val="BodyText"/>
        <w:spacing w:before="18"/>
        <w:rPr>
          <w:b/>
          <w:sz w:val="26"/>
        </w:rPr>
      </w:pPr>
    </w:p>
    <w:p>
      <w:pPr>
        <w:spacing w:before="33"/>
        <w:ind w:left="956" w:right="0" w:firstLine="0"/>
        <w:jc w:val="both"/>
        <w:rPr>
          <w:b/>
          <w:sz w:val="28"/>
        </w:rPr>
      </w:pPr>
      <w:r>
        <w:rPr/>
        <w:drawing>
          <wp:anchor distT="0" distB="0" distL="0" distR="0" allowOverlap="1" layoutInCell="1" locked="0" behindDoc="0" simplePos="0" relativeHeight="15761408">
            <wp:simplePos x="0" y="0"/>
            <wp:positionH relativeFrom="page">
              <wp:posOffset>9144</wp:posOffset>
            </wp:positionH>
            <wp:positionV relativeFrom="paragraph">
              <wp:posOffset>-158273</wp:posOffset>
            </wp:positionV>
            <wp:extent cx="12182855" cy="89915"/>
            <wp:effectExtent l="0" t="0" r="0" b="0"/>
            <wp:wrapNone/>
            <wp:docPr id="89" name="image5.png"/>
            <wp:cNvGraphicFramePr>
              <a:graphicFrameLocks noChangeAspect="1"/>
            </wp:cNvGraphicFramePr>
            <a:graphic>
              <a:graphicData uri="http://schemas.openxmlformats.org/drawingml/2006/picture">
                <pic:pic>
                  <pic:nvPicPr>
                    <pic:cNvPr id="90" name="image5.png"/>
                    <pic:cNvPicPr/>
                  </pic:nvPicPr>
                  <pic:blipFill>
                    <a:blip r:embed="rId14" cstate="print"/>
                    <a:stretch>
                      <a:fillRect/>
                    </a:stretch>
                  </pic:blipFill>
                  <pic:spPr>
                    <a:xfrm>
                      <a:off x="0" y="0"/>
                      <a:ext cx="12182855" cy="89915"/>
                    </a:xfrm>
                    <a:prstGeom prst="rect">
                      <a:avLst/>
                    </a:prstGeom>
                  </pic:spPr>
                </pic:pic>
              </a:graphicData>
            </a:graphic>
          </wp:anchor>
        </w:drawing>
      </w:r>
      <w:r>
        <w:rPr>
          <w:rFonts w:ascii="Microsoft YaHei UI Light" w:hAnsi="Microsoft YaHei UI Light" w:eastAsia="Microsoft YaHei UI Light" w:hint="eastAsia"/>
          <w:b w:val="0"/>
          <w:color w:val="00AFEF"/>
          <w:sz w:val="28"/>
        </w:rPr>
        <w:t>┃ </w:t>
      </w:r>
      <w:r>
        <w:rPr>
          <w:b/>
          <w:color w:val="57585B"/>
          <w:sz w:val="28"/>
        </w:rPr>
        <w:t>治疗产业链：恒瑞医药布局Aβ抗体，国产厂家小分子研发管线丰富</w:t>
      </w:r>
    </w:p>
    <w:p>
      <w:pPr>
        <w:pStyle w:val="ListParagraph"/>
        <w:numPr>
          <w:ilvl w:val="2"/>
          <w:numId w:val="8"/>
        </w:numPr>
        <w:tabs>
          <w:tab w:pos="1217" w:val="left" w:leader="none"/>
        </w:tabs>
        <w:spacing w:line="187" w:lineRule="auto" w:before="214" w:after="0"/>
        <w:ind w:left="1216" w:right="2370" w:hanging="284"/>
        <w:jc w:val="both"/>
        <w:rPr>
          <w:sz w:val="28"/>
        </w:rPr>
      </w:pPr>
      <w:r>
        <w:rPr>
          <w:b/>
          <w:color w:val="57585B"/>
          <w:spacing w:val="-1"/>
          <w:sz w:val="28"/>
        </w:rPr>
        <w:t>恒瑞医药：</w:t>
      </w:r>
      <w:r>
        <w:rPr>
          <w:color w:val="57585B"/>
          <w:sz w:val="28"/>
        </w:rPr>
        <w:t>SHR-1707是由恒瑞医药自主研发的人源化抗</w:t>
      </w:r>
      <w:r>
        <w:rPr>
          <w:color w:val="57585B"/>
          <w:spacing w:val="-3"/>
          <w:sz w:val="28"/>
        </w:rPr>
        <w:t>Aβ</w:t>
      </w:r>
      <w:r>
        <w:rPr>
          <w:color w:val="57585B"/>
          <w:sz w:val="28"/>
        </w:rPr>
        <w:t>的单克隆抗体（IgG1亚型），</w:t>
      </w:r>
      <w:r>
        <w:rPr>
          <w:color w:val="57585B"/>
          <w:spacing w:val="-2"/>
          <w:sz w:val="28"/>
        </w:rPr>
        <w:t>是目前唯一国产进入临床的</w:t>
      </w:r>
      <w:r>
        <w:rPr>
          <w:color w:val="57585B"/>
          <w:spacing w:val="-3"/>
          <w:sz w:val="28"/>
        </w:rPr>
        <w:t>Aβ</w:t>
      </w:r>
      <w:r>
        <w:rPr>
          <w:color w:val="57585B"/>
          <w:sz w:val="28"/>
        </w:rPr>
        <w:t>单抗， </w:t>
      </w:r>
      <w:r>
        <w:rPr>
          <w:color w:val="666666"/>
          <w:sz w:val="28"/>
        </w:rPr>
        <w:t>正在中国阿尔茨海默病患者中进行多次剂量递增Ib期研究。根据其在2023</w:t>
      </w:r>
      <w:r>
        <w:rPr>
          <w:color w:val="666666"/>
          <w:spacing w:val="4"/>
          <w:sz w:val="28"/>
        </w:rPr>
        <w:t>年</w:t>
      </w:r>
      <w:r>
        <w:rPr>
          <w:color w:val="666666"/>
          <w:spacing w:val="3"/>
          <w:sz w:val="28"/>
        </w:rPr>
        <w:t>7</w:t>
      </w:r>
      <w:r>
        <w:rPr>
          <w:color w:val="666666"/>
          <w:spacing w:val="4"/>
          <w:sz w:val="28"/>
        </w:rPr>
        <w:t>月</w:t>
      </w:r>
      <w:r>
        <w:rPr>
          <w:color w:val="666666"/>
          <w:sz w:val="28"/>
        </w:rPr>
        <w:t>AAIC大会上展示的数据，SHR-1707单次静脉</w:t>
      </w:r>
      <w:r>
        <w:rPr>
          <w:color w:val="666666"/>
          <w:spacing w:val="3"/>
          <w:sz w:val="28"/>
        </w:rPr>
        <w:t>给药在健康受试者的两项随机、双盲的I</w:t>
      </w:r>
      <w:r>
        <w:rPr>
          <w:color w:val="666666"/>
          <w:spacing w:val="4"/>
          <w:sz w:val="28"/>
        </w:rPr>
        <w:t>期临床研究</w:t>
      </w:r>
      <w:r>
        <w:rPr>
          <w:color w:val="666666"/>
          <w:sz w:val="28"/>
        </w:rPr>
        <w:t>（NCT04973189</w:t>
      </w:r>
      <w:r>
        <w:rPr>
          <w:color w:val="666666"/>
          <w:spacing w:val="4"/>
          <w:sz w:val="28"/>
        </w:rPr>
        <w:t>、</w:t>
      </w:r>
      <w:r>
        <w:rPr>
          <w:color w:val="666666"/>
          <w:sz w:val="28"/>
        </w:rPr>
        <w:t>NCT04745104）中均无严重的药物相关不良事件。无</w:t>
      </w:r>
      <w:r>
        <w:rPr>
          <w:color w:val="666666"/>
          <w:spacing w:val="3"/>
          <w:sz w:val="28"/>
        </w:rPr>
        <w:t>论年龄或种族，均观察到</w:t>
      </w:r>
      <w:r>
        <w:rPr>
          <w:color w:val="666666"/>
          <w:sz w:val="28"/>
        </w:rPr>
        <w:t>SHR-1707</w:t>
      </w:r>
      <w:r>
        <w:rPr>
          <w:color w:val="666666"/>
          <w:spacing w:val="3"/>
          <w:sz w:val="28"/>
        </w:rPr>
        <w:t>的一致安全性，且在</w:t>
      </w:r>
      <w:r>
        <w:rPr>
          <w:color w:val="666666"/>
          <w:sz w:val="28"/>
        </w:rPr>
        <w:t>2-60mg/kg</w:t>
      </w:r>
      <w:r>
        <w:rPr>
          <w:color w:val="666666"/>
          <w:spacing w:val="2"/>
          <w:sz w:val="28"/>
        </w:rPr>
        <w:t>的剂量范围内，</w:t>
      </w:r>
      <w:r>
        <w:rPr>
          <w:color w:val="666666"/>
          <w:sz w:val="28"/>
        </w:rPr>
        <w:t>SHR-1707</w:t>
      </w:r>
      <w:r>
        <w:rPr>
          <w:color w:val="666666"/>
          <w:spacing w:val="1"/>
          <w:sz w:val="28"/>
        </w:rPr>
        <w:t>在年轻人中的暴露量以略大于</w:t>
      </w:r>
      <w:r>
        <w:rPr>
          <w:color w:val="666666"/>
          <w:sz w:val="28"/>
        </w:rPr>
        <w:t>剂量比例的方式增加。血浆中Aβ</w:t>
      </w:r>
      <w:r>
        <w:rPr>
          <w:color w:val="666666"/>
          <w:spacing w:val="-10"/>
          <w:sz w:val="28"/>
        </w:rPr>
        <w:t> </w:t>
      </w:r>
      <w:r>
        <w:rPr>
          <w:color w:val="666666"/>
          <w:sz w:val="28"/>
        </w:rPr>
        <w:t>42</w:t>
      </w:r>
      <w:r>
        <w:rPr>
          <w:color w:val="666666"/>
          <w:spacing w:val="-3"/>
          <w:sz w:val="28"/>
        </w:rPr>
        <w:t>水平及较基线变化均随时间先升高后降低，呈现剂量依赖性。</w:t>
      </w:r>
    </w:p>
    <w:p>
      <w:pPr>
        <w:pStyle w:val="ListParagraph"/>
        <w:numPr>
          <w:ilvl w:val="2"/>
          <w:numId w:val="8"/>
        </w:numPr>
        <w:tabs>
          <w:tab w:pos="1217" w:val="left" w:leader="none"/>
        </w:tabs>
        <w:spacing w:line="187" w:lineRule="auto" w:before="227" w:after="0"/>
        <w:ind w:left="1216" w:right="2091" w:hanging="284"/>
        <w:jc w:val="left"/>
        <w:rPr>
          <w:sz w:val="28"/>
        </w:rPr>
      </w:pPr>
      <w:r>
        <w:rPr>
          <w:b/>
          <w:color w:val="57585B"/>
          <w:sz w:val="28"/>
        </w:rPr>
        <w:t>新华制药：</w:t>
      </w:r>
      <w:r>
        <w:rPr>
          <w:color w:val="57585B"/>
          <w:sz w:val="28"/>
        </w:rPr>
        <w:t>2018年</w:t>
      </w:r>
      <w:r>
        <w:rPr>
          <w:color w:val="57585B"/>
          <w:spacing w:val="5"/>
          <w:sz w:val="28"/>
        </w:rPr>
        <w:t>1</w:t>
      </w:r>
      <w:r>
        <w:rPr>
          <w:color w:val="57585B"/>
          <w:sz w:val="28"/>
        </w:rPr>
        <w:t>月新华制药与沈阳药科大学签署技术开发委托合同，公司支付给沈阳药科大学研究开发经费和报酬总额为  </w:t>
      </w:r>
      <w:r>
        <w:rPr>
          <w:color w:val="57585B"/>
          <w:spacing w:val="3"/>
          <w:sz w:val="28"/>
        </w:rPr>
        <w:t>人民币</w:t>
      </w:r>
      <w:r>
        <w:rPr>
          <w:color w:val="57585B"/>
          <w:spacing w:val="5"/>
          <w:sz w:val="28"/>
        </w:rPr>
        <w:t>1</w:t>
      </w:r>
      <w:r>
        <w:rPr>
          <w:color w:val="57585B"/>
          <w:sz w:val="28"/>
        </w:rPr>
        <w:t>亿元，引入阿尔兹海默症</w:t>
      </w:r>
      <w:r>
        <w:rPr>
          <w:color w:val="57585B"/>
          <w:spacing w:val="3"/>
          <w:sz w:val="28"/>
        </w:rPr>
        <w:t>1类新药</w:t>
      </w:r>
      <w:r>
        <w:rPr>
          <w:color w:val="57585B"/>
          <w:sz w:val="28"/>
        </w:rPr>
        <w:t>OAB-014</w:t>
      </w:r>
      <w:r>
        <w:rPr>
          <w:color w:val="57585B"/>
          <w:spacing w:val="4"/>
          <w:sz w:val="28"/>
        </w:rPr>
        <w:t>。</w:t>
      </w:r>
      <w:r>
        <w:rPr>
          <w:color w:val="57585B"/>
          <w:sz w:val="28"/>
        </w:rPr>
        <w:t>OAB-14</w:t>
      </w:r>
      <w:r>
        <w:rPr>
          <w:color w:val="57585B"/>
          <w:spacing w:val="4"/>
          <w:sz w:val="28"/>
        </w:rPr>
        <w:t>抗</w:t>
      </w:r>
      <w:r>
        <w:rPr>
          <w:color w:val="57585B"/>
          <w:sz w:val="28"/>
        </w:rPr>
        <w:t>AD作用，主要与清除脑内Aβ有关外，也与中枢抗炎、抗氧化、抑制神经元凋亡等多靶点的机制有关。OAB-14能显著减少脑内β淀粉样蛋白沉积，降低</w:t>
      </w:r>
      <w:r>
        <w:rPr>
          <w:color w:val="57585B"/>
          <w:spacing w:val="-11"/>
          <w:sz w:val="28"/>
        </w:rPr>
        <w:t>Tau</w:t>
      </w:r>
      <w:r>
        <w:rPr>
          <w:color w:val="57585B"/>
          <w:sz w:val="28"/>
        </w:rPr>
        <w:t>蛋白过度磷酸化，同时，保护大脑  皮层及海马神经细胞及突触结构与功能。2022年10月申报IND，2023年1月获批，2023月5月开展I期临床，目前正在进行患者 招募。</w:t>
      </w:r>
    </w:p>
    <w:p>
      <w:pPr>
        <w:pStyle w:val="ListParagraph"/>
        <w:numPr>
          <w:ilvl w:val="2"/>
          <w:numId w:val="8"/>
        </w:numPr>
        <w:tabs>
          <w:tab w:pos="1217" w:val="left" w:leader="none"/>
        </w:tabs>
        <w:spacing w:line="184" w:lineRule="auto" w:before="233" w:after="0"/>
        <w:ind w:left="1216" w:right="2369" w:hanging="284"/>
        <w:jc w:val="both"/>
        <w:rPr>
          <w:sz w:val="28"/>
        </w:rPr>
      </w:pPr>
      <w:r>
        <w:rPr>
          <w:b/>
          <w:color w:val="57585B"/>
          <w:spacing w:val="-1"/>
          <w:sz w:val="28"/>
        </w:rPr>
        <w:t>信立泰：</w:t>
      </w:r>
      <w:r>
        <w:rPr>
          <w:color w:val="57585B"/>
          <w:spacing w:val="-1"/>
          <w:sz w:val="28"/>
        </w:rPr>
        <w:t>SAL0114与美国AXSOME</w:t>
      </w:r>
      <w:r>
        <w:rPr>
          <w:color w:val="57585B"/>
          <w:sz w:val="28"/>
        </w:rPr>
        <w:t>公司的Auvelity（AXS-05）为同一机理药物。Auvelity为右美沙芬和安非他酮组成的复方制</w:t>
      </w:r>
      <w:r>
        <w:rPr>
          <w:color w:val="57585B"/>
          <w:spacing w:val="2"/>
          <w:sz w:val="28"/>
        </w:rPr>
        <w:t>剂。</w:t>
      </w:r>
      <w:r>
        <w:rPr>
          <w:color w:val="57585B"/>
          <w:sz w:val="28"/>
        </w:rPr>
        <w:t>Auvelity拟开发重度抑郁、AD激越和戒烟三个适应症，其中重度抑郁获得</w:t>
      </w:r>
      <w:r>
        <w:rPr>
          <w:color w:val="57585B"/>
          <w:spacing w:val="-3"/>
          <w:sz w:val="28"/>
        </w:rPr>
        <w:t>FDA</w:t>
      </w:r>
      <w:r>
        <w:rPr>
          <w:color w:val="57585B"/>
          <w:sz w:val="28"/>
        </w:rPr>
        <w:t>突破性疗法认定，2022年</w:t>
      </w:r>
      <w:r>
        <w:rPr>
          <w:color w:val="57585B"/>
          <w:spacing w:val="3"/>
          <w:sz w:val="28"/>
        </w:rPr>
        <w:t>8</w:t>
      </w:r>
      <w:r>
        <w:rPr>
          <w:color w:val="57585B"/>
          <w:spacing w:val="1"/>
          <w:sz w:val="28"/>
        </w:rPr>
        <w:t>月已获得</w:t>
      </w:r>
      <w:r>
        <w:rPr>
          <w:color w:val="57585B"/>
          <w:spacing w:val="-3"/>
          <w:sz w:val="28"/>
        </w:rPr>
        <w:t>FDA</w:t>
      </w:r>
      <w:r>
        <w:rPr>
          <w:color w:val="57585B"/>
          <w:sz w:val="28"/>
        </w:rPr>
        <w:t>批</w:t>
      </w:r>
      <w:r>
        <w:rPr>
          <w:color w:val="57585B"/>
          <w:spacing w:val="-2"/>
          <w:sz w:val="28"/>
        </w:rPr>
        <w:t>准，是</w:t>
      </w:r>
      <w:r>
        <w:rPr>
          <w:color w:val="57585B"/>
          <w:sz w:val="28"/>
        </w:rPr>
        <w:t>60</w:t>
      </w:r>
      <w:r>
        <w:rPr>
          <w:color w:val="57585B"/>
          <w:spacing w:val="-3"/>
          <w:sz w:val="28"/>
        </w:rPr>
        <w:t>来首个口服、作用于</w:t>
      </w:r>
      <w:r>
        <w:rPr>
          <w:color w:val="57585B"/>
          <w:spacing w:val="-4"/>
          <w:sz w:val="28"/>
        </w:rPr>
        <w:t>NMDA</w:t>
      </w:r>
      <w:r>
        <w:rPr>
          <w:color w:val="57585B"/>
          <w:spacing w:val="-3"/>
          <w:sz w:val="28"/>
        </w:rPr>
        <w:t>受体的新机制重度抑郁症药物。</w:t>
      </w:r>
      <w:r>
        <w:rPr>
          <w:color w:val="57585B"/>
          <w:sz w:val="28"/>
        </w:rPr>
        <w:t>AD</w:t>
      </w:r>
      <w:r>
        <w:rPr>
          <w:color w:val="57585B"/>
          <w:spacing w:val="-3"/>
          <w:sz w:val="28"/>
        </w:rPr>
        <w:t>激越适应症也获得</w:t>
      </w:r>
      <w:r>
        <w:rPr>
          <w:color w:val="57585B"/>
          <w:spacing w:val="-4"/>
          <w:sz w:val="28"/>
        </w:rPr>
        <w:t>FDA</w:t>
      </w:r>
      <w:r>
        <w:rPr>
          <w:color w:val="57585B"/>
          <w:spacing w:val="-3"/>
          <w:sz w:val="28"/>
        </w:rPr>
        <w:t>突破性疗法认定，目前正在进行III期临床。SAL0114为氘右美沙芬复方，根据公司2022年11月14日公示的临床试验信息显示</w:t>
      </w:r>
      <w:r>
        <w:rPr>
          <w:color w:val="57585B"/>
          <w:sz w:val="28"/>
        </w:rPr>
        <w:t>（登记号：CTR20222884），我</w:t>
      </w:r>
      <w:r>
        <w:rPr>
          <w:color w:val="57585B"/>
          <w:spacing w:val="4"/>
          <w:sz w:val="28"/>
        </w:rPr>
        <w:t>们推断</w:t>
      </w:r>
      <w:r>
        <w:rPr>
          <w:color w:val="57585B"/>
          <w:sz w:val="28"/>
        </w:rPr>
        <w:t>SAL0114</w:t>
      </w:r>
      <w:r>
        <w:rPr>
          <w:color w:val="57585B"/>
          <w:spacing w:val="3"/>
          <w:sz w:val="28"/>
        </w:rPr>
        <w:t>可能为氘右美沙芬和安非他酮的复方。国内目前尚无同类药物布局，</w:t>
      </w:r>
      <w:r>
        <w:rPr>
          <w:color w:val="57585B"/>
          <w:sz w:val="28"/>
        </w:rPr>
        <w:t>SAL0114</w:t>
      </w:r>
      <w:r>
        <w:rPr>
          <w:color w:val="57585B"/>
          <w:spacing w:val="5"/>
          <w:sz w:val="28"/>
        </w:rPr>
        <w:t>作为</w:t>
      </w:r>
      <w:r>
        <w:rPr>
          <w:color w:val="57585B"/>
          <w:sz w:val="28"/>
        </w:rPr>
        <w:t>Auvelity</w:t>
      </w:r>
      <w:r>
        <w:rPr>
          <w:color w:val="57585B"/>
          <w:spacing w:val="4"/>
          <w:sz w:val="28"/>
        </w:rPr>
        <w:t>潜在</w:t>
      </w:r>
      <w:r>
        <w:rPr>
          <w:color w:val="57585B"/>
          <w:sz w:val="28"/>
        </w:rPr>
        <w:t>me-better新</w:t>
      </w:r>
      <w:r>
        <w:rPr>
          <w:color w:val="57585B"/>
          <w:spacing w:val="-3"/>
          <w:sz w:val="28"/>
        </w:rPr>
        <w:t>药，有望满足中国的抑郁及</w:t>
      </w:r>
      <w:r>
        <w:rPr>
          <w:color w:val="57585B"/>
          <w:sz w:val="28"/>
        </w:rPr>
        <w:t>AD</w:t>
      </w:r>
      <w:r>
        <w:rPr>
          <w:color w:val="57585B"/>
          <w:spacing w:val="-3"/>
          <w:sz w:val="28"/>
        </w:rPr>
        <w:t>激越患者需求。</w:t>
      </w:r>
    </w:p>
    <w:p>
      <w:pPr>
        <w:spacing w:after="0" w:line="184" w:lineRule="auto"/>
        <w:jc w:val="both"/>
        <w:rPr>
          <w:sz w:val="28"/>
        </w:rPr>
        <w:sectPr>
          <w:pgSz w:w="19200" w:h="10800" w:orient="landscape"/>
          <w:pgMar w:header="471" w:footer="173" w:top="1100" w:bottom="360" w:left="0" w:right="0"/>
        </w:sectPr>
      </w:pPr>
    </w:p>
    <w:p>
      <w:pPr>
        <w:pStyle w:val="BodyText"/>
        <w:spacing w:before="18"/>
        <w:rPr>
          <w:sz w:val="26"/>
        </w:rPr>
      </w:pPr>
    </w:p>
    <w:p>
      <w:pPr>
        <w:pStyle w:val="Heading3"/>
        <w:jc w:val="both"/>
      </w:pPr>
      <w:r>
        <w:rPr/>
        <w:drawing>
          <wp:anchor distT="0" distB="0" distL="0" distR="0" allowOverlap="1" layoutInCell="1" locked="0" behindDoc="0" simplePos="0" relativeHeight="15761920">
            <wp:simplePos x="0" y="0"/>
            <wp:positionH relativeFrom="page">
              <wp:posOffset>9144</wp:posOffset>
            </wp:positionH>
            <wp:positionV relativeFrom="paragraph">
              <wp:posOffset>-158273</wp:posOffset>
            </wp:positionV>
            <wp:extent cx="12182855" cy="89915"/>
            <wp:effectExtent l="0" t="0" r="0" b="0"/>
            <wp:wrapNone/>
            <wp:docPr id="91" name="image5.png"/>
            <wp:cNvGraphicFramePr>
              <a:graphicFrameLocks noChangeAspect="1"/>
            </wp:cNvGraphicFramePr>
            <a:graphic>
              <a:graphicData uri="http://schemas.openxmlformats.org/drawingml/2006/picture">
                <pic:pic>
                  <pic:nvPicPr>
                    <pic:cNvPr id="92" name="image5.png"/>
                    <pic:cNvPicPr/>
                  </pic:nvPicPr>
                  <pic:blipFill>
                    <a:blip r:embed="rId14" cstate="print"/>
                    <a:stretch>
                      <a:fillRect/>
                    </a:stretch>
                  </pic:blipFill>
                  <pic:spPr>
                    <a:xfrm>
                      <a:off x="0" y="0"/>
                      <a:ext cx="12182855" cy="89915"/>
                    </a:xfrm>
                    <a:prstGeom prst="rect">
                      <a:avLst/>
                    </a:prstGeom>
                  </pic:spPr>
                </pic:pic>
              </a:graphicData>
            </a:graphic>
          </wp:anchor>
        </w:drawing>
      </w:r>
      <w:r>
        <w:rPr>
          <w:rFonts w:ascii="Microsoft YaHei UI Light" w:hAnsi="Microsoft YaHei UI Light" w:eastAsia="Microsoft YaHei UI Light" w:hint="eastAsia"/>
          <w:b w:val="0"/>
          <w:color w:val="00AFEF"/>
        </w:rPr>
        <w:t>┃ </w:t>
      </w:r>
      <w:r>
        <w:rPr>
          <w:color w:val="57585B"/>
        </w:rPr>
        <w:t>治疗产业链：恩华药业布局阿尔兹海默症鼻喷疫苗</w:t>
      </w:r>
    </w:p>
    <w:p>
      <w:pPr>
        <w:pStyle w:val="ListParagraph"/>
        <w:numPr>
          <w:ilvl w:val="2"/>
          <w:numId w:val="8"/>
        </w:numPr>
        <w:tabs>
          <w:tab w:pos="1217" w:val="left" w:leader="none"/>
        </w:tabs>
        <w:spacing w:line="184" w:lineRule="auto" w:before="218" w:after="0"/>
        <w:ind w:left="1216" w:right="2369" w:hanging="284"/>
        <w:jc w:val="both"/>
        <w:rPr>
          <w:sz w:val="28"/>
        </w:rPr>
      </w:pPr>
      <w:r>
        <w:rPr>
          <w:b/>
          <w:color w:val="57585B"/>
          <w:sz w:val="28"/>
        </w:rPr>
        <w:t>恩华药业：</w:t>
      </w:r>
      <w:r>
        <w:rPr>
          <w:color w:val="57585B"/>
          <w:sz w:val="28"/>
        </w:rPr>
        <w:t>2020年公司联合天境生物与美国BWH和美国Biodextris就合作开发Protollin研发项目共同签署了《许可协议》，恩</w:t>
      </w:r>
      <w:r>
        <w:rPr>
          <w:color w:val="57585B"/>
          <w:spacing w:val="-1"/>
          <w:sz w:val="28"/>
        </w:rPr>
        <w:t>华与天境生物合作引进阿尔兹海默症1类新药Protollin</w:t>
      </w:r>
      <w:r>
        <w:rPr>
          <w:color w:val="57585B"/>
          <w:sz w:val="28"/>
        </w:rPr>
        <w:t>鼻喷剂。Protollin</w:t>
      </w:r>
      <w:r>
        <w:rPr>
          <w:color w:val="57585B"/>
          <w:spacing w:val="-2"/>
          <w:sz w:val="28"/>
        </w:rPr>
        <w:t>鼻喷剂为全球首个针对阿尔兹海默症的鼻喷疫苗，目前</w:t>
      </w:r>
      <w:r>
        <w:rPr>
          <w:color w:val="57585B"/>
          <w:spacing w:val="-3"/>
          <w:sz w:val="28"/>
        </w:rPr>
        <w:t>正在美国开展</w:t>
      </w:r>
      <w:r>
        <w:rPr>
          <w:color w:val="57585B"/>
          <w:sz w:val="28"/>
        </w:rPr>
        <w:t>I</w:t>
      </w:r>
      <w:r>
        <w:rPr>
          <w:color w:val="57585B"/>
          <w:spacing w:val="-3"/>
          <w:sz w:val="28"/>
        </w:rPr>
        <w:t>期临床试验。</w:t>
      </w:r>
    </w:p>
    <w:p>
      <w:pPr>
        <w:pStyle w:val="BodyText"/>
        <w:spacing w:before="13"/>
        <w:rPr>
          <w:sz w:val="21"/>
        </w:rPr>
      </w:pPr>
    </w:p>
    <w:p>
      <w:pPr>
        <w:pStyle w:val="ListParagraph"/>
        <w:numPr>
          <w:ilvl w:val="0"/>
          <w:numId w:val="9"/>
        </w:numPr>
        <w:tabs>
          <w:tab w:pos="886" w:val="left" w:leader="none"/>
          <w:tab w:pos="888" w:val="left" w:leader="none"/>
        </w:tabs>
        <w:spacing w:line="240" w:lineRule="auto" w:before="0" w:after="0"/>
        <w:ind w:left="887" w:right="0" w:hanging="453"/>
        <w:jc w:val="left"/>
        <w:rPr>
          <w:b/>
          <w:sz w:val="22"/>
        </w:rPr>
      </w:pPr>
      <w:r>
        <w:rPr>
          <w:b/>
          <w:color w:val="0A4EA1"/>
          <w:sz w:val="22"/>
        </w:rPr>
        <w:t>恩华药业创新药研发管线</w:t>
      </w:r>
    </w:p>
    <w:p>
      <w:pPr>
        <w:pStyle w:val="BodyText"/>
        <w:spacing w:before="6"/>
        <w:rPr>
          <w:b/>
          <w:sz w:val="5"/>
        </w:rPr>
      </w:pPr>
    </w:p>
    <w:tbl>
      <w:tblPr>
        <w:tblW w:w="0" w:type="auto"/>
        <w:jc w:val="left"/>
        <w:tblInd w:w="301"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top w:w="0" w:type="dxa"/>
          <w:left w:w="0" w:type="dxa"/>
          <w:bottom w:w="0" w:type="dxa"/>
          <w:right w:w="0" w:type="dxa"/>
        </w:tblCellMar>
        <w:tblLook w:val="01E0"/>
      </w:tblPr>
      <w:tblGrid>
        <w:gridCol w:w="2278"/>
        <w:gridCol w:w="1864"/>
        <w:gridCol w:w="1694"/>
        <w:gridCol w:w="2132"/>
        <w:gridCol w:w="2838"/>
        <w:gridCol w:w="3756"/>
        <w:gridCol w:w="3770"/>
      </w:tblGrid>
      <w:tr>
        <w:trPr>
          <w:trHeight w:val="403" w:hRule="atLeast"/>
        </w:trPr>
        <w:tc>
          <w:tcPr>
            <w:tcW w:w="2278" w:type="dxa"/>
            <w:shd w:val="clear" w:color="auto" w:fill="0A4EA1"/>
          </w:tcPr>
          <w:p>
            <w:pPr>
              <w:pStyle w:val="TableParagraph"/>
              <w:spacing w:line="360" w:lineRule="exact" w:before="23"/>
              <w:ind w:left="107" w:right="89"/>
              <w:rPr>
                <w:b/>
                <w:sz w:val="20"/>
              </w:rPr>
            </w:pPr>
            <w:r>
              <w:rPr>
                <w:b/>
                <w:color w:val="FFFFFF"/>
                <w:sz w:val="20"/>
              </w:rPr>
              <w:t>产品名称</w:t>
            </w:r>
          </w:p>
        </w:tc>
        <w:tc>
          <w:tcPr>
            <w:tcW w:w="1864" w:type="dxa"/>
            <w:shd w:val="clear" w:color="auto" w:fill="0A4EA1"/>
          </w:tcPr>
          <w:p>
            <w:pPr>
              <w:pStyle w:val="TableParagraph"/>
              <w:spacing w:line="360" w:lineRule="exact" w:before="23"/>
              <w:ind w:left="67" w:right="47"/>
              <w:rPr>
                <w:b/>
                <w:sz w:val="20"/>
              </w:rPr>
            </w:pPr>
            <w:r>
              <w:rPr>
                <w:b/>
                <w:color w:val="FFFFFF"/>
                <w:sz w:val="20"/>
              </w:rPr>
              <w:t>靶点</w:t>
            </w:r>
          </w:p>
        </w:tc>
        <w:tc>
          <w:tcPr>
            <w:tcW w:w="1694" w:type="dxa"/>
            <w:shd w:val="clear" w:color="auto" w:fill="0A4EA1"/>
          </w:tcPr>
          <w:p>
            <w:pPr>
              <w:pStyle w:val="TableParagraph"/>
              <w:spacing w:line="360" w:lineRule="exact" w:before="23"/>
              <w:ind w:left="126" w:right="106"/>
              <w:rPr>
                <w:b/>
                <w:sz w:val="20"/>
              </w:rPr>
            </w:pPr>
            <w:r>
              <w:rPr>
                <w:b/>
                <w:color w:val="FFFFFF"/>
                <w:sz w:val="20"/>
              </w:rPr>
              <w:t>治疗领域</w:t>
            </w:r>
          </w:p>
        </w:tc>
        <w:tc>
          <w:tcPr>
            <w:tcW w:w="2132" w:type="dxa"/>
            <w:shd w:val="clear" w:color="auto" w:fill="0A4EA1"/>
          </w:tcPr>
          <w:p>
            <w:pPr>
              <w:pStyle w:val="TableParagraph"/>
              <w:spacing w:line="360" w:lineRule="exact" w:before="23"/>
              <w:ind w:left="20"/>
              <w:rPr>
                <w:b/>
                <w:sz w:val="20"/>
              </w:rPr>
            </w:pPr>
            <w:r>
              <w:rPr>
                <w:b/>
                <w:color w:val="FFFFFF"/>
                <w:sz w:val="20"/>
              </w:rPr>
              <w:t>中国研发进展</w:t>
            </w:r>
          </w:p>
        </w:tc>
        <w:tc>
          <w:tcPr>
            <w:tcW w:w="2838" w:type="dxa"/>
            <w:shd w:val="clear" w:color="auto" w:fill="0A4EA1"/>
          </w:tcPr>
          <w:p>
            <w:pPr>
              <w:pStyle w:val="TableParagraph"/>
              <w:spacing w:line="360" w:lineRule="exact" w:before="23"/>
              <w:ind w:left="999" w:right="978"/>
              <w:rPr>
                <w:b/>
                <w:sz w:val="20"/>
              </w:rPr>
            </w:pPr>
            <w:r>
              <w:rPr>
                <w:b/>
                <w:color w:val="FFFFFF"/>
                <w:sz w:val="20"/>
              </w:rPr>
              <w:t>研发模式</w:t>
            </w:r>
          </w:p>
        </w:tc>
        <w:tc>
          <w:tcPr>
            <w:tcW w:w="3756" w:type="dxa"/>
            <w:shd w:val="clear" w:color="auto" w:fill="0A4EA1"/>
          </w:tcPr>
          <w:p>
            <w:pPr>
              <w:pStyle w:val="TableParagraph"/>
              <w:spacing w:line="360" w:lineRule="exact" w:before="23"/>
              <w:ind w:left="56" w:right="37"/>
              <w:rPr>
                <w:b/>
                <w:sz w:val="20"/>
              </w:rPr>
            </w:pPr>
            <w:r>
              <w:rPr>
                <w:b/>
                <w:color w:val="FFFFFF"/>
                <w:sz w:val="20"/>
              </w:rPr>
              <w:t>创新类别</w:t>
            </w:r>
          </w:p>
        </w:tc>
        <w:tc>
          <w:tcPr>
            <w:tcW w:w="3770" w:type="dxa"/>
            <w:shd w:val="clear" w:color="auto" w:fill="0A4EA1"/>
          </w:tcPr>
          <w:p>
            <w:pPr>
              <w:pStyle w:val="TableParagraph"/>
              <w:spacing w:line="360" w:lineRule="exact" w:before="23"/>
              <w:ind w:left="404" w:right="386"/>
              <w:rPr>
                <w:b/>
                <w:sz w:val="20"/>
              </w:rPr>
            </w:pPr>
            <w:r>
              <w:rPr>
                <w:b/>
                <w:color w:val="FFFFFF"/>
                <w:sz w:val="20"/>
              </w:rPr>
              <w:t>备注</w:t>
            </w:r>
          </w:p>
        </w:tc>
      </w:tr>
      <w:tr>
        <w:trPr>
          <w:trHeight w:val="403" w:hRule="atLeast"/>
        </w:trPr>
        <w:tc>
          <w:tcPr>
            <w:tcW w:w="2278" w:type="dxa"/>
          </w:tcPr>
          <w:p>
            <w:pPr>
              <w:pStyle w:val="TableParagraph"/>
              <w:spacing w:line="361" w:lineRule="exact" w:before="23"/>
              <w:ind w:left="107" w:right="86"/>
              <w:rPr>
                <w:sz w:val="20"/>
              </w:rPr>
            </w:pPr>
            <w:r>
              <w:rPr>
                <w:sz w:val="20"/>
              </w:rPr>
              <w:t>TRV 130注射液</w:t>
            </w:r>
          </w:p>
        </w:tc>
        <w:tc>
          <w:tcPr>
            <w:tcW w:w="1864" w:type="dxa"/>
          </w:tcPr>
          <w:p>
            <w:pPr>
              <w:pStyle w:val="TableParagraph"/>
              <w:spacing w:line="361" w:lineRule="exact" w:before="23"/>
              <w:ind w:left="65" w:right="47"/>
              <w:rPr>
                <w:sz w:val="20"/>
              </w:rPr>
            </w:pPr>
            <w:r>
              <w:rPr>
                <w:sz w:val="20"/>
              </w:rPr>
              <w:t>MOR</w:t>
            </w:r>
          </w:p>
        </w:tc>
        <w:tc>
          <w:tcPr>
            <w:tcW w:w="1694" w:type="dxa"/>
          </w:tcPr>
          <w:p>
            <w:pPr>
              <w:pStyle w:val="TableParagraph"/>
              <w:spacing w:line="361" w:lineRule="exact" w:before="23"/>
              <w:ind w:left="126" w:right="106"/>
              <w:rPr>
                <w:sz w:val="20"/>
              </w:rPr>
            </w:pPr>
            <w:r>
              <w:rPr>
                <w:sz w:val="20"/>
              </w:rPr>
              <w:t>麻醉镇痛</w:t>
            </w:r>
          </w:p>
        </w:tc>
        <w:tc>
          <w:tcPr>
            <w:tcW w:w="2132" w:type="dxa"/>
          </w:tcPr>
          <w:p>
            <w:pPr>
              <w:pStyle w:val="TableParagraph"/>
              <w:spacing w:line="361" w:lineRule="exact" w:before="23"/>
              <w:ind w:left="17"/>
              <w:rPr>
                <w:sz w:val="20"/>
              </w:rPr>
            </w:pPr>
            <w:r>
              <w:rPr>
                <w:sz w:val="20"/>
              </w:rPr>
              <w:t>已上市（2023）</w:t>
            </w:r>
          </w:p>
        </w:tc>
        <w:tc>
          <w:tcPr>
            <w:tcW w:w="2838" w:type="dxa"/>
            <w:shd w:val="clear" w:color="auto" w:fill="F1F1F1"/>
          </w:tcPr>
          <w:p>
            <w:pPr>
              <w:pStyle w:val="TableParagraph"/>
              <w:spacing w:line="361" w:lineRule="exact" w:before="23"/>
              <w:ind w:right="222"/>
              <w:jc w:val="right"/>
              <w:rPr>
                <w:sz w:val="20"/>
              </w:rPr>
            </w:pPr>
            <w:r>
              <w:rPr>
                <w:sz w:val="20"/>
              </w:rPr>
              <w:t>国外引进（美国Trevena）</w:t>
            </w:r>
          </w:p>
        </w:tc>
        <w:tc>
          <w:tcPr>
            <w:tcW w:w="3756" w:type="dxa"/>
          </w:tcPr>
          <w:p>
            <w:pPr>
              <w:pStyle w:val="TableParagraph"/>
              <w:spacing w:line="361" w:lineRule="exact" w:before="23"/>
              <w:ind w:left="56" w:right="40"/>
              <w:rPr>
                <w:sz w:val="20"/>
              </w:rPr>
            </w:pPr>
            <w:r>
              <w:rPr>
                <w:sz w:val="20"/>
              </w:rPr>
              <w:t>具有化合物专利国内独家授权保护的新品</w:t>
            </w:r>
          </w:p>
        </w:tc>
        <w:tc>
          <w:tcPr>
            <w:tcW w:w="3770" w:type="dxa"/>
          </w:tcPr>
          <w:p>
            <w:pPr>
              <w:pStyle w:val="TableParagraph"/>
              <w:spacing w:line="361" w:lineRule="exact" w:before="23"/>
              <w:ind w:left="404" w:right="386"/>
              <w:rPr>
                <w:sz w:val="20"/>
              </w:rPr>
            </w:pPr>
            <w:r>
              <w:rPr>
                <w:sz w:val="20"/>
              </w:rPr>
              <w:t>精麻管制</w:t>
            </w:r>
          </w:p>
        </w:tc>
      </w:tr>
      <w:tr>
        <w:trPr>
          <w:trHeight w:val="403" w:hRule="atLeast"/>
        </w:trPr>
        <w:tc>
          <w:tcPr>
            <w:tcW w:w="2278" w:type="dxa"/>
          </w:tcPr>
          <w:p>
            <w:pPr>
              <w:pStyle w:val="TableParagraph"/>
              <w:spacing w:line="361" w:lineRule="exact" w:before="23"/>
              <w:ind w:left="107" w:right="89"/>
              <w:rPr>
                <w:sz w:val="20"/>
              </w:rPr>
            </w:pPr>
            <w:r>
              <w:rPr>
                <w:sz w:val="20"/>
              </w:rPr>
              <w:t>NH600001乳状注射液</w:t>
            </w:r>
          </w:p>
        </w:tc>
        <w:tc>
          <w:tcPr>
            <w:tcW w:w="1864" w:type="dxa"/>
          </w:tcPr>
          <w:p>
            <w:pPr>
              <w:pStyle w:val="TableParagraph"/>
              <w:spacing w:line="361" w:lineRule="exact" w:before="23"/>
              <w:ind w:left="68" w:right="47"/>
              <w:rPr>
                <w:sz w:val="20"/>
              </w:rPr>
            </w:pPr>
            <w:r>
              <w:rPr>
                <w:sz w:val="20"/>
              </w:rPr>
              <w:t>GABAA</w:t>
            </w:r>
          </w:p>
        </w:tc>
        <w:tc>
          <w:tcPr>
            <w:tcW w:w="1694" w:type="dxa"/>
          </w:tcPr>
          <w:p>
            <w:pPr>
              <w:pStyle w:val="TableParagraph"/>
              <w:spacing w:line="361" w:lineRule="exact" w:before="23"/>
              <w:ind w:left="126" w:right="106"/>
              <w:rPr>
                <w:sz w:val="20"/>
              </w:rPr>
            </w:pPr>
            <w:r>
              <w:rPr>
                <w:sz w:val="20"/>
              </w:rPr>
              <w:t>静脉麻醉</w:t>
            </w:r>
          </w:p>
        </w:tc>
        <w:tc>
          <w:tcPr>
            <w:tcW w:w="2132" w:type="dxa"/>
          </w:tcPr>
          <w:p>
            <w:pPr>
              <w:pStyle w:val="TableParagraph"/>
              <w:spacing w:line="361" w:lineRule="exact" w:before="23"/>
              <w:ind w:left="17"/>
              <w:rPr>
                <w:sz w:val="20"/>
              </w:rPr>
            </w:pPr>
            <w:r>
              <w:rPr>
                <w:sz w:val="20"/>
              </w:rPr>
              <w:t>II期临床</w:t>
            </w:r>
          </w:p>
        </w:tc>
        <w:tc>
          <w:tcPr>
            <w:tcW w:w="2838" w:type="dxa"/>
          </w:tcPr>
          <w:p>
            <w:pPr>
              <w:pStyle w:val="TableParagraph"/>
              <w:spacing w:line="361" w:lineRule="exact" w:before="23"/>
              <w:ind w:left="999" w:right="978"/>
              <w:rPr>
                <w:sz w:val="20"/>
              </w:rPr>
            </w:pPr>
            <w:r>
              <w:rPr>
                <w:sz w:val="20"/>
              </w:rPr>
              <w:t>自主研发</w:t>
            </w:r>
          </w:p>
        </w:tc>
        <w:tc>
          <w:tcPr>
            <w:tcW w:w="3756" w:type="dxa"/>
          </w:tcPr>
          <w:p>
            <w:pPr>
              <w:pStyle w:val="TableParagraph"/>
              <w:spacing w:line="361" w:lineRule="exact" w:before="23"/>
              <w:ind w:left="56" w:right="37"/>
              <w:rPr>
                <w:sz w:val="20"/>
              </w:rPr>
            </w:pPr>
            <w:r>
              <w:rPr>
                <w:sz w:val="20"/>
              </w:rPr>
              <w:t>1类新药</w:t>
            </w:r>
          </w:p>
        </w:tc>
        <w:tc>
          <w:tcPr>
            <w:tcW w:w="3770" w:type="dxa"/>
          </w:tcPr>
          <w:p>
            <w:pPr>
              <w:pStyle w:val="TableParagraph"/>
              <w:spacing w:line="361" w:lineRule="exact" w:before="23"/>
              <w:ind w:left="404" w:right="386"/>
              <w:rPr>
                <w:sz w:val="20"/>
              </w:rPr>
            </w:pPr>
            <w:r>
              <w:rPr>
                <w:sz w:val="20"/>
              </w:rPr>
              <w:t>依托咪酯改构</w:t>
            </w:r>
          </w:p>
        </w:tc>
      </w:tr>
      <w:tr>
        <w:trPr>
          <w:trHeight w:val="403" w:hRule="atLeast"/>
        </w:trPr>
        <w:tc>
          <w:tcPr>
            <w:tcW w:w="2278" w:type="dxa"/>
          </w:tcPr>
          <w:p>
            <w:pPr>
              <w:pStyle w:val="TableParagraph"/>
              <w:spacing w:line="361" w:lineRule="exact" w:before="23"/>
              <w:ind w:left="107" w:right="89"/>
              <w:rPr>
                <w:sz w:val="20"/>
              </w:rPr>
            </w:pPr>
            <w:r>
              <w:rPr>
                <w:sz w:val="20"/>
              </w:rPr>
              <w:t>NHL35700</w:t>
            </w:r>
          </w:p>
        </w:tc>
        <w:tc>
          <w:tcPr>
            <w:tcW w:w="1864" w:type="dxa"/>
          </w:tcPr>
          <w:p>
            <w:pPr>
              <w:pStyle w:val="TableParagraph"/>
              <w:spacing w:line="361" w:lineRule="exact" w:before="23"/>
              <w:ind w:left="68" w:right="47"/>
              <w:rPr>
                <w:sz w:val="20"/>
              </w:rPr>
            </w:pPr>
            <w:r>
              <w:rPr>
                <w:sz w:val="20"/>
              </w:rPr>
              <w:t>D1;5-HT6;5-HT2A</w:t>
            </w:r>
          </w:p>
        </w:tc>
        <w:tc>
          <w:tcPr>
            <w:tcW w:w="1694" w:type="dxa"/>
          </w:tcPr>
          <w:p>
            <w:pPr>
              <w:pStyle w:val="TableParagraph"/>
              <w:spacing w:line="361" w:lineRule="exact" w:before="23"/>
              <w:ind w:left="126" w:right="108"/>
              <w:rPr>
                <w:sz w:val="20"/>
              </w:rPr>
            </w:pPr>
            <w:r>
              <w:rPr>
                <w:sz w:val="20"/>
              </w:rPr>
              <w:t>精神分裂症</w:t>
            </w:r>
          </w:p>
        </w:tc>
        <w:tc>
          <w:tcPr>
            <w:tcW w:w="2132" w:type="dxa"/>
          </w:tcPr>
          <w:p>
            <w:pPr>
              <w:pStyle w:val="TableParagraph"/>
              <w:spacing w:line="361" w:lineRule="exact" w:before="23"/>
              <w:ind w:left="17"/>
              <w:rPr>
                <w:sz w:val="20"/>
              </w:rPr>
            </w:pPr>
            <w:r>
              <w:rPr>
                <w:sz w:val="20"/>
              </w:rPr>
              <w:t>I期临床</w:t>
            </w:r>
          </w:p>
        </w:tc>
        <w:tc>
          <w:tcPr>
            <w:tcW w:w="2838" w:type="dxa"/>
            <w:shd w:val="clear" w:color="auto" w:fill="F1F1F1"/>
          </w:tcPr>
          <w:p>
            <w:pPr>
              <w:pStyle w:val="TableParagraph"/>
              <w:spacing w:line="361" w:lineRule="exact" w:before="23"/>
              <w:ind w:right="138"/>
              <w:jc w:val="right"/>
              <w:rPr>
                <w:sz w:val="20"/>
              </w:rPr>
            </w:pPr>
            <w:r>
              <w:rPr>
                <w:sz w:val="20"/>
              </w:rPr>
              <w:t>国外引进（丹麦Lundbeck）</w:t>
            </w:r>
          </w:p>
        </w:tc>
        <w:tc>
          <w:tcPr>
            <w:tcW w:w="3756" w:type="dxa"/>
          </w:tcPr>
          <w:p>
            <w:pPr>
              <w:pStyle w:val="TableParagraph"/>
              <w:spacing w:line="361" w:lineRule="exact" w:before="23"/>
              <w:ind w:left="56" w:right="37"/>
              <w:rPr>
                <w:sz w:val="20"/>
              </w:rPr>
            </w:pPr>
            <w:r>
              <w:rPr>
                <w:sz w:val="20"/>
              </w:rPr>
              <w:t>1类新药</w:t>
            </w:r>
          </w:p>
        </w:tc>
        <w:tc>
          <w:tcPr>
            <w:tcW w:w="3770" w:type="dxa"/>
          </w:tcPr>
          <w:p>
            <w:pPr>
              <w:pStyle w:val="TableParagraph"/>
              <w:spacing w:line="240" w:lineRule="auto"/>
              <w:jc w:val="left"/>
              <w:rPr>
                <w:rFonts w:ascii="Times New Roman"/>
                <w:sz w:val="22"/>
              </w:rPr>
            </w:pPr>
          </w:p>
        </w:tc>
      </w:tr>
      <w:tr>
        <w:trPr>
          <w:trHeight w:val="403" w:hRule="atLeast"/>
        </w:trPr>
        <w:tc>
          <w:tcPr>
            <w:tcW w:w="2278" w:type="dxa"/>
          </w:tcPr>
          <w:p>
            <w:pPr>
              <w:pStyle w:val="TableParagraph"/>
              <w:spacing w:line="360" w:lineRule="exact" w:before="24"/>
              <w:ind w:left="106" w:right="89"/>
              <w:rPr>
                <w:sz w:val="20"/>
              </w:rPr>
            </w:pPr>
            <w:r>
              <w:rPr>
                <w:sz w:val="20"/>
              </w:rPr>
              <w:t>NH112</w:t>
            </w:r>
          </w:p>
        </w:tc>
        <w:tc>
          <w:tcPr>
            <w:tcW w:w="1864" w:type="dxa"/>
          </w:tcPr>
          <w:p>
            <w:pPr>
              <w:pStyle w:val="TableParagraph"/>
              <w:spacing w:line="360" w:lineRule="exact" w:before="24"/>
              <w:ind w:left="20"/>
              <w:rPr>
                <w:sz w:val="20"/>
              </w:rPr>
            </w:pPr>
            <w:r>
              <w:rPr>
                <w:w w:val="99"/>
                <w:sz w:val="20"/>
              </w:rPr>
              <w:t>-</w:t>
            </w:r>
          </w:p>
        </w:tc>
        <w:tc>
          <w:tcPr>
            <w:tcW w:w="1694" w:type="dxa"/>
          </w:tcPr>
          <w:p>
            <w:pPr>
              <w:pStyle w:val="TableParagraph"/>
              <w:spacing w:line="360" w:lineRule="exact" w:before="24"/>
              <w:ind w:left="126" w:right="108"/>
              <w:rPr>
                <w:sz w:val="20"/>
              </w:rPr>
            </w:pPr>
            <w:r>
              <w:rPr>
                <w:sz w:val="20"/>
              </w:rPr>
              <w:t>精神分裂症</w:t>
            </w:r>
          </w:p>
        </w:tc>
        <w:tc>
          <w:tcPr>
            <w:tcW w:w="2132" w:type="dxa"/>
          </w:tcPr>
          <w:p>
            <w:pPr>
              <w:pStyle w:val="TableParagraph"/>
              <w:spacing w:line="360" w:lineRule="exact" w:before="24"/>
              <w:ind w:left="17"/>
              <w:rPr>
                <w:sz w:val="20"/>
              </w:rPr>
            </w:pPr>
            <w:r>
              <w:rPr>
                <w:sz w:val="20"/>
              </w:rPr>
              <w:t>I期临床</w:t>
            </w:r>
          </w:p>
        </w:tc>
        <w:tc>
          <w:tcPr>
            <w:tcW w:w="2838" w:type="dxa"/>
            <w:shd w:val="clear" w:color="auto" w:fill="F1F1F1"/>
          </w:tcPr>
          <w:p>
            <w:pPr>
              <w:pStyle w:val="TableParagraph"/>
              <w:spacing w:line="360" w:lineRule="exact" w:before="24"/>
              <w:ind w:left="999" w:right="978"/>
              <w:rPr>
                <w:sz w:val="20"/>
              </w:rPr>
            </w:pPr>
            <w:r>
              <w:rPr>
                <w:sz w:val="20"/>
              </w:rPr>
              <w:t>自主研发</w:t>
            </w:r>
          </w:p>
        </w:tc>
        <w:tc>
          <w:tcPr>
            <w:tcW w:w="3756" w:type="dxa"/>
          </w:tcPr>
          <w:p>
            <w:pPr>
              <w:pStyle w:val="TableParagraph"/>
              <w:spacing w:line="360" w:lineRule="exact" w:before="24"/>
              <w:ind w:left="56" w:right="37"/>
              <w:rPr>
                <w:sz w:val="20"/>
              </w:rPr>
            </w:pPr>
            <w:r>
              <w:rPr>
                <w:sz w:val="20"/>
              </w:rPr>
              <w:t>1类新药</w:t>
            </w:r>
          </w:p>
        </w:tc>
        <w:tc>
          <w:tcPr>
            <w:tcW w:w="3770" w:type="dxa"/>
          </w:tcPr>
          <w:p>
            <w:pPr>
              <w:pStyle w:val="TableParagraph"/>
              <w:spacing w:line="240" w:lineRule="auto"/>
              <w:jc w:val="left"/>
              <w:rPr>
                <w:rFonts w:ascii="Times New Roman"/>
                <w:sz w:val="22"/>
              </w:rPr>
            </w:pPr>
          </w:p>
        </w:tc>
      </w:tr>
      <w:tr>
        <w:trPr>
          <w:trHeight w:val="403" w:hRule="atLeast"/>
        </w:trPr>
        <w:tc>
          <w:tcPr>
            <w:tcW w:w="2278" w:type="dxa"/>
          </w:tcPr>
          <w:p>
            <w:pPr>
              <w:pStyle w:val="TableParagraph"/>
              <w:spacing w:line="360" w:lineRule="exact" w:before="23"/>
              <w:ind w:left="106" w:right="89"/>
              <w:rPr>
                <w:sz w:val="20"/>
              </w:rPr>
            </w:pPr>
            <w:r>
              <w:rPr>
                <w:sz w:val="20"/>
              </w:rPr>
              <w:t>NH130</w:t>
            </w:r>
          </w:p>
        </w:tc>
        <w:tc>
          <w:tcPr>
            <w:tcW w:w="1864" w:type="dxa"/>
          </w:tcPr>
          <w:p>
            <w:pPr>
              <w:pStyle w:val="TableParagraph"/>
              <w:spacing w:line="360" w:lineRule="exact" w:before="23"/>
              <w:ind w:left="68" w:right="47"/>
              <w:rPr>
                <w:sz w:val="20"/>
              </w:rPr>
            </w:pPr>
            <w:r>
              <w:rPr>
                <w:sz w:val="20"/>
              </w:rPr>
              <w:t>5-HT2A</w:t>
            </w:r>
          </w:p>
        </w:tc>
        <w:tc>
          <w:tcPr>
            <w:tcW w:w="1694" w:type="dxa"/>
          </w:tcPr>
          <w:p>
            <w:pPr>
              <w:pStyle w:val="TableParagraph"/>
              <w:spacing w:line="360" w:lineRule="exact" w:before="23"/>
              <w:ind w:left="126" w:right="108"/>
              <w:rPr>
                <w:sz w:val="20"/>
              </w:rPr>
            </w:pPr>
            <w:r>
              <w:rPr>
                <w:sz w:val="20"/>
              </w:rPr>
              <w:t>帕金森病精神病</w:t>
            </w:r>
          </w:p>
        </w:tc>
        <w:tc>
          <w:tcPr>
            <w:tcW w:w="2132" w:type="dxa"/>
          </w:tcPr>
          <w:p>
            <w:pPr>
              <w:pStyle w:val="TableParagraph"/>
              <w:spacing w:line="360" w:lineRule="exact" w:before="23"/>
              <w:ind w:left="17"/>
              <w:rPr>
                <w:sz w:val="20"/>
              </w:rPr>
            </w:pPr>
            <w:r>
              <w:rPr>
                <w:sz w:val="20"/>
              </w:rPr>
              <w:t>I期临床</w:t>
            </w:r>
          </w:p>
        </w:tc>
        <w:tc>
          <w:tcPr>
            <w:tcW w:w="2838" w:type="dxa"/>
          </w:tcPr>
          <w:p>
            <w:pPr>
              <w:pStyle w:val="TableParagraph"/>
              <w:spacing w:line="360" w:lineRule="exact" w:before="23"/>
              <w:ind w:left="999" w:right="978"/>
              <w:rPr>
                <w:sz w:val="20"/>
              </w:rPr>
            </w:pPr>
            <w:r>
              <w:rPr>
                <w:sz w:val="20"/>
              </w:rPr>
              <w:t>自主研发</w:t>
            </w:r>
          </w:p>
        </w:tc>
        <w:tc>
          <w:tcPr>
            <w:tcW w:w="3756" w:type="dxa"/>
          </w:tcPr>
          <w:p>
            <w:pPr>
              <w:pStyle w:val="TableParagraph"/>
              <w:spacing w:line="360" w:lineRule="exact" w:before="23"/>
              <w:ind w:left="56" w:right="37"/>
              <w:rPr>
                <w:sz w:val="20"/>
              </w:rPr>
            </w:pPr>
            <w:r>
              <w:rPr>
                <w:sz w:val="20"/>
              </w:rPr>
              <w:t>1类新药</w:t>
            </w:r>
          </w:p>
        </w:tc>
        <w:tc>
          <w:tcPr>
            <w:tcW w:w="3770" w:type="dxa"/>
          </w:tcPr>
          <w:p>
            <w:pPr>
              <w:pStyle w:val="TableParagraph"/>
              <w:spacing w:line="240" w:lineRule="auto"/>
              <w:jc w:val="left"/>
              <w:rPr>
                <w:rFonts w:ascii="Times New Roman"/>
                <w:sz w:val="22"/>
              </w:rPr>
            </w:pPr>
          </w:p>
        </w:tc>
      </w:tr>
      <w:tr>
        <w:trPr>
          <w:trHeight w:val="404" w:hRule="atLeast"/>
        </w:trPr>
        <w:tc>
          <w:tcPr>
            <w:tcW w:w="2278" w:type="dxa"/>
          </w:tcPr>
          <w:p>
            <w:pPr>
              <w:pStyle w:val="TableParagraph"/>
              <w:spacing w:line="360" w:lineRule="exact" w:before="23"/>
              <w:ind w:left="106" w:right="89"/>
              <w:rPr>
                <w:sz w:val="20"/>
              </w:rPr>
            </w:pPr>
            <w:r>
              <w:rPr>
                <w:sz w:val="20"/>
              </w:rPr>
              <w:t>NH102</w:t>
            </w:r>
          </w:p>
        </w:tc>
        <w:tc>
          <w:tcPr>
            <w:tcW w:w="1864" w:type="dxa"/>
          </w:tcPr>
          <w:p>
            <w:pPr>
              <w:pStyle w:val="TableParagraph"/>
              <w:spacing w:line="360" w:lineRule="exact" w:before="23"/>
              <w:ind w:left="64" w:right="47"/>
              <w:rPr>
                <w:sz w:val="20"/>
              </w:rPr>
            </w:pPr>
            <w:r>
              <w:rPr>
                <w:sz w:val="20"/>
              </w:rPr>
              <w:t>NET;SERT</w:t>
            </w:r>
          </w:p>
        </w:tc>
        <w:tc>
          <w:tcPr>
            <w:tcW w:w="1694" w:type="dxa"/>
          </w:tcPr>
          <w:p>
            <w:pPr>
              <w:pStyle w:val="TableParagraph"/>
              <w:spacing w:line="360" w:lineRule="exact" w:before="23"/>
              <w:ind w:left="126" w:right="108"/>
              <w:rPr>
                <w:sz w:val="20"/>
              </w:rPr>
            </w:pPr>
            <w:r>
              <w:rPr>
                <w:sz w:val="20"/>
              </w:rPr>
              <w:t>抗抑郁</w:t>
            </w:r>
          </w:p>
        </w:tc>
        <w:tc>
          <w:tcPr>
            <w:tcW w:w="2132" w:type="dxa"/>
          </w:tcPr>
          <w:p>
            <w:pPr>
              <w:pStyle w:val="TableParagraph"/>
              <w:spacing w:line="360" w:lineRule="exact" w:before="23"/>
              <w:ind w:left="17"/>
              <w:rPr>
                <w:sz w:val="20"/>
              </w:rPr>
            </w:pPr>
            <w:r>
              <w:rPr>
                <w:sz w:val="20"/>
              </w:rPr>
              <w:t>I期临床</w:t>
            </w:r>
          </w:p>
        </w:tc>
        <w:tc>
          <w:tcPr>
            <w:tcW w:w="2838" w:type="dxa"/>
          </w:tcPr>
          <w:p>
            <w:pPr>
              <w:pStyle w:val="TableParagraph"/>
              <w:spacing w:line="360" w:lineRule="exact" w:before="23"/>
              <w:ind w:left="999" w:right="978"/>
              <w:rPr>
                <w:sz w:val="20"/>
              </w:rPr>
            </w:pPr>
            <w:r>
              <w:rPr>
                <w:sz w:val="20"/>
              </w:rPr>
              <w:t>自主研发</w:t>
            </w:r>
          </w:p>
        </w:tc>
        <w:tc>
          <w:tcPr>
            <w:tcW w:w="3756" w:type="dxa"/>
          </w:tcPr>
          <w:p>
            <w:pPr>
              <w:pStyle w:val="TableParagraph"/>
              <w:spacing w:line="360" w:lineRule="exact" w:before="23"/>
              <w:ind w:left="56" w:right="37"/>
              <w:rPr>
                <w:sz w:val="20"/>
              </w:rPr>
            </w:pPr>
            <w:r>
              <w:rPr>
                <w:sz w:val="20"/>
              </w:rPr>
              <w:t>1类新药</w:t>
            </w:r>
          </w:p>
        </w:tc>
        <w:tc>
          <w:tcPr>
            <w:tcW w:w="3770" w:type="dxa"/>
          </w:tcPr>
          <w:p>
            <w:pPr>
              <w:pStyle w:val="TableParagraph"/>
              <w:spacing w:line="240" w:lineRule="auto"/>
              <w:jc w:val="left"/>
              <w:rPr>
                <w:rFonts w:ascii="Times New Roman"/>
                <w:sz w:val="22"/>
              </w:rPr>
            </w:pPr>
          </w:p>
        </w:tc>
      </w:tr>
      <w:tr>
        <w:trPr>
          <w:trHeight w:val="403" w:hRule="atLeast"/>
        </w:trPr>
        <w:tc>
          <w:tcPr>
            <w:tcW w:w="2278" w:type="dxa"/>
          </w:tcPr>
          <w:p>
            <w:pPr>
              <w:pStyle w:val="TableParagraph"/>
              <w:spacing w:line="360" w:lineRule="exact" w:before="24"/>
              <w:ind w:left="107" w:right="88"/>
              <w:rPr>
                <w:sz w:val="20"/>
              </w:rPr>
            </w:pPr>
            <w:r>
              <w:rPr>
                <w:sz w:val="20"/>
              </w:rPr>
              <w:t>YH1910-Z02</w:t>
            </w:r>
          </w:p>
        </w:tc>
        <w:tc>
          <w:tcPr>
            <w:tcW w:w="1864" w:type="dxa"/>
          </w:tcPr>
          <w:p>
            <w:pPr>
              <w:pStyle w:val="TableParagraph"/>
              <w:spacing w:line="360" w:lineRule="exact" w:before="24"/>
              <w:ind w:left="66" w:right="47"/>
              <w:rPr>
                <w:sz w:val="20"/>
              </w:rPr>
            </w:pPr>
            <w:r>
              <w:rPr>
                <w:sz w:val="20"/>
              </w:rPr>
              <w:t>NMDA</w:t>
            </w:r>
          </w:p>
        </w:tc>
        <w:tc>
          <w:tcPr>
            <w:tcW w:w="1694" w:type="dxa"/>
          </w:tcPr>
          <w:p>
            <w:pPr>
              <w:pStyle w:val="TableParagraph"/>
              <w:spacing w:line="360" w:lineRule="exact" w:before="24"/>
              <w:ind w:left="126" w:right="108"/>
              <w:rPr>
                <w:sz w:val="20"/>
              </w:rPr>
            </w:pPr>
            <w:r>
              <w:rPr>
                <w:sz w:val="20"/>
              </w:rPr>
              <w:t>抗抑郁</w:t>
            </w:r>
          </w:p>
        </w:tc>
        <w:tc>
          <w:tcPr>
            <w:tcW w:w="2132" w:type="dxa"/>
          </w:tcPr>
          <w:p>
            <w:pPr>
              <w:pStyle w:val="TableParagraph"/>
              <w:spacing w:line="360" w:lineRule="exact" w:before="24"/>
              <w:ind w:left="17"/>
              <w:rPr>
                <w:sz w:val="20"/>
              </w:rPr>
            </w:pPr>
            <w:r>
              <w:rPr>
                <w:sz w:val="20"/>
              </w:rPr>
              <w:t>I期临床</w:t>
            </w:r>
          </w:p>
        </w:tc>
        <w:tc>
          <w:tcPr>
            <w:tcW w:w="2838" w:type="dxa"/>
          </w:tcPr>
          <w:p>
            <w:pPr>
              <w:pStyle w:val="TableParagraph"/>
              <w:spacing w:line="360" w:lineRule="exact" w:before="24"/>
              <w:ind w:left="999" w:right="978"/>
              <w:rPr>
                <w:sz w:val="20"/>
              </w:rPr>
            </w:pPr>
            <w:r>
              <w:rPr>
                <w:sz w:val="20"/>
              </w:rPr>
              <w:t>自主研发</w:t>
            </w:r>
          </w:p>
        </w:tc>
        <w:tc>
          <w:tcPr>
            <w:tcW w:w="3756" w:type="dxa"/>
          </w:tcPr>
          <w:p>
            <w:pPr>
              <w:pStyle w:val="TableParagraph"/>
              <w:spacing w:line="360" w:lineRule="exact" w:before="24"/>
              <w:ind w:left="56" w:right="39"/>
              <w:rPr>
                <w:sz w:val="20"/>
              </w:rPr>
            </w:pPr>
            <w:r>
              <w:rPr>
                <w:sz w:val="20"/>
              </w:rPr>
              <w:t>2类改良型新药</w:t>
            </w:r>
          </w:p>
        </w:tc>
        <w:tc>
          <w:tcPr>
            <w:tcW w:w="3770" w:type="dxa"/>
          </w:tcPr>
          <w:p>
            <w:pPr>
              <w:pStyle w:val="TableParagraph"/>
              <w:spacing w:line="360" w:lineRule="exact" w:before="24"/>
              <w:ind w:left="404" w:right="386"/>
              <w:rPr>
                <w:sz w:val="20"/>
              </w:rPr>
            </w:pPr>
            <w:r>
              <w:rPr>
                <w:sz w:val="20"/>
              </w:rPr>
              <w:t>精麻管制</w:t>
            </w:r>
          </w:p>
        </w:tc>
      </w:tr>
      <w:tr>
        <w:trPr>
          <w:trHeight w:val="403" w:hRule="atLeast"/>
        </w:trPr>
        <w:tc>
          <w:tcPr>
            <w:tcW w:w="2278" w:type="dxa"/>
          </w:tcPr>
          <w:p>
            <w:pPr>
              <w:pStyle w:val="TableParagraph"/>
              <w:spacing w:line="360" w:lineRule="exact" w:before="24"/>
              <w:ind w:left="107" w:right="88"/>
              <w:rPr>
                <w:sz w:val="20"/>
              </w:rPr>
            </w:pPr>
            <w:r>
              <w:rPr>
                <w:sz w:val="20"/>
              </w:rPr>
              <w:t>YH1910-Z01</w:t>
            </w:r>
          </w:p>
        </w:tc>
        <w:tc>
          <w:tcPr>
            <w:tcW w:w="1864" w:type="dxa"/>
          </w:tcPr>
          <w:p>
            <w:pPr>
              <w:pStyle w:val="TableParagraph"/>
              <w:spacing w:line="360" w:lineRule="exact" w:before="24"/>
              <w:ind w:left="20"/>
              <w:rPr>
                <w:sz w:val="20"/>
              </w:rPr>
            </w:pPr>
            <w:r>
              <w:rPr>
                <w:w w:val="99"/>
                <w:sz w:val="20"/>
              </w:rPr>
              <w:t>-</w:t>
            </w:r>
          </w:p>
        </w:tc>
        <w:tc>
          <w:tcPr>
            <w:tcW w:w="1694" w:type="dxa"/>
          </w:tcPr>
          <w:p>
            <w:pPr>
              <w:pStyle w:val="TableParagraph"/>
              <w:spacing w:line="360" w:lineRule="exact" w:before="24"/>
              <w:ind w:left="126" w:right="108"/>
              <w:rPr>
                <w:sz w:val="20"/>
              </w:rPr>
            </w:pPr>
            <w:r>
              <w:rPr>
                <w:sz w:val="20"/>
              </w:rPr>
              <w:t>抗抑郁</w:t>
            </w:r>
          </w:p>
        </w:tc>
        <w:tc>
          <w:tcPr>
            <w:tcW w:w="2132" w:type="dxa"/>
          </w:tcPr>
          <w:p>
            <w:pPr>
              <w:pStyle w:val="TableParagraph"/>
              <w:spacing w:line="360" w:lineRule="exact" w:before="24"/>
              <w:ind w:left="17"/>
              <w:rPr>
                <w:sz w:val="20"/>
              </w:rPr>
            </w:pPr>
            <w:r>
              <w:rPr>
                <w:sz w:val="20"/>
              </w:rPr>
              <w:t>临床前</w:t>
            </w:r>
          </w:p>
        </w:tc>
        <w:tc>
          <w:tcPr>
            <w:tcW w:w="2838" w:type="dxa"/>
          </w:tcPr>
          <w:p>
            <w:pPr>
              <w:pStyle w:val="TableParagraph"/>
              <w:spacing w:line="360" w:lineRule="exact" w:before="24"/>
              <w:ind w:left="999" w:right="978"/>
              <w:rPr>
                <w:sz w:val="20"/>
              </w:rPr>
            </w:pPr>
            <w:r>
              <w:rPr>
                <w:sz w:val="20"/>
              </w:rPr>
              <w:t>自主研发</w:t>
            </w:r>
          </w:p>
        </w:tc>
        <w:tc>
          <w:tcPr>
            <w:tcW w:w="3756" w:type="dxa"/>
          </w:tcPr>
          <w:p>
            <w:pPr>
              <w:pStyle w:val="TableParagraph"/>
              <w:spacing w:line="360" w:lineRule="exact" w:before="24"/>
              <w:ind w:left="56" w:right="39"/>
              <w:rPr>
                <w:sz w:val="20"/>
              </w:rPr>
            </w:pPr>
            <w:r>
              <w:rPr>
                <w:sz w:val="20"/>
              </w:rPr>
              <w:t>2类改良型新药</w:t>
            </w:r>
          </w:p>
        </w:tc>
        <w:tc>
          <w:tcPr>
            <w:tcW w:w="3770" w:type="dxa"/>
          </w:tcPr>
          <w:p>
            <w:pPr>
              <w:pStyle w:val="TableParagraph"/>
              <w:spacing w:line="360" w:lineRule="exact" w:before="24"/>
              <w:ind w:left="408" w:right="386"/>
              <w:rPr>
                <w:sz w:val="20"/>
              </w:rPr>
            </w:pPr>
            <w:r>
              <w:rPr>
                <w:sz w:val="20"/>
              </w:rPr>
              <w:t>精麻管制，预计2023H2申报IND</w:t>
            </w:r>
          </w:p>
        </w:tc>
      </w:tr>
      <w:tr>
        <w:trPr>
          <w:trHeight w:val="404" w:hRule="atLeast"/>
        </w:trPr>
        <w:tc>
          <w:tcPr>
            <w:tcW w:w="2278" w:type="dxa"/>
          </w:tcPr>
          <w:p>
            <w:pPr>
              <w:pStyle w:val="TableParagraph"/>
              <w:spacing w:line="360" w:lineRule="exact" w:before="24"/>
              <w:ind w:left="107" w:right="88"/>
              <w:rPr>
                <w:sz w:val="20"/>
              </w:rPr>
            </w:pPr>
            <w:r>
              <w:rPr>
                <w:sz w:val="20"/>
              </w:rPr>
              <w:t>YH1907-Z01</w:t>
            </w:r>
          </w:p>
        </w:tc>
        <w:tc>
          <w:tcPr>
            <w:tcW w:w="1864" w:type="dxa"/>
          </w:tcPr>
          <w:p>
            <w:pPr>
              <w:pStyle w:val="TableParagraph"/>
              <w:spacing w:line="360" w:lineRule="exact" w:before="24"/>
              <w:ind w:left="20"/>
              <w:rPr>
                <w:sz w:val="20"/>
              </w:rPr>
            </w:pPr>
            <w:r>
              <w:rPr>
                <w:w w:val="99"/>
                <w:sz w:val="20"/>
              </w:rPr>
              <w:t>-</w:t>
            </w:r>
          </w:p>
        </w:tc>
        <w:tc>
          <w:tcPr>
            <w:tcW w:w="1694" w:type="dxa"/>
          </w:tcPr>
          <w:p>
            <w:pPr>
              <w:pStyle w:val="TableParagraph"/>
              <w:spacing w:line="360" w:lineRule="exact" w:before="24"/>
              <w:ind w:left="126" w:right="108"/>
              <w:rPr>
                <w:sz w:val="20"/>
              </w:rPr>
            </w:pPr>
            <w:r>
              <w:rPr>
                <w:sz w:val="20"/>
              </w:rPr>
              <w:t>抗抑郁</w:t>
            </w:r>
          </w:p>
        </w:tc>
        <w:tc>
          <w:tcPr>
            <w:tcW w:w="2132" w:type="dxa"/>
          </w:tcPr>
          <w:p>
            <w:pPr>
              <w:pStyle w:val="TableParagraph"/>
              <w:spacing w:line="360" w:lineRule="exact" w:before="24"/>
              <w:ind w:left="17"/>
              <w:rPr>
                <w:sz w:val="20"/>
              </w:rPr>
            </w:pPr>
            <w:r>
              <w:rPr>
                <w:sz w:val="20"/>
              </w:rPr>
              <w:t>临床前</w:t>
            </w:r>
          </w:p>
        </w:tc>
        <w:tc>
          <w:tcPr>
            <w:tcW w:w="2838" w:type="dxa"/>
          </w:tcPr>
          <w:p>
            <w:pPr>
              <w:pStyle w:val="TableParagraph"/>
              <w:spacing w:line="360" w:lineRule="exact" w:before="24"/>
              <w:ind w:left="999" w:right="978"/>
              <w:rPr>
                <w:sz w:val="20"/>
              </w:rPr>
            </w:pPr>
            <w:r>
              <w:rPr>
                <w:sz w:val="20"/>
              </w:rPr>
              <w:t>自主研发</w:t>
            </w:r>
          </w:p>
        </w:tc>
        <w:tc>
          <w:tcPr>
            <w:tcW w:w="3756" w:type="dxa"/>
          </w:tcPr>
          <w:p>
            <w:pPr>
              <w:pStyle w:val="TableParagraph"/>
              <w:spacing w:line="360" w:lineRule="exact" w:before="24"/>
              <w:ind w:left="56" w:right="39"/>
              <w:rPr>
                <w:sz w:val="20"/>
              </w:rPr>
            </w:pPr>
            <w:r>
              <w:rPr>
                <w:sz w:val="20"/>
              </w:rPr>
              <w:t>2类改良型新药</w:t>
            </w:r>
          </w:p>
        </w:tc>
        <w:tc>
          <w:tcPr>
            <w:tcW w:w="3770" w:type="dxa"/>
          </w:tcPr>
          <w:p>
            <w:pPr>
              <w:pStyle w:val="TableParagraph"/>
              <w:spacing w:line="360" w:lineRule="exact" w:before="24"/>
              <w:ind w:left="404" w:right="386"/>
              <w:rPr>
                <w:sz w:val="20"/>
              </w:rPr>
            </w:pPr>
            <w:r>
              <w:rPr>
                <w:sz w:val="20"/>
              </w:rPr>
              <w:t>精麻管制</w:t>
            </w:r>
          </w:p>
        </w:tc>
      </w:tr>
      <w:tr>
        <w:trPr>
          <w:trHeight w:val="403" w:hRule="atLeast"/>
        </w:trPr>
        <w:tc>
          <w:tcPr>
            <w:tcW w:w="2278" w:type="dxa"/>
          </w:tcPr>
          <w:p>
            <w:pPr>
              <w:pStyle w:val="TableParagraph"/>
              <w:spacing w:line="360" w:lineRule="exact" w:before="24"/>
              <w:ind w:left="107" w:right="89"/>
              <w:rPr>
                <w:b/>
                <w:sz w:val="20"/>
              </w:rPr>
            </w:pPr>
            <w:r>
              <w:rPr>
                <w:b/>
                <w:color w:val="C00000"/>
                <w:sz w:val="20"/>
              </w:rPr>
              <w:t>Protollin鼻喷剂</w:t>
            </w:r>
          </w:p>
        </w:tc>
        <w:tc>
          <w:tcPr>
            <w:tcW w:w="1864" w:type="dxa"/>
          </w:tcPr>
          <w:p>
            <w:pPr>
              <w:pStyle w:val="TableParagraph"/>
              <w:spacing w:line="360" w:lineRule="exact" w:before="24"/>
              <w:ind w:left="21"/>
              <w:rPr>
                <w:b/>
                <w:sz w:val="20"/>
              </w:rPr>
            </w:pPr>
            <w:r>
              <w:rPr>
                <w:b/>
                <w:color w:val="C00000"/>
                <w:w w:val="99"/>
                <w:sz w:val="20"/>
              </w:rPr>
              <w:t>-</w:t>
            </w:r>
          </w:p>
        </w:tc>
        <w:tc>
          <w:tcPr>
            <w:tcW w:w="1694" w:type="dxa"/>
          </w:tcPr>
          <w:p>
            <w:pPr>
              <w:pStyle w:val="TableParagraph"/>
              <w:spacing w:line="360" w:lineRule="exact" w:before="24"/>
              <w:ind w:left="126" w:right="106"/>
              <w:rPr>
                <w:b/>
                <w:sz w:val="20"/>
              </w:rPr>
            </w:pPr>
            <w:r>
              <w:rPr>
                <w:b/>
                <w:color w:val="C00000"/>
                <w:sz w:val="20"/>
              </w:rPr>
              <w:t>阿尔茨海默症</w:t>
            </w:r>
          </w:p>
        </w:tc>
        <w:tc>
          <w:tcPr>
            <w:tcW w:w="2132" w:type="dxa"/>
          </w:tcPr>
          <w:p>
            <w:pPr>
              <w:pStyle w:val="TableParagraph"/>
              <w:spacing w:line="360" w:lineRule="exact" w:before="24"/>
              <w:ind w:left="20"/>
              <w:rPr>
                <w:b/>
                <w:sz w:val="20"/>
              </w:rPr>
            </w:pPr>
            <w:r>
              <w:rPr>
                <w:b/>
                <w:color w:val="C00000"/>
                <w:sz w:val="20"/>
              </w:rPr>
              <w:t>无申报（美国临床I期）</w:t>
            </w:r>
          </w:p>
        </w:tc>
        <w:tc>
          <w:tcPr>
            <w:tcW w:w="2838" w:type="dxa"/>
            <w:shd w:val="clear" w:color="auto" w:fill="F1F1F1"/>
          </w:tcPr>
          <w:p>
            <w:pPr>
              <w:pStyle w:val="TableParagraph"/>
              <w:spacing w:line="360" w:lineRule="exact" w:before="24"/>
              <w:ind w:right="170"/>
              <w:jc w:val="right"/>
              <w:rPr>
                <w:b/>
                <w:sz w:val="20"/>
              </w:rPr>
            </w:pPr>
            <w:r>
              <w:rPr>
                <w:b/>
                <w:color w:val="C00000"/>
                <w:sz w:val="20"/>
              </w:rPr>
              <w:t>国外引进（BWH &amp; BDX）</w:t>
            </w:r>
          </w:p>
        </w:tc>
        <w:tc>
          <w:tcPr>
            <w:tcW w:w="3756" w:type="dxa"/>
          </w:tcPr>
          <w:p>
            <w:pPr>
              <w:pStyle w:val="TableParagraph"/>
              <w:spacing w:line="360" w:lineRule="exact" w:before="24"/>
              <w:ind w:left="56" w:right="37"/>
              <w:rPr>
                <w:b/>
                <w:sz w:val="20"/>
              </w:rPr>
            </w:pPr>
            <w:r>
              <w:rPr>
                <w:b/>
                <w:color w:val="C00000"/>
                <w:sz w:val="20"/>
              </w:rPr>
              <w:t>1类新药</w:t>
            </w:r>
          </w:p>
        </w:tc>
        <w:tc>
          <w:tcPr>
            <w:tcW w:w="3770" w:type="dxa"/>
          </w:tcPr>
          <w:p>
            <w:pPr>
              <w:pStyle w:val="TableParagraph"/>
              <w:spacing w:line="240" w:lineRule="auto"/>
              <w:jc w:val="left"/>
              <w:rPr>
                <w:rFonts w:ascii="Times New Roman"/>
                <w:sz w:val="22"/>
              </w:rPr>
            </w:pPr>
          </w:p>
        </w:tc>
      </w:tr>
    </w:tbl>
    <w:p>
      <w:pPr>
        <w:spacing w:after="0" w:line="240" w:lineRule="auto"/>
        <w:jc w:val="left"/>
        <w:rPr>
          <w:rFonts w:ascii="Times New Roman"/>
          <w:sz w:val="22"/>
        </w:rPr>
        <w:sectPr>
          <w:pgSz w:w="19200" w:h="10800" w:orient="landscape"/>
          <w:pgMar w:header="471" w:footer="173" w:top="1100" w:bottom="360" w:left="0" w:right="0"/>
        </w:sectPr>
      </w:pPr>
    </w:p>
    <w:p>
      <w:pPr>
        <w:pStyle w:val="BodyText"/>
        <w:rPr>
          <w:b/>
          <w:sz w:val="20"/>
        </w:rPr>
      </w:pPr>
    </w:p>
    <w:p>
      <w:pPr>
        <w:pStyle w:val="BodyText"/>
        <w:spacing w:before="13"/>
        <w:rPr>
          <w:b/>
          <w:sz w:val="14"/>
        </w:rPr>
      </w:pPr>
    </w:p>
    <w:p>
      <w:pPr>
        <w:pStyle w:val="ListParagraph"/>
        <w:numPr>
          <w:ilvl w:val="1"/>
          <w:numId w:val="9"/>
        </w:numPr>
        <w:tabs>
          <w:tab w:pos="1217" w:val="left" w:leader="none"/>
        </w:tabs>
        <w:spacing w:line="187" w:lineRule="auto" w:before="109" w:after="0"/>
        <w:ind w:left="1216" w:right="986" w:hanging="284"/>
        <w:jc w:val="left"/>
        <w:rPr>
          <w:sz w:val="28"/>
        </w:rPr>
      </w:pPr>
      <w:r>
        <w:rPr/>
        <w:drawing>
          <wp:anchor distT="0" distB="0" distL="0" distR="0" allowOverlap="1" layoutInCell="1" locked="0" behindDoc="0" simplePos="0" relativeHeight="15762432">
            <wp:simplePos x="0" y="0"/>
            <wp:positionH relativeFrom="page">
              <wp:posOffset>9144</wp:posOffset>
            </wp:positionH>
            <wp:positionV relativeFrom="paragraph">
              <wp:posOffset>-248253</wp:posOffset>
            </wp:positionV>
            <wp:extent cx="12182855" cy="89915"/>
            <wp:effectExtent l="0" t="0" r="0" b="0"/>
            <wp:wrapNone/>
            <wp:docPr id="95" name="image5.png"/>
            <wp:cNvGraphicFramePr>
              <a:graphicFrameLocks noChangeAspect="1"/>
            </wp:cNvGraphicFramePr>
            <a:graphic>
              <a:graphicData uri="http://schemas.openxmlformats.org/drawingml/2006/picture">
                <pic:pic>
                  <pic:nvPicPr>
                    <pic:cNvPr id="96" name="image5.png"/>
                    <pic:cNvPicPr/>
                  </pic:nvPicPr>
                  <pic:blipFill>
                    <a:blip r:embed="rId14" cstate="print"/>
                    <a:stretch>
                      <a:fillRect/>
                    </a:stretch>
                  </pic:blipFill>
                  <pic:spPr>
                    <a:xfrm>
                      <a:off x="0" y="0"/>
                      <a:ext cx="12182855" cy="89915"/>
                    </a:xfrm>
                    <a:prstGeom prst="rect">
                      <a:avLst/>
                    </a:prstGeom>
                  </pic:spPr>
                </pic:pic>
              </a:graphicData>
            </a:graphic>
          </wp:anchor>
        </w:drawing>
      </w:r>
      <w:r>
        <w:rPr>
          <w:color w:val="57585B"/>
          <w:sz w:val="28"/>
        </w:rPr>
        <w:t>翰森制药是中国领先的创新驱动型制药企业，下属豪森药业、常州恒邦药业、翰森生物医药等，连续多年位居全球制药企业百强、中国医</w:t>
      </w:r>
      <w:r>
        <w:rPr>
          <w:color w:val="57585B"/>
          <w:spacing w:val="7"/>
          <w:sz w:val="28"/>
        </w:rPr>
        <w:t>药研发产品线最佳工业企业前三强，是国家重点高新技术企业、国家技术创新示范企业。</w:t>
      </w:r>
      <w:r>
        <w:rPr>
          <w:color w:val="57585B"/>
          <w:sz w:val="28"/>
        </w:rPr>
        <w:t>2019</w:t>
      </w:r>
      <w:r>
        <w:rPr>
          <w:color w:val="57585B"/>
          <w:spacing w:val="7"/>
          <w:sz w:val="28"/>
        </w:rPr>
        <w:t>年</w:t>
      </w:r>
      <w:r>
        <w:rPr>
          <w:color w:val="57585B"/>
          <w:spacing w:val="8"/>
          <w:sz w:val="28"/>
        </w:rPr>
        <w:t>6</w:t>
      </w:r>
      <w:r>
        <w:rPr>
          <w:color w:val="57585B"/>
          <w:spacing w:val="6"/>
          <w:sz w:val="28"/>
        </w:rPr>
        <w:t>月，翰森制药在香港联交所挂牌上市</w:t>
      </w:r>
    </w:p>
    <w:p>
      <w:pPr>
        <w:pStyle w:val="BodyText"/>
        <w:spacing w:line="371" w:lineRule="exact"/>
        <w:ind w:left="1216"/>
      </w:pPr>
      <w:r>
        <w:rPr>
          <w:color w:val="57585B"/>
        </w:rPr>
        <w:t>（03692.HK）。公司营收从2018年的77.22亿元增长到2022年的93.82亿元；净利润则相对保持稳定，主要因为创新药研发投入持续增加</w:t>
      </w:r>
    </w:p>
    <w:p>
      <w:pPr>
        <w:pStyle w:val="BodyText"/>
        <w:spacing w:line="459" w:lineRule="exact"/>
        <w:ind w:left="1216"/>
      </w:pPr>
      <w:r>
        <w:rPr>
          <w:color w:val="57585B"/>
        </w:rPr>
        <w:t>所致。</w:t>
      </w:r>
    </w:p>
    <w:p>
      <w:pPr>
        <w:pStyle w:val="ListParagraph"/>
        <w:numPr>
          <w:ilvl w:val="1"/>
          <w:numId w:val="9"/>
        </w:numPr>
        <w:tabs>
          <w:tab w:pos="1217" w:val="left" w:leader="none"/>
        </w:tabs>
        <w:spacing w:line="184" w:lineRule="auto" w:before="209" w:after="0"/>
        <w:ind w:left="1216" w:right="986" w:hanging="284"/>
        <w:jc w:val="both"/>
        <w:rPr>
          <w:sz w:val="28"/>
        </w:rPr>
      </w:pPr>
      <w:r>
        <w:rPr>
          <w:color w:val="57585B"/>
          <w:sz w:val="28"/>
        </w:rPr>
        <w:t>产品结构调整，公司盈利拐点有望到来。曾经奥氮平、培美曲塞二钠、吉西他滨、伊马替尼、地西他滨、替加环素、瑞格列奈、雷贝拉唑等前</w:t>
      </w:r>
      <w:r>
        <w:rPr>
          <w:color w:val="57585B"/>
          <w:spacing w:val="3"/>
          <w:sz w:val="28"/>
        </w:rPr>
        <w:t>8</w:t>
      </w:r>
      <w:r>
        <w:rPr>
          <w:color w:val="57585B"/>
          <w:sz w:val="28"/>
        </w:rPr>
        <w:t>大仿制药占公司营收比例超过80%。集采后占比持续下降。同时，2019年以来，公司陆续获批的阿美替尼、氟马替尼、洛塞那肽、</w:t>
      </w:r>
      <w:r>
        <w:rPr>
          <w:color w:val="57585B"/>
          <w:spacing w:val="-3"/>
          <w:sz w:val="28"/>
        </w:rPr>
        <w:t>培莫沙肽、伊奈利珠单抗、吗啉硝唑、艾米替诺福韦等</w:t>
      </w:r>
      <w:r>
        <w:rPr>
          <w:color w:val="57585B"/>
          <w:sz w:val="28"/>
        </w:rPr>
        <w:t>7</w:t>
      </w:r>
      <w:r>
        <w:rPr>
          <w:color w:val="57585B"/>
          <w:spacing w:val="-3"/>
          <w:sz w:val="28"/>
        </w:rPr>
        <w:t>款创新药销售占比</w:t>
      </w:r>
      <w:r>
        <w:rPr>
          <w:color w:val="57585B"/>
          <w:sz w:val="28"/>
        </w:rPr>
        <w:t>2023</w:t>
      </w:r>
      <w:r>
        <w:rPr>
          <w:color w:val="57585B"/>
          <w:spacing w:val="-3"/>
          <w:sz w:val="28"/>
        </w:rPr>
        <w:t>年上半年已提升至</w:t>
      </w:r>
      <w:r>
        <w:rPr>
          <w:color w:val="57585B"/>
          <w:sz w:val="28"/>
        </w:rPr>
        <w:t>61.8%。</w:t>
      </w:r>
    </w:p>
    <w:p>
      <w:pPr>
        <w:pStyle w:val="ListParagraph"/>
        <w:numPr>
          <w:ilvl w:val="1"/>
          <w:numId w:val="9"/>
        </w:numPr>
        <w:tabs>
          <w:tab w:pos="1217" w:val="left" w:leader="none"/>
        </w:tabs>
        <w:spacing w:line="187" w:lineRule="auto" w:before="245" w:after="0"/>
        <w:ind w:left="1216" w:right="986" w:hanging="284"/>
        <w:jc w:val="both"/>
        <w:rPr>
          <w:sz w:val="28"/>
        </w:rPr>
      </w:pPr>
      <w:r>
        <w:rPr>
          <w:color w:val="57585B"/>
          <w:spacing w:val="-3"/>
          <w:sz w:val="28"/>
        </w:rPr>
        <w:t>研发管线被大幅低估，多个领域国内第一。</w:t>
      </w:r>
      <w:r>
        <w:rPr>
          <w:color w:val="57585B"/>
          <w:spacing w:val="-1"/>
          <w:sz w:val="28"/>
        </w:rPr>
        <w:t>HS-20094</w:t>
      </w:r>
      <w:r>
        <w:rPr>
          <w:color w:val="57585B"/>
          <w:spacing w:val="-3"/>
          <w:sz w:val="28"/>
        </w:rPr>
        <w:t>是国产进度第一的</w:t>
      </w:r>
      <w:r>
        <w:rPr>
          <w:color w:val="57585B"/>
          <w:sz w:val="28"/>
        </w:rPr>
        <w:t>GLP-1R/GIPR</w:t>
      </w:r>
      <w:r>
        <w:rPr>
          <w:color w:val="57585B"/>
          <w:spacing w:val="-3"/>
          <w:sz w:val="28"/>
        </w:rPr>
        <w:t>双激动剂，有望分享降糖减重大市场。</w:t>
      </w:r>
      <w:r>
        <w:rPr>
          <w:color w:val="57585B"/>
          <w:sz w:val="28"/>
        </w:rPr>
        <w:t>HS-10374为</w:t>
      </w:r>
      <w:r>
        <w:rPr>
          <w:color w:val="57585B"/>
          <w:spacing w:val="7"/>
          <w:sz w:val="28"/>
        </w:rPr>
        <w:t>国产第一的</w:t>
      </w:r>
      <w:r>
        <w:rPr>
          <w:color w:val="57585B"/>
          <w:spacing w:val="2"/>
          <w:sz w:val="28"/>
        </w:rPr>
        <w:t>TYK2</w:t>
      </w:r>
      <w:r>
        <w:rPr>
          <w:color w:val="57585B"/>
          <w:spacing w:val="7"/>
          <w:sz w:val="28"/>
        </w:rPr>
        <w:t>抑制剂，银屑病、</w:t>
      </w:r>
      <w:r>
        <w:rPr>
          <w:color w:val="57585B"/>
          <w:sz w:val="28"/>
        </w:rPr>
        <w:t>SLE</w:t>
      </w:r>
      <w:r>
        <w:rPr>
          <w:color w:val="57585B"/>
          <w:spacing w:val="7"/>
          <w:sz w:val="28"/>
        </w:rPr>
        <w:t>等自免适应症空间大。</w:t>
      </w:r>
      <w:r>
        <w:rPr>
          <w:color w:val="57585B"/>
          <w:sz w:val="28"/>
        </w:rPr>
        <w:t>HS-10390</w:t>
      </w:r>
      <w:r>
        <w:rPr>
          <w:color w:val="57585B"/>
          <w:spacing w:val="7"/>
          <w:sz w:val="28"/>
        </w:rPr>
        <w:t>为国产第一的</w:t>
      </w:r>
      <w:r>
        <w:rPr>
          <w:color w:val="57585B"/>
          <w:spacing w:val="-7"/>
          <w:sz w:val="28"/>
        </w:rPr>
        <w:t>ETA/AT1</w:t>
      </w:r>
      <w:r>
        <w:rPr>
          <w:color w:val="57585B"/>
          <w:spacing w:val="6"/>
          <w:sz w:val="28"/>
        </w:rPr>
        <w:t>双受体拮抗剂，</w:t>
      </w:r>
      <w:r>
        <w:rPr>
          <w:color w:val="57585B"/>
          <w:spacing w:val="2"/>
          <w:sz w:val="28"/>
        </w:rPr>
        <w:t>IGA</w:t>
      </w:r>
      <w:r>
        <w:rPr>
          <w:color w:val="57585B"/>
          <w:spacing w:val="7"/>
          <w:sz w:val="28"/>
        </w:rPr>
        <w:t>肾病口服品种。</w:t>
      </w:r>
      <w:r>
        <w:rPr>
          <w:color w:val="57585B"/>
          <w:sz w:val="28"/>
        </w:rPr>
        <w:t>HS- 20093</w:t>
      </w:r>
      <w:r>
        <w:rPr>
          <w:color w:val="57585B"/>
          <w:spacing w:val="-3"/>
          <w:sz w:val="28"/>
        </w:rPr>
        <w:t>为国产第一的</w:t>
      </w:r>
      <w:r>
        <w:rPr>
          <w:color w:val="57585B"/>
          <w:sz w:val="28"/>
        </w:rPr>
        <w:t>B7H3</w:t>
      </w:r>
      <w:r>
        <w:rPr>
          <w:color w:val="57585B"/>
          <w:spacing w:val="55"/>
          <w:sz w:val="28"/>
        </w:rPr>
        <w:t> </w:t>
      </w:r>
      <w:r>
        <w:rPr>
          <w:color w:val="57585B"/>
          <w:sz w:val="28"/>
        </w:rPr>
        <w:t>ADC</w:t>
      </w:r>
      <w:r>
        <w:rPr>
          <w:color w:val="57585B"/>
          <w:spacing w:val="-3"/>
          <w:sz w:val="28"/>
        </w:rPr>
        <w:t>，小细胞肺癌数据优异。</w:t>
      </w:r>
      <w:r>
        <w:rPr>
          <w:color w:val="57585B"/>
          <w:sz w:val="28"/>
        </w:rPr>
        <w:t>HS-20089</w:t>
      </w:r>
      <w:r>
        <w:rPr>
          <w:color w:val="57585B"/>
          <w:spacing w:val="-3"/>
          <w:sz w:val="28"/>
        </w:rPr>
        <w:t>为国产第一</w:t>
      </w:r>
      <w:r>
        <w:rPr>
          <w:color w:val="57585B"/>
          <w:sz w:val="28"/>
        </w:rPr>
        <w:t>B7H4</w:t>
      </w:r>
      <w:r>
        <w:rPr>
          <w:color w:val="57585B"/>
          <w:spacing w:val="54"/>
          <w:sz w:val="28"/>
        </w:rPr>
        <w:t> </w:t>
      </w:r>
      <w:r>
        <w:rPr>
          <w:color w:val="57585B"/>
          <w:sz w:val="28"/>
        </w:rPr>
        <w:t>ADC</w:t>
      </w:r>
      <w:r>
        <w:rPr>
          <w:color w:val="57585B"/>
          <w:spacing w:val="-1"/>
          <w:sz w:val="28"/>
        </w:rPr>
        <w:t>，授权</w:t>
      </w:r>
      <w:r>
        <w:rPr>
          <w:color w:val="57585B"/>
          <w:sz w:val="28"/>
        </w:rPr>
        <w:t>GSK</w:t>
      </w:r>
      <w:r>
        <w:rPr>
          <w:color w:val="57585B"/>
          <w:spacing w:val="-3"/>
          <w:sz w:val="28"/>
        </w:rPr>
        <w:t>国际化空间巨大。</w:t>
      </w:r>
      <w:r>
        <w:rPr>
          <w:color w:val="57585B"/>
          <w:sz w:val="28"/>
        </w:rPr>
        <w:t>HS-10382</w:t>
      </w:r>
      <w:r>
        <w:rPr>
          <w:color w:val="57585B"/>
          <w:spacing w:val="-2"/>
          <w:sz w:val="28"/>
        </w:rPr>
        <w:t>为国产第一的别构</w:t>
      </w:r>
      <w:r>
        <w:rPr>
          <w:color w:val="57585B"/>
          <w:spacing w:val="-3"/>
          <w:sz w:val="28"/>
        </w:rPr>
        <w:t>BCR-ABL抑制剂，配合氟马替尼，保障CML领先地位。</w:t>
      </w:r>
      <w:r>
        <w:rPr>
          <w:color w:val="57585B"/>
          <w:sz w:val="28"/>
        </w:rPr>
        <w:t>HS-20117</w:t>
      </w:r>
      <w:r>
        <w:rPr>
          <w:color w:val="57585B"/>
          <w:spacing w:val="-3"/>
          <w:sz w:val="28"/>
        </w:rPr>
        <w:t>为国内领先的</w:t>
      </w:r>
      <w:r>
        <w:rPr>
          <w:color w:val="57585B"/>
          <w:sz w:val="28"/>
        </w:rPr>
        <w:t>EGFR/c-MET</w:t>
      </w:r>
      <w:r>
        <w:rPr>
          <w:color w:val="57585B"/>
          <w:spacing w:val="-3"/>
          <w:sz w:val="28"/>
        </w:rPr>
        <w:t>双抗，肺癌空间巨大。</w:t>
      </w:r>
    </w:p>
    <w:p>
      <w:pPr>
        <w:pStyle w:val="ListParagraph"/>
        <w:numPr>
          <w:ilvl w:val="1"/>
          <w:numId w:val="9"/>
        </w:numPr>
        <w:tabs>
          <w:tab w:pos="1217" w:val="left" w:leader="none"/>
        </w:tabs>
        <w:spacing w:line="187" w:lineRule="auto" w:before="228" w:after="0"/>
        <w:ind w:left="1216" w:right="986" w:hanging="284"/>
        <w:jc w:val="both"/>
        <w:rPr>
          <w:sz w:val="28"/>
        </w:rPr>
      </w:pPr>
      <w:r>
        <w:rPr>
          <w:color w:val="57585B"/>
          <w:spacing w:val="-2"/>
          <w:sz w:val="28"/>
        </w:rPr>
        <w:t>投资建议：随着中国创新药产业崛起，新兴的头部</w:t>
      </w:r>
      <w:r>
        <w:rPr>
          <w:color w:val="57585B"/>
          <w:sz w:val="28"/>
        </w:rPr>
        <w:t>biotech</w:t>
      </w:r>
      <w:r>
        <w:rPr>
          <w:color w:val="57585B"/>
          <w:spacing w:val="-3"/>
          <w:sz w:val="28"/>
        </w:rPr>
        <w:t>公司成长迅速，市值也已经超越了一批老牌传统药企。但我们认为，翰森制药是国内由仿制转创新最成功的老牌企业之一，</w:t>
      </w:r>
      <w:r>
        <w:rPr>
          <w:color w:val="57585B"/>
          <w:sz w:val="28"/>
        </w:rPr>
        <w:t>2021和2022</w:t>
      </w:r>
      <w:r>
        <w:rPr>
          <w:color w:val="57585B"/>
          <w:spacing w:val="-3"/>
          <w:sz w:val="28"/>
        </w:rPr>
        <w:t>年受仿制药集采和医保谈判影响，导致业绩增速放缓，但随着创新药销售占比持续提高，盈利拐点将有望出现。而翰森拥有一批国内领先的大品种，并且在</w:t>
      </w:r>
      <w:r>
        <w:rPr>
          <w:color w:val="57585B"/>
          <w:sz w:val="28"/>
        </w:rPr>
        <w:t>ADC领域实现了海外授权，国际化潜力正在显现，估值弹性大。</w:t>
      </w:r>
      <w:r>
        <w:rPr>
          <w:color w:val="57585B"/>
          <w:spacing w:val="-3"/>
          <w:sz w:val="28"/>
        </w:rPr>
        <w:t>我们预计公司</w:t>
      </w:r>
      <w:r>
        <w:rPr>
          <w:color w:val="57585B"/>
          <w:spacing w:val="-1"/>
          <w:sz w:val="28"/>
        </w:rPr>
        <w:t>2023-2025</w:t>
      </w:r>
      <w:r>
        <w:rPr>
          <w:color w:val="57585B"/>
          <w:spacing w:val="-3"/>
          <w:sz w:val="28"/>
        </w:rPr>
        <w:t>年的营业收入分别为</w:t>
      </w:r>
      <w:r>
        <w:rPr>
          <w:color w:val="57585B"/>
          <w:spacing w:val="-1"/>
          <w:sz w:val="28"/>
        </w:rPr>
        <w:t>95.28</w:t>
      </w:r>
      <w:r>
        <w:rPr>
          <w:color w:val="57585B"/>
          <w:spacing w:val="-3"/>
          <w:sz w:val="28"/>
        </w:rPr>
        <w:t>、</w:t>
      </w:r>
      <w:r>
        <w:rPr>
          <w:color w:val="57585B"/>
          <w:sz w:val="28"/>
        </w:rPr>
        <w:t>105.23</w:t>
      </w:r>
      <w:r>
        <w:rPr>
          <w:color w:val="57585B"/>
          <w:spacing w:val="-3"/>
          <w:sz w:val="28"/>
        </w:rPr>
        <w:t>和</w:t>
      </w:r>
      <w:r>
        <w:rPr>
          <w:color w:val="57585B"/>
          <w:sz w:val="28"/>
        </w:rPr>
        <w:t>114.38</w:t>
      </w:r>
      <w:r>
        <w:rPr>
          <w:color w:val="57585B"/>
          <w:spacing w:val="-3"/>
          <w:sz w:val="28"/>
        </w:rPr>
        <w:t>亿元，同比增长</w:t>
      </w:r>
      <w:r>
        <w:rPr>
          <w:color w:val="57585B"/>
          <w:sz w:val="28"/>
        </w:rPr>
        <w:t>1.5%、10.4%</w:t>
      </w:r>
      <w:r>
        <w:rPr>
          <w:color w:val="57585B"/>
          <w:spacing w:val="-3"/>
          <w:sz w:val="28"/>
        </w:rPr>
        <w:t>和</w:t>
      </w:r>
      <w:r>
        <w:rPr>
          <w:color w:val="57585B"/>
          <w:sz w:val="28"/>
        </w:rPr>
        <w:t>8.7</w:t>
      </w:r>
      <w:r>
        <w:rPr>
          <w:color w:val="57585B"/>
          <w:spacing w:val="-3"/>
          <w:sz w:val="28"/>
        </w:rPr>
        <w:t>%；归母净利润为</w:t>
      </w:r>
      <w:r>
        <w:rPr>
          <w:color w:val="57585B"/>
          <w:sz w:val="28"/>
        </w:rPr>
        <w:t>27.80、30.37 </w:t>
      </w:r>
      <w:r>
        <w:rPr>
          <w:color w:val="57585B"/>
          <w:spacing w:val="-1"/>
          <w:sz w:val="28"/>
        </w:rPr>
        <w:t>和32.88</w:t>
      </w:r>
      <w:r>
        <w:rPr>
          <w:color w:val="57585B"/>
          <w:spacing w:val="-3"/>
          <w:sz w:val="28"/>
        </w:rPr>
        <w:t>亿元，同比增长</w:t>
      </w:r>
      <w:r>
        <w:rPr>
          <w:color w:val="57585B"/>
          <w:spacing w:val="-1"/>
          <w:sz w:val="28"/>
        </w:rPr>
        <w:t>7.6</w:t>
      </w:r>
      <w:r>
        <w:rPr>
          <w:color w:val="57585B"/>
          <w:spacing w:val="-2"/>
          <w:sz w:val="28"/>
        </w:rPr>
        <w:t>%、</w:t>
      </w:r>
      <w:r>
        <w:rPr>
          <w:color w:val="57585B"/>
          <w:spacing w:val="-1"/>
          <w:sz w:val="28"/>
        </w:rPr>
        <w:t>9.2</w:t>
      </w:r>
      <w:r>
        <w:rPr>
          <w:color w:val="57585B"/>
          <w:spacing w:val="-2"/>
          <w:sz w:val="28"/>
        </w:rPr>
        <w:t>%和</w:t>
      </w:r>
      <w:r>
        <w:rPr>
          <w:color w:val="57585B"/>
          <w:spacing w:val="-1"/>
          <w:sz w:val="28"/>
        </w:rPr>
        <w:t>8.3</w:t>
      </w:r>
      <w:r>
        <w:rPr>
          <w:color w:val="57585B"/>
          <w:spacing w:val="-4"/>
          <w:sz w:val="28"/>
        </w:rPr>
        <w:t>%。根据创新药管线估值方法</w:t>
      </w:r>
      <w:r>
        <w:rPr>
          <w:color w:val="57585B"/>
          <w:spacing w:val="-3"/>
          <w:sz w:val="28"/>
        </w:rPr>
        <w:t>（</w:t>
      </w:r>
      <w:r>
        <w:rPr>
          <w:color w:val="57585B"/>
          <w:spacing w:val="-4"/>
          <w:sz w:val="28"/>
        </w:rPr>
        <w:t>基于风险调整的现金流折现法</w:t>
      </w:r>
      <w:r>
        <w:rPr>
          <w:color w:val="57585B"/>
          <w:sz w:val="28"/>
        </w:rPr>
        <w:t>）</w:t>
      </w:r>
      <w:r>
        <w:rPr>
          <w:color w:val="57585B"/>
          <w:spacing w:val="-4"/>
          <w:sz w:val="28"/>
        </w:rPr>
        <w:t>测算，给予公司整体估值</w:t>
      </w:r>
      <w:r>
        <w:rPr>
          <w:color w:val="57585B"/>
          <w:sz w:val="28"/>
        </w:rPr>
        <w:t>850.46 </w:t>
      </w:r>
      <w:r>
        <w:rPr>
          <w:color w:val="57585B"/>
          <w:spacing w:val="-3"/>
          <w:sz w:val="28"/>
        </w:rPr>
        <w:t>亿港元，对应目标价为</w:t>
      </w:r>
      <w:r>
        <w:rPr>
          <w:color w:val="57585B"/>
          <w:sz w:val="28"/>
        </w:rPr>
        <w:t>14.33</w:t>
      </w:r>
      <w:r>
        <w:rPr>
          <w:color w:val="57585B"/>
          <w:spacing w:val="-3"/>
          <w:sz w:val="28"/>
        </w:rPr>
        <w:t>港元。首次覆盖，给予“推荐”评级。</w:t>
      </w:r>
    </w:p>
    <w:p>
      <w:pPr>
        <w:pStyle w:val="ListParagraph"/>
        <w:numPr>
          <w:ilvl w:val="1"/>
          <w:numId w:val="9"/>
        </w:numPr>
        <w:tabs>
          <w:tab w:pos="1217" w:val="left" w:leader="none"/>
        </w:tabs>
        <w:spacing w:line="240" w:lineRule="auto" w:before="144" w:after="0"/>
        <w:ind w:left="1216" w:right="0" w:hanging="284"/>
        <w:jc w:val="both"/>
        <w:rPr>
          <w:sz w:val="28"/>
        </w:rPr>
      </w:pPr>
      <w:r>
        <w:rPr>
          <w:color w:val="57585B"/>
          <w:spacing w:val="-3"/>
          <w:sz w:val="28"/>
        </w:rPr>
        <w:t>风险提示：临床进度不达预期，竞争格局变动，对外合作不达预期。</w:t>
      </w:r>
    </w:p>
    <w:p>
      <w:pPr>
        <w:spacing w:after="0" w:line="240" w:lineRule="auto"/>
        <w:jc w:val="both"/>
        <w:rPr>
          <w:sz w:val="28"/>
        </w:rPr>
        <w:sectPr>
          <w:headerReference w:type="default" r:id="rId54"/>
          <w:footerReference w:type="default" r:id="rId55"/>
          <w:pgSz w:w="19200" w:h="10800" w:orient="landscape"/>
          <w:pgMar w:header="471" w:footer="173" w:top="1100" w:bottom="360" w:left="0" w:right="0"/>
        </w:sectPr>
      </w:pPr>
    </w:p>
    <w:p>
      <w:pPr>
        <w:pStyle w:val="BodyText"/>
        <w:rPr>
          <w:sz w:val="20"/>
        </w:rPr>
      </w:pPr>
    </w:p>
    <w:p>
      <w:pPr>
        <w:pStyle w:val="BodyText"/>
        <w:spacing w:before="4"/>
        <w:rPr>
          <w:sz w:val="11"/>
        </w:rPr>
      </w:pPr>
    </w:p>
    <w:p>
      <w:pPr>
        <w:pStyle w:val="Heading3"/>
        <w:numPr>
          <w:ilvl w:val="1"/>
          <w:numId w:val="9"/>
        </w:numPr>
        <w:tabs>
          <w:tab w:pos="1217" w:val="left" w:leader="none"/>
        </w:tabs>
        <w:spacing w:line="240" w:lineRule="auto" w:before="28" w:after="0"/>
        <w:ind w:left="1216" w:right="0" w:hanging="284"/>
        <w:jc w:val="both"/>
      </w:pPr>
      <w:r>
        <w:rPr/>
        <w:drawing>
          <wp:anchor distT="0" distB="0" distL="0" distR="0" allowOverlap="1" layoutInCell="1" locked="0" behindDoc="0" simplePos="0" relativeHeight="15762944">
            <wp:simplePos x="0" y="0"/>
            <wp:positionH relativeFrom="page">
              <wp:posOffset>9144</wp:posOffset>
            </wp:positionH>
            <wp:positionV relativeFrom="paragraph">
              <wp:posOffset>-207803</wp:posOffset>
            </wp:positionV>
            <wp:extent cx="12182855" cy="89915"/>
            <wp:effectExtent l="0" t="0" r="0" b="0"/>
            <wp:wrapNone/>
            <wp:docPr id="101" name="image5.png"/>
            <wp:cNvGraphicFramePr>
              <a:graphicFrameLocks noChangeAspect="1"/>
            </wp:cNvGraphicFramePr>
            <a:graphic>
              <a:graphicData uri="http://schemas.openxmlformats.org/drawingml/2006/picture">
                <pic:pic>
                  <pic:nvPicPr>
                    <pic:cNvPr id="102" name="image5.png"/>
                    <pic:cNvPicPr/>
                  </pic:nvPicPr>
                  <pic:blipFill>
                    <a:blip r:embed="rId14" cstate="print"/>
                    <a:stretch>
                      <a:fillRect/>
                    </a:stretch>
                  </pic:blipFill>
                  <pic:spPr>
                    <a:xfrm>
                      <a:off x="0" y="0"/>
                      <a:ext cx="12182855" cy="89915"/>
                    </a:xfrm>
                    <a:prstGeom prst="rect">
                      <a:avLst/>
                    </a:prstGeom>
                  </pic:spPr>
                </pic:pic>
              </a:graphicData>
            </a:graphic>
          </wp:anchor>
        </w:drawing>
      </w:r>
      <w:r>
        <w:rPr>
          <w:color w:val="57585B"/>
          <w:spacing w:val="-3"/>
        </w:rPr>
        <w:t>高值耗材集采陆续落地，迎来新成长，重点推荐骨科、电生理赛道，关注春立医疗、威高骨科、三友医疗、惠泰医疗等。</w:t>
      </w:r>
    </w:p>
    <w:p>
      <w:pPr>
        <w:pStyle w:val="BodyText"/>
        <w:spacing w:line="184" w:lineRule="auto" w:before="210"/>
        <w:ind w:left="933" w:right="2268"/>
        <w:jc w:val="both"/>
      </w:pPr>
      <w:r>
        <w:rPr>
          <w:color w:val="57585B"/>
        </w:rPr>
        <w:t>骨科：</w:t>
      </w:r>
      <w:r>
        <w:rPr>
          <w:color w:val="57585B"/>
          <w:spacing w:val="2"/>
        </w:rPr>
        <w:t>1）</w:t>
      </w:r>
      <w:r>
        <w:rPr>
          <w:color w:val="57585B"/>
        </w:rPr>
        <w:t>受益老龄化，国内骨科市场前景广阔。骨科疾病发病率与年龄相关度极高，例如椎体压缩性骨折、骨性关节炎、骨质疏</w:t>
      </w:r>
      <w:r>
        <w:rPr>
          <w:color w:val="57585B"/>
          <w:spacing w:val="-3"/>
        </w:rPr>
        <w:t>松等疾病发病率均与年龄呈正相关。</w:t>
      </w:r>
      <w:r>
        <w:rPr>
          <w:color w:val="57585B"/>
        </w:rPr>
        <w:t>2）</w:t>
      </w:r>
      <w:r>
        <w:rPr>
          <w:color w:val="57585B"/>
          <w:spacing w:val="-2"/>
        </w:rPr>
        <w:t>国内骨科手术渗透率低。我国创伤、脊柱和关节市场渗透率分别为 </w:t>
      </w:r>
      <w:r>
        <w:rPr>
          <w:color w:val="57585B"/>
        </w:rPr>
        <w:t>4.9%、1.5</w:t>
      </w:r>
      <w:r>
        <w:rPr>
          <w:color w:val="57585B"/>
          <w:spacing w:val="10"/>
        </w:rPr>
        <w:t>%和 </w:t>
      </w:r>
      <w:r>
        <w:rPr>
          <w:color w:val="57585B"/>
        </w:rPr>
        <w:t>0.6%， </w:t>
      </w:r>
      <w:r>
        <w:rPr>
          <w:color w:val="57585B"/>
          <w:spacing w:val="-3"/>
        </w:rPr>
        <w:t>美国分别为</w:t>
      </w:r>
      <w:r>
        <w:rPr>
          <w:color w:val="57585B"/>
        </w:rPr>
        <w:t>66%</w:t>
      </w:r>
      <w:r>
        <w:rPr>
          <w:color w:val="57585B"/>
          <w:spacing w:val="-3"/>
        </w:rPr>
        <w:t>、</w:t>
      </w:r>
      <w:r>
        <w:rPr>
          <w:color w:val="57585B"/>
        </w:rPr>
        <w:t>38</w:t>
      </w:r>
      <w:r>
        <w:rPr>
          <w:color w:val="57585B"/>
          <w:spacing w:val="-2"/>
        </w:rPr>
        <w:t>%、</w:t>
      </w:r>
      <w:r>
        <w:rPr>
          <w:color w:val="57585B"/>
        </w:rPr>
        <w:t>43</w:t>
      </w:r>
      <w:r>
        <w:rPr>
          <w:color w:val="57585B"/>
          <w:spacing w:val="-3"/>
        </w:rPr>
        <w:t>%。相比于发达国家，我国骨科市场未来是一个高成长高增量的市场。集采后手术价格的下降有望拉动手术量提升。</w:t>
      </w:r>
      <w:r>
        <w:rPr>
          <w:color w:val="57585B"/>
          <w:spacing w:val="2"/>
        </w:rPr>
        <w:t>3）</w:t>
      </w:r>
      <w:r>
        <w:rPr>
          <w:color w:val="57585B"/>
        </w:rPr>
        <w:t>骨科植入物集采对国产龙头是利好，且国产龙头为应对集采也更重视研发、纷纷进行了业务拓展、更积极开拓国</w:t>
      </w:r>
      <w:r>
        <w:rPr>
          <w:color w:val="57585B"/>
          <w:spacing w:val="-3"/>
        </w:rPr>
        <w:t>际市场。骨科植入物集采落地后国产龙头有望迎来新成长。重点关注春立医疗、威高骨科、三友医疗。</w:t>
      </w:r>
    </w:p>
    <w:p>
      <w:pPr>
        <w:pStyle w:val="BodyText"/>
        <w:spacing w:line="184" w:lineRule="auto" w:before="252"/>
        <w:ind w:left="933" w:right="2268"/>
        <w:jc w:val="both"/>
      </w:pPr>
      <w:r>
        <w:rPr>
          <w:color w:val="57585B"/>
        </w:rPr>
        <w:t>电生理：1）中国心律失常发病率高，2020年，室上速与房颤患者近1500万人。中国快速性心律失常患者中使用电生理手术治疗的手术量持续增长，但我国手术渗透率相较美国等发达国家有很大提升空间。以2020年房颤患者与房颤消融手术为例，2020年我国房颤患者达1159.6万人，但对应房颤手术仅为8.2万台。2）中国电生理市场进口替代空间广阔，2020年国产化率不足10%。随着国内企业技术突破（如三维技术）以及政策支持国产，进口替代有望加速。3）福建牵头的电生理集采中，主流国内企业均有中标。其中，微电生理19个类别中选，惠泰医疗（含埃普特）12个类别中选。对于市场份额低的国产企业而言集采有望加速提升市占率。重点关注惠泰医疗、微创电生理。</w:t>
      </w:r>
    </w:p>
    <w:p>
      <w:pPr>
        <w:pStyle w:val="Heading3"/>
        <w:numPr>
          <w:ilvl w:val="1"/>
          <w:numId w:val="9"/>
        </w:numPr>
        <w:tabs>
          <w:tab w:pos="1385" w:val="left" w:leader="none"/>
        </w:tabs>
        <w:spacing w:line="240" w:lineRule="auto" w:before="172" w:after="0"/>
        <w:ind w:left="1384" w:right="0" w:hanging="452"/>
        <w:jc w:val="both"/>
      </w:pPr>
      <w:r>
        <w:rPr>
          <w:color w:val="57585B"/>
        </w:rPr>
        <w:t>IVD</w:t>
      </w:r>
      <w:r>
        <w:rPr>
          <w:color w:val="57585B"/>
          <w:spacing w:val="-3"/>
        </w:rPr>
        <w:t>受益诊疗恢复有望回归高增长，重点推荐化学发光赛道，如普门科技、迪瑞医疗、迈瑞医疗、安图生物，关注新产业。</w:t>
      </w:r>
    </w:p>
    <w:p>
      <w:pPr>
        <w:pStyle w:val="BodyText"/>
        <w:spacing w:line="187" w:lineRule="auto" w:before="206"/>
        <w:ind w:left="933" w:right="2272"/>
        <w:jc w:val="both"/>
      </w:pPr>
      <w:r>
        <w:rPr>
          <w:color w:val="57585B"/>
        </w:rPr>
        <w:t>化学发光：1）IVD中规模最大（21年超300亿元）且增速较快（21年-25年CAGR预计为15-20%左右）的细分赛道。2）发光赛道国产替代空间广阔。目前国内发光市场国产市占率20-25%左右。国产替代从二级医院向三级医院渗透，从传染检测向其他检测领域渗透。3）海外市场进一步打开成长空间。以迈瑞、新产业等为代表的国产发光企业海外业务进展迅速，逐步从装机放量转向试剂放量。推荐迈瑞医疗、安图生物、普门科技、迪瑞医疗，重点关注新产业。</w:t>
      </w:r>
    </w:p>
    <w:p>
      <w:pPr>
        <w:spacing w:after="0" w:line="187" w:lineRule="auto"/>
        <w:jc w:val="both"/>
        <w:sectPr>
          <w:headerReference w:type="default" r:id="rId56"/>
          <w:footerReference w:type="default" r:id="rId57"/>
          <w:pgSz w:w="19200" w:h="10800" w:orient="landscape"/>
          <w:pgMar w:header="471" w:footer="335" w:top="1100" w:bottom="520" w:left="0" w:right="0"/>
        </w:sectPr>
      </w:pPr>
    </w:p>
    <w:p>
      <w:pPr>
        <w:pStyle w:val="BodyText"/>
        <w:rPr>
          <w:sz w:val="20"/>
        </w:rPr>
      </w:pPr>
    </w:p>
    <w:p>
      <w:pPr>
        <w:pStyle w:val="BodyText"/>
        <w:spacing w:before="4"/>
        <w:rPr>
          <w:sz w:val="11"/>
        </w:rPr>
      </w:pPr>
    </w:p>
    <w:p>
      <w:pPr>
        <w:pStyle w:val="Heading3"/>
        <w:numPr>
          <w:ilvl w:val="1"/>
          <w:numId w:val="9"/>
        </w:numPr>
        <w:tabs>
          <w:tab w:pos="1217" w:val="left" w:leader="none"/>
        </w:tabs>
        <w:spacing w:line="240" w:lineRule="auto" w:before="28" w:after="0"/>
        <w:ind w:left="1216" w:right="0" w:hanging="284"/>
        <w:jc w:val="both"/>
      </w:pPr>
      <w:r>
        <w:rPr/>
        <w:drawing>
          <wp:anchor distT="0" distB="0" distL="0" distR="0" allowOverlap="1" layoutInCell="1" locked="0" behindDoc="0" simplePos="0" relativeHeight="15763456">
            <wp:simplePos x="0" y="0"/>
            <wp:positionH relativeFrom="page">
              <wp:posOffset>9144</wp:posOffset>
            </wp:positionH>
            <wp:positionV relativeFrom="paragraph">
              <wp:posOffset>-207803</wp:posOffset>
            </wp:positionV>
            <wp:extent cx="12182855" cy="89915"/>
            <wp:effectExtent l="0" t="0" r="0" b="0"/>
            <wp:wrapNone/>
            <wp:docPr id="107" name="image5.png"/>
            <wp:cNvGraphicFramePr>
              <a:graphicFrameLocks noChangeAspect="1"/>
            </wp:cNvGraphicFramePr>
            <a:graphic>
              <a:graphicData uri="http://schemas.openxmlformats.org/drawingml/2006/picture">
                <pic:pic>
                  <pic:nvPicPr>
                    <pic:cNvPr id="108" name="image5.png"/>
                    <pic:cNvPicPr/>
                  </pic:nvPicPr>
                  <pic:blipFill>
                    <a:blip r:embed="rId14" cstate="print"/>
                    <a:stretch>
                      <a:fillRect/>
                    </a:stretch>
                  </pic:blipFill>
                  <pic:spPr>
                    <a:xfrm>
                      <a:off x="0" y="0"/>
                      <a:ext cx="12182855" cy="89915"/>
                    </a:xfrm>
                    <a:prstGeom prst="rect">
                      <a:avLst/>
                    </a:prstGeom>
                  </pic:spPr>
                </pic:pic>
              </a:graphicData>
            </a:graphic>
          </wp:anchor>
        </w:drawing>
      </w:r>
      <w:r>
        <w:rPr>
          <w:color w:val="57585B"/>
          <w:spacing w:val="-3"/>
        </w:rPr>
        <w:t>医疗设备受益国产替代大浪潮等。重点推荐澳华内镜、开立医疗、迈瑞医疗、海泰新光。</w:t>
      </w:r>
    </w:p>
    <w:p>
      <w:pPr>
        <w:pStyle w:val="BodyText"/>
        <w:spacing w:line="184" w:lineRule="auto" w:before="210"/>
        <w:ind w:left="933" w:right="2487"/>
        <w:jc w:val="both"/>
      </w:pPr>
      <w:r>
        <w:rPr>
          <w:color w:val="57585B"/>
        </w:rPr>
        <w:t>政策利好：国产替代大浪潮。近年来国内医疗器械市场的国产替代进程加速，一方面，国内医疗器械企业经过多年技术积淀，部分产品性能已达到甚至超越进口水平，性价比优势突出；另一方面，政策支持采购国产医疗设备，各项支持采购国产医疗设备的政策持续推出。</w:t>
      </w:r>
    </w:p>
    <w:p>
      <w:pPr>
        <w:pStyle w:val="BodyText"/>
        <w:spacing w:line="184" w:lineRule="auto" w:before="248"/>
        <w:ind w:left="933" w:right="2484"/>
        <w:jc w:val="both"/>
      </w:pPr>
      <w:r>
        <w:rPr>
          <w:color w:val="57585B"/>
        </w:rPr>
        <w:t>软镜赛道：国产企业技术水平与进口差距缩小，产品性价比高，放量可期。澳华内镜新一代旗舰产品AQ-300对标奥林巴斯下一代4K旗舰产品X1。AQ-300具有4K+光学放大、可变硬度等功能，还搭配有小镜种，目标是三级医院市场。开立医疗带有光学放大和可变硬度功能的镜体已获批；超声内镜已在国内拿证，打破进口垄断。国产软镜与进口差距进一步缩小。</w:t>
      </w:r>
    </w:p>
    <w:p>
      <w:pPr>
        <w:pStyle w:val="BodyText"/>
        <w:spacing w:before="163"/>
        <w:ind w:left="933"/>
      </w:pPr>
      <w:r>
        <w:rPr>
          <w:color w:val="57585B"/>
        </w:rPr>
        <w:t>硬镜赛道：微创手术在国内渗透率有较大提升空间。国内硬镜市场国产替代空间广阔，国内硬镜企业技术进步加速国产替代。</w:t>
      </w:r>
    </w:p>
    <w:p>
      <w:pPr>
        <w:pStyle w:val="Heading3"/>
        <w:numPr>
          <w:ilvl w:val="1"/>
          <w:numId w:val="9"/>
        </w:numPr>
        <w:tabs>
          <w:tab w:pos="1217" w:val="left" w:leader="none"/>
        </w:tabs>
        <w:spacing w:line="240" w:lineRule="auto" w:before="123" w:after="0"/>
        <w:ind w:left="1216" w:right="0" w:hanging="284"/>
        <w:jc w:val="left"/>
      </w:pPr>
      <w:r>
        <w:rPr>
          <w:color w:val="57585B"/>
          <w:spacing w:val="-3"/>
        </w:rPr>
        <w:t>低值耗材处于低估值高增长状态，国内受益产品升级及渠道扩张，海外受益新客户和新产品订单，关注维力医疗、振德医疗。</w:t>
      </w:r>
    </w:p>
    <w:p>
      <w:pPr>
        <w:pStyle w:val="ListParagraph"/>
        <w:numPr>
          <w:ilvl w:val="0"/>
          <w:numId w:val="10"/>
        </w:numPr>
        <w:tabs>
          <w:tab w:pos="1388" w:val="left" w:leader="none"/>
        </w:tabs>
        <w:spacing w:line="458" w:lineRule="exact" w:before="124" w:after="0"/>
        <w:ind w:left="1387" w:right="0" w:hanging="455"/>
        <w:jc w:val="left"/>
        <w:rPr>
          <w:sz w:val="28"/>
        </w:rPr>
      </w:pPr>
      <w:r>
        <w:rPr>
          <w:color w:val="57585B"/>
          <w:sz w:val="28"/>
        </w:rPr>
        <w:t>产品升级。例如，在国内医用敷料领域，现代敷料有望逐步取代传统敷料占据主要市场份额。在国内手术感控市场，一次性</w:t>
      </w:r>
    </w:p>
    <w:p>
      <w:pPr>
        <w:pStyle w:val="BodyText"/>
        <w:spacing w:line="458" w:lineRule="exact"/>
        <w:ind w:left="933"/>
      </w:pPr>
      <w:r>
        <w:rPr>
          <w:color w:val="57585B"/>
        </w:rPr>
        <w:t>产品对重复性产品的替代是发展趋势。在国内导尿管市场上，对导尿管表面涂层材料和改性材料的研究将推动产品持续升级。</w:t>
      </w:r>
    </w:p>
    <w:p>
      <w:pPr>
        <w:pStyle w:val="ListParagraph"/>
        <w:numPr>
          <w:ilvl w:val="0"/>
          <w:numId w:val="10"/>
        </w:numPr>
        <w:tabs>
          <w:tab w:pos="1388" w:val="left" w:leader="none"/>
        </w:tabs>
        <w:spacing w:line="187" w:lineRule="auto" w:before="204" w:after="0"/>
        <w:ind w:left="933" w:right="2488" w:firstLine="0"/>
        <w:jc w:val="left"/>
        <w:rPr>
          <w:sz w:val="28"/>
        </w:rPr>
      </w:pPr>
      <w:r>
        <w:rPr>
          <w:color w:val="57585B"/>
          <w:sz w:val="28"/>
        </w:rPr>
        <w:t>渠道扩张。部分国内低值耗材企业有防疫相关产品，凭借防疫产品的销售，渠道覆盖面大幅扩大。另外，部分国内低耗企业</w:t>
      </w:r>
      <w:r>
        <w:rPr>
          <w:color w:val="57585B"/>
          <w:spacing w:val="-3"/>
          <w:sz w:val="28"/>
        </w:rPr>
        <w:t>在积极推进营销改革和产品入院，营销改革成效显著，产品入院明显加快，医院和药店覆盖量大幅提升。</w:t>
      </w:r>
    </w:p>
    <w:p>
      <w:pPr>
        <w:pStyle w:val="ListParagraph"/>
        <w:numPr>
          <w:ilvl w:val="0"/>
          <w:numId w:val="10"/>
        </w:numPr>
        <w:tabs>
          <w:tab w:pos="1388" w:val="left" w:leader="none"/>
        </w:tabs>
        <w:spacing w:line="457" w:lineRule="exact" w:before="156" w:after="0"/>
        <w:ind w:left="1387" w:right="0" w:hanging="455"/>
        <w:jc w:val="left"/>
        <w:rPr>
          <w:sz w:val="28"/>
        </w:rPr>
      </w:pPr>
      <w:r>
        <w:rPr>
          <w:color w:val="57585B"/>
          <w:sz w:val="28"/>
        </w:rPr>
        <w:t>海外新客户和新产品订单。低值耗材企业在海外主要从事代工业务，目前国内低耗企业在海外客户扩展上仍有较大空间。我</w:t>
      </w:r>
    </w:p>
    <w:p>
      <w:pPr>
        <w:pStyle w:val="BodyText"/>
        <w:spacing w:line="457" w:lineRule="exact"/>
        <w:ind w:left="933"/>
      </w:pPr>
      <w:r>
        <w:rPr>
          <w:color w:val="57585B"/>
        </w:rPr>
        <w:t>们认为，国内低耗企业品类扩充后，海外单个客户可以给国内低耗企业更多产品品类的代工订单。</w:t>
      </w:r>
    </w:p>
    <w:p>
      <w:pPr>
        <w:spacing w:after="0" w:line="457" w:lineRule="exact"/>
        <w:sectPr>
          <w:headerReference w:type="default" r:id="rId58"/>
          <w:footerReference w:type="default" r:id="rId59"/>
          <w:pgSz w:w="19200" w:h="10800" w:orient="landscape"/>
          <w:pgMar w:header="471" w:footer="335" w:top="1100" w:bottom="520" w:left="0" w:right="0"/>
        </w:sectPr>
      </w:pPr>
    </w:p>
    <w:p>
      <w:pPr>
        <w:pStyle w:val="BodyText"/>
        <w:rPr>
          <w:sz w:val="20"/>
        </w:rPr>
      </w:pPr>
    </w:p>
    <w:p>
      <w:pPr>
        <w:pStyle w:val="BodyText"/>
        <w:spacing w:before="3"/>
        <w:rPr>
          <w:sz w:val="22"/>
        </w:rPr>
      </w:pPr>
    </w:p>
    <w:p>
      <w:pPr>
        <w:pStyle w:val="Heading3"/>
        <w:spacing w:before="28"/>
        <w:ind w:left="904"/>
      </w:pPr>
      <w:r>
        <w:rPr/>
        <w:drawing>
          <wp:anchor distT="0" distB="0" distL="0" distR="0" allowOverlap="1" layoutInCell="1" locked="0" behindDoc="0" simplePos="0" relativeHeight="15763968">
            <wp:simplePos x="0" y="0"/>
            <wp:positionH relativeFrom="page">
              <wp:posOffset>9144</wp:posOffset>
            </wp:positionH>
            <wp:positionV relativeFrom="paragraph">
              <wp:posOffset>-335565</wp:posOffset>
            </wp:positionV>
            <wp:extent cx="12182855" cy="89915"/>
            <wp:effectExtent l="0" t="0" r="0" b="0"/>
            <wp:wrapNone/>
            <wp:docPr id="111" name="image5.png"/>
            <wp:cNvGraphicFramePr>
              <a:graphicFrameLocks noChangeAspect="1"/>
            </wp:cNvGraphicFramePr>
            <a:graphic>
              <a:graphicData uri="http://schemas.openxmlformats.org/drawingml/2006/picture">
                <pic:pic>
                  <pic:nvPicPr>
                    <pic:cNvPr id="112" name="image5.png"/>
                    <pic:cNvPicPr/>
                  </pic:nvPicPr>
                  <pic:blipFill>
                    <a:blip r:embed="rId14" cstate="print"/>
                    <a:stretch>
                      <a:fillRect/>
                    </a:stretch>
                  </pic:blipFill>
                  <pic:spPr>
                    <a:xfrm>
                      <a:off x="0" y="0"/>
                      <a:ext cx="12182855" cy="89915"/>
                    </a:xfrm>
                    <a:prstGeom prst="rect">
                      <a:avLst/>
                    </a:prstGeom>
                  </pic:spPr>
                </pic:pic>
              </a:graphicData>
            </a:graphic>
          </wp:anchor>
        </w:drawing>
      </w:r>
      <w:r>
        <w:rPr>
          <w:color w:val="57585B"/>
        </w:rPr>
        <w:t>【中药】政策支持逐步落地，产业趋势清晰明确</w:t>
      </w:r>
    </w:p>
    <w:p>
      <w:pPr>
        <w:pStyle w:val="ListParagraph"/>
        <w:numPr>
          <w:ilvl w:val="1"/>
          <w:numId w:val="9"/>
        </w:numPr>
        <w:tabs>
          <w:tab w:pos="1356" w:val="left" w:leader="none"/>
        </w:tabs>
        <w:spacing w:line="184" w:lineRule="auto" w:before="210" w:after="0"/>
        <w:ind w:left="1355" w:right="917" w:hanging="452"/>
        <w:jc w:val="both"/>
        <w:rPr>
          <w:sz w:val="28"/>
        </w:rPr>
      </w:pPr>
      <w:r>
        <w:rPr>
          <w:color w:val="57585B"/>
          <w:spacing w:val="-3"/>
          <w:sz w:val="28"/>
        </w:rPr>
        <w:t>政策支持下星辰大海长坡厚雪，国企改革+集中度提升+持续提价能力将为优质头部公司带来极为广阔的发展空间。重点推荐近期景气度较高的细分领域（感冒、滋补、安宫产业链）</w:t>
      </w:r>
      <w:r>
        <w:rPr>
          <w:color w:val="57585B"/>
          <w:spacing w:val="-2"/>
          <w:sz w:val="28"/>
        </w:rPr>
        <w:t>，建议关注华润三九、东阿阿胶、同仁堂等，同时建议关注片仔癀、太极集团、达仁堂、江中</w:t>
      </w:r>
      <w:r>
        <w:rPr>
          <w:color w:val="57585B"/>
          <w:spacing w:val="-3"/>
          <w:sz w:val="28"/>
        </w:rPr>
        <w:t>药业、健民集团等。</w:t>
      </w:r>
    </w:p>
    <w:p>
      <w:pPr>
        <w:pStyle w:val="Heading3"/>
        <w:spacing w:before="162"/>
        <w:ind w:left="904"/>
      </w:pPr>
      <w:r>
        <w:rPr>
          <w:color w:val="57585B"/>
        </w:rPr>
        <w:t>【医疗服务】看好具备全国化扩张能力优质标的</w:t>
      </w:r>
    </w:p>
    <w:p>
      <w:pPr>
        <w:pStyle w:val="ListParagraph"/>
        <w:numPr>
          <w:ilvl w:val="1"/>
          <w:numId w:val="9"/>
        </w:numPr>
        <w:tabs>
          <w:tab w:pos="1356" w:val="left" w:leader="none"/>
        </w:tabs>
        <w:spacing w:line="187" w:lineRule="auto" w:before="204" w:after="0"/>
        <w:ind w:left="1355" w:right="919" w:hanging="452"/>
        <w:jc w:val="both"/>
        <w:rPr>
          <w:sz w:val="28"/>
        </w:rPr>
      </w:pPr>
      <w:r>
        <w:rPr>
          <w:color w:val="57585B"/>
          <w:sz w:val="28"/>
        </w:rPr>
        <w:t>反腐+集采净化医疗市场环境，有望完善医疗行业市场机制、推进医生多点执业，在长周期下民营医疗综合竞争力有望显著提升；同时商保+自费医疗的快速扩容，有望为民营医疗带来更多差异化竞争优势。建议关注：1、需求旺盛且复制性强的中医赛道龙头：固生堂；</w:t>
      </w:r>
      <w:r>
        <w:rPr>
          <w:color w:val="57585B"/>
          <w:spacing w:val="2"/>
          <w:sz w:val="28"/>
        </w:rPr>
        <w:t>2</w:t>
      </w:r>
      <w:r>
        <w:rPr>
          <w:color w:val="57585B"/>
          <w:sz w:val="28"/>
        </w:rPr>
        <w:t>、</w:t>
      </w:r>
      <w:r>
        <w:rPr>
          <w:color w:val="57585B"/>
          <w:spacing w:val="-3"/>
          <w:sz w:val="28"/>
        </w:rPr>
        <w:t>眼科黄金赛道：普瑞眼科、爱尔眼科、华厦眼科等；</w:t>
      </w:r>
      <w:r>
        <w:rPr>
          <w:color w:val="57585B"/>
          <w:sz w:val="28"/>
        </w:rPr>
        <w:t>3</w:t>
      </w:r>
      <w:r>
        <w:rPr>
          <w:color w:val="57585B"/>
          <w:spacing w:val="-3"/>
          <w:sz w:val="28"/>
        </w:rPr>
        <w:t>、其他细分赛道龙头：海吉亚医疗、国际医学、新里程、通策医疗、三星医疗、锦欣生殖。</w:t>
      </w:r>
    </w:p>
    <w:p>
      <w:pPr>
        <w:pStyle w:val="Heading3"/>
        <w:spacing w:before="150"/>
        <w:ind w:left="904"/>
      </w:pPr>
      <w:r>
        <w:rPr>
          <w:color w:val="57585B"/>
        </w:rPr>
        <w:t>【药房】长中短期逻辑清晰，业绩确定推动估值修复</w:t>
      </w:r>
    </w:p>
    <w:p>
      <w:pPr>
        <w:pStyle w:val="ListParagraph"/>
        <w:numPr>
          <w:ilvl w:val="1"/>
          <w:numId w:val="9"/>
        </w:numPr>
        <w:tabs>
          <w:tab w:pos="1355" w:val="left" w:leader="none"/>
          <w:tab w:pos="1356" w:val="left" w:leader="none"/>
        </w:tabs>
        <w:spacing w:line="184" w:lineRule="auto" w:before="210" w:after="0"/>
        <w:ind w:left="1355" w:right="922" w:hanging="452"/>
        <w:jc w:val="left"/>
        <w:rPr>
          <w:sz w:val="28"/>
        </w:rPr>
      </w:pPr>
      <w:r>
        <w:rPr>
          <w:color w:val="57585B"/>
          <w:sz w:val="28"/>
        </w:rPr>
        <w:t>反腐+集采常态化持续推动院内药企向院外转型，药房渠道价值预计显著提升；同时处方外流为制度性解决药品腐败的重要方式之一，多</w:t>
      </w:r>
      <w:r>
        <w:rPr>
          <w:color w:val="57585B"/>
          <w:spacing w:val="-3"/>
          <w:sz w:val="28"/>
        </w:rPr>
        <w:t>年推进后已具备落地执行的政策基础。建议关注健之佳、大参林、益丰药房、漱玉平民、一心堂、老百姓等。</w:t>
      </w:r>
    </w:p>
    <w:p>
      <w:pPr>
        <w:spacing w:after="0" w:line="184" w:lineRule="auto"/>
        <w:jc w:val="left"/>
        <w:rPr>
          <w:sz w:val="28"/>
        </w:rPr>
        <w:sectPr>
          <w:headerReference w:type="default" r:id="rId60"/>
          <w:footerReference w:type="default" r:id="rId61"/>
          <w:pgSz w:w="19200" w:h="10800" w:orient="landscape"/>
          <w:pgMar w:header="471" w:footer="173" w:top="1100" w:bottom="360" w:left="0" w:right="0"/>
        </w:sectPr>
      </w:pPr>
    </w:p>
    <w:p>
      <w:pPr>
        <w:pStyle w:val="BodyText"/>
        <w:rPr>
          <w:sz w:val="20"/>
        </w:rPr>
      </w:pPr>
    </w:p>
    <w:p>
      <w:pPr>
        <w:pStyle w:val="BodyText"/>
        <w:spacing w:before="4"/>
        <w:rPr>
          <w:sz w:val="11"/>
        </w:rPr>
      </w:pPr>
    </w:p>
    <w:p>
      <w:pPr>
        <w:pStyle w:val="Heading3"/>
        <w:numPr>
          <w:ilvl w:val="1"/>
          <w:numId w:val="9"/>
        </w:numPr>
        <w:tabs>
          <w:tab w:pos="1217" w:val="left" w:leader="none"/>
        </w:tabs>
        <w:spacing w:line="240" w:lineRule="auto" w:before="28" w:after="0"/>
        <w:ind w:left="1216" w:right="0" w:hanging="284"/>
        <w:jc w:val="both"/>
      </w:pPr>
      <w:r>
        <w:rPr/>
        <w:drawing>
          <wp:anchor distT="0" distB="0" distL="0" distR="0" allowOverlap="1" layoutInCell="1" locked="0" behindDoc="0" simplePos="0" relativeHeight="15764480">
            <wp:simplePos x="0" y="0"/>
            <wp:positionH relativeFrom="page">
              <wp:posOffset>9144</wp:posOffset>
            </wp:positionH>
            <wp:positionV relativeFrom="paragraph">
              <wp:posOffset>-207803</wp:posOffset>
            </wp:positionV>
            <wp:extent cx="12182855" cy="89915"/>
            <wp:effectExtent l="0" t="0" r="0" b="0"/>
            <wp:wrapNone/>
            <wp:docPr id="115" name="image5.png"/>
            <wp:cNvGraphicFramePr>
              <a:graphicFrameLocks noChangeAspect="1"/>
            </wp:cNvGraphicFramePr>
            <a:graphic>
              <a:graphicData uri="http://schemas.openxmlformats.org/drawingml/2006/picture">
                <pic:pic>
                  <pic:nvPicPr>
                    <pic:cNvPr id="116" name="image5.png"/>
                    <pic:cNvPicPr/>
                  </pic:nvPicPr>
                  <pic:blipFill>
                    <a:blip r:embed="rId14" cstate="print"/>
                    <a:stretch>
                      <a:fillRect/>
                    </a:stretch>
                  </pic:blipFill>
                  <pic:spPr>
                    <a:xfrm>
                      <a:off x="0" y="0"/>
                      <a:ext cx="12182855" cy="89915"/>
                    </a:xfrm>
                    <a:prstGeom prst="rect">
                      <a:avLst/>
                    </a:prstGeom>
                  </pic:spPr>
                </pic:pic>
              </a:graphicData>
            </a:graphic>
          </wp:anchor>
        </w:drawing>
      </w:r>
      <w:r>
        <w:rPr>
          <w:color w:val="57585B"/>
          <w:spacing w:val="-3"/>
        </w:rPr>
        <w:t>建议关注重磅品种专利到期带来的新增量和纵向拓展制剂逐步进入兑现期的企业。</w:t>
      </w:r>
    </w:p>
    <w:p>
      <w:pPr>
        <w:pStyle w:val="ListParagraph"/>
        <w:numPr>
          <w:ilvl w:val="1"/>
          <w:numId w:val="9"/>
        </w:numPr>
        <w:tabs>
          <w:tab w:pos="1217" w:val="left" w:leader="none"/>
        </w:tabs>
        <w:spacing w:line="187" w:lineRule="auto" w:before="206" w:after="0"/>
        <w:ind w:left="1216" w:right="2134" w:hanging="284"/>
        <w:jc w:val="both"/>
        <w:rPr>
          <w:sz w:val="28"/>
        </w:rPr>
      </w:pPr>
      <w:r>
        <w:rPr>
          <w:b/>
          <w:color w:val="57585B"/>
          <w:sz w:val="28"/>
        </w:rPr>
        <w:t>专利悬崖下，关注重磅慢病产品的增量。</w:t>
      </w:r>
      <w:r>
        <w:rPr>
          <w:color w:val="57585B"/>
          <w:sz w:val="28"/>
        </w:rPr>
        <w:t>根据Evaluate</w:t>
      </w:r>
      <w:r>
        <w:rPr>
          <w:color w:val="57585B"/>
          <w:spacing w:val="42"/>
          <w:sz w:val="28"/>
        </w:rPr>
        <w:t> </w:t>
      </w:r>
      <w:r>
        <w:rPr>
          <w:color w:val="57585B"/>
          <w:sz w:val="28"/>
        </w:rPr>
        <w:t>Pharma数据显示，2019年至2026年，全球有近3000亿美元原研药（如</w:t>
      </w:r>
      <w:r>
        <w:rPr>
          <w:color w:val="57585B"/>
          <w:spacing w:val="-3"/>
          <w:sz w:val="28"/>
        </w:rPr>
        <w:t>沙班类、列汀类、列净类等新慢病重磅品种）陆续专利到期，仿制药价格约为专利药的</w:t>
      </w:r>
      <w:r>
        <w:rPr>
          <w:color w:val="57585B"/>
          <w:sz w:val="28"/>
        </w:rPr>
        <w:t>10%-20%，2019-2026</w:t>
      </w:r>
      <w:r>
        <w:rPr>
          <w:color w:val="57585B"/>
          <w:spacing w:val="-3"/>
          <w:sz w:val="28"/>
        </w:rPr>
        <w:t>年仿制药的替代空</w:t>
      </w:r>
      <w:r>
        <w:rPr>
          <w:color w:val="57585B"/>
          <w:spacing w:val="-2"/>
          <w:sz w:val="28"/>
        </w:rPr>
        <w:t>间大概为</w:t>
      </w:r>
      <w:r>
        <w:rPr>
          <w:color w:val="57585B"/>
          <w:sz w:val="28"/>
        </w:rPr>
        <w:t>298-596亿美元。而随着增量仿制药对专利药份额的侵袭，会进一步扩容特色原料药市场。建议关注同和药业、天宇股份。</w:t>
      </w:r>
    </w:p>
    <w:p>
      <w:pPr>
        <w:pStyle w:val="ListParagraph"/>
        <w:numPr>
          <w:ilvl w:val="1"/>
          <w:numId w:val="9"/>
        </w:numPr>
        <w:tabs>
          <w:tab w:pos="1217" w:val="left" w:leader="none"/>
        </w:tabs>
        <w:spacing w:line="187" w:lineRule="auto" w:before="229" w:after="0"/>
        <w:ind w:left="1216" w:right="2135" w:hanging="284"/>
        <w:jc w:val="both"/>
        <w:rPr>
          <w:sz w:val="28"/>
        </w:rPr>
      </w:pPr>
      <w:r>
        <w:rPr>
          <w:b/>
          <w:color w:val="57585B"/>
          <w:sz w:val="28"/>
        </w:rPr>
        <w:t>向下游制剂端延伸，部分企业已经入业绩兑现期：</w:t>
      </w:r>
      <w:r>
        <w:rPr>
          <w:color w:val="57585B"/>
          <w:sz w:val="28"/>
        </w:rPr>
        <w:t>原料制剂一体化企业具备较强成本优势，在当前国内外的仿制药环境下都较为</w:t>
      </w:r>
      <w:r>
        <w:rPr>
          <w:color w:val="57585B"/>
          <w:spacing w:val="-3"/>
          <w:sz w:val="28"/>
        </w:rPr>
        <w:t>舒适。建议关注纵向拓展制剂已进入业绩兑现期的华海药业。</w:t>
      </w:r>
    </w:p>
    <w:p>
      <w:pPr>
        <w:tabs>
          <w:tab w:pos="942" w:val="left" w:leader="none"/>
          <w:tab w:pos="8810" w:val="left" w:leader="none"/>
          <w:tab w:pos="9515" w:val="left" w:leader="none"/>
          <w:tab w:pos="18909" w:val="left" w:leader="none"/>
        </w:tabs>
        <w:spacing w:before="194"/>
        <w:ind w:left="624" w:right="0" w:firstLine="0"/>
        <w:jc w:val="left"/>
        <w:rPr>
          <w:b/>
          <w:sz w:val="30"/>
        </w:rPr>
      </w:pPr>
      <w:r>
        <w:rPr>
          <w:b/>
          <w:color w:val="FFFFFF"/>
          <w:sz w:val="30"/>
          <w:shd w:fill="0A4EA1" w:color="auto" w:val="clear"/>
        </w:rPr>
        <w:t> </w:t>
        <w:tab/>
        <w:t>2019-2026专利到期可能影响的原研药销售额(十亿美元)</w:t>
        <w:tab/>
      </w:r>
      <w:r>
        <w:rPr>
          <w:b/>
          <w:color w:val="FFFFFF"/>
          <w:sz w:val="30"/>
        </w:rPr>
        <w:tab/>
      </w:r>
      <w:r>
        <w:rPr>
          <w:b/>
          <w:color w:val="FFFFFF"/>
          <w:spacing w:val="-1"/>
          <w:sz w:val="30"/>
          <w:shd w:fill="0A4EA1" w:color="auto" w:val="clear"/>
        </w:rPr>
        <w:t>2020-2026即</w:t>
      </w:r>
      <w:r>
        <w:rPr>
          <w:b/>
          <w:color w:val="FFFFFF"/>
          <w:sz w:val="30"/>
          <w:shd w:fill="0A4EA1" w:color="auto" w:val="clear"/>
        </w:rPr>
        <w:t>将专利过期的重磅品种（2019年销售额，十亿美元）</w:t>
        <w:tab/>
      </w:r>
    </w:p>
    <w:p>
      <w:pPr>
        <w:pStyle w:val="BodyText"/>
        <w:spacing w:before="4"/>
        <w:rPr>
          <w:b/>
          <w:sz w:val="7"/>
        </w:rPr>
      </w:pPr>
    </w:p>
    <w:p>
      <w:pPr>
        <w:spacing w:after="0"/>
        <w:rPr>
          <w:sz w:val="7"/>
        </w:rPr>
        <w:sectPr>
          <w:headerReference w:type="default" r:id="rId62"/>
          <w:footerReference w:type="default" r:id="rId63"/>
          <w:pgSz w:w="19200" w:h="10800" w:orient="landscape"/>
          <w:pgMar w:header="471" w:footer="173" w:top="1100" w:bottom="360" w:left="0" w:right="0"/>
        </w:sectPr>
      </w:pPr>
    </w:p>
    <w:p>
      <w:pPr>
        <w:spacing w:before="94"/>
        <w:ind w:left="1140" w:right="0" w:firstLine="0"/>
        <w:jc w:val="left"/>
        <w:rPr>
          <w:rFonts w:ascii="Times New Roman"/>
          <w:sz w:val="16"/>
        </w:rPr>
      </w:pPr>
      <w:r>
        <w:rPr/>
        <w:pict>
          <v:group style="position:absolute;margin-left:69.480003pt;margin-top:9.308747pt;width:342.25pt;height:161.9pt;mso-position-horizontal-relative:page;mso-position-vertical-relative:paragraph;z-index:-18028032" coordorigin="1390,186" coordsize="6845,3238">
            <v:rect style="position:absolute;left:1617;top:1285;width:240;height:2091" filled="true" fillcolor="#e6121b" stroked="false">
              <v:fill type="solid"/>
            </v:rect>
            <v:rect style="position:absolute;left:1857;top:2694;width:243;height:682" filled="true" fillcolor="#0161b9" stroked="false">
              <v:fill type="solid"/>
            </v:rect>
            <v:rect style="position:absolute;left:2460;top:2648;width:243;height:728" filled="true" fillcolor="#e6121b" stroked="false">
              <v:fill type="solid"/>
            </v:rect>
            <v:rect style="position:absolute;left:2702;top:2058;width:240;height:1318" filled="true" fillcolor="#0161b9" stroked="false">
              <v:fill type="solid"/>
            </v:rect>
            <v:rect style="position:absolute;left:3304;top:2830;width:240;height:545" filled="true" fillcolor="#e6121b" stroked="false">
              <v:fill type="solid"/>
            </v:rect>
            <v:rect style="position:absolute;left:3544;top:2648;width:243;height:728" filled="true" fillcolor="#0161b9" stroked="false">
              <v:fill type="solid"/>
            </v:rect>
            <v:rect style="position:absolute;left:4149;top:1738;width:240;height:1637" filled="true" fillcolor="#e6121b" stroked="false">
              <v:fill type="solid"/>
            </v:rect>
            <v:rect style="position:absolute;left:4389;top:2602;width:240;height:773" filled="true" fillcolor="#0161b9" stroked="false">
              <v:fill type="solid"/>
            </v:rect>
            <v:rect style="position:absolute;left:4992;top:512;width:243;height:2864" filled="true" fillcolor="#e6121b" stroked="false">
              <v:fill type="solid"/>
            </v:rect>
            <v:rect style="position:absolute;left:5234;top:2149;width:240;height:1227" filled="true" fillcolor="#0161b9" stroked="false">
              <v:fill type="solid"/>
            </v:rect>
            <v:rect style="position:absolute;left:5836;top:2420;width:240;height:956" filled="true" fillcolor="#e6121b" stroked="false">
              <v:fill type="solid"/>
            </v:rect>
            <v:rect style="position:absolute;left:6076;top:2420;width:243;height:956" filled="true" fillcolor="#0161b9" stroked="false">
              <v:fill type="solid"/>
            </v:rect>
            <v:rect style="position:absolute;left:6679;top:1102;width:243;height:2273" filled="true" fillcolor="#e6121b" stroked="false">
              <v:fill type="solid"/>
            </v:rect>
            <v:rect style="position:absolute;left:6921;top:2466;width:240;height:910" filled="true" fillcolor="#0161b9" stroked="false">
              <v:fill type="solid"/>
            </v:rect>
            <v:rect style="position:absolute;left:7524;top:920;width:243;height:2456" filled="true" fillcolor="#e6121b" stroked="false">
              <v:fill type="solid"/>
            </v:rect>
            <v:rect style="position:absolute;left:7766;top:2283;width:240;height:1092" filled="true" fillcolor="#0161b9" stroked="false">
              <v:fill type="solid"/>
            </v:rect>
            <v:shape style="position:absolute;left:8186;top:193;width:48;height:3183" coordorigin="8186,193" coordsize="48,3183" path="m8186,3376l8186,193m8186,3376l8234,3376m8186,2845l8234,2845m8186,2315l8234,2315m8186,1785l8234,1785m8186,1254l8234,1254m8186,724l8234,724m8186,193l8234,193e" filled="false" stroked="true" strokeweight=".72pt" strokecolor="#858585">
              <v:path arrowok="t"/>
              <v:stroke dashstyle="solid"/>
            </v:shape>
            <v:shape style="position:absolute;left:1389;top:193;width:6797;height:3231" coordorigin="1390,193" coordsize="6797,3231" path="m1435,3376l1435,193m1390,3376l1435,3376m1390,2922l1435,2922m1390,2466l1435,2466m1390,2013l1435,2013m1390,1557l1435,1557m1390,1103l1435,1103m1390,647l1435,647m1390,193l1435,193m1435,3376l8186,3376m1435,3376l1435,3424m2280,3376l2280,3424m3125,3376l3125,3424m3967,3376l3967,3424m4812,3376l4812,3424m5654,3376l5654,3424m6499,3376l6499,3424m7344,3376l7344,3424m8186,3376l8186,3424e" filled="false" stroked="true" strokeweight=".48pt" strokecolor="#000000">
              <v:path arrowok="t"/>
              <v:stroke dashstyle="solid"/>
            </v:shape>
            <v:shape style="position:absolute;left:1857;top:334;width:5908;height:2469" coordorigin="1858,335" coordsize="5908,2469" path="m1858,565l1890,637,1923,712,1955,788,1988,866,2020,945,2053,1024,2085,1105,2118,1186,2150,1267,2183,1349,2215,1429,2247,1510,2280,1589,2312,1667,2345,1744,2377,1819,2410,1892,2442,1963,2475,2032,2507,2098,2540,2161,2572,2220,2604,2276,2637,2329,2702,2421,2766,2499,2830,2568,2895,2628,2960,2680,3026,2722,3091,2756,3157,2780,3222,2796,3287,2803,3352,2801,3417,2789,3482,2769,3546,2739,3635,2676,3679,2632,3723,2583,3768,2527,3812,2466,3857,2401,3901,2332,3945,2259,3990,2185,4034,2108,4079,2031,4123,1953,4168,1876,4212,1800,4256,1725,4301,1653,4345,1584,4390,1519,4428,1462,4466,1399,4505,1331,4543,1259,4581,1185,4620,1108,4658,1031,4697,953,4735,876,4773,800,4812,727,4850,657,4888,592,4927,532,4965,479,5003,432,5080,364,5157,335,5195,337,5261,373,5315,442,5370,544,5397,606,5424,674,5451,748,5479,826,5506,909,5533,996,5560,1086,5587,1178,5615,1271,5642,1366,5669,1461,5696,1555,5724,1649,5751,1741,5778,1831,5805,1917,5832,2000,5860,2079,5887,2153,5914,2221,5941,2283,5969,2337,6023,2424,6077,2474,6151,2488,6188,2476,6261,2418,6334,2324,6371,2266,6408,2202,6444,2133,6481,2061,6518,1986,6554,1909,6591,1833,6628,1757,6665,1682,6701,1611,6738,1544,6775,1482,6811,1426,6848,1378,6921,1307,6992,1266,7062,1240,7132,1225,7203,1221,7273,1224,7343,1234,7414,1248,7484,1264,7554,1280,7625,1294,7695,1303,7765,1307e" filled="false" stroked="true" strokeweight="1.44pt" strokecolor="#a6a6a6">
              <v:path arrowok="t"/>
              <v:stroke dashstyle="solid"/>
            </v:shape>
            <w10:wrap type="none"/>
          </v:group>
        </w:pict>
      </w:r>
      <w:r>
        <w:rPr>
          <w:rFonts w:ascii="Times New Roman"/>
          <w:sz w:val="16"/>
        </w:rPr>
        <w:t>70</w:t>
      </w:r>
    </w:p>
    <w:p>
      <w:pPr>
        <w:pStyle w:val="BodyText"/>
        <w:spacing w:before="7"/>
        <w:rPr>
          <w:rFonts w:ascii="Times New Roman"/>
          <w:sz w:val="23"/>
        </w:rPr>
      </w:pPr>
    </w:p>
    <w:p>
      <w:pPr>
        <w:spacing w:before="0"/>
        <w:ind w:left="1140" w:right="0" w:firstLine="0"/>
        <w:jc w:val="left"/>
        <w:rPr>
          <w:rFonts w:ascii="Times New Roman"/>
          <w:sz w:val="16"/>
        </w:rPr>
      </w:pPr>
      <w:r>
        <w:rPr>
          <w:rFonts w:ascii="Times New Roman"/>
          <w:sz w:val="16"/>
        </w:rPr>
        <w:t>60</w:t>
      </w:r>
    </w:p>
    <w:p>
      <w:pPr>
        <w:pStyle w:val="BodyText"/>
        <w:spacing w:before="4"/>
        <w:rPr>
          <w:rFonts w:ascii="Times New Roman"/>
          <w:sz w:val="23"/>
        </w:rPr>
      </w:pPr>
    </w:p>
    <w:p>
      <w:pPr>
        <w:tabs>
          <w:tab w:pos="1655" w:val="left" w:leader="none"/>
        </w:tabs>
        <w:spacing w:line="160" w:lineRule="exact" w:before="0"/>
        <w:ind w:left="1140" w:right="0" w:firstLine="0"/>
        <w:jc w:val="left"/>
        <w:rPr>
          <w:rFonts w:ascii="Times New Roman"/>
          <w:sz w:val="16"/>
        </w:rPr>
      </w:pPr>
      <w:r>
        <w:rPr>
          <w:rFonts w:ascii="Times New Roman"/>
          <w:position w:val="1"/>
          <w:sz w:val="16"/>
        </w:rPr>
        <w:t>50</w:t>
        <w:tab/>
      </w:r>
      <w:r>
        <w:rPr>
          <w:rFonts w:ascii="Times New Roman"/>
          <w:spacing w:val="-9"/>
          <w:sz w:val="16"/>
        </w:rPr>
        <w:t>46</w:t>
      </w:r>
    </w:p>
    <w:p>
      <w:pPr>
        <w:pStyle w:val="BodyText"/>
        <w:rPr>
          <w:rFonts w:ascii="Times New Roman"/>
          <w:sz w:val="18"/>
        </w:rPr>
      </w:pPr>
      <w:r>
        <w:rPr/>
        <w:br w:type="column"/>
      </w:r>
      <w:r>
        <w:rPr>
          <w:rFonts w:ascii="Times New Roman"/>
          <w:sz w:val="18"/>
        </w:rPr>
      </w:r>
    </w:p>
    <w:p>
      <w:pPr>
        <w:pStyle w:val="BodyText"/>
        <w:spacing w:before="2"/>
        <w:rPr>
          <w:rFonts w:ascii="Times New Roman"/>
          <w:sz w:val="23"/>
        </w:rPr>
      </w:pPr>
    </w:p>
    <w:p>
      <w:pPr>
        <w:spacing w:before="0"/>
        <w:ind w:left="165" w:right="0" w:firstLine="0"/>
        <w:jc w:val="left"/>
        <w:rPr>
          <w:rFonts w:ascii="Times New Roman"/>
          <w:sz w:val="16"/>
        </w:rPr>
      </w:pPr>
      <w:r>
        <w:rPr>
          <w:rFonts w:ascii="Times New Roman"/>
          <w:sz w:val="16"/>
        </w:rPr>
        <w:t>5.3%</w:t>
      </w:r>
    </w:p>
    <w:p>
      <w:pPr>
        <w:pStyle w:val="BodyText"/>
        <w:rPr>
          <w:rFonts w:ascii="Times New Roman"/>
          <w:sz w:val="21"/>
        </w:rPr>
      </w:pPr>
      <w:r>
        <w:rPr/>
        <w:br w:type="column"/>
      </w:r>
      <w:r>
        <w:rPr>
          <w:rFonts w:ascii="Times New Roman"/>
          <w:sz w:val="21"/>
        </w:rPr>
      </w:r>
    </w:p>
    <w:p>
      <w:pPr>
        <w:tabs>
          <w:tab w:pos="1508" w:val="left" w:leader="none"/>
        </w:tabs>
        <w:spacing w:before="0"/>
        <w:ind w:left="1140" w:right="0" w:firstLine="0"/>
        <w:jc w:val="left"/>
        <w:rPr>
          <w:rFonts w:ascii="Times New Roman"/>
          <w:sz w:val="16"/>
        </w:rPr>
      </w:pPr>
      <w:r>
        <w:rPr>
          <w:rFonts w:ascii="Times New Roman"/>
          <w:position w:val="2"/>
          <w:sz w:val="16"/>
        </w:rPr>
        <w:t>63</w:t>
        <w:tab/>
      </w:r>
      <w:r>
        <w:rPr>
          <w:rFonts w:ascii="Times New Roman"/>
          <w:spacing w:val="-5"/>
          <w:sz w:val="16"/>
        </w:rPr>
        <w:t>5.7%</w:t>
      </w:r>
    </w:p>
    <w:p>
      <w:pPr>
        <w:spacing w:before="94"/>
        <w:ind w:left="2546" w:right="0" w:firstLine="0"/>
        <w:jc w:val="left"/>
        <w:rPr>
          <w:rFonts w:ascii="Times New Roman"/>
          <w:sz w:val="16"/>
        </w:rPr>
      </w:pPr>
      <w:r>
        <w:rPr/>
        <w:br w:type="column"/>
      </w:r>
      <w:r>
        <w:rPr>
          <w:rFonts w:ascii="Times New Roman"/>
          <w:sz w:val="16"/>
        </w:rPr>
        <w:t>6%</w:t>
      </w:r>
    </w:p>
    <w:p>
      <w:pPr>
        <w:pStyle w:val="BodyText"/>
        <w:rPr>
          <w:rFonts w:ascii="Times New Roman"/>
          <w:sz w:val="18"/>
        </w:rPr>
      </w:pPr>
    </w:p>
    <w:p>
      <w:pPr>
        <w:tabs>
          <w:tab w:pos="2546" w:val="left" w:leader="none"/>
        </w:tabs>
        <w:spacing w:before="140"/>
        <w:ind w:left="1786" w:right="0" w:firstLine="0"/>
        <w:jc w:val="left"/>
        <w:rPr>
          <w:rFonts w:ascii="Times New Roman"/>
          <w:sz w:val="16"/>
        </w:rPr>
      </w:pPr>
      <w:r>
        <w:rPr/>
        <w:drawing>
          <wp:anchor distT="0" distB="0" distL="0" distR="0" allowOverlap="1" layoutInCell="1" locked="0" behindDoc="0" simplePos="0" relativeHeight="15767040">
            <wp:simplePos x="0" y="0"/>
            <wp:positionH relativeFrom="page">
              <wp:posOffset>7188734</wp:posOffset>
            </wp:positionH>
            <wp:positionV relativeFrom="paragraph">
              <wp:posOffset>-267290</wp:posOffset>
            </wp:positionV>
            <wp:extent cx="3915057" cy="2634913"/>
            <wp:effectExtent l="0" t="0" r="0" b="0"/>
            <wp:wrapNone/>
            <wp:docPr id="117" name="image19.jpeg"/>
            <wp:cNvGraphicFramePr>
              <a:graphicFrameLocks noChangeAspect="1"/>
            </wp:cNvGraphicFramePr>
            <a:graphic>
              <a:graphicData uri="http://schemas.openxmlformats.org/drawingml/2006/picture">
                <pic:pic>
                  <pic:nvPicPr>
                    <pic:cNvPr id="118" name="image19.jpeg"/>
                    <pic:cNvPicPr/>
                  </pic:nvPicPr>
                  <pic:blipFill>
                    <a:blip r:embed="rId64" cstate="print"/>
                    <a:stretch>
                      <a:fillRect/>
                    </a:stretch>
                  </pic:blipFill>
                  <pic:spPr>
                    <a:xfrm>
                      <a:off x="0" y="0"/>
                      <a:ext cx="3915057" cy="2634913"/>
                    </a:xfrm>
                    <a:prstGeom prst="rect">
                      <a:avLst/>
                    </a:prstGeom>
                  </pic:spPr>
                </pic:pic>
              </a:graphicData>
            </a:graphic>
          </wp:anchor>
        </w:drawing>
      </w:r>
      <w:r>
        <w:rPr>
          <w:rFonts w:ascii="Times New Roman"/>
          <w:position w:val="-1"/>
          <w:sz w:val="16"/>
        </w:rPr>
        <w:t>54</w:t>
        <w:tab/>
      </w:r>
      <w:r>
        <w:rPr>
          <w:rFonts w:ascii="Times New Roman"/>
          <w:sz w:val="16"/>
        </w:rPr>
        <w:t>5%</w:t>
      </w:r>
    </w:p>
    <w:p>
      <w:pPr>
        <w:spacing w:before="1"/>
        <w:ind w:left="942" w:right="0" w:firstLine="0"/>
        <w:jc w:val="left"/>
        <w:rPr>
          <w:rFonts w:ascii="Times New Roman"/>
          <w:sz w:val="16"/>
        </w:rPr>
      </w:pPr>
      <w:r>
        <w:rPr>
          <w:rFonts w:ascii="Times New Roman"/>
          <w:sz w:val="16"/>
        </w:rPr>
        <w:t>50</w:t>
      </w:r>
    </w:p>
    <w:p>
      <w:pPr>
        <w:spacing w:after="0"/>
        <w:jc w:val="left"/>
        <w:rPr>
          <w:rFonts w:ascii="Times New Roman"/>
          <w:sz w:val="16"/>
        </w:rPr>
        <w:sectPr>
          <w:type w:val="continuous"/>
          <w:pgSz w:w="19200" w:h="10800" w:orient="landscape"/>
          <w:pgMar w:top="140" w:bottom="0" w:left="0" w:right="0"/>
          <w:cols w:num="4" w:equalWidth="0">
            <w:col w:w="1820" w:space="40"/>
            <w:col w:w="543" w:space="1489"/>
            <w:col w:w="1846" w:space="39"/>
            <w:col w:w="13423"/>
          </w:cols>
        </w:sectPr>
      </w:pPr>
    </w:p>
    <w:p>
      <w:pPr>
        <w:pStyle w:val="BodyText"/>
        <w:spacing w:before="7"/>
        <w:rPr>
          <w:rFonts w:ascii="Times New Roman"/>
          <w:sz w:val="25"/>
        </w:rPr>
      </w:pPr>
    </w:p>
    <w:p>
      <w:pPr>
        <w:tabs>
          <w:tab w:pos="4187" w:val="left" w:leader="none"/>
        </w:tabs>
        <w:spacing w:before="0"/>
        <w:ind w:left="1140" w:right="0" w:firstLine="0"/>
        <w:jc w:val="left"/>
        <w:rPr>
          <w:rFonts w:ascii="Times New Roman"/>
          <w:sz w:val="16"/>
        </w:rPr>
      </w:pPr>
      <w:r>
        <w:rPr>
          <w:rFonts w:ascii="Times New Roman"/>
          <w:position w:val="1"/>
          <w:sz w:val="16"/>
        </w:rPr>
        <w:t>40</w:t>
        <w:tab/>
      </w:r>
      <w:r>
        <w:rPr>
          <w:rFonts w:ascii="Times New Roman"/>
          <w:spacing w:val="-9"/>
          <w:sz w:val="16"/>
        </w:rPr>
        <w:t>36</w:t>
      </w:r>
    </w:p>
    <w:p>
      <w:pPr>
        <w:spacing w:line="156" w:lineRule="exact" w:before="135"/>
        <w:ind w:left="2741" w:right="0" w:firstLine="0"/>
        <w:jc w:val="left"/>
        <w:rPr>
          <w:rFonts w:ascii="Times New Roman"/>
          <w:sz w:val="16"/>
        </w:rPr>
      </w:pPr>
      <w:r>
        <w:rPr>
          <w:rFonts w:ascii="Times New Roman"/>
          <w:sz w:val="16"/>
        </w:rPr>
        <w:t>29</w:t>
      </w:r>
    </w:p>
    <w:p>
      <w:pPr>
        <w:spacing w:line="156" w:lineRule="exact" w:before="0"/>
        <w:ind w:left="1140" w:right="0" w:firstLine="0"/>
        <w:jc w:val="left"/>
        <w:rPr>
          <w:rFonts w:ascii="Times New Roman"/>
          <w:sz w:val="16"/>
        </w:rPr>
      </w:pPr>
      <w:r>
        <w:rPr>
          <w:rFonts w:ascii="Times New Roman"/>
          <w:sz w:val="16"/>
        </w:rPr>
        <w:t>30</w:t>
      </w:r>
    </w:p>
    <w:p>
      <w:pPr>
        <w:pStyle w:val="BodyText"/>
        <w:spacing w:before="3"/>
        <w:rPr>
          <w:rFonts w:ascii="Times New Roman"/>
          <w:sz w:val="23"/>
        </w:rPr>
      </w:pPr>
      <w:r>
        <w:rPr/>
        <w:br w:type="column"/>
      </w:r>
      <w:r>
        <w:rPr>
          <w:rFonts w:ascii="Times New Roman"/>
          <w:sz w:val="23"/>
        </w:rPr>
      </w:r>
    </w:p>
    <w:p>
      <w:pPr>
        <w:spacing w:before="0"/>
        <w:ind w:left="165" w:right="0" w:firstLine="0"/>
        <w:jc w:val="left"/>
        <w:rPr>
          <w:rFonts w:ascii="Times New Roman"/>
          <w:sz w:val="16"/>
        </w:rPr>
      </w:pPr>
      <w:r>
        <w:rPr>
          <w:rFonts w:ascii="Times New Roman"/>
          <w:sz w:val="16"/>
        </w:rPr>
        <w:t>3.5%</w:t>
      </w:r>
    </w:p>
    <w:p>
      <w:pPr>
        <w:pStyle w:val="BodyText"/>
        <w:spacing w:before="10"/>
        <w:rPr>
          <w:rFonts w:ascii="Times New Roman"/>
          <w:sz w:val="22"/>
        </w:rPr>
      </w:pPr>
    </w:p>
    <w:p>
      <w:pPr>
        <w:spacing w:before="0"/>
        <w:ind w:left="0" w:right="0" w:firstLine="0"/>
        <w:jc w:val="right"/>
        <w:rPr>
          <w:rFonts w:ascii="Times New Roman"/>
          <w:sz w:val="16"/>
        </w:rPr>
      </w:pPr>
      <w:r>
        <w:rPr>
          <w:rFonts w:ascii="Times New Roman"/>
          <w:sz w:val="16"/>
        </w:rPr>
        <w:t>27</w:t>
      </w:r>
    </w:p>
    <w:p>
      <w:pPr>
        <w:pStyle w:val="BodyText"/>
        <w:rPr>
          <w:rFonts w:ascii="Times New Roman"/>
          <w:sz w:val="18"/>
        </w:rPr>
      </w:pPr>
      <w:r>
        <w:rPr/>
        <w:br w:type="column"/>
      </w:r>
      <w:r>
        <w:rPr>
          <w:rFonts w:ascii="Times New Roman"/>
          <w:sz w:val="18"/>
        </w:rPr>
      </w:r>
    </w:p>
    <w:p>
      <w:pPr>
        <w:pStyle w:val="BodyText"/>
        <w:rPr>
          <w:rFonts w:ascii="Times New Roman"/>
          <w:sz w:val="18"/>
        </w:rPr>
      </w:pPr>
    </w:p>
    <w:p>
      <w:pPr>
        <w:pStyle w:val="BodyText"/>
        <w:rPr>
          <w:rFonts w:ascii="Times New Roman"/>
          <w:sz w:val="18"/>
        </w:rPr>
      </w:pPr>
    </w:p>
    <w:p>
      <w:pPr>
        <w:pStyle w:val="BodyText"/>
        <w:rPr>
          <w:rFonts w:ascii="Times New Roman"/>
          <w:sz w:val="18"/>
        </w:rPr>
      </w:pPr>
    </w:p>
    <w:p>
      <w:pPr>
        <w:spacing w:before="159"/>
        <w:ind w:left="399" w:right="0" w:firstLine="0"/>
        <w:jc w:val="left"/>
        <w:rPr>
          <w:rFonts w:ascii="Times New Roman"/>
          <w:sz w:val="16"/>
        </w:rPr>
      </w:pPr>
      <w:r>
        <w:rPr>
          <w:rFonts w:ascii="Times New Roman"/>
          <w:sz w:val="16"/>
        </w:rPr>
        <w:t>21 21</w:t>
      </w:r>
    </w:p>
    <w:p>
      <w:pPr>
        <w:spacing w:before="55"/>
        <w:ind w:left="0" w:right="0" w:firstLine="0"/>
        <w:jc w:val="right"/>
        <w:rPr>
          <w:rFonts w:ascii="Times New Roman"/>
          <w:sz w:val="16"/>
        </w:rPr>
      </w:pPr>
      <w:r>
        <w:rPr/>
        <w:br w:type="column"/>
      </w:r>
      <w:r>
        <w:rPr>
          <w:rFonts w:ascii="Times New Roman"/>
          <w:sz w:val="16"/>
        </w:rPr>
        <w:t>3.9%</w:t>
      </w: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5"/>
        </w:rPr>
      </w:pPr>
    </w:p>
    <w:p>
      <w:pPr>
        <w:spacing w:line="143" w:lineRule="exact" w:before="0"/>
        <w:ind w:left="640" w:right="0" w:firstLine="0"/>
        <w:jc w:val="left"/>
        <w:rPr>
          <w:rFonts w:ascii="Times New Roman"/>
          <w:sz w:val="16"/>
        </w:rPr>
      </w:pPr>
      <w:r>
        <w:rPr>
          <w:rFonts w:ascii="Times New Roman"/>
          <w:sz w:val="16"/>
        </w:rPr>
        <w:t>20</w:t>
      </w:r>
    </w:p>
    <w:p>
      <w:pPr>
        <w:spacing w:line="240" w:lineRule="exact" w:before="0"/>
        <w:ind w:left="466" w:right="0" w:firstLine="0"/>
        <w:jc w:val="left"/>
        <w:rPr>
          <w:rFonts w:ascii="Times New Roman"/>
          <w:sz w:val="16"/>
        </w:rPr>
      </w:pPr>
      <w:r>
        <w:rPr/>
        <w:br w:type="column"/>
      </w:r>
      <w:r>
        <w:rPr>
          <w:rFonts w:ascii="Times New Roman"/>
          <w:sz w:val="16"/>
        </w:rPr>
        <w:t>3.9%</w:t>
      </w:r>
      <w:r>
        <w:rPr>
          <w:rFonts w:ascii="Times New Roman"/>
          <w:spacing w:val="12"/>
          <w:sz w:val="16"/>
        </w:rPr>
        <w:t> </w:t>
      </w:r>
      <w:r>
        <w:rPr>
          <w:rFonts w:ascii="Times New Roman"/>
          <w:position w:val="6"/>
          <w:sz w:val="16"/>
        </w:rPr>
        <w:t>4%</w:t>
      </w:r>
    </w:p>
    <w:p>
      <w:pPr>
        <w:pStyle w:val="BodyText"/>
        <w:spacing w:before="9"/>
        <w:rPr>
          <w:rFonts w:ascii="Times New Roman"/>
          <w:sz w:val="24"/>
        </w:rPr>
      </w:pPr>
    </w:p>
    <w:p>
      <w:pPr>
        <w:spacing w:before="0"/>
        <w:ind w:left="858" w:right="0" w:firstLine="0"/>
        <w:jc w:val="left"/>
        <w:rPr>
          <w:rFonts w:ascii="Times New Roman"/>
          <w:sz w:val="16"/>
        </w:rPr>
      </w:pPr>
      <w:r>
        <w:rPr>
          <w:rFonts w:ascii="Times New Roman"/>
          <w:sz w:val="16"/>
        </w:rPr>
        <w:t>3%</w:t>
      </w:r>
    </w:p>
    <w:p>
      <w:pPr>
        <w:spacing w:before="142"/>
        <w:ind w:left="339" w:right="0" w:firstLine="0"/>
        <w:jc w:val="left"/>
        <w:rPr>
          <w:rFonts w:ascii="Times New Roman"/>
          <w:sz w:val="16"/>
        </w:rPr>
      </w:pPr>
      <w:r>
        <w:rPr>
          <w:rFonts w:ascii="Times New Roman"/>
          <w:sz w:val="16"/>
        </w:rPr>
        <w:t>24</w:t>
      </w:r>
    </w:p>
    <w:p>
      <w:pPr>
        <w:spacing w:line="120" w:lineRule="exact" w:before="21"/>
        <w:ind w:left="858" w:right="0" w:firstLine="0"/>
        <w:jc w:val="left"/>
        <w:rPr>
          <w:rFonts w:ascii="Times New Roman"/>
          <w:sz w:val="16"/>
        </w:rPr>
      </w:pPr>
      <w:r>
        <w:rPr>
          <w:rFonts w:ascii="Times New Roman"/>
          <w:sz w:val="16"/>
        </w:rPr>
        <w:t>2%</w:t>
      </w:r>
    </w:p>
    <w:p>
      <w:pPr>
        <w:spacing w:after="0" w:line="120" w:lineRule="exact"/>
        <w:jc w:val="left"/>
        <w:rPr>
          <w:rFonts w:ascii="Times New Roman"/>
          <w:sz w:val="16"/>
        </w:rPr>
        <w:sectPr>
          <w:type w:val="continuous"/>
          <w:pgSz w:w="19200" w:h="10800" w:orient="landscape"/>
          <w:pgMar w:top="140" w:bottom="0" w:left="0" w:right="0"/>
          <w:cols w:num="5" w:equalWidth="0">
            <w:col w:w="4352" w:space="40"/>
            <w:col w:w="1046" w:space="39"/>
            <w:col w:w="804" w:space="39"/>
            <w:col w:w="1106" w:space="40"/>
            <w:col w:w="11734"/>
          </w:cols>
        </w:sectPr>
      </w:pPr>
    </w:p>
    <w:p>
      <w:pPr>
        <w:tabs>
          <w:tab w:pos="1896" w:val="left" w:leader="none"/>
        </w:tabs>
        <w:spacing w:before="31"/>
        <w:ind w:left="1140" w:right="0" w:firstLine="0"/>
        <w:jc w:val="left"/>
        <w:rPr>
          <w:rFonts w:ascii="Times New Roman"/>
          <w:sz w:val="16"/>
        </w:rPr>
      </w:pPr>
      <w:r>
        <w:rPr>
          <w:rFonts w:ascii="Times New Roman"/>
          <w:sz w:val="16"/>
        </w:rPr>
        <w:t>20</w:t>
        <w:tab/>
      </w:r>
      <w:r>
        <w:rPr>
          <w:rFonts w:ascii="Times New Roman"/>
          <w:spacing w:val="-9"/>
          <w:position w:val="-4"/>
          <w:sz w:val="16"/>
        </w:rPr>
        <w:t>15</w:t>
      </w:r>
    </w:p>
    <w:p>
      <w:pPr>
        <w:pStyle w:val="BodyText"/>
        <w:spacing w:before="2"/>
        <w:rPr>
          <w:rFonts w:ascii="Times New Roman"/>
          <w:sz w:val="19"/>
        </w:rPr>
      </w:pPr>
    </w:p>
    <w:p>
      <w:pPr>
        <w:spacing w:before="0"/>
        <w:ind w:left="1140" w:right="0" w:firstLine="0"/>
        <w:jc w:val="left"/>
        <w:rPr>
          <w:rFonts w:ascii="Times New Roman"/>
          <w:sz w:val="16"/>
        </w:rPr>
      </w:pPr>
      <w:r>
        <w:rPr>
          <w:rFonts w:ascii="Times New Roman"/>
          <w:sz w:val="16"/>
        </w:rPr>
        <w:t>10</w:t>
      </w:r>
    </w:p>
    <w:p>
      <w:pPr>
        <w:tabs>
          <w:tab w:pos="768" w:val="left" w:leader="none"/>
        </w:tabs>
        <w:spacing w:line="228" w:lineRule="auto" w:before="0"/>
        <w:ind w:left="399" w:right="0" w:firstLine="0"/>
        <w:jc w:val="left"/>
        <w:rPr>
          <w:rFonts w:ascii="Times New Roman"/>
          <w:sz w:val="16"/>
        </w:rPr>
      </w:pPr>
      <w:r>
        <w:rPr/>
        <w:br w:type="column"/>
      </w:r>
      <w:r>
        <w:rPr>
          <w:rFonts w:ascii="Times New Roman"/>
          <w:position w:val="-4"/>
          <w:sz w:val="16"/>
        </w:rPr>
        <w:t>16</w:t>
        <w:tab/>
      </w:r>
      <w:r>
        <w:rPr>
          <w:rFonts w:ascii="Times New Roman"/>
          <w:spacing w:val="-5"/>
          <w:sz w:val="16"/>
        </w:rPr>
        <w:t>1.8%</w:t>
      </w:r>
    </w:p>
    <w:p>
      <w:pPr>
        <w:tabs>
          <w:tab w:pos="1183" w:val="left" w:leader="none"/>
        </w:tabs>
        <w:spacing w:line="228" w:lineRule="auto" w:before="0"/>
        <w:ind w:left="339" w:right="0" w:firstLine="0"/>
        <w:jc w:val="left"/>
        <w:rPr>
          <w:rFonts w:ascii="Times New Roman"/>
          <w:sz w:val="16"/>
        </w:rPr>
      </w:pPr>
      <w:r>
        <w:rPr/>
        <w:br w:type="column"/>
      </w:r>
      <w:r>
        <w:rPr>
          <w:rFonts w:ascii="Times New Roman"/>
          <w:position w:val="-4"/>
          <w:sz w:val="16"/>
        </w:rPr>
        <w:t>16</w:t>
        <w:tab/>
      </w:r>
      <w:r>
        <w:rPr>
          <w:rFonts w:ascii="Times New Roman"/>
          <w:sz w:val="16"/>
        </w:rPr>
        <w:t>17</w:t>
      </w:r>
    </w:p>
    <w:p>
      <w:pPr>
        <w:tabs>
          <w:tab w:pos="466" w:val="left" w:leader="none"/>
        </w:tabs>
        <w:spacing w:line="272" w:lineRule="exact" w:before="0"/>
        <w:ind w:left="98" w:right="0" w:firstLine="0"/>
        <w:jc w:val="left"/>
        <w:rPr>
          <w:rFonts w:ascii="Times New Roman"/>
          <w:sz w:val="16"/>
        </w:rPr>
      </w:pPr>
      <w:r>
        <w:rPr>
          <w:rFonts w:ascii="Times New Roman"/>
          <w:position w:val="9"/>
          <w:sz w:val="16"/>
        </w:rPr>
        <w:t>12</w:t>
        <w:tab/>
      </w:r>
      <w:r>
        <w:rPr>
          <w:rFonts w:ascii="Times New Roman"/>
          <w:sz w:val="16"/>
        </w:rPr>
        <w:t>1.2%</w:t>
      </w:r>
    </w:p>
    <w:p>
      <w:pPr>
        <w:spacing w:before="46"/>
        <w:ind w:left="1140" w:right="0" w:firstLine="0"/>
        <w:jc w:val="left"/>
        <w:rPr>
          <w:rFonts w:ascii="Times New Roman"/>
          <w:sz w:val="16"/>
        </w:rPr>
      </w:pPr>
      <w:r>
        <w:rPr/>
        <w:br w:type="column"/>
      </w:r>
      <w:r>
        <w:rPr>
          <w:rFonts w:ascii="Times New Roman"/>
          <w:sz w:val="16"/>
        </w:rPr>
        <w:t>1.7%</w:t>
      </w:r>
    </w:p>
    <w:p>
      <w:pPr>
        <w:pStyle w:val="BodyText"/>
        <w:spacing w:before="7"/>
        <w:rPr>
          <w:rFonts w:ascii="Times New Roman"/>
          <w:sz w:val="15"/>
        </w:rPr>
      </w:pPr>
    </w:p>
    <w:p>
      <w:pPr>
        <w:spacing w:before="0"/>
        <w:ind w:left="3220" w:right="0" w:firstLine="0"/>
        <w:jc w:val="left"/>
        <w:rPr>
          <w:rFonts w:ascii="Times New Roman"/>
          <w:sz w:val="16"/>
        </w:rPr>
      </w:pPr>
      <w:r>
        <w:rPr>
          <w:rFonts w:ascii="Times New Roman"/>
          <w:sz w:val="16"/>
        </w:rPr>
        <w:t>1%</w:t>
      </w:r>
    </w:p>
    <w:p>
      <w:pPr>
        <w:spacing w:after="0"/>
        <w:jc w:val="left"/>
        <w:rPr>
          <w:rFonts w:ascii="Times New Roman"/>
          <w:sz w:val="16"/>
        </w:rPr>
        <w:sectPr>
          <w:type w:val="continuous"/>
          <w:pgSz w:w="19200" w:h="10800" w:orient="landscape"/>
          <w:pgMar w:top="140" w:bottom="0" w:left="0" w:right="0"/>
          <w:cols w:num="4" w:equalWidth="0">
            <w:col w:w="2061" w:space="40"/>
            <w:col w:w="1106" w:space="39"/>
            <w:col w:w="1387" w:space="471"/>
            <w:col w:w="14096"/>
          </w:cols>
        </w:sectPr>
      </w:pPr>
    </w:p>
    <w:p>
      <w:pPr>
        <w:pStyle w:val="BodyText"/>
        <w:spacing w:before="4"/>
        <w:rPr>
          <w:rFonts w:ascii="Times New Roman"/>
          <w:sz w:val="15"/>
        </w:rPr>
      </w:pPr>
    </w:p>
    <w:p>
      <w:pPr>
        <w:spacing w:after="0"/>
        <w:rPr>
          <w:rFonts w:ascii="Times New Roman"/>
          <w:sz w:val="15"/>
        </w:rPr>
        <w:sectPr>
          <w:type w:val="continuous"/>
          <w:pgSz w:w="19200" w:h="10800" w:orient="landscape"/>
          <w:pgMar w:top="140" w:bottom="0" w:left="0" w:right="0"/>
        </w:sectPr>
      </w:pPr>
    </w:p>
    <w:p>
      <w:pPr>
        <w:spacing w:before="95"/>
        <w:ind w:left="502" w:right="0" w:firstLine="0"/>
        <w:jc w:val="center"/>
        <w:rPr>
          <w:rFonts w:ascii="Times New Roman"/>
          <w:sz w:val="16"/>
        </w:rPr>
      </w:pPr>
      <w:r>
        <w:rPr>
          <w:rFonts w:ascii="Times New Roman"/>
          <w:w w:val="100"/>
          <w:sz w:val="16"/>
        </w:rPr>
        <w:t>0</w:t>
      </w:r>
    </w:p>
    <w:p>
      <w:pPr>
        <w:spacing w:before="3"/>
        <w:ind w:left="1698" w:right="0" w:firstLine="0"/>
        <w:jc w:val="center"/>
        <w:rPr>
          <w:rFonts w:ascii="Times New Roman"/>
          <w:sz w:val="16"/>
        </w:rPr>
      </w:pPr>
      <w:r>
        <w:rPr>
          <w:rFonts w:ascii="Times New Roman"/>
          <w:sz w:val="16"/>
        </w:rPr>
        <w:t>2019</w:t>
      </w:r>
    </w:p>
    <w:p>
      <w:pPr>
        <w:pStyle w:val="BodyText"/>
        <w:spacing w:before="6"/>
        <w:rPr>
          <w:rFonts w:ascii="Times New Roman"/>
          <w:sz w:val="24"/>
        </w:rPr>
      </w:pPr>
      <w:r>
        <w:rPr/>
        <w:br w:type="column"/>
      </w:r>
      <w:r>
        <w:rPr>
          <w:rFonts w:ascii="Times New Roman"/>
          <w:sz w:val="24"/>
        </w:rPr>
      </w:r>
    </w:p>
    <w:p>
      <w:pPr>
        <w:spacing w:before="0"/>
        <w:ind w:left="483" w:right="0" w:firstLine="0"/>
        <w:jc w:val="left"/>
        <w:rPr>
          <w:rFonts w:ascii="Times New Roman"/>
          <w:sz w:val="16"/>
        </w:rPr>
      </w:pPr>
      <w:r>
        <w:rPr>
          <w:rFonts w:ascii="Times New Roman"/>
          <w:sz w:val="16"/>
        </w:rPr>
        <w:t>2020</w:t>
      </w:r>
    </w:p>
    <w:p>
      <w:pPr>
        <w:pStyle w:val="BodyText"/>
        <w:spacing w:before="6"/>
        <w:rPr>
          <w:rFonts w:ascii="Times New Roman"/>
          <w:sz w:val="24"/>
        </w:rPr>
      </w:pPr>
      <w:r>
        <w:rPr/>
        <w:br w:type="column"/>
      </w:r>
      <w:r>
        <w:rPr>
          <w:rFonts w:ascii="Times New Roman"/>
          <w:sz w:val="24"/>
        </w:rPr>
      </w:r>
    </w:p>
    <w:p>
      <w:pPr>
        <w:spacing w:before="0"/>
        <w:ind w:left="484" w:right="0" w:firstLine="0"/>
        <w:jc w:val="left"/>
        <w:rPr>
          <w:rFonts w:ascii="Times New Roman"/>
          <w:sz w:val="16"/>
        </w:rPr>
      </w:pPr>
      <w:r>
        <w:rPr>
          <w:rFonts w:ascii="Times New Roman"/>
          <w:sz w:val="16"/>
        </w:rPr>
        <w:t>2021</w:t>
      </w:r>
    </w:p>
    <w:p>
      <w:pPr>
        <w:pStyle w:val="BodyText"/>
        <w:spacing w:before="6"/>
        <w:rPr>
          <w:rFonts w:ascii="Times New Roman"/>
          <w:sz w:val="24"/>
        </w:rPr>
      </w:pPr>
      <w:r>
        <w:rPr/>
        <w:br w:type="column"/>
      </w:r>
      <w:r>
        <w:rPr>
          <w:rFonts w:ascii="Times New Roman"/>
          <w:sz w:val="24"/>
        </w:rPr>
      </w:r>
    </w:p>
    <w:p>
      <w:pPr>
        <w:spacing w:before="0"/>
        <w:ind w:left="483" w:right="0" w:firstLine="0"/>
        <w:jc w:val="left"/>
        <w:rPr>
          <w:rFonts w:ascii="Times New Roman"/>
          <w:sz w:val="16"/>
        </w:rPr>
      </w:pPr>
      <w:r>
        <w:rPr>
          <w:rFonts w:ascii="Times New Roman"/>
          <w:sz w:val="16"/>
        </w:rPr>
        <w:t>2022</w:t>
      </w:r>
    </w:p>
    <w:p>
      <w:pPr>
        <w:pStyle w:val="BodyText"/>
        <w:spacing w:before="6"/>
        <w:rPr>
          <w:rFonts w:ascii="Times New Roman"/>
          <w:sz w:val="24"/>
        </w:rPr>
      </w:pPr>
      <w:r>
        <w:rPr/>
        <w:br w:type="column"/>
      </w:r>
      <w:r>
        <w:rPr>
          <w:rFonts w:ascii="Times New Roman"/>
          <w:sz w:val="24"/>
        </w:rPr>
      </w:r>
    </w:p>
    <w:p>
      <w:pPr>
        <w:spacing w:before="0"/>
        <w:ind w:left="483" w:right="0" w:firstLine="0"/>
        <w:jc w:val="left"/>
        <w:rPr>
          <w:rFonts w:ascii="Times New Roman"/>
          <w:sz w:val="16"/>
        </w:rPr>
      </w:pPr>
      <w:r>
        <w:rPr>
          <w:rFonts w:ascii="Times New Roman"/>
          <w:sz w:val="16"/>
        </w:rPr>
        <w:t>2023</w:t>
      </w:r>
    </w:p>
    <w:p>
      <w:pPr>
        <w:pStyle w:val="BodyText"/>
        <w:spacing w:before="6"/>
        <w:rPr>
          <w:rFonts w:ascii="Times New Roman"/>
          <w:sz w:val="24"/>
        </w:rPr>
      </w:pPr>
      <w:r>
        <w:rPr/>
        <w:br w:type="column"/>
      </w:r>
      <w:r>
        <w:rPr>
          <w:rFonts w:ascii="Times New Roman"/>
          <w:sz w:val="24"/>
        </w:rPr>
      </w:r>
    </w:p>
    <w:p>
      <w:pPr>
        <w:spacing w:before="0"/>
        <w:ind w:left="484" w:right="0" w:firstLine="0"/>
        <w:jc w:val="left"/>
        <w:rPr>
          <w:rFonts w:ascii="Times New Roman"/>
          <w:sz w:val="16"/>
        </w:rPr>
      </w:pPr>
      <w:r>
        <w:rPr>
          <w:rFonts w:ascii="Times New Roman"/>
          <w:sz w:val="16"/>
        </w:rPr>
        <w:t>2024</w:t>
      </w:r>
    </w:p>
    <w:p>
      <w:pPr>
        <w:pStyle w:val="BodyText"/>
        <w:spacing w:before="6"/>
        <w:rPr>
          <w:rFonts w:ascii="Times New Roman"/>
          <w:sz w:val="24"/>
        </w:rPr>
      </w:pPr>
      <w:r>
        <w:rPr/>
        <w:br w:type="column"/>
      </w:r>
      <w:r>
        <w:rPr>
          <w:rFonts w:ascii="Times New Roman"/>
          <w:sz w:val="24"/>
        </w:rPr>
      </w:r>
    </w:p>
    <w:p>
      <w:pPr>
        <w:spacing w:before="0"/>
        <w:ind w:left="483" w:right="0" w:firstLine="0"/>
        <w:jc w:val="left"/>
        <w:rPr>
          <w:rFonts w:ascii="Times New Roman"/>
          <w:sz w:val="16"/>
        </w:rPr>
      </w:pPr>
      <w:r>
        <w:rPr>
          <w:rFonts w:ascii="Times New Roman"/>
          <w:sz w:val="16"/>
        </w:rPr>
        <w:t>2025</w:t>
      </w:r>
    </w:p>
    <w:p>
      <w:pPr>
        <w:spacing w:before="95"/>
        <w:ind w:left="1202" w:right="0" w:firstLine="0"/>
        <w:jc w:val="left"/>
        <w:rPr>
          <w:rFonts w:ascii="Times New Roman"/>
          <w:sz w:val="16"/>
        </w:rPr>
      </w:pPr>
      <w:r>
        <w:rPr/>
        <w:br w:type="column"/>
      </w:r>
      <w:r>
        <w:rPr>
          <w:rFonts w:ascii="Times New Roman"/>
          <w:sz w:val="16"/>
        </w:rPr>
        <w:t>0%</w:t>
      </w:r>
    </w:p>
    <w:p>
      <w:pPr>
        <w:spacing w:before="3"/>
        <w:ind w:left="483" w:right="0" w:firstLine="0"/>
        <w:jc w:val="left"/>
        <w:rPr>
          <w:rFonts w:ascii="Times New Roman"/>
          <w:sz w:val="16"/>
        </w:rPr>
      </w:pPr>
      <w:r>
        <w:rPr>
          <w:rFonts w:ascii="Times New Roman"/>
          <w:sz w:val="16"/>
        </w:rPr>
        <w:t>2026</w:t>
      </w:r>
    </w:p>
    <w:p>
      <w:pPr>
        <w:spacing w:after="0"/>
        <w:jc w:val="left"/>
        <w:rPr>
          <w:rFonts w:ascii="Times New Roman"/>
          <w:sz w:val="16"/>
        </w:rPr>
        <w:sectPr>
          <w:type w:val="continuous"/>
          <w:pgSz w:w="19200" w:h="10800" w:orient="landscape"/>
          <w:pgMar w:top="140" w:bottom="0" w:left="0" w:right="0"/>
          <w:cols w:num="8" w:equalWidth="0">
            <w:col w:w="2019" w:space="40"/>
            <w:col w:w="804" w:space="39"/>
            <w:col w:w="805" w:space="40"/>
            <w:col w:w="804" w:space="39"/>
            <w:col w:w="804" w:space="40"/>
            <w:col w:w="805" w:space="40"/>
            <w:col w:w="804" w:space="39"/>
            <w:col w:w="12078"/>
          </w:cols>
        </w:sectPr>
      </w:pPr>
    </w:p>
    <w:p>
      <w:pPr>
        <w:pStyle w:val="BodyText"/>
        <w:spacing w:before="6"/>
        <w:rPr>
          <w:rFonts w:ascii="Times New Roman"/>
          <w:sz w:val="15"/>
        </w:rPr>
      </w:pPr>
    </w:p>
    <w:p>
      <w:pPr>
        <w:tabs>
          <w:tab w:pos="4477" w:val="left" w:leader="none"/>
          <w:tab w:pos="6508" w:val="left" w:leader="none"/>
        </w:tabs>
        <w:spacing w:before="0"/>
        <w:ind w:left="2539" w:right="0" w:firstLine="0"/>
        <w:jc w:val="left"/>
        <w:rPr>
          <w:rFonts w:ascii="Times New Roman"/>
          <w:sz w:val="16"/>
        </w:rPr>
      </w:pPr>
      <w:r>
        <w:rPr/>
        <w:pict>
          <v:rect style="position:absolute;margin-left:105.720001pt;margin-top:2.95675pt;width:19.2pt;height:3.96pt;mso-position-horizontal-relative:page;mso-position-vertical-relative:paragraph;z-index:15765504" filled="true" fillcolor="#e6121b" stroked="false">
            <v:fill type="solid"/>
            <w10:wrap type="none"/>
          </v:rect>
        </w:pict>
      </w:r>
      <w:r>
        <w:rPr/>
        <w:pict>
          <v:rect style="position:absolute;margin-left:202.679993pt;margin-top:2.95675pt;width:19.2pt;height:3.96pt;mso-position-horizontal-relative:page;mso-position-vertical-relative:paragraph;z-index:-18027008" filled="true" fillcolor="#0161b9" stroked="false">
            <v:fill type="solid"/>
            <w10:wrap type="none"/>
          </v:rect>
        </w:pict>
      </w:r>
      <w:r>
        <w:rPr/>
        <w:pict>
          <v:line style="position:absolute;mso-position-horizontal-relative:page;mso-position-vertical-relative:paragraph;z-index:-18026496" from="304.200012pt,4.876750pt" to="323.400012pt,4.876750pt" stroked="true" strokeweight="1.44pt" strokecolor="#a6a6a6">
            <v:stroke dashstyle="solid"/>
            <w10:wrap type="none"/>
          </v:line>
        </w:pict>
      </w:r>
      <w:r>
        <w:rPr>
          <w:rFonts w:ascii="Times New Roman"/>
          <w:sz w:val="16"/>
        </w:rPr>
        <w:t>Total Sales</w:t>
      </w:r>
      <w:r>
        <w:rPr>
          <w:rFonts w:ascii="Times New Roman"/>
          <w:spacing w:val="-4"/>
          <w:sz w:val="16"/>
        </w:rPr>
        <w:t> </w:t>
      </w:r>
      <w:r>
        <w:rPr>
          <w:rFonts w:ascii="Times New Roman"/>
          <w:sz w:val="16"/>
        </w:rPr>
        <w:t>at Risk</w:t>
        <w:tab/>
        <w:t>Expected</w:t>
      </w:r>
      <w:r>
        <w:rPr>
          <w:rFonts w:ascii="Times New Roman"/>
          <w:spacing w:val="-2"/>
          <w:sz w:val="16"/>
        </w:rPr>
        <w:t> </w:t>
      </w:r>
      <w:r>
        <w:rPr>
          <w:rFonts w:ascii="Times New Roman"/>
          <w:sz w:val="16"/>
        </w:rPr>
        <w:t>Sales</w:t>
      </w:r>
      <w:r>
        <w:rPr>
          <w:rFonts w:ascii="Times New Roman"/>
          <w:spacing w:val="-2"/>
          <w:sz w:val="16"/>
        </w:rPr>
        <w:t> </w:t>
      </w:r>
      <w:r>
        <w:rPr>
          <w:rFonts w:ascii="Times New Roman"/>
          <w:sz w:val="16"/>
        </w:rPr>
        <w:t>Lost</w:t>
        <w:tab/>
        <w:t>% Market at</w:t>
      </w:r>
      <w:r>
        <w:rPr>
          <w:rFonts w:ascii="Times New Roman"/>
          <w:spacing w:val="-4"/>
          <w:sz w:val="16"/>
        </w:rPr>
        <w:t> </w:t>
      </w:r>
      <w:r>
        <w:rPr>
          <w:rFonts w:ascii="Times New Roman"/>
          <w:sz w:val="16"/>
        </w:rPr>
        <w:t>Risk</w:t>
      </w:r>
    </w:p>
    <w:p>
      <w:pPr>
        <w:spacing w:before="87"/>
        <w:ind w:left="2981" w:right="0" w:firstLine="0"/>
        <w:jc w:val="left"/>
        <w:rPr>
          <w:sz w:val="18"/>
        </w:rPr>
      </w:pPr>
      <w:r>
        <w:rPr>
          <w:color w:val="57585B"/>
          <w:sz w:val="18"/>
        </w:rPr>
        <w:t>数据来源：Wind，Evaluate Pharma，华创证券</w:t>
      </w:r>
    </w:p>
    <w:p>
      <w:pPr>
        <w:spacing w:after="0"/>
        <w:jc w:val="left"/>
        <w:rPr>
          <w:sz w:val="18"/>
        </w:rPr>
        <w:sectPr>
          <w:type w:val="continuous"/>
          <w:pgSz w:w="19200" w:h="10800" w:orient="landscape"/>
          <w:pgMar w:top="140" w:bottom="0" w:left="0" w:right="0"/>
        </w:sectPr>
      </w:pPr>
    </w:p>
    <w:p>
      <w:pPr>
        <w:pStyle w:val="BodyText"/>
        <w:rPr>
          <w:sz w:val="20"/>
        </w:rPr>
      </w:pPr>
    </w:p>
    <w:p>
      <w:pPr>
        <w:pStyle w:val="BodyText"/>
        <w:spacing w:before="4"/>
        <w:rPr>
          <w:sz w:val="11"/>
        </w:rPr>
      </w:pPr>
    </w:p>
    <w:p>
      <w:pPr>
        <w:pStyle w:val="ListParagraph"/>
        <w:numPr>
          <w:ilvl w:val="1"/>
          <w:numId w:val="9"/>
        </w:numPr>
        <w:tabs>
          <w:tab w:pos="1217" w:val="left" w:leader="none"/>
        </w:tabs>
        <w:spacing w:line="187" w:lineRule="auto" w:before="109" w:after="0"/>
        <w:ind w:left="1216" w:right="2465" w:hanging="284"/>
        <w:jc w:val="both"/>
        <w:rPr>
          <w:sz w:val="28"/>
        </w:rPr>
      </w:pPr>
      <w:r>
        <w:rPr/>
        <w:drawing>
          <wp:anchor distT="0" distB="0" distL="0" distR="0" allowOverlap="1" layoutInCell="1" locked="0" behindDoc="0" simplePos="0" relativeHeight="15767552">
            <wp:simplePos x="0" y="0"/>
            <wp:positionH relativeFrom="page">
              <wp:posOffset>9144</wp:posOffset>
            </wp:positionH>
            <wp:positionV relativeFrom="paragraph">
              <wp:posOffset>-207994</wp:posOffset>
            </wp:positionV>
            <wp:extent cx="12182855" cy="89915"/>
            <wp:effectExtent l="0" t="0" r="0" b="0"/>
            <wp:wrapNone/>
            <wp:docPr id="121" name="image5.png"/>
            <wp:cNvGraphicFramePr>
              <a:graphicFrameLocks noChangeAspect="1"/>
            </wp:cNvGraphicFramePr>
            <a:graphic>
              <a:graphicData uri="http://schemas.openxmlformats.org/drawingml/2006/picture">
                <pic:pic>
                  <pic:nvPicPr>
                    <pic:cNvPr id="122" name="image5.png"/>
                    <pic:cNvPicPr/>
                  </pic:nvPicPr>
                  <pic:blipFill>
                    <a:blip r:embed="rId14" cstate="print"/>
                    <a:stretch>
                      <a:fillRect/>
                    </a:stretch>
                  </pic:blipFill>
                  <pic:spPr>
                    <a:xfrm>
                      <a:off x="0" y="0"/>
                      <a:ext cx="12182855" cy="89915"/>
                    </a:xfrm>
                    <a:prstGeom prst="rect">
                      <a:avLst/>
                    </a:prstGeom>
                  </pic:spPr>
                </pic:pic>
              </a:graphicData>
            </a:graphic>
          </wp:anchor>
        </w:drawing>
      </w:r>
      <w:r>
        <w:rPr>
          <w:color w:val="57585B"/>
          <w:sz w:val="28"/>
        </w:rPr>
        <w:t>国内生命科学服务市场国产市占率低，替代空间大。经过多年发展，已出现细分领域产品达到国际先进水平的国产公司。国产企业商业环境有利：政策端，国家高度重视供应链自主可控；需求端，集采及医保控费、进口供应短缺使得客户选择国产意愿变强，进口替代进程有望持续推进。建议关注生命科学服务细分行业龙头和有潜力发展成为平台型的公司，重点关注奥浦迈、</w:t>
      </w:r>
      <w:r>
        <w:rPr>
          <w:color w:val="57585B"/>
          <w:spacing w:val="-4"/>
          <w:sz w:val="28"/>
        </w:rPr>
        <w:t>百普赛斯、华大智造等。</w:t>
      </w:r>
    </w:p>
    <w:p>
      <w:pPr>
        <w:tabs>
          <w:tab w:pos="4842" w:val="left" w:leader="none"/>
          <w:tab w:pos="16007" w:val="left" w:leader="none"/>
        </w:tabs>
        <w:spacing w:before="221"/>
        <w:ind w:left="1663" w:right="0" w:firstLine="0"/>
        <w:jc w:val="left"/>
        <w:rPr>
          <w:b/>
          <w:sz w:val="32"/>
        </w:rPr>
      </w:pPr>
      <w:r>
        <w:rPr>
          <w:rFonts w:ascii="Times New Roman" w:eastAsia="Times New Roman"/>
          <w:color w:val="FFFFFF"/>
          <w:w w:val="99"/>
          <w:sz w:val="32"/>
          <w:shd w:fill="0A4EA1" w:color="auto" w:val="clear"/>
        </w:rPr>
        <w:t> </w:t>
      </w:r>
      <w:r>
        <w:rPr>
          <w:rFonts w:ascii="Times New Roman" w:eastAsia="Times New Roman"/>
          <w:color w:val="FFFFFF"/>
          <w:sz w:val="32"/>
          <w:shd w:fill="0A4EA1" w:color="auto" w:val="clear"/>
        </w:rPr>
        <w:tab/>
      </w:r>
      <w:r>
        <w:rPr>
          <w:b/>
          <w:color w:val="FFFFFF"/>
          <w:w w:val="95"/>
          <w:sz w:val="32"/>
          <w:shd w:fill="0A4EA1" w:color="auto" w:val="clear"/>
        </w:rPr>
        <w:t>生命科学服务主要细分行业市场规模、增速及国产市占率</w:t>
      </w:r>
      <w:r>
        <w:rPr>
          <w:b/>
          <w:color w:val="FFFFFF"/>
          <w:sz w:val="32"/>
          <w:shd w:fill="0A4EA1" w:color="auto" w:val="clear"/>
        </w:rPr>
        <w:tab/>
      </w:r>
    </w:p>
    <w:p>
      <w:pPr>
        <w:pStyle w:val="BodyText"/>
        <w:spacing w:before="13"/>
        <w:rPr>
          <w:b/>
          <w:sz w:val="22"/>
        </w:rPr>
      </w:pPr>
    </w:p>
    <w:tbl>
      <w:tblPr>
        <w:tblW w:w="0" w:type="auto"/>
        <w:jc w:val="left"/>
        <w:tblInd w:w="822"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CellMar>
          <w:top w:w="0" w:type="dxa"/>
          <w:left w:w="0" w:type="dxa"/>
          <w:bottom w:w="0" w:type="dxa"/>
          <w:right w:w="0" w:type="dxa"/>
        </w:tblCellMar>
        <w:tblLook w:val="01E0"/>
      </w:tblPr>
      <w:tblGrid>
        <w:gridCol w:w="4328"/>
        <w:gridCol w:w="4102"/>
        <w:gridCol w:w="3464"/>
        <w:gridCol w:w="4502"/>
      </w:tblGrid>
      <w:tr>
        <w:trPr>
          <w:trHeight w:val="394" w:hRule="atLeast"/>
        </w:trPr>
        <w:tc>
          <w:tcPr>
            <w:tcW w:w="4328" w:type="dxa"/>
            <w:shd w:val="clear" w:color="auto" w:fill="033A7B"/>
          </w:tcPr>
          <w:p>
            <w:pPr>
              <w:pStyle w:val="TableParagraph"/>
              <w:spacing w:line="374" w:lineRule="exact"/>
              <w:ind w:left="355" w:right="312"/>
              <w:rPr>
                <w:b/>
                <w:sz w:val="24"/>
              </w:rPr>
            </w:pPr>
            <w:r>
              <w:rPr>
                <w:b/>
                <w:color w:val="FFFFFF"/>
                <w:sz w:val="24"/>
              </w:rPr>
              <w:t>产品类别</w:t>
            </w:r>
          </w:p>
        </w:tc>
        <w:tc>
          <w:tcPr>
            <w:tcW w:w="4102" w:type="dxa"/>
            <w:shd w:val="clear" w:color="auto" w:fill="033A7B"/>
          </w:tcPr>
          <w:p>
            <w:pPr>
              <w:pStyle w:val="TableParagraph"/>
              <w:spacing w:line="374" w:lineRule="exact"/>
              <w:ind w:left="602" w:right="560"/>
              <w:rPr>
                <w:b/>
                <w:sz w:val="24"/>
              </w:rPr>
            </w:pPr>
            <w:r>
              <w:rPr>
                <w:b/>
                <w:color w:val="FFFFFF"/>
                <w:sz w:val="24"/>
              </w:rPr>
              <w:t>国内整体市场规模（亿元）</w:t>
            </w:r>
          </w:p>
        </w:tc>
        <w:tc>
          <w:tcPr>
            <w:tcW w:w="3464" w:type="dxa"/>
            <w:shd w:val="clear" w:color="auto" w:fill="033A7B"/>
          </w:tcPr>
          <w:p>
            <w:pPr>
              <w:pStyle w:val="TableParagraph"/>
              <w:spacing w:line="374" w:lineRule="exact"/>
              <w:ind w:left="262" w:right="221"/>
              <w:rPr>
                <w:b/>
                <w:sz w:val="24"/>
              </w:rPr>
            </w:pPr>
            <w:r>
              <w:rPr>
                <w:b/>
                <w:color w:val="FFFFFF"/>
                <w:sz w:val="24"/>
              </w:rPr>
              <w:t>年复合增速</w:t>
            </w:r>
          </w:p>
        </w:tc>
        <w:tc>
          <w:tcPr>
            <w:tcW w:w="4502" w:type="dxa"/>
            <w:shd w:val="clear" w:color="auto" w:fill="033A7B"/>
          </w:tcPr>
          <w:p>
            <w:pPr>
              <w:pStyle w:val="TableParagraph"/>
              <w:spacing w:line="374" w:lineRule="exact"/>
              <w:ind w:left="602" w:right="557"/>
              <w:rPr>
                <w:b/>
                <w:sz w:val="24"/>
              </w:rPr>
            </w:pPr>
            <w:r>
              <w:rPr>
                <w:b/>
                <w:color w:val="FFFFFF"/>
                <w:sz w:val="24"/>
              </w:rPr>
              <w:t>国产份额</w:t>
            </w:r>
          </w:p>
        </w:tc>
      </w:tr>
      <w:tr>
        <w:trPr>
          <w:trHeight w:val="394" w:hRule="atLeast"/>
        </w:trPr>
        <w:tc>
          <w:tcPr>
            <w:tcW w:w="4328" w:type="dxa"/>
          </w:tcPr>
          <w:p>
            <w:pPr>
              <w:pStyle w:val="TableParagraph"/>
              <w:spacing w:line="374" w:lineRule="exact"/>
              <w:ind w:left="355" w:right="312"/>
              <w:rPr>
                <w:sz w:val="24"/>
              </w:rPr>
            </w:pPr>
            <w:r>
              <w:rPr>
                <w:color w:val="033A7B"/>
                <w:sz w:val="24"/>
              </w:rPr>
              <w:t>基因测序仪（含配套试剂及耗材）</w:t>
            </w:r>
          </w:p>
        </w:tc>
        <w:tc>
          <w:tcPr>
            <w:tcW w:w="4102" w:type="dxa"/>
          </w:tcPr>
          <w:p>
            <w:pPr>
              <w:pStyle w:val="TableParagraph"/>
              <w:spacing w:line="374" w:lineRule="exact"/>
              <w:ind w:left="602" w:right="556"/>
              <w:rPr>
                <w:sz w:val="24"/>
              </w:rPr>
            </w:pPr>
            <w:r>
              <w:rPr>
                <w:rFonts w:ascii="Times New Roman" w:eastAsia="Times New Roman"/>
                <w:color w:val="033A7B"/>
                <w:sz w:val="24"/>
              </w:rPr>
              <w:t>42.2</w:t>
            </w:r>
            <w:r>
              <w:rPr>
                <w:color w:val="033A7B"/>
                <w:sz w:val="24"/>
              </w:rPr>
              <w:t>（</w:t>
            </w:r>
            <w:r>
              <w:rPr>
                <w:rFonts w:ascii="Times New Roman" w:eastAsia="Times New Roman"/>
                <w:color w:val="033A7B"/>
                <w:sz w:val="24"/>
              </w:rPr>
              <w:t>2019</w:t>
            </w:r>
            <w:r>
              <w:rPr>
                <w:color w:val="033A7B"/>
                <w:sz w:val="24"/>
              </w:rPr>
              <w:t>）</w:t>
            </w:r>
          </w:p>
        </w:tc>
        <w:tc>
          <w:tcPr>
            <w:tcW w:w="3464" w:type="dxa"/>
          </w:tcPr>
          <w:p>
            <w:pPr>
              <w:pStyle w:val="TableParagraph"/>
              <w:spacing w:line="374" w:lineRule="exact"/>
              <w:ind w:left="263" w:right="221"/>
              <w:rPr>
                <w:sz w:val="24"/>
              </w:rPr>
            </w:pPr>
            <w:r>
              <w:rPr>
                <w:rFonts w:ascii="Times New Roman" w:eastAsia="Times New Roman"/>
                <w:color w:val="033A7B"/>
                <w:sz w:val="24"/>
              </w:rPr>
              <w:t>22%</w:t>
            </w:r>
            <w:r>
              <w:rPr>
                <w:color w:val="033A7B"/>
                <w:sz w:val="24"/>
              </w:rPr>
              <w:t>（</w:t>
            </w:r>
            <w:r>
              <w:rPr>
                <w:rFonts w:ascii="Times New Roman" w:eastAsia="Times New Roman"/>
                <w:color w:val="033A7B"/>
                <w:sz w:val="24"/>
              </w:rPr>
              <w:t>2016-2019</w:t>
            </w:r>
            <w:r>
              <w:rPr>
                <w:color w:val="033A7B"/>
                <w:sz w:val="24"/>
              </w:rPr>
              <w:t>）</w:t>
            </w:r>
          </w:p>
        </w:tc>
        <w:tc>
          <w:tcPr>
            <w:tcW w:w="4502" w:type="dxa"/>
          </w:tcPr>
          <w:p>
            <w:pPr>
              <w:pStyle w:val="TableParagraph"/>
              <w:spacing w:line="374" w:lineRule="exact"/>
              <w:ind w:left="602" w:right="557"/>
              <w:rPr>
                <w:sz w:val="24"/>
              </w:rPr>
            </w:pPr>
            <w:r>
              <w:rPr>
                <w:rFonts w:ascii="Times New Roman" w:eastAsia="Times New Roman"/>
                <w:color w:val="033A7B"/>
                <w:sz w:val="24"/>
              </w:rPr>
              <w:t>27.9%+</w:t>
            </w:r>
            <w:r>
              <w:rPr>
                <w:color w:val="033A7B"/>
                <w:sz w:val="24"/>
              </w:rPr>
              <w:t>（</w:t>
            </w:r>
            <w:r>
              <w:rPr>
                <w:rFonts w:ascii="Times New Roman" w:eastAsia="Times New Roman"/>
                <w:color w:val="033A7B"/>
                <w:sz w:val="24"/>
              </w:rPr>
              <w:t>2019</w:t>
            </w:r>
            <w:r>
              <w:rPr>
                <w:color w:val="033A7B"/>
                <w:sz w:val="24"/>
              </w:rPr>
              <w:t>）</w:t>
            </w:r>
          </w:p>
        </w:tc>
      </w:tr>
      <w:tr>
        <w:trPr>
          <w:trHeight w:val="394" w:hRule="atLeast"/>
        </w:trPr>
        <w:tc>
          <w:tcPr>
            <w:tcW w:w="4328" w:type="dxa"/>
          </w:tcPr>
          <w:p>
            <w:pPr>
              <w:pStyle w:val="TableParagraph"/>
              <w:spacing w:line="374" w:lineRule="exact"/>
              <w:ind w:left="355" w:right="312"/>
              <w:rPr>
                <w:sz w:val="24"/>
              </w:rPr>
            </w:pPr>
            <w:r>
              <w:rPr>
                <w:color w:val="033A7B"/>
                <w:sz w:val="24"/>
              </w:rPr>
              <w:t>质谱仪</w:t>
            </w:r>
          </w:p>
        </w:tc>
        <w:tc>
          <w:tcPr>
            <w:tcW w:w="4102" w:type="dxa"/>
          </w:tcPr>
          <w:p>
            <w:pPr>
              <w:pStyle w:val="TableParagraph"/>
              <w:spacing w:line="374" w:lineRule="exact"/>
              <w:ind w:left="602" w:right="559"/>
              <w:rPr>
                <w:sz w:val="24"/>
              </w:rPr>
            </w:pPr>
            <w:r>
              <w:rPr>
                <w:rFonts w:ascii="Times New Roman" w:eastAsia="Times New Roman"/>
                <w:color w:val="033A7B"/>
                <w:sz w:val="24"/>
              </w:rPr>
              <w:t>142</w:t>
            </w:r>
            <w:r>
              <w:rPr>
                <w:color w:val="033A7B"/>
                <w:sz w:val="24"/>
              </w:rPr>
              <w:t>（</w:t>
            </w:r>
            <w:r>
              <w:rPr>
                <w:rFonts w:ascii="Times New Roman" w:eastAsia="Times New Roman"/>
                <w:color w:val="033A7B"/>
                <w:sz w:val="24"/>
              </w:rPr>
              <w:t>2020</w:t>
            </w:r>
            <w:r>
              <w:rPr>
                <w:color w:val="033A7B"/>
                <w:sz w:val="24"/>
              </w:rPr>
              <w:t>）</w:t>
            </w:r>
          </w:p>
        </w:tc>
        <w:tc>
          <w:tcPr>
            <w:tcW w:w="3464" w:type="dxa"/>
          </w:tcPr>
          <w:p>
            <w:pPr>
              <w:pStyle w:val="TableParagraph"/>
              <w:spacing w:line="374" w:lineRule="exact"/>
              <w:ind w:left="263" w:right="221"/>
              <w:rPr>
                <w:sz w:val="24"/>
              </w:rPr>
            </w:pPr>
            <w:r>
              <w:rPr>
                <w:rFonts w:ascii="Times New Roman" w:eastAsia="Times New Roman"/>
                <w:color w:val="033A7B"/>
                <w:sz w:val="24"/>
              </w:rPr>
              <w:t>16%</w:t>
            </w:r>
            <w:r>
              <w:rPr>
                <w:color w:val="033A7B"/>
                <w:sz w:val="24"/>
              </w:rPr>
              <w:t>（</w:t>
            </w:r>
            <w:r>
              <w:rPr>
                <w:rFonts w:ascii="Times New Roman" w:eastAsia="Times New Roman"/>
                <w:color w:val="033A7B"/>
                <w:sz w:val="24"/>
              </w:rPr>
              <w:t>2017-2020</w:t>
            </w:r>
            <w:r>
              <w:rPr>
                <w:color w:val="033A7B"/>
                <w:sz w:val="24"/>
              </w:rPr>
              <w:t>）</w:t>
            </w:r>
          </w:p>
        </w:tc>
        <w:tc>
          <w:tcPr>
            <w:tcW w:w="4502" w:type="dxa"/>
          </w:tcPr>
          <w:p>
            <w:pPr>
              <w:pStyle w:val="TableParagraph"/>
              <w:spacing w:line="374" w:lineRule="exact"/>
              <w:ind w:left="600" w:right="557"/>
              <w:rPr>
                <w:sz w:val="24"/>
              </w:rPr>
            </w:pPr>
            <w:r>
              <w:rPr>
                <w:rFonts w:ascii="Times New Roman" w:eastAsia="Times New Roman"/>
                <w:color w:val="033A7B"/>
                <w:sz w:val="24"/>
              </w:rPr>
              <w:t>15%</w:t>
            </w:r>
            <w:r>
              <w:rPr>
                <w:color w:val="033A7B"/>
                <w:sz w:val="24"/>
              </w:rPr>
              <w:t>（</w:t>
            </w:r>
            <w:r>
              <w:rPr>
                <w:rFonts w:ascii="Times New Roman" w:eastAsia="Times New Roman"/>
                <w:color w:val="033A7B"/>
                <w:sz w:val="24"/>
              </w:rPr>
              <w:t>2022</w:t>
            </w:r>
            <w:r>
              <w:rPr>
                <w:color w:val="033A7B"/>
                <w:sz w:val="24"/>
              </w:rPr>
              <w:t>）</w:t>
            </w:r>
          </w:p>
        </w:tc>
      </w:tr>
      <w:tr>
        <w:trPr>
          <w:trHeight w:val="394" w:hRule="atLeast"/>
        </w:trPr>
        <w:tc>
          <w:tcPr>
            <w:tcW w:w="4328" w:type="dxa"/>
          </w:tcPr>
          <w:p>
            <w:pPr>
              <w:pStyle w:val="TableParagraph"/>
              <w:spacing w:line="374" w:lineRule="exact"/>
              <w:ind w:left="355" w:right="312"/>
              <w:rPr>
                <w:sz w:val="24"/>
              </w:rPr>
            </w:pPr>
            <w:r>
              <w:rPr>
                <w:color w:val="033A7B"/>
                <w:sz w:val="24"/>
              </w:rPr>
              <w:t>色谱仪</w:t>
            </w:r>
          </w:p>
        </w:tc>
        <w:tc>
          <w:tcPr>
            <w:tcW w:w="4102" w:type="dxa"/>
          </w:tcPr>
          <w:p>
            <w:pPr>
              <w:pStyle w:val="TableParagraph"/>
              <w:spacing w:line="374" w:lineRule="exact"/>
              <w:ind w:left="602" w:right="556"/>
              <w:rPr>
                <w:sz w:val="24"/>
              </w:rPr>
            </w:pPr>
            <w:r>
              <w:rPr>
                <w:rFonts w:ascii="Times New Roman" w:eastAsia="Times New Roman"/>
                <w:color w:val="033A7B"/>
                <w:sz w:val="24"/>
              </w:rPr>
              <w:t>107.2</w:t>
            </w:r>
            <w:r>
              <w:rPr>
                <w:color w:val="033A7B"/>
                <w:sz w:val="24"/>
              </w:rPr>
              <w:t>（</w:t>
            </w:r>
            <w:r>
              <w:rPr>
                <w:rFonts w:ascii="Times New Roman" w:eastAsia="Times New Roman"/>
                <w:color w:val="033A7B"/>
                <w:sz w:val="24"/>
              </w:rPr>
              <w:t>2020</w:t>
            </w:r>
            <w:r>
              <w:rPr>
                <w:color w:val="033A7B"/>
                <w:sz w:val="24"/>
              </w:rPr>
              <w:t>）</w:t>
            </w:r>
          </w:p>
        </w:tc>
        <w:tc>
          <w:tcPr>
            <w:tcW w:w="3464" w:type="dxa"/>
          </w:tcPr>
          <w:p>
            <w:pPr>
              <w:pStyle w:val="TableParagraph"/>
              <w:spacing w:line="374" w:lineRule="exact"/>
              <w:ind w:left="263" w:right="221"/>
              <w:rPr>
                <w:sz w:val="24"/>
              </w:rPr>
            </w:pPr>
            <w:r>
              <w:rPr>
                <w:rFonts w:ascii="Times New Roman" w:eastAsia="Times New Roman"/>
                <w:color w:val="033A7B"/>
                <w:sz w:val="24"/>
              </w:rPr>
              <w:t>8%</w:t>
            </w:r>
            <w:r>
              <w:rPr>
                <w:color w:val="033A7B"/>
                <w:sz w:val="24"/>
              </w:rPr>
              <w:t>（</w:t>
            </w:r>
            <w:r>
              <w:rPr>
                <w:rFonts w:ascii="Times New Roman" w:eastAsia="Times New Roman"/>
                <w:color w:val="033A7B"/>
                <w:sz w:val="24"/>
              </w:rPr>
              <w:t>2017-2020</w:t>
            </w:r>
            <w:r>
              <w:rPr>
                <w:color w:val="033A7B"/>
                <w:sz w:val="24"/>
              </w:rPr>
              <w:t>）</w:t>
            </w:r>
          </w:p>
        </w:tc>
        <w:tc>
          <w:tcPr>
            <w:tcW w:w="4502" w:type="dxa"/>
          </w:tcPr>
          <w:p>
            <w:pPr>
              <w:pStyle w:val="TableParagraph"/>
              <w:spacing w:line="374" w:lineRule="exact"/>
              <w:ind w:left="600" w:right="557"/>
              <w:rPr>
                <w:sz w:val="24"/>
              </w:rPr>
            </w:pPr>
            <w:r>
              <w:rPr>
                <w:rFonts w:ascii="Times New Roman" w:eastAsia="Times New Roman"/>
                <w:color w:val="033A7B"/>
                <w:sz w:val="24"/>
              </w:rPr>
              <w:t>27%</w:t>
            </w:r>
            <w:r>
              <w:rPr>
                <w:color w:val="033A7B"/>
                <w:sz w:val="24"/>
              </w:rPr>
              <w:t>（</w:t>
            </w:r>
            <w:r>
              <w:rPr>
                <w:rFonts w:ascii="Times New Roman" w:eastAsia="Times New Roman"/>
                <w:color w:val="033A7B"/>
                <w:sz w:val="24"/>
              </w:rPr>
              <w:t>2021</w:t>
            </w:r>
            <w:r>
              <w:rPr>
                <w:color w:val="033A7B"/>
                <w:sz w:val="24"/>
              </w:rPr>
              <w:t>）</w:t>
            </w:r>
          </w:p>
        </w:tc>
      </w:tr>
      <w:tr>
        <w:trPr>
          <w:trHeight w:val="394" w:hRule="atLeast"/>
        </w:trPr>
        <w:tc>
          <w:tcPr>
            <w:tcW w:w="4328" w:type="dxa"/>
          </w:tcPr>
          <w:p>
            <w:pPr>
              <w:pStyle w:val="TableParagraph"/>
              <w:spacing w:line="374" w:lineRule="exact"/>
              <w:ind w:left="355" w:right="312"/>
              <w:rPr>
                <w:sz w:val="24"/>
              </w:rPr>
            </w:pPr>
            <w:r>
              <w:rPr>
                <w:color w:val="033A7B"/>
                <w:sz w:val="24"/>
              </w:rPr>
              <w:t>光谱仪</w:t>
            </w:r>
          </w:p>
        </w:tc>
        <w:tc>
          <w:tcPr>
            <w:tcW w:w="4102" w:type="dxa"/>
          </w:tcPr>
          <w:p>
            <w:pPr>
              <w:pStyle w:val="TableParagraph"/>
              <w:spacing w:line="374" w:lineRule="exact"/>
              <w:ind w:left="602" w:right="556"/>
              <w:rPr>
                <w:sz w:val="24"/>
              </w:rPr>
            </w:pPr>
            <w:r>
              <w:rPr>
                <w:rFonts w:ascii="Times New Roman" w:eastAsia="Times New Roman"/>
                <w:color w:val="033A7B"/>
                <w:sz w:val="24"/>
              </w:rPr>
              <w:t>71.4</w:t>
            </w:r>
            <w:r>
              <w:rPr>
                <w:color w:val="033A7B"/>
                <w:sz w:val="24"/>
              </w:rPr>
              <w:t>（</w:t>
            </w:r>
            <w:r>
              <w:rPr>
                <w:rFonts w:ascii="Times New Roman" w:eastAsia="Times New Roman"/>
                <w:color w:val="033A7B"/>
                <w:sz w:val="24"/>
              </w:rPr>
              <w:t>2020</w:t>
            </w:r>
            <w:r>
              <w:rPr>
                <w:color w:val="033A7B"/>
                <w:sz w:val="24"/>
              </w:rPr>
              <w:t>）</w:t>
            </w:r>
          </w:p>
        </w:tc>
        <w:tc>
          <w:tcPr>
            <w:tcW w:w="3464" w:type="dxa"/>
          </w:tcPr>
          <w:p>
            <w:pPr>
              <w:pStyle w:val="TableParagraph"/>
              <w:spacing w:line="240" w:lineRule="auto" w:before="63"/>
              <w:ind w:left="263" w:right="221"/>
              <w:rPr>
                <w:rFonts w:ascii="Times New Roman"/>
                <w:sz w:val="24"/>
              </w:rPr>
            </w:pPr>
            <w:r>
              <w:rPr>
                <w:rFonts w:ascii="Times New Roman"/>
                <w:color w:val="033A7B"/>
                <w:sz w:val="24"/>
              </w:rPr>
              <w:t>11%(2016-2020)</w:t>
            </w:r>
          </w:p>
        </w:tc>
        <w:tc>
          <w:tcPr>
            <w:tcW w:w="4502" w:type="dxa"/>
          </w:tcPr>
          <w:p>
            <w:pPr>
              <w:pStyle w:val="TableParagraph"/>
              <w:spacing w:line="374" w:lineRule="exact"/>
              <w:ind w:left="600" w:right="557"/>
              <w:rPr>
                <w:sz w:val="24"/>
              </w:rPr>
            </w:pPr>
            <w:r>
              <w:rPr>
                <w:rFonts w:ascii="Times New Roman" w:eastAsia="Times New Roman"/>
                <w:color w:val="033A7B"/>
                <w:sz w:val="24"/>
              </w:rPr>
              <w:t>20%</w:t>
            </w:r>
            <w:r>
              <w:rPr>
                <w:color w:val="033A7B"/>
                <w:sz w:val="24"/>
              </w:rPr>
              <w:t>（</w:t>
            </w:r>
            <w:r>
              <w:rPr>
                <w:rFonts w:ascii="Times New Roman" w:eastAsia="Times New Roman"/>
                <w:color w:val="033A7B"/>
                <w:sz w:val="24"/>
              </w:rPr>
              <w:t>2021</w:t>
            </w:r>
            <w:r>
              <w:rPr>
                <w:color w:val="033A7B"/>
                <w:sz w:val="24"/>
              </w:rPr>
              <w:t>）</w:t>
            </w:r>
          </w:p>
        </w:tc>
      </w:tr>
      <w:tr>
        <w:trPr>
          <w:trHeight w:val="1223" w:hRule="atLeast"/>
        </w:trPr>
        <w:tc>
          <w:tcPr>
            <w:tcW w:w="4328" w:type="dxa"/>
          </w:tcPr>
          <w:p>
            <w:pPr>
              <w:pStyle w:val="TableParagraph"/>
              <w:spacing w:line="240" w:lineRule="auto" w:before="14"/>
              <w:jc w:val="left"/>
              <w:rPr>
                <w:b/>
                <w:sz w:val="20"/>
              </w:rPr>
            </w:pPr>
          </w:p>
          <w:p>
            <w:pPr>
              <w:pStyle w:val="TableParagraph"/>
              <w:spacing w:line="240" w:lineRule="auto"/>
              <w:ind w:left="355" w:right="312"/>
              <w:rPr>
                <w:sz w:val="24"/>
              </w:rPr>
            </w:pPr>
            <w:r>
              <w:rPr>
                <w:color w:val="033A7B"/>
                <w:sz w:val="24"/>
              </w:rPr>
              <w:t>生物试剂</w:t>
            </w:r>
          </w:p>
        </w:tc>
        <w:tc>
          <w:tcPr>
            <w:tcW w:w="4102" w:type="dxa"/>
          </w:tcPr>
          <w:p>
            <w:pPr>
              <w:pStyle w:val="TableParagraph"/>
              <w:spacing w:line="240" w:lineRule="auto" w:before="14"/>
              <w:jc w:val="left"/>
              <w:rPr>
                <w:b/>
                <w:sz w:val="20"/>
              </w:rPr>
            </w:pPr>
          </w:p>
          <w:p>
            <w:pPr>
              <w:pStyle w:val="TableParagraph"/>
              <w:spacing w:line="240" w:lineRule="auto"/>
              <w:ind w:left="602" w:right="559"/>
              <w:rPr>
                <w:sz w:val="24"/>
              </w:rPr>
            </w:pPr>
            <w:r>
              <w:rPr>
                <w:rFonts w:ascii="Times New Roman" w:eastAsia="Times New Roman"/>
                <w:color w:val="033A7B"/>
                <w:sz w:val="24"/>
              </w:rPr>
              <w:t>392</w:t>
            </w:r>
            <w:r>
              <w:rPr>
                <w:color w:val="033A7B"/>
                <w:sz w:val="24"/>
              </w:rPr>
              <w:t>（</w:t>
            </w:r>
            <w:r>
              <w:rPr>
                <w:rFonts w:ascii="Times New Roman" w:eastAsia="Times New Roman"/>
                <w:color w:val="033A7B"/>
                <w:sz w:val="24"/>
              </w:rPr>
              <w:t>2021</w:t>
            </w:r>
            <w:r>
              <w:rPr>
                <w:color w:val="033A7B"/>
                <w:sz w:val="24"/>
              </w:rPr>
              <w:t>）</w:t>
            </w:r>
          </w:p>
        </w:tc>
        <w:tc>
          <w:tcPr>
            <w:tcW w:w="3464" w:type="dxa"/>
          </w:tcPr>
          <w:p>
            <w:pPr>
              <w:pStyle w:val="TableParagraph"/>
              <w:spacing w:line="240" w:lineRule="auto" w:before="14"/>
              <w:jc w:val="left"/>
              <w:rPr>
                <w:b/>
                <w:sz w:val="20"/>
              </w:rPr>
            </w:pPr>
          </w:p>
          <w:p>
            <w:pPr>
              <w:pStyle w:val="TableParagraph"/>
              <w:spacing w:line="240" w:lineRule="auto"/>
              <w:ind w:left="263" w:right="221"/>
              <w:rPr>
                <w:sz w:val="24"/>
              </w:rPr>
            </w:pPr>
            <w:r>
              <w:rPr>
                <w:rFonts w:ascii="Times New Roman" w:eastAsia="Times New Roman"/>
                <w:color w:val="033A7B"/>
                <w:sz w:val="24"/>
              </w:rPr>
              <w:t>17%</w:t>
            </w:r>
            <w:r>
              <w:rPr>
                <w:color w:val="033A7B"/>
                <w:sz w:val="24"/>
              </w:rPr>
              <w:t>（</w:t>
            </w:r>
            <w:r>
              <w:rPr>
                <w:rFonts w:ascii="Times New Roman" w:eastAsia="Times New Roman"/>
                <w:color w:val="033A7B"/>
                <w:sz w:val="24"/>
              </w:rPr>
              <w:t>2017-2021</w:t>
            </w:r>
            <w:r>
              <w:rPr>
                <w:color w:val="033A7B"/>
                <w:sz w:val="24"/>
              </w:rPr>
              <w:t>，科研端）</w:t>
            </w:r>
          </w:p>
        </w:tc>
        <w:tc>
          <w:tcPr>
            <w:tcW w:w="4502" w:type="dxa"/>
          </w:tcPr>
          <w:p>
            <w:pPr>
              <w:pStyle w:val="TableParagraph"/>
              <w:spacing w:line="156" w:lineRule="auto" w:before="206"/>
              <w:ind w:left="602" w:right="557"/>
              <w:rPr>
                <w:sz w:val="24"/>
              </w:rPr>
            </w:pPr>
            <w:r>
              <w:rPr>
                <w:color w:val="033A7B"/>
                <w:sz w:val="24"/>
              </w:rPr>
              <w:t>生物科研试剂：</w:t>
            </w:r>
            <w:r>
              <w:rPr>
                <w:rFonts w:ascii="Times New Roman" w:eastAsia="Times New Roman"/>
                <w:color w:val="033A7B"/>
                <w:sz w:val="24"/>
              </w:rPr>
              <w:t>10%</w:t>
            </w:r>
            <w:r>
              <w:rPr>
                <w:color w:val="033A7B"/>
                <w:sz w:val="24"/>
              </w:rPr>
              <w:t>（</w:t>
            </w:r>
            <w:r>
              <w:rPr>
                <w:rFonts w:ascii="Times New Roman" w:eastAsia="Times New Roman"/>
                <w:color w:val="033A7B"/>
                <w:sz w:val="24"/>
              </w:rPr>
              <w:t>2021</w:t>
            </w:r>
            <w:r>
              <w:rPr>
                <w:color w:val="033A7B"/>
                <w:sz w:val="24"/>
              </w:rPr>
              <w:t>） </w:t>
            </w:r>
            <w:r>
              <w:rPr>
                <w:color w:val="033A7B"/>
                <w:spacing w:val="-1"/>
                <w:sz w:val="24"/>
              </w:rPr>
              <w:t>分子类生物试剂：</w:t>
            </w:r>
            <w:r>
              <w:rPr>
                <w:rFonts w:ascii="Times New Roman" w:eastAsia="Times New Roman"/>
                <w:color w:val="033A7B"/>
                <w:spacing w:val="-3"/>
                <w:sz w:val="24"/>
              </w:rPr>
              <w:t>30%</w:t>
            </w:r>
            <w:r>
              <w:rPr>
                <w:color w:val="033A7B"/>
                <w:spacing w:val="-3"/>
                <w:sz w:val="24"/>
              </w:rPr>
              <w:t>（</w:t>
            </w:r>
            <w:r>
              <w:rPr>
                <w:rFonts w:ascii="Times New Roman" w:eastAsia="Times New Roman"/>
                <w:color w:val="033A7B"/>
                <w:spacing w:val="-3"/>
                <w:sz w:val="24"/>
              </w:rPr>
              <w:t>2020</w:t>
            </w:r>
            <w:r>
              <w:rPr>
                <w:color w:val="033A7B"/>
                <w:spacing w:val="-3"/>
                <w:sz w:val="24"/>
              </w:rPr>
              <w:t>） </w:t>
            </w:r>
            <w:r>
              <w:rPr>
                <w:color w:val="033A7B"/>
                <w:sz w:val="24"/>
              </w:rPr>
              <w:t>细胞培养基：</w:t>
            </w:r>
            <w:r>
              <w:rPr>
                <w:rFonts w:ascii="Times New Roman" w:eastAsia="Times New Roman"/>
                <w:color w:val="033A7B"/>
                <w:sz w:val="24"/>
              </w:rPr>
              <w:t>33.7%</w:t>
            </w:r>
            <w:r>
              <w:rPr>
                <w:color w:val="033A7B"/>
                <w:sz w:val="24"/>
              </w:rPr>
              <w:t>（</w:t>
            </w:r>
            <w:r>
              <w:rPr>
                <w:rFonts w:ascii="Times New Roman" w:eastAsia="Times New Roman"/>
                <w:color w:val="033A7B"/>
                <w:sz w:val="24"/>
              </w:rPr>
              <w:t>2021</w:t>
            </w:r>
            <w:r>
              <w:rPr>
                <w:color w:val="033A7B"/>
                <w:sz w:val="24"/>
              </w:rPr>
              <w:t>）</w:t>
            </w:r>
          </w:p>
        </w:tc>
      </w:tr>
      <w:tr>
        <w:trPr>
          <w:trHeight w:val="394" w:hRule="atLeast"/>
        </w:trPr>
        <w:tc>
          <w:tcPr>
            <w:tcW w:w="4328" w:type="dxa"/>
          </w:tcPr>
          <w:p>
            <w:pPr>
              <w:pStyle w:val="TableParagraph"/>
              <w:spacing w:line="374" w:lineRule="exact"/>
              <w:ind w:left="355" w:right="312"/>
              <w:rPr>
                <w:sz w:val="24"/>
              </w:rPr>
            </w:pPr>
            <w:r>
              <w:rPr>
                <w:color w:val="033A7B"/>
                <w:sz w:val="24"/>
              </w:rPr>
              <w:t>化学试剂</w:t>
            </w:r>
          </w:p>
        </w:tc>
        <w:tc>
          <w:tcPr>
            <w:tcW w:w="4102" w:type="dxa"/>
          </w:tcPr>
          <w:p>
            <w:pPr>
              <w:pStyle w:val="TableParagraph"/>
              <w:spacing w:line="374" w:lineRule="exact"/>
              <w:ind w:left="602" w:right="559"/>
              <w:rPr>
                <w:sz w:val="24"/>
              </w:rPr>
            </w:pPr>
            <w:r>
              <w:rPr>
                <w:rFonts w:ascii="Times New Roman" w:eastAsia="Times New Roman"/>
                <w:color w:val="033A7B"/>
                <w:sz w:val="24"/>
              </w:rPr>
              <w:t>1761</w:t>
            </w:r>
            <w:r>
              <w:rPr>
                <w:color w:val="033A7B"/>
                <w:sz w:val="24"/>
              </w:rPr>
              <w:t>（</w:t>
            </w:r>
            <w:r>
              <w:rPr>
                <w:rFonts w:ascii="Times New Roman" w:eastAsia="Times New Roman"/>
                <w:color w:val="033A7B"/>
                <w:sz w:val="24"/>
              </w:rPr>
              <w:t>2021</w:t>
            </w:r>
            <w:r>
              <w:rPr>
                <w:color w:val="033A7B"/>
                <w:sz w:val="24"/>
              </w:rPr>
              <w:t>）</w:t>
            </w:r>
          </w:p>
        </w:tc>
        <w:tc>
          <w:tcPr>
            <w:tcW w:w="3464" w:type="dxa"/>
          </w:tcPr>
          <w:p>
            <w:pPr>
              <w:pStyle w:val="TableParagraph"/>
              <w:spacing w:line="374" w:lineRule="exact"/>
              <w:ind w:left="263" w:right="221"/>
              <w:rPr>
                <w:sz w:val="24"/>
              </w:rPr>
            </w:pPr>
            <w:r>
              <w:rPr>
                <w:rFonts w:ascii="Times New Roman" w:eastAsia="Times New Roman"/>
                <w:color w:val="033A7B"/>
                <w:sz w:val="24"/>
              </w:rPr>
              <w:t>12%</w:t>
            </w:r>
            <w:r>
              <w:rPr>
                <w:color w:val="033A7B"/>
                <w:sz w:val="24"/>
              </w:rPr>
              <w:t>（</w:t>
            </w:r>
            <w:r>
              <w:rPr>
                <w:rFonts w:ascii="Times New Roman" w:eastAsia="Times New Roman"/>
                <w:color w:val="033A7B"/>
                <w:sz w:val="24"/>
              </w:rPr>
              <w:t>2018-2021</w:t>
            </w:r>
            <w:r>
              <w:rPr>
                <w:color w:val="033A7B"/>
                <w:sz w:val="24"/>
              </w:rPr>
              <w:t>）</w:t>
            </w:r>
          </w:p>
        </w:tc>
        <w:tc>
          <w:tcPr>
            <w:tcW w:w="4502" w:type="dxa"/>
          </w:tcPr>
          <w:p>
            <w:pPr>
              <w:pStyle w:val="TableParagraph"/>
              <w:spacing w:line="374" w:lineRule="exact"/>
              <w:ind w:left="394" w:right="352"/>
              <w:rPr>
                <w:sz w:val="24"/>
              </w:rPr>
            </w:pPr>
            <w:r>
              <w:rPr>
                <w:color w:val="033A7B"/>
                <w:sz w:val="24"/>
              </w:rPr>
              <w:t>高端化学科研试剂：</w:t>
            </w:r>
            <w:r>
              <w:rPr>
                <w:rFonts w:ascii="Times New Roman" w:eastAsia="Times New Roman"/>
                <w:color w:val="033A7B"/>
                <w:sz w:val="24"/>
              </w:rPr>
              <w:t>&lt;20%</w:t>
            </w:r>
            <w:r>
              <w:rPr>
                <w:color w:val="033A7B"/>
                <w:sz w:val="24"/>
              </w:rPr>
              <w:t>（</w:t>
            </w:r>
            <w:r>
              <w:rPr>
                <w:rFonts w:ascii="Times New Roman" w:eastAsia="Times New Roman"/>
                <w:color w:val="033A7B"/>
                <w:sz w:val="24"/>
              </w:rPr>
              <w:t>2019</w:t>
            </w:r>
            <w:r>
              <w:rPr>
                <w:color w:val="033A7B"/>
                <w:sz w:val="24"/>
              </w:rPr>
              <w:t>）</w:t>
            </w:r>
          </w:p>
        </w:tc>
      </w:tr>
      <w:tr>
        <w:trPr>
          <w:trHeight w:val="394" w:hRule="atLeast"/>
        </w:trPr>
        <w:tc>
          <w:tcPr>
            <w:tcW w:w="4328" w:type="dxa"/>
          </w:tcPr>
          <w:p>
            <w:pPr>
              <w:pStyle w:val="TableParagraph"/>
              <w:spacing w:line="374" w:lineRule="exact"/>
              <w:ind w:left="355" w:right="312"/>
              <w:rPr>
                <w:sz w:val="24"/>
              </w:rPr>
            </w:pPr>
            <w:r>
              <w:rPr>
                <w:color w:val="033A7B"/>
                <w:sz w:val="24"/>
              </w:rPr>
              <w:t>生物工艺使用的一次性产品</w:t>
            </w:r>
          </w:p>
        </w:tc>
        <w:tc>
          <w:tcPr>
            <w:tcW w:w="4102" w:type="dxa"/>
          </w:tcPr>
          <w:p>
            <w:pPr>
              <w:pStyle w:val="TableParagraph"/>
              <w:spacing w:line="374" w:lineRule="exact"/>
              <w:ind w:left="602" w:right="556"/>
              <w:rPr>
                <w:sz w:val="24"/>
              </w:rPr>
            </w:pPr>
            <w:r>
              <w:rPr>
                <w:rFonts w:ascii="Times New Roman" w:eastAsia="Times New Roman"/>
                <w:color w:val="033A7B"/>
                <w:sz w:val="24"/>
              </w:rPr>
              <w:t>38.1</w:t>
            </w:r>
            <w:r>
              <w:rPr>
                <w:color w:val="033A7B"/>
                <w:sz w:val="24"/>
              </w:rPr>
              <w:t>（</w:t>
            </w:r>
            <w:r>
              <w:rPr>
                <w:rFonts w:ascii="Times New Roman" w:eastAsia="Times New Roman"/>
                <w:color w:val="033A7B"/>
                <w:sz w:val="24"/>
              </w:rPr>
              <w:t>2021</w:t>
            </w:r>
            <w:r>
              <w:rPr>
                <w:color w:val="033A7B"/>
                <w:sz w:val="24"/>
              </w:rPr>
              <w:t>）</w:t>
            </w:r>
          </w:p>
        </w:tc>
        <w:tc>
          <w:tcPr>
            <w:tcW w:w="3464" w:type="dxa"/>
          </w:tcPr>
          <w:p>
            <w:pPr>
              <w:pStyle w:val="TableParagraph"/>
              <w:spacing w:line="374" w:lineRule="exact"/>
              <w:ind w:left="263" w:right="221"/>
              <w:rPr>
                <w:sz w:val="24"/>
              </w:rPr>
            </w:pPr>
            <w:r>
              <w:rPr>
                <w:rFonts w:ascii="Times New Roman" w:eastAsia="Times New Roman"/>
                <w:color w:val="033A7B"/>
                <w:sz w:val="24"/>
              </w:rPr>
              <w:t>70%</w:t>
            </w:r>
            <w:r>
              <w:rPr>
                <w:color w:val="033A7B"/>
                <w:sz w:val="24"/>
              </w:rPr>
              <w:t>（</w:t>
            </w:r>
            <w:r>
              <w:rPr>
                <w:rFonts w:ascii="Times New Roman" w:eastAsia="Times New Roman"/>
                <w:color w:val="033A7B"/>
                <w:sz w:val="24"/>
              </w:rPr>
              <w:t>2018-2021</w:t>
            </w:r>
            <w:r>
              <w:rPr>
                <w:color w:val="033A7B"/>
                <w:sz w:val="24"/>
              </w:rPr>
              <w:t>）</w:t>
            </w:r>
          </w:p>
        </w:tc>
        <w:tc>
          <w:tcPr>
            <w:tcW w:w="4502" w:type="dxa"/>
          </w:tcPr>
          <w:p>
            <w:pPr>
              <w:pStyle w:val="TableParagraph"/>
              <w:spacing w:line="374" w:lineRule="exact"/>
              <w:ind w:left="602" w:right="557"/>
              <w:rPr>
                <w:sz w:val="24"/>
              </w:rPr>
            </w:pPr>
            <w:r>
              <w:rPr>
                <w:rFonts w:ascii="Times New Roman" w:eastAsia="Times New Roman"/>
                <w:color w:val="033A7B"/>
                <w:sz w:val="24"/>
              </w:rPr>
              <w:t>32.5%</w:t>
            </w:r>
            <w:r>
              <w:rPr>
                <w:color w:val="033A7B"/>
                <w:sz w:val="24"/>
              </w:rPr>
              <w:t>（</w:t>
            </w:r>
            <w:r>
              <w:rPr>
                <w:rFonts w:ascii="Times New Roman" w:eastAsia="Times New Roman"/>
                <w:color w:val="033A7B"/>
                <w:sz w:val="24"/>
              </w:rPr>
              <w:t>2021</w:t>
            </w:r>
            <w:r>
              <w:rPr>
                <w:color w:val="033A7B"/>
                <w:sz w:val="24"/>
              </w:rPr>
              <w:t>）</w:t>
            </w:r>
          </w:p>
        </w:tc>
      </w:tr>
      <w:tr>
        <w:trPr>
          <w:trHeight w:val="394" w:hRule="atLeast"/>
        </w:trPr>
        <w:tc>
          <w:tcPr>
            <w:tcW w:w="4328" w:type="dxa"/>
          </w:tcPr>
          <w:p>
            <w:pPr>
              <w:pStyle w:val="TableParagraph"/>
              <w:spacing w:line="374" w:lineRule="exact"/>
              <w:ind w:left="355" w:right="312"/>
              <w:rPr>
                <w:sz w:val="24"/>
              </w:rPr>
            </w:pPr>
            <w:r>
              <w:rPr>
                <w:color w:val="033A7B"/>
                <w:sz w:val="24"/>
              </w:rPr>
              <w:t>生物反应器（不锈钢</w:t>
            </w:r>
            <w:r>
              <w:rPr>
                <w:rFonts w:ascii="Times New Roman" w:eastAsia="Times New Roman"/>
                <w:color w:val="033A7B"/>
                <w:sz w:val="24"/>
              </w:rPr>
              <w:t>+</w:t>
            </w:r>
            <w:r>
              <w:rPr>
                <w:color w:val="033A7B"/>
                <w:sz w:val="24"/>
              </w:rPr>
              <w:t>一次性）</w:t>
            </w:r>
          </w:p>
        </w:tc>
        <w:tc>
          <w:tcPr>
            <w:tcW w:w="4102" w:type="dxa"/>
          </w:tcPr>
          <w:p>
            <w:pPr>
              <w:pStyle w:val="TableParagraph"/>
              <w:spacing w:line="374" w:lineRule="exact"/>
              <w:ind w:left="602" w:right="556"/>
              <w:rPr>
                <w:sz w:val="24"/>
              </w:rPr>
            </w:pPr>
            <w:r>
              <w:rPr>
                <w:rFonts w:ascii="Times New Roman" w:eastAsia="Times New Roman"/>
                <w:color w:val="033A7B"/>
                <w:sz w:val="24"/>
              </w:rPr>
              <w:t>38.5</w:t>
            </w:r>
            <w:r>
              <w:rPr>
                <w:color w:val="033A7B"/>
                <w:sz w:val="24"/>
              </w:rPr>
              <w:t>（</w:t>
            </w:r>
            <w:r>
              <w:rPr>
                <w:rFonts w:ascii="Times New Roman" w:eastAsia="Times New Roman"/>
                <w:color w:val="033A7B"/>
                <w:sz w:val="24"/>
              </w:rPr>
              <w:t>2021</w:t>
            </w:r>
            <w:r>
              <w:rPr>
                <w:color w:val="033A7B"/>
                <w:sz w:val="24"/>
              </w:rPr>
              <w:t>）</w:t>
            </w:r>
          </w:p>
        </w:tc>
        <w:tc>
          <w:tcPr>
            <w:tcW w:w="3464" w:type="dxa"/>
          </w:tcPr>
          <w:p>
            <w:pPr>
              <w:pStyle w:val="TableParagraph"/>
              <w:spacing w:line="374" w:lineRule="exact"/>
              <w:ind w:left="263" w:right="221"/>
              <w:rPr>
                <w:sz w:val="24"/>
              </w:rPr>
            </w:pPr>
            <w:r>
              <w:rPr>
                <w:rFonts w:ascii="Times New Roman" w:eastAsia="Times New Roman"/>
                <w:color w:val="033A7B"/>
                <w:sz w:val="24"/>
              </w:rPr>
              <w:t>28%</w:t>
            </w:r>
            <w:r>
              <w:rPr>
                <w:color w:val="033A7B"/>
                <w:sz w:val="24"/>
              </w:rPr>
              <w:t>（</w:t>
            </w:r>
            <w:r>
              <w:rPr>
                <w:rFonts w:ascii="Times New Roman" w:eastAsia="Times New Roman"/>
                <w:color w:val="033A7B"/>
                <w:sz w:val="24"/>
              </w:rPr>
              <w:t>2018-2021</w:t>
            </w:r>
            <w:r>
              <w:rPr>
                <w:color w:val="033A7B"/>
                <w:sz w:val="24"/>
              </w:rPr>
              <w:t>）</w:t>
            </w:r>
          </w:p>
        </w:tc>
        <w:tc>
          <w:tcPr>
            <w:tcW w:w="4502" w:type="dxa"/>
          </w:tcPr>
          <w:p>
            <w:pPr>
              <w:pStyle w:val="TableParagraph"/>
              <w:spacing w:line="374" w:lineRule="exact"/>
              <w:ind w:left="602" w:right="557"/>
              <w:rPr>
                <w:sz w:val="24"/>
              </w:rPr>
            </w:pPr>
            <w:r>
              <w:rPr>
                <w:rFonts w:ascii="Times New Roman" w:eastAsia="Times New Roman"/>
                <w:color w:val="033A7B"/>
                <w:sz w:val="24"/>
              </w:rPr>
              <w:t>27.7%</w:t>
            </w:r>
            <w:r>
              <w:rPr>
                <w:color w:val="033A7B"/>
                <w:sz w:val="24"/>
              </w:rPr>
              <w:t>（</w:t>
            </w:r>
            <w:r>
              <w:rPr>
                <w:rFonts w:ascii="Times New Roman" w:eastAsia="Times New Roman"/>
                <w:color w:val="033A7B"/>
                <w:sz w:val="24"/>
              </w:rPr>
              <w:t>2021</w:t>
            </w:r>
            <w:r>
              <w:rPr>
                <w:color w:val="033A7B"/>
                <w:sz w:val="24"/>
              </w:rPr>
              <w:t>）</w:t>
            </w:r>
          </w:p>
        </w:tc>
      </w:tr>
      <w:tr>
        <w:trPr>
          <w:trHeight w:val="394" w:hRule="atLeast"/>
        </w:trPr>
        <w:tc>
          <w:tcPr>
            <w:tcW w:w="4328" w:type="dxa"/>
          </w:tcPr>
          <w:p>
            <w:pPr>
              <w:pStyle w:val="TableParagraph"/>
              <w:spacing w:line="374" w:lineRule="exact"/>
              <w:ind w:left="355" w:right="312"/>
              <w:rPr>
                <w:sz w:val="24"/>
              </w:rPr>
            </w:pPr>
            <w:r>
              <w:rPr>
                <w:color w:val="033A7B"/>
                <w:sz w:val="24"/>
              </w:rPr>
              <w:t>层析产品（层析柱</w:t>
            </w:r>
            <w:r>
              <w:rPr>
                <w:rFonts w:ascii="Times New Roman" w:eastAsia="Times New Roman"/>
                <w:color w:val="033A7B"/>
                <w:sz w:val="24"/>
              </w:rPr>
              <w:t>+</w:t>
            </w:r>
            <w:r>
              <w:rPr>
                <w:color w:val="033A7B"/>
                <w:sz w:val="24"/>
              </w:rPr>
              <w:t>层析填料）</w:t>
            </w:r>
          </w:p>
        </w:tc>
        <w:tc>
          <w:tcPr>
            <w:tcW w:w="4102" w:type="dxa"/>
          </w:tcPr>
          <w:p>
            <w:pPr>
              <w:pStyle w:val="TableParagraph"/>
              <w:spacing w:line="374" w:lineRule="exact"/>
              <w:ind w:left="602" w:right="556"/>
              <w:rPr>
                <w:sz w:val="24"/>
              </w:rPr>
            </w:pPr>
            <w:r>
              <w:rPr>
                <w:rFonts w:ascii="Times New Roman" w:eastAsia="Times New Roman"/>
                <w:color w:val="033A7B"/>
                <w:sz w:val="24"/>
              </w:rPr>
              <w:t>116.4</w:t>
            </w:r>
            <w:r>
              <w:rPr>
                <w:color w:val="033A7B"/>
                <w:sz w:val="24"/>
              </w:rPr>
              <w:t>（</w:t>
            </w:r>
            <w:r>
              <w:rPr>
                <w:rFonts w:ascii="Times New Roman" w:eastAsia="Times New Roman"/>
                <w:color w:val="033A7B"/>
                <w:sz w:val="24"/>
              </w:rPr>
              <w:t>2021</w:t>
            </w:r>
            <w:r>
              <w:rPr>
                <w:color w:val="033A7B"/>
                <w:sz w:val="24"/>
              </w:rPr>
              <w:t>）</w:t>
            </w:r>
          </w:p>
        </w:tc>
        <w:tc>
          <w:tcPr>
            <w:tcW w:w="3464" w:type="dxa"/>
          </w:tcPr>
          <w:p>
            <w:pPr>
              <w:pStyle w:val="TableParagraph"/>
              <w:spacing w:line="374" w:lineRule="exact"/>
              <w:ind w:left="263" w:right="221"/>
              <w:rPr>
                <w:sz w:val="24"/>
              </w:rPr>
            </w:pPr>
            <w:r>
              <w:rPr>
                <w:rFonts w:ascii="Times New Roman" w:eastAsia="Times New Roman"/>
                <w:color w:val="033A7B"/>
                <w:sz w:val="24"/>
              </w:rPr>
              <w:t>61%</w:t>
            </w:r>
            <w:r>
              <w:rPr>
                <w:color w:val="033A7B"/>
                <w:sz w:val="24"/>
              </w:rPr>
              <w:t>（</w:t>
            </w:r>
            <w:r>
              <w:rPr>
                <w:rFonts w:ascii="Times New Roman" w:eastAsia="Times New Roman"/>
                <w:color w:val="033A7B"/>
                <w:sz w:val="24"/>
              </w:rPr>
              <w:t>2018-2021</w:t>
            </w:r>
            <w:r>
              <w:rPr>
                <w:color w:val="033A7B"/>
                <w:sz w:val="24"/>
              </w:rPr>
              <w:t>）</w:t>
            </w:r>
          </w:p>
        </w:tc>
        <w:tc>
          <w:tcPr>
            <w:tcW w:w="4502" w:type="dxa"/>
          </w:tcPr>
          <w:p>
            <w:pPr>
              <w:pStyle w:val="TableParagraph"/>
              <w:spacing w:line="374" w:lineRule="exact"/>
              <w:ind w:left="602" w:right="557"/>
              <w:rPr>
                <w:sz w:val="24"/>
              </w:rPr>
            </w:pPr>
            <w:r>
              <w:rPr>
                <w:rFonts w:ascii="Times New Roman" w:eastAsia="Times New Roman"/>
                <w:color w:val="033A7B"/>
                <w:sz w:val="24"/>
              </w:rPr>
              <w:t>24.7%</w:t>
            </w:r>
            <w:r>
              <w:rPr>
                <w:color w:val="033A7B"/>
                <w:sz w:val="24"/>
              </w:rPr>
              <w:t>（</w:t>
            </w:r>
            <w:r>
              <w:rPr>
                <w:rFonts w:ascii="Times New Roman" w:eastAsia="Times New Roman"/>
                <w:color w:val="033A7B"/>
                <w:sz w:val="24"/>
              </w:rPr>
              <w:t>2021</w:t>
            </w:r>
            <w:r>
              <w:rPr>
                <w:color w:val="033A7B"/>
                <w:sz w:val="24"/>
              </w:rPr>
              <w:t>）</w:t>
            </w:r>
          </w:p>
        </w:tc>
      </w:tr>
      <w:tr>
        <w:trPr>
          <w:trHeight w:val="394" w:hRule="atLeast"/>
        </w:trPr>
        <w:tc>
          <w:tcPr>
            <w:tcW w:w="4328" w:type="dxa"/>
          </w:tcPr>
          <w:p>
            <w:pPr>
              <w:pStyle w:val="TableParagraph"/>
              <w:spacing w:line="374" w:lineRule="exact"/>
              <w:ind w:left="355" w:right="312"/>
              <w:rPr>
                <w:sz w:val="24"/>
              </w:rPr>
            </w:pPr>
            <w:r>
              <w:rPr>
                <w:color w:val="033A7B"/>
                <w:sz w:val="24"/>
              </w:rPr>
              <w:t>过滤器</w:t>
            </w:r>
          </w:p>
        </w:tc>
        <w:tc>
          <w:tcPr>
            <w:tcW w:w="4102" w:type="dxa"/>
          </w:tcPr>
          <w:p>
            <w:pPr>
              <w:pStyle w:val="TableParagraph"/>
              <w:spacing w:line="374" w:lineRule="exact"/>
              <w:ind w:left="602" w:right="556"/>
              <w:rPr>
                <w:sz w:val="24"/>
              </w:rPr>
            </w:pPr>
            <w:r>
              <w:rPr>
                <w:rFonts w:ascii="Times New Roman" w:eastAsia="Times New Roman"/>
                <w:color w:val="033A7B"/>
                <w:sz w:val="24"/>
              </w:rPr>
              <w:t>57.6</w:t>
            </w:r>
            <w:r>
              <w:rPr>
                <w:color w:val="033A7B"/>
                <w:sz w:val="24"/>
              </w:rPr>
              <w:t>（</w:t>
            </w:r>
            <w:r>
              <w:rPr>
                <w:rFonts w:ascii="Times New Roman" w:eastAsia="Times New Roman"/>
                <w:color w:val="033A7B"/>
                <w:sz w:val="24"/>
              </w:rPr>
              <w:t>2021</w:t>
            </w:r>
            <w:r>
              <w:rPr>
                <w:color w:val="033A7B"/>
                <w:sz w:val="24"/>
              </w:rPr>
              <w:t>）</w:t>
            </w:r>
          </w:p>
        </w:tc>
        <w:tc>
          <w:tcPr>
            <w:tcW w:w="3464" w:type="dxa"/>
          </w:tcPr>
          <w:p>
            <w:pPr>
              <w:pStyle w:val="TableParagraph"/>
              <w:spacing w:line="374" w:lineRule="exact"/>
              <w:ind w:left="263" w:right="221"/>
              <w:rPr>
                <w:sz w:val="24"/>
              </w:rPr>
            </w:pPr>
            <w:r>
              <w:rPr>
                <w:rFonts w:ascii="Times New Roman" w:eastAsia="Times New Roman"/>
                <w:color w:val="033A7B"/>
                <w:sz w:val="24"/>
              </w:rPr>
              <w:t>67%</w:t>
            </w:r>
            <w:r>
              <w:rPr>
                <w:color w:val="033A7B"/>
                <w:sz w:val="24"/>
              </w:rPr>
              <w:t>（</w:t>
            </w:r>
            <w:r>
              <w:rPr>
                <w:rFonts w:ascii="Times New Roman" w:eastAsia="Times New Roman"/>
                <w:color w:val="033A7B"/>
                <w:sz w:val="24"/>
              </w:rPr>
              <w:t>2018-2021</w:t>
            </w:r>
            <w:r>
              <w:rPr>
                <w:color w:val="033A7B"/>
                <w:sz w:val="24"/>
              </w:rPr>
              <w:t>）</w:t>
            </w:r>
          </w:p>
        </w:tc>
        <w:tc>
          <w:tcPr>
            <w:tcW w:w="4502" w:type="dxa"/>
          </w:tcPr>
          <w:p>
            <w:pPr>
              <w:pStyle w:val="TableParagraph"/>
              <w:spacing w:line="374" w:lineRule="exact"/>
              <w:ind w:left="602" w:right="557"/>
              <w:rPr>
                <w:sz w:val="24"/>
              </w:rPr>
            </w:pPr>
            <w:r>
              <w:rPr>
                <w:rFonts w:ascii="Times New Roman" w:eastAsia="Times New Roman"/>
                <w:color w:val="033A7B"/>
                <w:sz w:val="24"/>
              </w:rPr>
              <w:t>20.4%</w:t>
            </w:r>
            <w:r>
              <w:rPr>
                <w:color w:val="033A7B"/>
                <w:sz w:val="24"/>
              </w:rPr>
              <w:t>（</w:t>
            </w:r>
            <w:r>
              <w:rPr>
                <w:rFonts w:ascii="Times New Roman" w:eastAsia="Times New Roman"/>
                <w:color w:val="033A7B"/>
                <w:sz w:val="24"/>
              </w:rPr>
              <w:t>2021</w:t>
            </w:r>
            <w:r>
              <w:rPr>
                <w:color w:val="033A7B"/>
                <w:sz w:val="24"/>
              </w:rPr>
              <w:t>）</w:t>
            </w:r>
          </w:p>
        </w:tc>
      </w:tr>
    </w:tbl>
    <w:p>
      <w:pPr>
        <w:spacing w:after="0" w:line="374" w:lineRule="exact"/>
        <w:rPr>
          <w:sz w:val="24"/>
        </w:rPr>
        <w:sectPr>
          <w:headerReference w:type="default" r:id="rId65"/>
          <w:footerReference w:type="default" r:id="rId66"/>
          <w:pgSz w:w="19200" w:h="10800" w:orient="landscape"/>
          <w:pgMar w:header="471" w:footer="173" w:top="1100" w:bottom="360" w:left="0" w:right="0"/>
        </w:sectPr>
      </w:pPr>
    </w:p>
    <w:p>
      <w:pPr>
        <w:pStyle w:val="BodyText"/>
        <w:spacing w:before="13"/>
        <w:rPr>
          <w:b/>
          <w:sz w:val="21"/>
        </w:rPr>
      </w:pPr>
    </w:p>
    <w:p>
      <w:pPr>
        <w:pStyle w:val="ListParagraph"/>
        <w:numPr>
          <w:ilvl w:val="1"/>
          <w:numId w:val="9"/>
        </w:numPr>
        <w:tabs>
          <w:tab w:pos="1217" w:val="left" w:leader="none"/>
        </w:tabs>
        <w:spacing w:line="184" w:lineRule="auto" w:before="113" w:after="0"/>
        <w:ind w:left="1216" w:right="2271" w:hanging="284"/>
        <w:jc w:val="both"/>
        <w:rPr>
          <w:sz w:val="28"/>
        </w:rPr>
      </w:pPr>
      <w:r>
        <w:rPr/>
        <w:drawing>
          <wp:anchor distT="0" distB="0" distL="0" distR="0" allowOverlap="1" layoutInCell="1" locked="0" behindDoc="0" simplePos="0" relativeHeight="15768064">
            <wp:simplePos x="0" y="0"/>
            <wp:positionH relativeFrom="page">
              <wp:posOffset>9144</wp:posOffset>
            </wp:positionH>
            <wp:positionV relativeFrom="paragraph">
              <wp:posOffset>-96295</wp:posOffset>
            </wp:positionV>
            <wp:extent cx="12182855" cy="89915"/>
            <wp:effectExtent l="0" t="0" r="0" b="0"/>
            <wp:wrapNone/>
            <wp:docPr id="125" name="image5.png"/>
            <wp:cNvGraphicFramePr>
              <a:graphicFrameLocks noChangeAspect="1"/>
            </wp:cNvGraphicFramePr>
            <a:graphic>
              <a:graphicData uri="http://schemas.openxmlformats.org/drawingml/2006/picture">
                <pic:pic>
                  <pic:nvPicPr>
                    <pic:cNvPr id="126" name="image5.png"/>
                    <pic:cNvPicPr/>
                  </pic:nvPicPr>
                  <pic:blipFill>
                    <a:blip r:embed="rId14" cstate="print"/>
                    <a:stretch>
                      <a:fillRect/>
                    </a:stretch>
                  </pic:blipFill>
                  <pic:spPr>
                    <a:xfrm>
                      <a:off x="0" y="0"/>
                      <a:ext cx="12182855" cy="89915"/>
                    </a:xfrm>
                    <a:prstGeom prst="rect">
                      <a:avLst/>
                    </a:prstGeom>
                  </pic:spPr>
                </pic:pic>
              </a:graphicData>
            </a:graphic>
          </wp:anchor>
        </w:drawing>
      </w:r>
      <w:r>
        <w:rPr>
          <w:color w:val="57585B"/>
          <w:spacing w:val="-3"/>
          <w:sz w:val="28"/>
        </w:rPr>
        <w:t>维持推荐：维力医疗、振德医疗、澳华内镜、开立医疗、迈瑞医疗、普门科技、春立医疗、迪瑞医疗、海泰新光、金域医学、和</w:t>
      </w:r>
      <w:r>
        <w:rPr>
          <w:color w:val="57585B"/>
          <w:spacing w:val="-4"/>
          <w:sz w:val="28"/>
        </w:rPr>
        <w:t>黄医药、科伦博泰、三生国健、来凯医药、以岭药业、华润三九、东阿阿胶、康缘药业、固生堂、达仁堂、康恩贝、太极集团、信立泰、华东医药、通化东宝、健之佳、普瑞眼科、华厦眼科、百普赛斯、华大智造、毕得医药、诺思格。</w:t>
      </w:r>
    </w:p>
    <w:p>
      <w:pPr>
        <w:pStyle w:val="ListParagraph"/>
        <w:numPr>
          <w:ilvl w:val="1"/>
          <w:numId w:val="9"/>
        </w:numPr>
        <w:tabs>
          <w:tab w:pos="1217" w:val="left" w:leader="none"/>
        </w:tabs>
        <w:spacing w:line="240" w:lineRule="auto" w:before="43" w:after="0"/>
        <w:ind w:left="1216" w:right="0" w:hanging="284"/>
        <w:jc w:val="both"/>
        <w:rPr>
          <w:sz w:val="28"/>
        </w:rPr>
      </w:pPr>
      <w:r>
        <w:rPr>
          <w:color w:val="57585B"/>
          <w:spacing w:val="-2"/>
          <w:sz w:val="28"/>
        </w:rPr>
        <w:t>新增：翰森制药。</w:t>
      </w:r>
    </w:p>
    <w:tbl>
      <w:tblPr>
        <w:tblW w:w="0" w:type="auto"/>
        <w:jc w:val="left"/>
        <w:tblInd w:w="16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175"/>
        <w:gridCol w:w="2028"/>
        <w:gridCol w:w="2107"/>
        <w:gridCol w:w="1514"/>
        <w:gridCol w:w="1270"/>
        <w:gridCol w:w="1270"/>
        <w:gridCol w:w="1270"/>
        <w:gridCol w:w="1270"/>
        <w:gridCol w:w="1270"/>
        <w:gridCol w:w="1264"/>
      </w:tblGrid>
      <w:tr>
        <w:trPr>
          <w:trHeight w:val="462" w:hRule="atLeast"/>
        </w:trPr>
        <w:tc>
          <w:tcPr>
            <w:tcW w:w="15438" w:type="dxa"/>
            <w:gridSpan w:val="10"/>
            <w:tcBorders>
              <w:top w:val="nil"/>
              <w:left w:val="nil"/>
              <w:right w:val="nil"/>
            </w:tcBorders>
            <w:shd w:val="clear" w:color="auto" w:fill="0A4EA1"/>
          </w:tcPr>
          <w:p>
            <w:pPr>
              <w:pStyle w:val="TableParagraph"/>
              <w:spacing w:line="443" w:lineRule="exact"/>
              <w:ind w:left="6364" w:right="6334"/>
              <w:rPr>
                <w:b/>
                <w:sz w:val="30"/>
              </w:rPr>
            </w:pPr>
            <w:r>
              <w:rPr>
                <w:b/>
                <w:color w:val="FFFFFF"/>
                <w:sz w:val="30"/>
              </w:rPr>
              <w:t>推荐标的盈利预测表</w:t>
            </w:r>
          </w:p>
        </w:tc>
      </w:tr>
      <w:tr>
        <w:trPr>
          <w:trHeight w:val="175" w:hRule="atLeast"/>
        </w:trPr>
        <w:tc>
          <w:tcPr>
            <w:tcW w:w="2175" w:type="dxa"/>
            <w:vMerge w:val="restart"/>
            <w:shd w:val="clear" w:color="auto" w:fill="D9D9D9"/>
          </w:tcPr>
          <w:p>
            <w:pPr>
              <w:pStyle w:val="TableParagraph"/>
              <w:spacing w:line="240" w:lineRule="auto" w:before="56"/>
              <w:ind w:left="646" w:right="627"/>
              <w:rPr>
                <w:rFonts w:ascii="Microsoft JhengHei" w:eastAsia="Microsoft JhengHei" w:hint="eastAsia"/>
                <w:b/>
                <w:sz w:val="14"/>
              </w:rPr>
            </w:pPr>
            <w:r>
              <w:rPr>
                <w:rFonts w:ascii="Microsoft JhengHei" w:eastAsia="Microsoft JhengHei" w:hint="eastAsia"/>
                <w:b/>
                <w:sz w:val="14"/>
              </w:rPr>
              <w:t>细分行业</w:t>
            </w:r>
          </w:p>
        </w:tc>
        <w:tc>
          <w:tcPr>
            <w:tcW w:w="2028" w:type="dxa"/>
            <w:vMerge w:val="restart"/>
            <w:shd w:val="clear" w:color="auto" w:fill="D9D9D9"/>
          </w:tcPr>
          <w:p>
            <w:pPr>
              <w:pStyle w:val="TableParagraph"/>
              <w:spacing w:line="240" w:lineRule="auto" w:before="56"/>
              <w:ind w:left="678" w:right="657"/>
              <w:rPr>
                <w:rFonts w:ascii="Microsoft JhengHei" w:eastAsia="Microsoft JhengHei" w:hint="eastAsia"/>
                <w:b/>
                <w:sz w:val="14"/>
              </w:rPr>
            </w:pPr>
            <w:r>
              <w:rPr>
                <w:rFonts w:ascii="Microsoft JhengHei" w:eastAsia="Microsoft JhengHei" w:hint="eastAsia"/>
                <w:b/>
                <w:sz w:val="14"/>
              </w:rPr>
              <w:t>代码</w:t>
            </w:r>
          </w:p>
        </w:tc>
        <w:tc>
          <w:tcPr>
            <w:tcW w:w="2107" w:type="dxa"/>
            <w:vMerge w:val="restart"/>
            <w:shd w:val="clear" w:color="auto" w:fill="D9D9D9"/>
          </w:tcPr>
          <w:p>
            <w:pPr>
              <w:pStyle w:val="TableParagraph"/>
              <w:spacing w:line="240" w:lineRule="auto" w:before="56"/>
              <w:ind w:left="753" w:right="727"/>
              <w:rPr>
                <w:rFonts w:ascii="Microsoft JhengHei" w:eastAsia="Microsoft JhengHei" w:hint="eastAsia"/>
                <w:b/>
                <w:sz w:val="14"/>
              </w:rPr>
            </w:pPr>
            <w:r>
              <w:rPr>
                <w:rFonts w:ascii="Microsoft JhengHei" w:eastAsia="Microsoft JhengHei" w:hint="eastAsia"/>
                <w:b/>
                <w:sz w:val="14"/>
              </w:rPr>
              <w:t>简称</w:t>
            </w:r>
          </w:p>
        </w:tc>
        <w:tc>
          <w:tcPr>
            <w:tcW w:w="1514" w:type="dxa"/>
            <w:shd w:val="clear" w:color="auto" w:fill="D9D9D9"/>
          </w:tcPr>
          <w:p>
            <w:pPr>
              <w:pStyle w:val="TableParagraph"/>
              <w:spacing w:line="155" w:lineRule="exact"/>
              <w:ind w:right="520"/>
              <w:jc w:val="right"/>
              <w:rPr>
                <w:rFonts w:ascii="Microsoft JhengHei" w:eastAsia="Microsoft JhengHei" w:hint="eastAsia"/>
                <w:b/>
                <w:sz w:val="14"/>
              </w:rPr>
            </w:pPr>
            <w:r>
              <w:rPr>
                <w:rFonts w:ascii="Microsoft JhengHei" w:eastAsia="Microsoft JhengHei" w:hint="eastAsia"/>
                <w:b/>
                <w:sz w:val="14"/>
              </w:rPr>
              <w:t>总市值</w:t>
            </w:r>
          </w:p>
        </w:tc>
        <w:tc>
          <w:tcPr>
            <w:tcW w:w="3810" w:type="dxa"/>
            <w:gridSpan w:val="3"/>
            <w:shd w:val="clear" w:color="auto" w:fill="D9D9D9"/>
          </w:tcPr>
          <w:p>
            <w:pPr>
              <w:pStyle w:val="TableParagraph"/>
              <w:spacing w:line="155" w:lineRule="exact"/>
              <w:ind w:left="1280"/>
              <w:jc w:val="left"/>
              <w:rPr>
                <w:rFonts w:ascii="Microsoft JhengHei" w:eastAsia="Microsoft JhengHei" w:hint="eastAsia"/>
                <w:b/>
                <w:sz w:val="14"/>
              </w:rPr>
            </w:pPr>
            <w:r>
              <w:rPr>
                <w:rFonts w:ascii="Microsoft JhengHei" w:eastAsia="Microsoft JhengHei" w:hint="eastAsia"/>
                <w:b/>
                <w:sz w:val="14"/>
              </w:rPr>
              <w:t>归母净利润（亿元）</w:t>
            </w:r>
          </w:p>
        </w:tc>
        <w:tc>
          <w:tcPr>
            <w:tcW w:w="3804" w:type="dxa"/>
            <w:gridSpan w:val="3"/>
            <w:shd w:val="clear" w:color="auto" w:fill="D9D9D9"/>
          </w:tcPr>
          <w:p>
            <w:pPr>
              <w:pStyle w:val="TableParagraph"/>
              <w:spacing w:line="155" w:lineRule="exact"/>
              <w:ind w:left="1812" w:right="1773"/>
              <w:rPr>
                <w:rFonts w:ascii="Microsoft JhengHei"/>
                <w:b/>
                <w:sz w:val="14"/>
              </w:rPr>
            </w:pPr>
            <w:r>
              <w:rPr>
                <w:rFonts w:ascii="Microsoft JhengHei"/>
                <w:b/>
                <w:w w:val="95"/>
                <w:sz w:val="14"/>
              </w:rPr>
              <w:t>PE</w:t>
            </w:r>
          </w:p>
        </w:tc>
      </w:tr>
      <w:tr>
        <w:trPr>
          <w:trHeight w:val="175" w:hRule="atLeast"/>
        </w:trPr>
        <w:tc>
          <w:tcPr>
            <w:tcW w:w="2175" w:type="dxa"/>
            <w:vMerge/>
            <w:tcBorders>
              <w:top w:val="nil"/>
            </w:tcBorders>
            <w:shd w:val="clear" w:color="auto" w:fill="D9D9D9"/>
          </w:tcPr>
          <w:p>
            <w:pPr>
              <w:rPr>
                <w:sz w:val="2"/>
                <w:szCs w:val="2"/>
              </w:rPr>
            </w:pPr>
          </w:p>
        </w:tc>
        <w:tc>
          <w:tcPr>
            <w:tcW w:w="2028" w:type="dxa"/>
            <w:vMerge/>
            <w:tcBorders>
              <w:top w:val="nil"/>
            </w:tcBorders>
            <w:shd w:val="clear" w:color="auto" w:fill="D9D9D9"/>
          </w:tcPr>
          <w:p>
            <w:pPr>
              <w:rPr>
                <w:sz w:val="2"/>
                <w:szCs w:val="2"/>
              </w:rPr>
            </w:pPr>
          </w:p>
        </w:tc>
        <w:tc>
          <w:tcPr>
            <w:tcW w:w="2107" w:type="dxa"/>
            <w:vMerge/>
            <w:tcBorders>
              <w:top w:val="nil"/>
            </w:tcBorders>
            <w:shd w:val="clear" w:color="auto" w:fill="D9D9D9"/>
          </w:tcPr>
          <w:p>
            <w:pPr>
              <w:rPr>
                <w:sz w:val="2"/>
                <w:szCs w:val="2"/>
              </w:rPr>
            </w:pPr>
          </w:p>
        </w:tc>
        <w:tc>
          <w:tcPr>
            <w:tcW w:w="1514" w:type="dxa"/>
            <w:shd w:val="clear" w:color="auto" w:fill="D9D9D9"/>
          </w:tcPr>
          <w:p>
            <w:pPr>
              <w:pStyle w:val="TableParagraph"/>
              <w:spacing w:line="155" w:lineRule="exact"/>
              <w:ind w:right="451"/>
              <w:jc w:val="right"/>
              <w:rPr>
                <w:rFonts w:ascii="Microsoft JhengHei" w:eastAsia="Microsoft JhengHei" w:hint="eastAsia"/>
                <w:b/>
                <w:sz w:val="14"/>
              </w:rPr>
            </w:pPr>
            <w:r>
              <w:rPr>
                <w:rFonts w:ascii="Microsoft JhengHei" w:eastAsia="Microsoft JhengHei" w:hint="eastAsia"/>
                <w:b/>
                <w:sz w:val="14"/>
              </w:rPr>
              <w:t>（亿元）</w:t>
            </w:r>
          </w:p>
        </w:tc>
        <w:tc>
          <w:tcPr>
            <w:tcW w:w="1270" w:type="dxa"/>
            <w:shd w:val="clear" w:color="auto" w:fill="D9D9D9"/>
          </w:tcPr>
          <w:p>
            <w:pPr>
              <w:pStyle w:val="TableParagraph"/>
              <w:spacing w:line="155" w:lineRule="exact"/>
              <w:ind w:left="419" w:right="390"/>
              <w:rPr>
                <w:rFonts w:ascii="Microsoft JhengHei"/>
                <w:b/>
                <w:sz w:val="14"/>
              </w:rPr>
            </w:pPr>
            <w:r>
              <w:rPr>
                <w:rFonts w:ascii="Microsoft JhengHei"/>
                <w:b/>
                <w:w w:val="95"/>
                <w:sz w:val="14"/>
              </w:rPr>
              <w:t>2023E</w:t>
            </w:r>
          </w:p>
        </w:tc>
        <w:tc>
          <w:tcPr>
            <w:tcW w:w="1270" w:type="dxa"/>
            <w:shd w:val="clear" w:color="auto" w:fill="D9D9D9"/>
          </w:tcPr>
          <w:p>
            <w:pPr>
              <w:pStyle w:val="TableParagraph"/>
              <w:spacing w:line="155" w:lineRule="exact"/>
              <w:ind w:left="465"/>
              <w:jc w:val="left"/>
              <w:rPr>
                <w:rFonts w:ascii="Microsoft JhengHei"/>
                <w:b/>
                <w:sz w:val="14"/>
              </w:rPr>
            </w:pPr>
            <w:r>
              <w:rPr>
                <w:rFonts w:ascii="Microsoft JhengHei"/>
                <w:b/>
                <w:w w:val="95"/>
                <w:sz w:val="14"/>
              </w:rPr>
              <w:t>2024E</w:t>
            </w:r>
          </w:p>
        </w:tc>
        <w:tc>
          <w:tcPr>
            <w:tcW w:w="1270" w:type="dxa"/>
            <w:shd w:val="clear" w:color="auto" w:fill="D9D9D9"/>
          </w:tcPr>
          <w:p>
            <w:pPr>
              <w:pStyle w:val="TableParagraph"/>
              <w:spacing w:line="155" w:lineRule="exact"/>
              <w:ind w:right="430"/>
              <w:jc w:val="right"/>
              <w:rPr>
                <w:rFonts w:ascii="Microsoft JhengHei"/>
                <w:b/>
                <w:sz w:val="14"/>
              </w:rPr>
            </w:pPr>
            <w:r>
              <w:rPr>
                <w:rFonts w:ascii="Microsoft JhengHei"/>
                <w:b/>
                <w:w w:val="95"/>
                <w:sz w:val="14"/>
              </w:rPr>
              <w:t>2025E</w:t>
            </w:r>
          </w:p>
        </w:tc>
        <w:tc>
          <w:tcPr>
            <w:tcW w:w="1270" w:type="dxa"/>
            <w:shd w:val="clear" w:color="auto" w:fill="D9D9D9"/>
          </w:tcPr>
          <w:p>
            <w:pPr>
              <w:pStyle w:val="TableParagraph"/>
              <w:spacing w:line="155" w:lineRule="exact"/>
              <w:ind w:right="429"/>
              <w:jc w:val="right"/>
              <w:rPr>
                <w:rFonts w:ascii="Microsoft JhengHei"/>
                <w:b/>
                <w:sz w:val="14"/>
              </w:rPr>
            </w:pPr>
            <w:r>
              <w:rPr>
                <w:rFonts w:ascii="Microsoft JhengHei"/>
                <w:b/>
                <w:w w:val="95"/>
                <w:sz w:val="14"/>
              </w:rPr>
              <w:t>2023E</w:t>
            </w:r>
          </w:p>
        </w:tc>
        <w:tc>
          <w:tcPr>
            <w:tcW w:w="1270" w:type="dxa"/>
            <w:shd w:val="clear" w:color="auto" w:fill="D9D9D9"/>
          </w:tcPr>
          <w:p>
            <w:pPr>
              <w:pStyle w:val="TableParagraph"/>
              <w:spacing w:line="155" w:lineRule="exact"/>
              <w:ind w:left="424" w:right="385"/>
              <w:rPr>
                <w:rFonts w:ascii="Microsoft JhengHei"/>
                <w:b/>
                <w:sz w:val="14"/>
              </w:rPr>
            </w:pPr>
            <w:r>
              <w:rPr>
                <w:rFonts w:ascii="Microsoft JhengHei"/>
                <w:b/>
                <w:w w:val="95"/>
                <w:sz w:val="14"/>
              </w:rPr>
              <w:t>2024E</w:t>
            </w:r>
          </w:p>
        </w:tc>
        <w:tc>
          <w:tcPr>
            <w:tcW w:w="1264" w:type="dxa"/>
            <w:shd w:val="clear" w:color="auto" w:fill="D9D9D9"/>
          </w:tcPr>
          <w:p>
            <w:pPr>
              <w:pStyle w:val="TableParagraph"/>
              <w:spacing w:line="155" w:lineRule="exact"/>
              <w:ind w:left="428" w:right="384"/>
              <w:rPr>
                <w:rFonts w:ascii="Microsoft JhengHei"/>
                <w:b/>
                <w:sz w:val="14"/>
              </w:rPr>
            </w:pPr>
            <w:r>
              <w:rPr>
                <w:rFonts w:ascii="Microsoft JhengHei"/>
                <w:b/>
                <w:w w:val="95"/>
                <w:sz w:val="14"/>
              </w:rPr>
              <w:t>2025E</w:t>
            </w:r>
          </w:p>
        </w:tc>
      </w:tr>
      <w:tr>
        <w:trPr>
          <w:trHeight w:val="168" w:hRule="atLeast"/>
        </w:trPr>
        <w:tc>
          <w:tcPr>
            <w:tcW w:w="2175" w:type="dxa"/>
          </w:tcPr>
          <w:p>
            <w:pPr>
              <w:pStyle w:val="TableParagraph"/>
              <w:ind w:left="644" w:right="628"/>
              <w:rPr>
                <w:rFonts w:ascii="宋体" w:eastAsia="宋体" w:hint="eastAsia"/>
                <w:sz w:val="14"/>
              </w:rPr>
            </w:pPr>
            <w:r>
              <w:rPr>
                <w:rFonts w:ascii="宋体" w:eastAsia="宋体" w:hint="eastAsia"/>
                <w:sz w:val="14"/>
              </w:rPr>
              <w:t>医疗器械</w:t>
            </w:r>
          </w:p>
        </w:tc>
        <w:tc>
          <w:tcPr>
            <w:tcW w:w="2028" w:type="dxa"/>
          </w:tcPr>
          <w:p>
            <w:pPr>
              <w:pStyle w:val="TableParagraph"/>
              <w:ind w:left="678" w:right="659"/>
              <w:rPr>
                <w:rFonts w:ascii="宋体"/>
                <w:sz w:val="14"/>
              </w:rPr>
            </w:pPr>
            <w:r>
              <w:rPr>
                <w:rFonts w:ascii="宋体"/>
                <w:sz w:val="14"/>
              </w:rPr>
              <w:t>603309.SH</w:t>
            </w:r>
          </w:p>
        </w:tc>
        <w:tc>
          <w:tcPr>
            <w:tcW w:w="2107" w:type="dxa"/>
          </w:tcPr>
          <w:p>
            <w:pPr>
              <w:pStyle w:val="TableParagraph"/>
              <w:ind w:left="753" w:right="733"/>
              <w:rPr>
                <w:rFonts w:ascii="宋体" w:eastAsia="宋体" w:hint="eastAsia"/>
                <w:sz w:val="14"/>
              </w:rPr>
            </w:pPr>
            <w:r>
              <w:rPr>
                <w:rFonts w:ascii="宋体" w:eastAsia="宋体" w:hint="eastAsia"/>
                <w:sz w:val="14"/>
              </w:rPr>
              <w:t>维力医疗</w:t>
            </w:r>
          </w:p>
        </w:tc>
        <w:tc>
          <w:tcPr>
            <w:tcW w:w="1514" w:type="dxa"/>
          </w:tcPr>
          <w:p>
            <w:pPr>
              <w:pStyle w:val="TableParagraph"/>
              <w:ind w:left="633" w:right="607"/>
              <w:rPr>
                <w:rFonts w:ascii="宋体"/>
                <w:sz w:val="14"/>
              </w:rPr>
            </w:pPr>
            <w:r>
              <w:rPr>
                <w:rFonts w:ascii="宋体"/>
                <w:sz w:val="14"/>
              </w:rPr>
              <w:t>37</w:t>
            </w:r>
          </w:p>
        </w:tc>
        <w:tc>
          <w:tcPr>
            <w:tcW w:w="1270" w:type="dxa"/>
          </w:tcPr>
          <w:p>
            <w:pPr>
              <w:pStyle w:val="TableParagraph"/>
              <w:ind w:left="421" w:right="390"/>
              <w:rPr>
                <w:rFonts w:ascii="宋体"/>
                <w:sz w:val="14"/>
              </w:rPr>
            </w:pPr>
            <w:r>
              <w:rPr>
                <w:rFonts w:ascii="宋体"/>
                <w:sz w:val="14"/>
              </w:rPr>
              <w:t>1.8</w:t>
            </w:r>
          </w:p>
        </w:tc>
        <w:tc>
          <w:tcPr>
            <w:tcW w:w="1270" w:type="dxa"/>
          </w:tcPr>
          <w:p>
            <w:pPr>
              <w:pStyle w:val="TableParagraph"/>
              <w:ind w:left="537"/>
              <w:jc w:val="left"/>
              <w:rPr>
                <w:rFonts w:ascii="宋体"/>
                <w:sz w:val="14"/>
              </w:rPr>
            </w:pPr>
            <w:r>
              <w:rPr>
                <w:rFonts w:ascii="宋体"/>
                <w:sz w:val="14"/>
              </w:rPr>
              <w:t>2.4</w:t>
            </w:r>
          </w:p>
        </w:tc>
        <w:tc>
          <w:tcPr>
            <w:tcW w:w="1270" w:type="dxa"/>
          </w:tcPr>
          <w:p>
            <w:pPr>
              <w:pStyle w:val="TableParagraph"/>
              <w:ind w:right="500"/>
              <w:jc w:val="right"/>
              <w:rPr>
                <w:rFonts w:ascii="宋体"/>
                <w:sz w:val="14"/>
              </w:rPr>
            </w:pPr>
            <w:r>
              <w:rPr>
                <w:rFonts w:ascii="宋体"/>
                <w:sz w:val="14"/>
              </w:rPr>
              <w:t>3.1</w:t>
            </w:r>
          </w:p>
        </w:tc>
        <w:tc>
          <w:tcPr>
            <w:tcW w:w="1270" w:type="dxa"/>
          </w:tcPr>
          <w:p>
            <w:pPr>
              <w:pStyle w:val="TableParagraph"/>
              <w:ind w:left="424" w:right="388"/>
              <w:rPr>
                <w:rFonts w:ascii="宋体"/>
                <w:sz w:val="14"/>
              </w:rPr>
            </w:pPr>
            <w:r>
              <w:rPr>
                <w:rFonts w:ascii="宋体"/>
                <w:sz w:val="14"/>
              </w:rPr>
              <w:t>21</w:t>
            </w:r>
          </w:p>
        </w:tc>
        <w:tc>
          <w:tcPr>
            <w:tcW w:w="1270" w:type="dxa"/>
          </w:tcPr>
          <w:p>
            <w:pPr>
              <w:pStyle w:val="TableParagraph"/>
              <w:ind w:left="424" w:right="386"/>
              <w:rPr>
                <w:rFonts w:ascii="宋体"/>
                <w:sz w:val="14"/>
              </w:rPr>
            </w:pPr>
            <w:r>
              <w:rPr>
                <w:rFonts w:ascii="宋体"/>
                <w:sz w:val="14"/>
              </w:rPr>
              <w:t>16</w:t>
            </w:r>
          </w:p>
        </w:tc>
        <w:tc>
          <w:tcPr>
            <w:tcW w:w="1264" w:type="dxa"/>
          </w:tcPr>
          <w:p>
            <w:pPr>
              <w:pStyle w:val="TableParagraph"/>
              <w:ind w:left="427" w:right="384"/>
              <w:rPr>
                <w:rFonts w:ascii="宋体"/>
                <w:sz w:val="14"/>
              </w:rPr>
            </w:pPr>
            <w:r>
              <w:rPr>
                <w:rFonts w:ascii="宋体"/>
                <w:sz w:val="14"/>
              </w:rPr>
              <w:t>12</w:t>
            </w:r>
          </w:p>
        </w:tc>
      </w:tr>
      <w:tr>
        <w:trPr>
          <w:trHeight w:val="167" w:hRule="atLeast"/>
        </w:trPr>
        <w:tc>
          <w:tcPr>
            <w:tcW w:w="2175" w:type="dxa"/>
          </w:tcPr>
          <w:p>
            <w:pPr>
              <w:pStyle w:val="TableParagraph"/>
              <w:ind w:left="644" w:right="628"/>
              <w:rPr>
                <w:rFonts w:ascii="宋体" w:eastAsia="宋体" w:hint="eastAsia"/>
                <w:sz w:val="14"/>
              </w:rPr>
            </w:pPr>
            <w:r>
              <w:rPr>
                <w:rFonts w:ascii="宋体" w:eastAsia="宋体" w:hint="eastAsia"/>
                <w:sz w:val="14"/>
              </w:rPr>
              <w:t>医疗器械</w:t>
            </w:r>
          </w:p>
        </w:tc>
        <w:tc>
          <w:tcPr>
            <w:tcW w:w="2028" w:type="dxa"/>
          </w:tcPr>
          <w:p>
            <w:pPr>
              <w:pStyle w:val="TableParagraph"/>
              <w:ind w:left="678" w:right="659"/>
              <w:rPr>
                <w:rFonts w:ascii="宋体"/>
                <w:sz w:val="14"/>
              </w:rPr>
            </w:pPr>
            <w:r>
              <w:rPr>
                <w:rFonts w:ascii="宋体"/>
                <w:sz w:val="14"/>
              </w:rPr>
              <w:t>603301.SH</w:t>
            </w:r>
          </w:p>
        </w:tc>
        <w:tc>
          <w:tcPr>
            <w:tcW w:w="2107" w:type="dxa"/>
          </w:tcPr>
          <w:p>
            <w:pPr>
              <w:pStyle w:val="TableParagraph"/>
              <w:ind w:left="753" w:right="733"/>
              <w:rPr>
                <w:rFonts w:ascii="宋体" w:eastAsia="宋体" w:hint="eastAsia"/>
                <w:sz w:val="14"/>
              </w:rPr>
            </w:pPr>
            <w:r>
              <w:rPr>
                <w:rFonts w:ascii="宋体" w:eastAsia="宋体" w:hint="eastAsia"/>
                <w:sz w:val="14"/>
              </w:rPr>
              <w:t>振德医疗</w:t>
            </w:r>
          </w:p>
        </w:tc>
        <w:tc>
          <w:tcPr>
            <w:tcW w:w="1514" w:type="dxa"/>
          </w:tcPr>
          <w:p>
            <w:pPr>
              <w:pStyle w:val="TableParagraph"/>
              <w:ind w:left="633" w:right="607"/>
              <w:rPr>
                <w:rFonts w:ascii="宋体"/>
                <w:sz w:val="14"/>
              </w:rPr>
            </w:pPr>
            <w:r>
              <w:rPr>
                <w:rFonts w:ascii="宋体"/>
                <w:sz w:val="14"/>
              </w:rPr>
              <w:t>67</w:t>
            </w:r>
          </w:p>
        </w:tc>
        <w:tc>
          <w:tcPr>
            <w:tcW w:w="1270" w:type="dxa"/>
          </w:tcPr>
          <w:p>
            <w:pPr>
              <w:pStyle w:val="TableParagraph"/>
              <w:ind w:left="421" w:right="390"/>
              <w:rPr>
                <w:rFonts w:ascii="宋体"/>
                <w:sz w:val="14"/>
              </w:rPr>
            </w:pPr>
            <w:r>
              <w:rPr>
                <w:rFonts w:ascii="宋体"/>
                <w:sz w:val="14"/>
              </w:rPr>
              <w:t>5.2</w:t>
            </w:r>
          </w:p>
        </w:tc>
        <w:tc>
          <w:tcPr>
            <w:tcW w:w="1270" w:type="dxa"/>
          </w:tcPr>
          <w:p>
            <w:pPr>
              <w:pStyle w:val="TableParagraph"/>
              <w:ind w:left="537"/>
              <w:jc w:val="left"/>
              <w:rPr>
                <w:rFonts w:ascii="宋体"/>
                <w:sz w:val="14"/>
              </w:rPr>
            </w:pPr>
            <w:r>
              <w:rPr>
                <w:rFonts w:ascii="宋体"/>
                <w:sz w:val="14"/>
              </w:rPr>
              <w:t>6.1</w:t>
            </w:r>
          </w:p>
        </w:tc>
        <w:tc>
          <w:tcPr>
            <w:tcW w:w="1270" w:type="dxa"/>
          </w:tcPr>
          <w:p>
            <w:pPr>
              <w:pStyle w:val="TableParagraph"/>
              <w:ind w:right="500"/>
              <w:jc w:val="right"/>
              <w:rPr>
                <w:rFonts w:ascii="宋体"/>
                <w:sz w:val="14"/>
              </w:rPr>
            </w:pPr>
            <w:r>
              <w:rPr>
                <w:rFonts w:ascii="宋体"/>
                <w:sz w:val="14"/>
              </w:rPr>
              <w:t>7.4</w:t>
            </w:r>
          </w:p>
        </w:tc>
        <w:tc>
          <w:tcPr>
            <w:tcW w:w="1270" w:type="dxa"/>
          </w:tcPr>
          <w:p>
            <w:pPr>
              <w:pStyle w:val="TableParagraph"/>
              <w:ind w:left="424" w:right="388"/>
              <w:rPr>
                <w:rFonts w:ascii="宋体"/>
                <w:sz w:val="14"/>
              </w:rPr>
            </w:pPr>
            <w:r>
              <w:rPr>
                <w:rFonts w:ascii="宋体"/>
                <w:sz w:val="14"/>
              </w:rPr>
              <w:t>13</w:t>
            </w:r>
          </w:p>
        </w:tc>
        <w:tc>
          <w:tcPr>
            <w:tcW w:w="1270" w:type="dxa"/>
          </w:tcPr>
          <w:p>
            <w:pPr>
              <w:pStyle w:val="TableParagraph"/>
              <w:ind w:left="424" w:right="386"/>
              <w:rPr>
                <w:rFonts w:ascii="宋体"/>
                <w:sz w:val="14"/>
              </w:rPr>
            </w:pPr>
            <w:r>
              <w:rPr>
                <w:rFonts w:ascii="宋体"/>
                <w:sz w:val="14"/>
              </w:rPr>
              <w:t>11</w:t>
            </w:r>
          </w:p>
        </w:tc>
        <w:tc>
          <w:tcPr>
            <w:tcW w:w="1264" w:type="dxa"/>
          </w:tcPr>
          <w:p>
            <w:pPr>
              <w:pStyle w:val="TableParagraph"/>
              <w:ind w:left="41"/>
              <w:rPr>
                <w:rFonts w:ascii="宋体"/>
                <w:sz w:val="14"/>
              </w:rPr>
            </w:pPr>
            <w:r>
              <w:rPr>
                <w:rFonts w:ascii="宋体"/>
                <w:w w:val="99"/>
                <w:sz w:val="14"/>
              </w:rPr>
              <w:t>9</w:t>
            </w:r>
          </w:p>
        </w:tc>
      </w:tr>
      <w:tr>
        <w:trPr>
          <w:trHeight w:val="168" w:hRule="atLeast"/>
        </w:trPr>
        <w:tc>
          <w:tcPr>
            <w:tcW w:w="2175" w:type="dxa"/>
          </w:tcPr>
          <w:p>
            <w:pPr>
              <w:pStyle w:val="TableParagraph"/>
              <w:ind w:left="644" w:right="628"/>
              <w:rPr>
                <w:rFonts w:ascii="宋体" w:eastAsia="宋体" w:hint="eastAsia"/>
                <w:sz w:val="14"/>
              </w:rPr>
            </w:pPr>
            <w:r>
              <w:rPr>
                <w:rFonts w:ascii="宋体" w:eastAsia="宋体" w:hint="eastAsia"/>
                <w:sz w:val="14"/>
              </w:rPr>
              <w:t>医疗器械</w:t>
            </w:r>
          </w:p>
        </w:tc>
        <w:tc>
          <w:tcPr>
            <w:tcW w:w="2028" w:type="dxa"/>
          </w:tcPr>
          <w:p>
            <w:pPr>
              <w:pStyle w:val="TableParagraph"/>
              <w:ind w:left="678" w:right="659"/>
              <w:rPr>
                <w:rFonts w:ascii="宋体"/>
                <w:sz w:val="14"/>
              </w:rPr>
            </w:pPr>
            <w:r>
              <w:rPr>
                <w:rFonts w:ascii="宋体"/>
                <w:sz w:val="14"/>
              </w:rPr>
              <w:t>688212.SH</w:t>
            </w:r>
          </w:p>
        </w:tc>
        <w:tc>
          <w:tcPr>
            <w:tcW w:w="2107" w:type="dxa"/>
          </w:tcPr>
          <w:p>
            <w:pPr>
              <w:pStyle w:val="TableParagraph"/>
              <w:ind w:left="753" w:right="733"/>
              <w:rPr>
                <w:rFonts w:ascii="宋体" w:eastAsia="宋体" w:hint="eastAsia"/>
                <w:sz w:val="14"/>
              </w:rPr>
            </w:pPr>
            <w:r>
              <w:rPr>
                <w:rFonts w:ascii="宋体" w:eastAsia="宋体" w:hint="eastAsia"/>
                <w:sz w:val="14"/>
              </w:rPr>
              <w:t>澳华内镜</w:t>
            </w:r>
          </w:p>
        </w:tc>
        <w:tc>
          <w:tcPr>
            <w:tcW w:w="1514" w:type="dxa"/>
          </w:tcPr>
          <w:p>
            <w:pPr>
              <w:pStyle w:val="TableParagraph"/>
              <w:ind w:left="633" w:right="607"/>
              <w:rPr>
                <w:rFonts w:ascii="宋体"/>
                <w:sz w:val="14"/>
              </w:rPr>
            </w:pPr>
            <w:r>
              <w:rPr>
                <w:rFonts w:ascii="宋体"/>
                <w:sz w:val="14"/>
              </w:rPr>
              <w:t>82</w:t>
            </w:r>
          </w:p>
        </w:tc>
        <w:tc>
          <w:tcPr>
            <w:tcW w:w="1270" w:type="dxa"/>
          </w:tcPr>
          <w:p>
            <w:pPr>
              <w:pStyle w:val="TableParagraph"/>
              <w:ind w:left="421" w:right="390"/>
              <w:rPr>
                <w:rFonts w:ascii="宋体"/>
                <w:sz w:val="14"/>
              </w:rPr>
            </w:pPr>
            <w:r>
              <w:rPr>
                <w:rFonts w:ascii="宋体"/>
                <w:sz w:val="14"/>
              </w:rPr>
              <w:t>0.8</w:t>
            </w:r>
          </w:p>
        </w:tc>
        <w:tc>
          <w:tcPr>
            <w:tcW w:w="1270" w:type="dxa"/>
          </w:tcPr>
          <w:p>
            <w:pPr>
              <w:pStyle w:val="TableParagraph"/>
              <w:ind w:left="537"/>
              <w:jc w:val="left"/>
              <w:rPr>
                <w:rFonts w:ascii="宋体"/>
                <w:sz w:val="14"/>
              </w:rPr>
            </w:pPr>
            <w:r>
              <w:rPr>
                <w:rFonts w:ascii="宋体"/>
                <w:sz w:val="14"/>
              </w:rPr>
              <w:t>1.4</w:t>
            </w:r>
          </w:p>
        </w:tc>
        <w:tc>
          <w:tcPr>
            <w:tcW w:w="1270" w:type="dxa"/>
          </w:tcPr>
          <w:p>
            <w:pPr>
              <w:pStyle w:val="TableParagraph"/>
              <w:ind w:right="500"/>
              <w:jc w:val="right"/>
              <w:rPr>
                <w:rFonts w:ascii="宋体"/>
                <w:sz w:val="14"/>
              </w:rPr>
            </w:pPr>
            <w:r>
              <w:rPr>
                <w:rFonts w:ascii="宋体"/>
                <w:sz w:val="14"/>
              </w:rPr>
              <w:t>2.2</w:t>
            </w:r>
          </w:p>
        </w:tc>
        <w:tc>
          <w:tcPr>
            <w:tcW w:w="1270" w:type="dxa"/>
          </w:tcPr>
          <w:p>
            <w:pPr>
              <w:pStyle w:val="TableParagraph"/>
              <w:ind w:left="424" w:right="385"/>
              <w:rPr>
                <w:rFonts w:ascii="宋体"/>
                <w:sz w:val="14"/>
              </w:rPr>
            </w:pPr>
            <w:r>
              <w:rPr>
                <w:rFonts w:ascii="宋体"/>
                <w:sz w:val="14"/>
              </w:rPr>
              <w:t>103</w:t>
            </w:r>
          </w:p>
        </w:tc>
        <w:tc>
          <w:tcPr>
            <w:tcW w:w="1270" w:type="dxa"/>
          </w:tcPr>
          <w:p>
            <w:pPr>
              <w:pStyle w:val="TableParagraph"/>
              <w:ind w:left="424" w:right="386"/>
              <w:rPr>
                <w:rFonts w:ascii="宋体"/>
                <w:sz w:val="14"/>
              </w:rPr>
            </w:pPr>
            <w:r>
              <w:rPr>
                <w:rFonts w:ascii="宋体"/>
                <w:sz w:val="14"/>
              </w:rPr>
              <w:t>59</w:t>
            </w:r>
          </w:p>
        </w:tc>
        <w:tc>
          <w:tcPr>
            <w:tcW w:w="1264" w:type="dxa"/>
          </w:tcPr>
          <w:p>
            <w:pPr>
              <w:pStyle w:val="TableParagraph"/>
              <w:ind w:left="427" w:right="384"/>
              <w:rPr>
                <w:rFonts w:ascii="宋体"/>
                <w:sz w:val="14"/>
              </w:rPr>
            </w:pPr>
            <w:r>
              <w:rPr>
                <w:rFonts w:ascii="宋体"/>
                <w:sz w:val="14"/>
              </w:rPr>
              <w:t>37</w:t>
            </w:r>
          </w:p>
        </w:tc>
      </w:tr>
      <w:tr>
        <w:trPr>
          <w:trHeight w:val="168" w:hRule="atLeast"/>
        </w:trPr>
        <w:tc>
          <w:tcPr>
            <w:tcW w:w="2175" w:type="dxa"/>
          </w:tcPr>
          <w:p>
            <w:pPr>
              <w:pStyle w:val="TableParagraph"/>
              <w:ind w:left="644" w:right="628"/>
              <w:rPr>
                <w:rFonts w:ascii="宋体" w:eastAsia="宋体" w:hint="eastAsia"/>
                <w:sz w:val="14"/>
              </w:rPr>
            </w:pPr>
            <w:r>
              <w:rPr>
                <w:rFonts w:ascii="宋体" w:eastAsia="宋体" w:hint="eastAsia"/>
                <w:sz w:val="14"/>
              </w:rPr>
              <w:t>医疗器械</w:t>
            </w:r>
          </w:p>
        </w:tc>
        <w:tc>
          <w:tcPr>
            <w:tcW w:w="2028" w:type="dxa"/>
          </w:tcPr>
          <w:p>
            <w:pPr>
              <w:pStyle w:val="TableParagraph"/>
              <w:ind w:left="678" w:right="659"/>
              <w:rPr>
                <w:rFonts w:ascii="宋体"/>
                <w:sz w:val="14"/>
              </w:rPr>
            </w:pPr>
            <w:r>
              <w:rPr>
                <w:rFonts w:ascii="宋体"/>
                <w:sz w:val="14"/>
              </w:rPr>
              <w:t>300633.SZ</w:t>
            </w:r>
          </w:p>
        </w:tc>
        <w:tc>
          <w:tcPr>
            <w:tcW w:w="2107" w:type="dxa"/>
          </w:tcPr>
          <w:p>
            <w:pPr>
              <w:pStyle w:val="TableParagraph"/>
              <w:ind w:left="753" w:right="733"/>
              <w:rPr>
                <w:rFonts w:ascii="宋体" w:eastAsia="宋体" w:hint="eastAsia"/>
                <w:sz w:val="14"/>
              </w:rPr>
            </w:pPr>
            <w:r>
              <w:rPr>
                <w:rFonts w:ascii="宋体" w:eastAsia="宋体" w:hint="eastAsia"/>
                <w:sz w:val="14"/>
              </w:rPr>
              <w:t>开立医疗</w:t>
            </w:r>
          </w:p>
        </w:tc>
        <w:tc>
          <w:tcPr>
            <w:tcW w:w="1514" w:type="dxa"/>
          </w:tcPr>
          <w:p>
            <w:pPr>
              <w:pStyle w:val="TableParagraph"/>
              <w:ind w:left="636" w:right="607"/>
              <w:rPr>
                <w:rFonts w:ascii="宋体"/>
                <w:sz w:val="14"/>
              </w:rPr>
            </w:pPr>
            <w:r>
              <w:rPr>
                <w:rFonts w:ascii="宋体"/>
                <w:sz w:val="14"/>
              </w:rPr>
              <w:t>198</w:t>
            </w:r>
          </w:p>
        </w:tc>
        <w:tc>
          <w:tcPr>
            <w:tcW w:w="1270" w:type="dxa"/>
          </w:tcPr>
          <w:p>
            <w:pPr>
              <w:pStyle w:val="TableParagraph"/>
              <w:ind w:left="421" w:right="390"/>
              <w:rPr>
                <w:rFonts w:ascii="宋体"/>
                <w:sz w:val="14"/>
              </w:rPr>
            </w:pPr>
            <w:r>
              <w:rPr>
                <w:rFonts w:ascii="宋体"/>
                <w:sz w:val="14"/>
              </w:rPr>
              <w:t>5.0</w:t>
            </w:r>
          </w:p>
        </w:tc>
        <w:tc>
          <w:tcPr>
            <w:tcW w:w="1270" w:type="dxa"/>
          </w:tcPr>
          <w:p>
            <w:pPr>
              <w:pStyle w:val="TableParagraph"/>
              <w:ind w:left="537"/>
              <w:jc w:val="left"/>
              <w:rPr>
                <w:rFonts w:ascii="宋体"/>
                <w:sz w:val="14"/>
              </w:rPr>
            </w:pPr>
            <w:r>
              <w:rPr>
                <w:rFonts w:ascii="宋体"/>
                <w:sz w:val="14"/>
              </w:rPr>
              <w:t>6.5</w:t>
            </w:r>
          </w:p>
        </w:tc>
        <w:tc>
          <w:tcPr>
            <w:tcW w:w="1270" w:type="dxa"/>
          </w:tcPr>
          <w:p>
            <w:pPr>
              <w:pStyle w:val="TableParagraph"/>
              <w:ind w:right="500"/>
              <w:jc w:val="right"/>
              <w:rPr>
                <w:rFonts w:ascii="宋体"/>
                <w:sz w:val="14"/>
              </w:rPr>
            </w:pPr>
            <w:r>
              <w:rPr>
                <w:rFonts w:ascii="宋体"/>
                <w:sz w:val="14"/>
              </w:rPr>
              <w:t>8.4</w:t>
            </w:r>
          </w:p>
        </w:tc>
        <w:tc>
          <w:tcPr>
            <w:tcW w:w="1270" w:type="dxa"/>
          </w:tcPr>
          <w:p>
            <w:pPr>
              <w:pStyle w:val="TableParagraph"/>
              <w:ind w:left="424" w:right="388"/>
              <w:rPr>
                <w:rFonts w:ascii="宋体"/>
                <w:sz w:val="14"/>
              </w:rPr>
            </w:pPr>
            <w:r>
              <w:rPr>
                <w:rFonts w:ascii="宋体"/>
                <w:sz w:val="14"/>
              </w:rPr>
              <w:t>40</w:t>
            </w:r>
          </w:p>
        </w:tc>
        <w:tc>
          <w:tcPr>
            <w:tcW w:w="1270" w:type="dxa"/>
          </w:tcPr>
          <w:p>
            <w:pPr>
              <w:pStyle w:val="TableParagraph"/>
              <w:ind w:left="424" w:right="386"/>
              <w:rPr>
                <w:rFonts w:ascii="宋体"/>
                <w:sz w:val="14"/>
              </w:rPr>
            </w:pPr>
            <w:r>
              <w:rPr>
                <w:rFonts w:ascii="宋体"/>
                <w:sz w:val="14"/>
              </w:rPr>
              <w:t>31</w:t>
            </w:r>
          </w:p>
        </w:tc>
        <w:tc>
          <w:tcPr>
            <w:tcW w:w="1264" w:type="dxa"/>
          </w:tcPr>
          <w:p>
            <w:pPr>
              <w:pStyle w:val="TableParagraph"/>
              <w:ind w:left="427" w:right="384"/>
              <w:rPr>
                <w:rFonts w:ascii="宋体"/>
                <w:sz w:val="14"/>
              </w:rPr>
            </w:pPr>
            <w:r>
              <w:rPr>
                <w:rFonts w:ascii="宋体"/>
                <w:sz w:val="14"/>
              </w:rPr>
              <w:t>24</w:t>
            </w:r>
          </w:p>
        </w:tc>
      </w:tr>
      <w:tr>
        <w:trPr>
          <w:trHeight w:val="168" w:hRule="atLeast"/>
        </w:trPr>
        <w:tc>
          <w:tcPr>
            <w:tcW w:w="2175" w:type="dxa"/>
          </w:tcPr>
          <w:p>
            <w:pPr>
              <w:pStyle w:val="TableParagraph"/>
              <w:ind w:left="644" w:right="628"/>
              <w:rPr>
                <w:rFonts w:ascii="宋体" w:eastAsia="宋体" w:hint="eastAsia"/>
                <w:sz w:val="14"/>
              </w:rPr>
            </w:pPr>
            <w:r>
              <w:rPr>
                <w:rFonts w:ascii="宋体" w:eastAsia="宋体" w:hint="eastAsia"/>
                <w:sz w:val="14"/>
              </w:rPr>
              <w:t>医疗器械</w:t>
            </w:r>
          </w:p>
        </w:tc>
        <w:tc>
          <w:tcPr>
            <w:tcW w:w="2028" w:type="dxa"/>
          </w:tcPr>
          <w:p>
            <w:pPr>
              <w:pStyle w:val="TableParagraph"/>
              <w:ind w:left="678" w:right="659"/>
              <w:rPr>
                <w:rFonts w:ascii="宋体"/>
                <w:sz w:val="14"/>
              </w:rPr>
            </w:pPr>
            <w:r>
              <w:rPr>
                <w:rFonts w:ascii="宋体"/>
                <w:sz w:val="14"/>
              </w:rPr>
              <w:t>300760.SZ</w:t>
            </w:r>
          </w:p>
        </w:tc>
        <w:tc>
          <w:tcPr>
            <w:tcW w:w="2107" w:type="dxa"/>
          </w:tcPr>
          <w:p>
            <w:pPr>
              <w:pStyle w:val="TableParagraph"/>
              <w:ind w:left="753" w:right="733"/>
              <w:rPr>
                <w:rFonts w:ascii="宋体" w:eastAsia="宋体" w:hint="eastAsia"/>
                <w:sz w:val="14"/>
              </w:rPr>
            </w:pPr>
            <w:r>
              <w:rPr>
                <w:rFonts w:ascii="宋体" w:eastAsia="宋体" w:hint="eastAsia"/>
                <w:sz w:val="14"/>
              </w:rPr>
              <w:t>迈瑞医疗</w:t>
            </w:r>
          </w:p>
        </w:tc>
        <w:tc>
          <w:tcPr>
            <w:tcW w:w="1514" w:type="dxa"/>
          </w:tcPr>
          <w:p>
            <w:pPr>
              <w:pStyle w:val="TableParagraph"/>
              <w:ind w:right="558"/>
              <w:jc w:val="right"/>
              <w:rPr>
                <w:rFonts w:ascii="宋体"/>
                <w:sz w:val="14"/>
              </w:rPr>
            </w:pPr>
            <w:r>
              <w:rPr>
                <w:rFonts w:ascii="宋体"/>
                <w:sz w:val="14"/>
              </w:rPr>
              <w:t>3,121</w:t>
            </w:r>
          </w:p>
        </w:tc>
        <w:tc>
          <w:tcPr>
            <w:tcW w:w="1270" w:type="dxa"/>
          </w:tcPr>
          <w:p>
            <w:pPr>
              <w:pStyle w:val="TableParagraph"/>
              <w:ind w:left="421" w:right="390"/>
              <w:rPr>
                <w:rFonts w:ascii="宋体"/>
                <w:sz w:val="14"/>
              </w:rPr>
            </w:pPr>
            <w:r>
              <w:rPr>
                <w:rFonts w:ascii="宋体"/>
                <w:sz w:val="14"/>
              </w:rPr>
              <w:t>116.2</w:t>
            </w:r>
          </w:p>
        </w:tc>
        <w:tc>
          <w:tcPr>
            <w:tcW w:w="1270" w:type="dxa"/>
          </w:tcPr>
          <w:p>
            <w:pPr>
              <w:pStyle w:val="TableParagraph"/>
              <w:ind w:left="467"/>
              <w:jc w:val="left"/>
              <w:rPr>
                <w:rFonts w:ascii="宋体"/>
                <w:sz w:val="14"/>
              </w:rPr>
            </w:pPr>
            <w:r>
              <w:rPr>
                <w:rFonts w:ascii="宋体"/>
                <w:sz w:val="14"/>
              </w:rPr>
              <w:t>140.9</w:t>
            </w:r>
          </w:p>
        </w:tc>
        <w:tc>
          <w:tcPr>
            <w:tcW w:w="1270" w:type="dxa"/>
          </w:tcPr>
          <w:p>
            <w:pPr>
              <w:pStyle w:val="TableParagraph"/>
              <w:ind w:right="431"/>
              <w:jc w:val="right"/>
              <w:rPr>
                <w:rFonts w:ascii="宋体"/>
                <w:sz w:val="14"/>
              </w:rPr>
            </w:pPr>
            <w:r>
              <w:rPr>
                <w:rFonts w:ascii="宋体"/>
                <w:sz w:val="14"/>
              </w:rPr>
              <w:t>170.5</w:t>
            </w:r>
          </w:p>
        </w:tc>
        <w:tc>
          <w:tcPr>
            <w:tcW w:w="1270" w:type="dxa"/>
          </w:tcPr>
          <w:p>
            <w:pPr>
              <w:pStyle w:val="TableParagraph"/>
              <w:ind w:left="424" w:right="388"/>
              <w:rPr>
                <w:rFonts w:ascii="宋体"/>
                <w:sz w:val="14"/>
              </w:rPr>
            </w:pPr>
            <w:r>
              <w:rPr>
                <w:rFonts w:ascii="宋体"/>
                <w:sz w:val="14"/>
              </w:rPr>
              <w:t>27</w:t>
            </w:r>
          </w:p>
        </w:tc>
        <w:tc>
          <w:tcPr>
            <w:tcW w:w="1270" w:type="dxa"/>
          </w:tcPr>
          <w:p>
            <w:pPr>
              <w:pStyle w:val="TableParagraph"/>
              <w:ind w:left="424" w:right="386"/>
              <w:rPr>
                <w:rFonts w:ascii="宋体"/>
                <w:sz w:val="14"/>
              </w:rPr>
            </w:pPr>
            <w:r>
              <w:rPr>
                <w:rFonts w:ascii="宋体"/>
                <w:sz w:val="14"/>
              </w:rPr>
              <w:t>22</w:t>
            </w:r>
          </w:p>
        </w:tc>
        <w:tc>
          <w:tcPr>
            <w:tcW w:w="1264" w:type="dxa"/>
          </w:tcPr>
          <w:p>
            <w:pPr>
              <w:pStyle w:val="TableParagraph"/>
              <w:ind w:left="427" w:right="384"/>
              <w:rPr>
                <w:rFonts w:ascii="宋体"/>
                <w:sz w:val="14"/>
              </w:rPr>
            </w:pPr>
            <w:r>
              <w:rPr>
                <w:rFonts w:ascii="宋体"/>
                <w:sz w:val="14"/>
              </w:rPr>
              <w:t>18</w:t>
            </w:r>
          </w:p>
        </w:tc>
      </w:tr>
      <w:tr>
        <w:trPr>
          <w:trHeight w:val="168" w:hRule="atLeast"/>
        </w:trPr>
        <w:tc>
          <w:tcPr>
            <w:tcW w:w="2175" w:type="dxa"/>
          </w:tcPr>
          <w:p>
            <w:pPr>
              <w:pStyle w:val="TableParagraph"/>
              <w:ind w:left="644" w:right="628"/>
              <w:rPr>
                <w:rFonts w:ascii="宋体" w:eastAsia="宋体" w:hint="eastAsia"/>
                <w:sz w:val="14"/>
              </w:rPr>
            </w:pPr>
            <w:r>
              <w:rPr>
                <w:rFonts w:ascii="宋体" w:eastAsia="宋体" w:hint="eastAsia"/>
                <w:sz w:val="14"/>
              </w:rPr>
              <w:t>医疗器械</w:t>
            </w:r>
          </w:p>
        </w:tc>
        <w:tc>
          <w:tcPr>
            <w:tcW w:w="2028" w:type="dxa"/>
          </w:tcPr>
          <w:p>
            <w:pPr>
              <w:pStyle w:val="TableParagraph"/>
              <w:ind w:left="678" w:right="659"/>
              <w:rPr>
                <w:rFonts w:ascii="宋体"/>
                <w:sz w:val="14"/>
              </w:rPr>
            </w:pPr>
            <w:r>
              <w:rPr>
                <w:rFonts w:ascii="宋体"/>
                <w:sz w:val="14"/>
              </w:rPr>
              <w:t>688389.SH</w:t>
            </w:r>
          </w:p>
        </w:tc>
        <w:tc>
          <w:tcPr>
            <w:tcW w:w="2107" w:type="dxa"/>
          </w:tcPr>
          <w:p>
            <w:pPr>
              <w:pStyle w:val="TableParagraph"/>
              <w:ind w:left="753" w:right="733"/>
              <w:rPr>
                <w:rFonts w:ascii="宋体" w:eastAsia="宋体" w:hint="eastAsia"/>
                <w:sz w:val="14"/>
              </w:rPr>
            </w:pPr>
            <w:r>
              <w:rPr>
                <w:rFonts w:ascii="宋体" w:eastAsia="宋体" w:hint="eastAsia"/>
                <w:sz w:val="14"/>
              </w:rPr>
              <w:t>普门科技</w:t>
            </w:r>
          </w:p>
        </w:tc>
        <w:tc>
          <w:tcPr>
            <w:tcW w:w="1514" w:type="dxa"/>
          </w:tcPr>
          <w:p>
            <w:pPr>
              <w:pStyle w:val="TableParagraph"/>
              <w:ind w:left="633" w:right="607"/>
              <w:rPr>
                <w:rFonts w:ascii="宋体"/>
                <w:sz w:val="14"/>
              </w:rPr>
            </w:pPr>
            <w:r>
              <w:rPr>
                <w:rFonts w:ascii="宋体"/>
                <w:sz w:val="14"/>
              </w:rPr>
              <w:t>80</w:t>
            </w:r>
          </w:p>
        </w:tc>
        <w:tc>
          <w:tcPr>
            <w:tcW w:w="1270" w:type="dxa"/>
          </w:tcPr>
          <w:p>
            <w:pPr>
              <w:pStyle w:val="TableParagraph"/>
              <w:ind w:left="421" w:right="390"/>
              <w:rPr>
                <w:rFonts w:ascii="宋体"/>
                <w:sz w:val="14"/>
              </w:rPr>
            </w:pPr>
            <w:r>
              <w:rPr>
                <w:rFonts w:ascii="宋体"/>
                <w:sz w:val="14"/>
              </w:rPr>
              <w:t>3.3</w:t>
            </w:r>
          </w:p>
        </w:tc>
        <w:tc>
          <w:tcPr>
            <w:tcW w:w="1270" w:type="dxa"/>
          </w:tcPr>
          <w:p>
            <w:pPr>
              <w:pStyle w:val="TableParagraph"/>
              <w:ind w:left="537"/>
              <w:jc w:val="left"/>
              <w:rPr>
                <w:rFonts w:ascii="宋体"/>
                <w:sz w:val="14"/>
              </w:rPr>
            </w:pPr>
            <w:r>
              <w:rPr>
                <w:rFonts w:ascii="宋体"/>
                <w:sz w:val="14"/>
              </w:rPr>
              <w:t>4.3</w:t>
            </w:r>
          </w:p>
        </w:tc>
        <w:tc>
          <w:tcPr>
            <w:tcW w:w="1270" w:type="dxa"/>
          </w:tcPr>
          <w:p>
            <w:pPr>
              <w:pStyle w:val="TableParagraph"/>
              <w:ind w:right="500"/>
              <w:jc w:val="right"/>
              <w:rPr>
                <w:rFonts w:ascii="宋体"/>
                <w:sz w:val="14"/>
              </w:rPr>
            </w:pPr>
            <w:r>
              <w:rPr>
                <w:rFonts w:ascii="宋体"/>
                <w:sz w:val="14"/>
              </w:rPr>
              <w:t>5.7</w:t>
            </w:r>
          </w:p>
        </w:tc>
        <w:tc>
          <w:tcPr>
            <w:tcW w:w="1270" w:type="dxa"/>
          </w:tcPr>
          <w:p>
            <w:pPr>
              <w:pStyle w:val="TableParagraph"/>
              <w:ind w:left="424" w:right="388"/>
              <w:rPr>
                <w:rFonts w:ascii="宋体"/>
                <w:sz w:val="14"/>
              </w:rPr>
            </w:pPr>
            <w:r>
              <w:rPr>
                <w:rFonts w:ascii="宋体"/>
                <w:sz w:val="14"/>
              </w:rPr>
              <w:t>24</w:t>
            </w:r>
          </w:p>
        </w:tc>
        <w:tc>
          <w:tcPr>
            <w:tcW w:w="1270" w:type="dxa"/>
          </w:tcPr>
          <w:p>
            <w:pPr>
              <w:pStyle w:val="TableParagraph"/>
              <w:ind w:left="424" w:right="386"/>
              <w:rPr>
                <w:rFonts w:ascii="宋体"/>
                <w:sz w:val="14"/>
              </w:rPr>
            </w:pPr>
            <w:r>
              <w:rPr>
                <w:rFonts w:ascii="宋体"/>
                <w:sz w:val="14"/>
              </w:rPr>
              <w:t>19</w:t>
            </w:r>
          </w:p>
        </w:tc>
        <w:tc>
          <w:tcPr>
            <w:tcW w:w="1264" w:type="dxa"/>
          </w:tcPr>
          <w:p>
            <w:pPr>
              <w:pStyle w:val="TableParagraph"/>
              <w:ind w:left="427" w:right="384"/>
              <w:rPr>
                <w:rFonts w:ascii="宋体"/>
                <w:sz w:val="14"/>
              </w:rPr>
            </w:pPr>
            <w:r>
              <w:rPr>
                <w:rFonts w:ascii="宋体"/>
                <w:sz w:val="14"/>
              </w:rPr>
              <w:t>14</w:t>
            </w:r>
          </w:p>
        </w:tc>
      </w:tr>
      <w:tr>
        <w:trPr>
          <w:trHeight w:val="168" w:hRule="atLeast"/>
        </w:trPr>
        <w:tc>
          <w:tcPr>
            <w:tcW w:w="2175" w:type="dxa"/>
          </w:tcPr>
          <w:p>
            <w:pPr>
              <w:pStyle w:val="TableParagraph"/>
              <w:ind w:left="644" w:right="628"/>
              <w:rPr>
                <w:rFonts w:ascii="宋体" w:eastAsia="宋体" w:hint="eastAsia"/>
                <w:sz w:val="14"/>
              </w:rPr>
            </w:pPr>
            <w:r>
              <w:rPr>
                <w:rFonts w:ascii="宋体" w:eastAsia="宋体" w:hint="eastAsia"/>
                <w:sz w:val="14"/>
              </w:rPr>
              <w:t>医疗器械</w:t>
            </w:r>
          </w:p>
        </w:tc>
        <w:tc>
          <w:tcPr>
            <w:tcW w:w="2028" w:type="dxa"/>
          </w:tcPr>
          <w:p>
            <w:pPr>
              <w:pStyle w:val="TableParagraph"/>
              <w:ind w:left="678" w:right="659"/>
              <w:rPr>
                <w:rFonts w:ascii="宋体"/>
                <w:sz w:val="14"/>
              </w:rPr>
            </w:pPr>
            <w:r>
              <w:rPr>
                <w:rFonts w:ascii="宋体"/>
                <w:sz w:val="14"/>
              </w:rPr>
              <w:t>688236.SH</w:t>
            </w:r>
          </w:p>
        </w:tc>
        <w:tc>
          <w:tcPr>
            <w:tcW w:w="2107" w:type="dxa"/>
          </w:tcPr>
          <w:p>
            <w:pPr>
              <w:pStyle w:val="TableParagraph"/>
              <w:ind w:left="753" w:right="733"/>
              <w:rPr>
                <w:rFonts w:ascii="宋体" w:eastAsia="宋体" w:hint="eastAsia"/>
                <w:sz w:val="14"/>
              </w:rPr>
            </w:pPr>
            <w:r>
              <w:rPr>
                <w:rFonts w:ascii="宋体" w:eastAsia="宋体" w:hint="eastAsia"/>
                <w:sz w:val="14"/>
              </w:rPr>
              <w:t>春立医疗</w:t>
            </w:r>
          </w:p>
        </w:tc>
        <w:tc>
          <w:tcPr>
            <w:tcW w:w="1514" w:type="dxa"/>
          </w:tcPr>
          <w:p>
            <w:pPr>
              <w:pStyle w:val="TableParagraph"/>
              <w:ind w:left="633" w:right="607"/>
              <w:rPr>
                <w:rFonts w:ascii="宋体"/>
                <w:sz w:val="14"/>
              </w:rPr>
            </w:pPr>
            <w:r>
              <w:rPr>
                <w:rFonts w:ascii="宋体"/>
                <w:sz w:val="14"/>
              </w:rPr>
              <w:t>97</w:t>
            </w:r>
          </w:p>
        </w:tc>
        <w:tc>
          <w:tcPr>
            <w:tcW w:w="1270" w:type="dxa"/>
          </w:tcPr>
          <w:p>
            <w:pPr>
              <w:pStyle w:val="TableParagraph"/>
              <w:ind w:left="421" w:right="390"/>
              <w:rPr>
                <w:rFonts w:ascii="宋体"/>
                <w:sz w:val="14"/>
              </w:rPr>
            </w:pPr>
            <w:r>
              <w:rPr>
                <w:rFonts w:ascii="宋体"/>
                <w:sz w:val="14"/>
              </w:rPr>
              <w:t>3.3</w:t>
            </w:r>
          </w:p>
        </w:tc>
        <w:tc>
          <w:tcPr>
            <w:tcW w:w="1270" w:type="dxa"/>
          </w:tcPr>
          <w:p>
            <w:pPr>
              <w:pStyle w:val="TableParagraph"/>
              <w:ind w:left="537"/>
              <w:jc w:val="left"/>
              <w:rPr>
                <w:rFonts w:ascii="宋体"/>
                <w:sz w:val="14"/>
              </w:rPr>
            </w:pPr>
            <w:r>
              <w:rPr>
                <w:rFonts w:ascii="宋体"/>
                <w:sz w:val="14"/>
              </w:rPr>
              <w:t>4.0</w:t>
            </w:r>
          </w:p>
        </w:tc>
        <w:tc>
          <w:tcPr>
            <w:tcW w:w="1270" w:type="dxa"/>
          </w:tcPr>
          <w:p>
            <w:pPr>
              <w:pStyle w:val="TableParagraph"/>
              <w:ind w:right="500"/>
              <w:jc w:val="right"/>
              <w:rPr>
                <w:rFonts w:ascii="宋体"/>
                <w:sz w:val="14"/>
              </w:rPr>
            </w:pPr>
            <w:r>
              <w:rPr>
                <w:rFonts w:ascii="宋体"/>
                <w:sz w:val="14"/>
              </w:rPr>
              <w:t>5.0</w:t>
            </w:r>
          </w:p>
        </w:tc>
        <w:tc>
          <w:tcPr>
            <w:tcW w:w="1270" w:type="dxa"/>
          </w:tcPr>
          <w:p>
            <w:pPr>
              <w:pStyle w:val="TableParagraph"/>
              <w:ind w:left="424" w:right="388"/>
              <w:rPr>
                <w:rFonts w:ascii="宋体"/>
                <w:sz w:val="14"/>
              </w:rPr>
            </w:pPr>
            <w:r>
              <w:rPr>
                <w:rFonts w:ascii="宋体"/>
                <w:sz w:val="14"/>
              </w:rPr>
              <w:t>30</w:t>
            </w:r>
          </w:p>
        </w:tc>
        <w:tc>
          <w:tcPr>
            <w:tcW w:w="1270" w:type="dxa"/>
          </w:tcPr>
          <w:p>
            <w:pPr>
              <w:pStyle w:val="TableParagraph"/>
              <w:ind w:left="424" w:right="386"/>
              <w:rPr>
                <w:rFonts w:ascii="宋体"/>
                <w:sz w:val="14"/>
              </w:rPr>
            </w:pPr>
            <w:r>
              <w:rPr>
                <w:rFonts w:ascii="宋体"/>
                <w:sz w:val="14"/>
              </w:rPr>
              <w:t>24</w:t>
            </w:r>
          </w:p>
        </w:tc>
        <w:tc>
          <w:tcPr>
            <w:tcW w:w="1264" w:type="dxa"/>
          </w:tcPr>
          <w:p>
            <w:pPr>
              <w:pStyle w:val="TableParagraph"/>
              <w:ind w:left="427" w:right="384"/>
              <w:rPr>
                <w:rFonts w:ascii="宋体"/>
                <w:sz w:val="14"/>
              </w:rPr>
            </w:pPr>
            <w:r>
              <w:rPr>
                <w:rFonts w:ascii="宋体"/>
                <w:sz w:val="14"/>
              </w:rPr>
              <w:t>19</w:t>
            </w:r>
          </w:p>
        </w:tc>
      </w:tr>
      <w:tr>
        <w:trPr>
          <w:trHeight w:val="168" w:hRule="atLeast"/>
        </w:trPr>
        <w:tc>
          <w:tcPr>
            <w:tcW w:w="2175" w:type="dxa"/>
          </w:tcPr>
          <w:p>
            <w:pPr>
              <w:pStyle w:val="TableParagraph"/>
              <w:ind w:left="644" w:right="628"/>
              <w:rPr>
                <w:rFonts w:ascii="宋体" w:eastAsia="宋体" w:hint="eastAsia"/>
                <w:sz w:val="14"/>
              </w:rPr>
            </w:pPr>
            <w:r>
              <w:rPr>
                <w:rFonts w:ascii="宋体" w:eastAsia="宋体" w:hint="eastAsia"/>
                <w:sz w:val="14"/>
              </w:rPr>
              <w:t>医疗器械</w:t>
            </w:r>
          </w:p>
        </w:tc>
        <w:tc>
          <w:tcPr>
            <w:tcW w:w="2028" w:type="dxa"/>
          </w:tcPr>
          <w:p>
            <w:pPr>
              <w:pStyle w:val="TableParagraph"/>
              <w:ind w:left="678" w:right="659"/>
              <w:rPr>
                <w:rFonts w:ascii="宋体"/>
                <w:sz w:val="14"/>
              </w:rPr>
            </w:pPr>
            <w:r>
              <w:rPr>
                <w:rFonts w:ascii="宋体"/>
                <w:sz w:val="14"/>
              </w:rPr>
              <w:t>300396.SZ</w:t>
            </w:r>
          </w:p>
        </w:tc>
        <w:tc>
          <w:tcPr>
            <w:tcW w:w="2107" w:type="dxa"/>
          </w:tcPr>
          <w:p>
            <w:pPr>
              <w:pStyle w:val="TableParagraph"/>
              <w:ind w:left="753" w:right="733"/>
              <w:rPr>
                <w:rFonts w:ascii="宋体" w:eastAsia="宋体" w:hint="eastAsia"/>
                <w:sz w:val="14"/>
              </w:rPr>
            </w:pPr>
            <w:r>
              <w:rPr>
                <w:rFonts w:ascii="宋体" w:eastAsia="宋体" w:hint="eastAsia"/>
                <w:sz w:val="14"/>
              </w:rPr>
              <w:t>迪瑞医疗</w:t>
            </w:r>
          </w:p>
        </w:tc>
        <w:tc>
          <w:tcPr>
            <w:tcW w:w="1514" w:type="dxa"/>
          </w:tcPr>
          <w:p>
            <w:pPr>
              <w:pStyle w:val="TableParagraph"/>
              <w:ind w:left="633" w:right="607"/>
              <w:rPr>
                <w:rFonts w:ascii="宋体"/>
                <w:sz w:val="14"/>
              </w:rPr>
            </w:pPr>
            <w:r>
              <w:rPr>
                <w:rFonts w:ascii="宋体"/>
                <w:sz w:val="14"/>
              </w:rPr>
              <w:t>60</w:t>
            </w:r>
          </w:p>
        </w:tc>
        <w:tc>
          <w:tcPr>
            <w:tcW w:w="1270" w:type="dxa"/>
          </w:tcPr>
          <w:p>
            <w:pPr>
              <w:pStyle w:val="TableParagraph"/>
              <w:ind w:left="421" w:right="390"/>
              <w:rPr>
                <w:rFonts w:ascii="宋体"/>
                <w:sz w:val="14"/>
              </w:rPr>
            </w:pPr>
            <w:r>
              <w:rPr>
                <w:rFonts w:ascii="宋体"/>
                <w:sz w:val="14"/>
              </w:rPr>
              <w:t>3.4</w:t>
            </w:r>
          </w:p>
        </w:tc>
        <w:tc>
          <w:tcPr>
            <w:tcW w:w="1270" w:type="dxa"/>
          </w:tcPr>
          <w:p>
            <w:pPr>
              <w:pStyle w:val="TableParagraph"/>
              <w:ind w:left="537"/>
              <w:jc w:val="left"/>
              <w:rPr>
                <w:rFonts w:ascii="宋体"/>
                <w:sz w:val="14"/>
              </w:rPr>
            </w:pPr>
            <w:r>
              <w:rPr>
                <w:rFonts w:ascii="宋体"/>
                <w:sz w:val="14"/>
              </w:rPr>
              <w:t>4.5</w:t>
            </w:r>
          </w:p>
        </w:tc>
        <w:tc>
          <w:tcPr>
            <w:tcW w:w="1270" w:type="dxa"/>
          </w:tcPr>
          <w:p>
            <w:pPr>
              <w:pStyle w:val="TableParagraph"/>
              <w:ind w:right="500"/>
              <w:jc w:val="right"/>
              <w:rPr>
                <w:rFonts w:ascii="宋体"/>
                <w:sz w:val="14"/>
              </w:rPr>
            </w:pPr>
            <w:r>
              <w:rPr>
                <w:rFonts w:ascii="宋体"/>
                <w:sz w:val="14"/>
              </w:rPr>
              <w:t>6.1</w:t>
            </w:r>
          </w:p>
        </w:tc>
        <w:tc>
          <w:tcPr>
            <w:tcW w:w="1270" w:type="dxa"/>
          </w:tcPr>
          <w:p>
            <w:pPr>
              <w:pStyle w:val="TableParagraph"/>
              <w:ind w:left="424" w:right="388"/>
              <w:rPr>
                <w:rFonts w:ascii="宋体"/>
                <w:sz w:val="14"/>
              </w:rPr>
            </w:pPr>
            <w:r>
              <w:rPr>
                <w:rFonts w:ascii="宋体"/>
                <w:sz w:val="14"/>
              </w:rPr>
              <w:t>18</w:t>
            </w:r>
          </w:p>
        </w:tc>
        <w:tc>
          <w:tcPr>
            <w:tcW w:w="1270" w:type="dxa"/>
          </w:tcPr>
          <w:p>
            <w:pPr>
              <w:pStyle w:val="TableParagraph"/>
              <w:ind w:left="424" w:right="386"/>
              <w:rPr>
                <w:rFonts w:ascii="宋体"/>
                <w:sz w:val="14"/>
              </w:rPr>
            </w:pPr>
            <w:r>
              <w:rPr>
                <w:rFonts w:ascii="宋体"/>
                <w:sz w:val="14"/>
              </w:rPr>
              <w:t>13</w:t>
            </w:r>
          </w:p>
        </w:tc>
        <w:tc>
          <w:tcPr>
            <w:tcW w:w="1264" w:type="dxa"/>
          </w:tcPr>
          <w:p>
            <w:pPr>
              <w:pStyle w:val="TableParagraph"/>
              <w:ind w:left="427" w:right="384"/>
              <w:rPr>
                <w:rFonts w:ascii="宋体"/>
                <w:sz w:val="14"/>
              </w:rPr>
            </w:pPr>
            <w:r>
              <w:rPr>
                <w:rFonts w:ascii="宋体"/>
                <w:sz w:val="14"/>
              </w:rPr>
              <w:t>10</w:t>
            </w:r>
          </w:p>
        </w:tc>
      </w:tr>
      <w:tr>
        <w:trPr>
          <w:trHeight w:val="168" w:hRule="atLeast"/>
        </w:trPr>
        <w:tc>
          <w:tcPr>
            <w:tcW w:w="2175" w:type="dxa"/>
          </w:tcPr>
          <w:p>
            <w:pPr>
              <w:pStyle w:val="TableParagraph"/>
              <w:ind w:left="644" w:right="628"/>
              <w:rPr>
                <w:rFonts w:ascii="宋体" w:eastAsia="宋体" w:hint="eastAsia"/>
                <w:sz w:val="14"/>
              </w:rPr>
            </w:pPr>
            <w:r>
              <w:rPr>
                <w:rFonts w:ascii="宋体" w:eastAsia="宋体" w:hint="eastAsia"/>
                <w:sz w:val="14"/>
              </w:rPr>
              <w:t>医疗器械</w:t>
            </w:r>
          </w:p>
        </w:tc>
        <w:tc>
          <w:tcPr>
            <w:tcW w:w="2028" w:type="dxa"/>
          </w:tcPr>
          <w:p>
            <w:pPr>
              <w:pStyle w:val="TableParagraph"/>
              <w:ind w:left="678" w:right="659"/>
              <w:rPr>
                <w:rFonts w:ascii="宋体"/>
                <w:sz w:val="14"/>
              </w:rPr>
            </w:pPr>
            <w:r>
              <w:rPr>
                <w:rFonts w:ascii="宋体"/>
                <w:sz w:val="14"/>
              </w:rPr>
              <w:t>688677.SH</w:t>
            </w:r>
          </w:p>
        </w:tc>
        <w:tc>
          <w:tcPr>
            <w:tcW w:w="2107" w:type="dxa"/>
          </w:tcPr>
          <w:p>
            <w:pPr>
              <w:pStyle w:val="TableParagraph"/>
              <w:ind w:left="753" w:right="733"/>
              <w:rPr>
                <w:rFonts w:ascii="宋体" w:eastAsia="宋体" w:hint="eastAsia"/>
                <w:sz w:val="14"/>
              </w:rPr>
            </w:pPr>
            <w:r>
              <w:rPr>
                <w:rFonts w:ascii="宋体" w:eastAsia="宋体" w:hint="eastAsia"/>
                <w:sz w:val="14"/>
              </w:rPr>
              <w:t>海泰新光</w:t>
            </w:r>
          </w:p>
        </w:tc>
        <w:tc>
          <w:tcPr>
            <w:tcW w:w="1514" w:type="dxa"/>
          </w:tcPr>
          <w:p>
            <w:pPr>
              <w:pStyle w:val="TableParagraph"/>
              <w:ind w:left="633" w:right="607"/>
              <w:rPr>
                <w:rFonts w:ascii="宋体"/>
                <w:sz w:val="14"/>
              </w:rPr>
            </w:pPr>
            <w:r>
              <w:rPr>
                <w:rFonts w:ascii="宋体"/>
                <w:sz w:val="14"/>
              </w:rPr>
              <w:t>62</w:t>
            </w:r>
          </w:p>
        </w:tc>
        <w:tc>
          <w:tcPr>
            <w:tcW w:w="1270" w:type="dxa"/>
          </w:tcPr>
          <w:p>
            <w:pPr>
              <w:pStyle w:val="TableParagraph"/>
              <w:ind w:left="421" w:right="390"/>
              <w:rPr>
                <w:rFonts w:ascii="宋体"/>
                <w:sz w:val="14"/>
              </w:rPr>
            </w:pPr>
            <w:r>
              <w:rPr>
                <w:rFonts w:ascii="宋体"/>
                <w:sz w:val="14"/>
              </w:rPr>
              <w:t>1.5</w:t>
            </w:r>
          </w:p>
        </w:tc>
        <w:tc>
          <w:tcPr>
            <w:tcW w:w="1270" w:type="dxa"/>
          </w:tcPr>
          <w:p>
            <w:pPr>
              <w:pStyle w:val="TableParagraph"/>
              <w:ind w:left="537"/>
              <w:jc w:val="left"/>
              <w:rPr>
                <w:rFonts w:ascii="宋体"/>
                <w:sz w:val="14"/>
              </w:rPr>
            </w:pPr>
            <w:r>
              <w:rPr>
                <w:rFonts w:ascii="宋体"/>
                <w:sz w:val="14"/>
              </w:rPr>
              <w:t>2.1</w:t>
            </w:r>
          </w:p>
        </w:tc>
        <w:tc>
          <w:tcPr>
            <w:tcW w:w="1270" w:type="dxa"/>
          </w:tcPr>
          <w:p>
            <w:pPr>
              <w:pStyle w:val="TableParagraph"/>
              <w:ind w:right="500"/>
              <w:jc w:val="right"/>
              <w:rPr>
                <w:rFonts w:ascii="宋体"/>
                <w:sz w:val="14"/>
              </w:rPr>
            </w:pPr>
            <w:r>
              <w:rPr>
                <w:rFonts w:ascii="宋体"/>
                <w:sz w:val="14"/>
              </w:rPr>
              <w:t>2.8</w:t>
            </w:r>
          </w:p>
        </w:tc>
        <w:tc>
          <w:tcPr>
            <w:tcW w:w="1270" w:type="dxa"/>
          </w:tcPr>
          <w:p>
            <w:pPr>
              <w:pStyle w:val="TableParagraph"/>
              <w:ind w:left="424" w:right="388"/>
              <w:rPr>
                <w:rFonts w:ascii="宋体"/>
                <w:sz w:val="14"/>
              </w:rPr>
            </w:pPr>
            <w:r>
              <w:rPr>
                <w:rFonts w:ascii="宋体"/>
                <w:sz w:val="14"/>
              </w:rPr>
              <w:t>40</w:t>
            </w:r>
          </w:p>
        </w:tc>
        <w:tc>
          <w:tcPr>
            <w:tcW w:w="1270" w:type="dxa"/>
          </w:tcPr>
          <w:p>
            <w:pPr>
              <w:pStyle w:val="TableParagraph"/>
              <w:ind w:left="424" w:right="386"/>
              <w:rPr>
                <w:rFonts w:ascii="宋体"/>
                <w:sz w:val="14"/>
              </w:rPr>
            </w:pPr>
            <w:r>
              <w:rPr>
                <w:rFonts w:ascii="宋体"/>
                <w:sz w:val="14"/>
              </w:rPr>
              <w:t>30</w:t>
            </w:r>
          </w:p>
        </w:tc>
        <w:tc>
          <w:tcPr>
            <w:tcW w:w="1264" w:type="dxa"/>
          </w:tcPr>
          <w:p>
            <w:pPr>
              <w:pStyle w:val="TableParagraph"/>
              <w:ind w:left="427" w:right="384"/>
              <w:rPr>
                <w:rFonts w:ascii="宋体"/>
                <w:sz w:val="14"/>
              </w:rPr>
            </w:pPr>
            <w:r>
              <w:rPr>
                <w:rFonts w:ascii="宋体"/>
                <w:sz w:val="14"/>
              </w:rPr>
              <w:t>22</w:t>
            </w:r>
          </w:p>
        </w:tc>
      </w:tr>
      <w:tr>
        <w:trPr>
          <w:trHeight w:val="168" w:hRule="atLeast"/>
        </w:trPr>
        <w:tc>
          <w:tcPr>
            <w:tcW w:w="2175" w:type="dxa"/>
          </w:tcPr>
          <w:p>
            <w:pPr>
              <w:pStyle w:val="TableParagraph"/>
              <w:ind w:left="644" w:right="628"/>
              <w:rPr>
                <w:rFonts w:ascii="宋体" w:eastAsia="宋体" w:hint="eastAsia"/>
                <w:sz w:val="14"/>
              </w:rPr>
            </w:pPr>
            <w:r>
              <w:rPr>
                <w:rFonts w:ascii="宋体" w:eastAsia="宋体" w:hint="eastAsia"/>
                <w:sz w:val="14"/>
              </w:rPr>
              <w:t>医疗器械</w:t>
            </w:r>
          </w:p>
        </w:tc>
        <w:tc>
          <w:tcPr>
            <w:tcW w:w="2028" w:type="dxa"/>
          </w:tcPr>
          <w:p>
            <w:pPr>
              <w:pStyle w:val="TableParagraph"/>
              <w:ind w:left="678" w:right="659"/>
              <w:rPr>
                <w:rFonts w:ascii="宋体"/>
                <w:sz w:val="14"/>
              </w:rPr>
            </w:pPr>
            <w:r>
              <w:rPr>
                <w:rFonts w:ascii="宋体"/>
                <w:sz w:val="14"/>
              </w:rPr>
              <w:t>603882.SH</w:t>
            </w:r>
          </w:p>
        </w:tc>
        <w:tc>
          <w:tcPr>
            <w:tcW w:w="2107" w:type="dxa"/>
          </w:tcPr>
          <w:p>
            <w:pPr>
              <w:pStyle w:val="TableParagraph"/>
              <w:ind w:left="753" w:right="733"/>
              <w:rPr>
                <w:rFonts w:ascii="宋体" w:eastAsia="宋体" w:hint="eastAsia"/>
                <w:sz w:val="14"/>
              </w:rPr>
            </w:pPr>
            <w:r>
              <w:rPr>
                <w:rFonts w:ascii="宋体" w:eastAsia="宋体" w:hint="eastAsia"/>
                <w:sz w:val="14"/>
              </w:rPr>
              <w:t>金域医学</w:t>
            </w:r>
          </w:p>
        </w:tc>
        <w:tc>
          <w:tcPr>
            <w:tcW w:w="1514" w:type="dxa"/>
          </w:tcPr>
          <w:p>
            <w:pPr>
              <w:pStyle w:val="TableParagraph"/>
              <w:ind w:left="636" w:right="607"/>
              <w:rPr>
                <w:rFonts w:ascii="宋体"/>
                <w:sz w:val="14"/>
              </w:rPr>
            </w:pPr>
            <w:r>
              <w:rPr>
                <w:rFonts w:ascii="宋体"/>
                <w:sz w:val="14"/>
              </w:rPr>
              <w:t>276</w:t>
            </w:r>
          </w:p>
        </w:tc>
        <w:tc>
          <w:tcPr>
            <w:tcW w:w="1270" w:type="dxa"/>
          </w:tcPr>
          <w:p>
            <w:pPr>
              <w:pStyle w:val="TableParagraph"/>
              <w:ind w:left="421" w:right="390"/>
              <w:rPr>
                <w:rFonts w:ascii="宋体"/>
                <w:sz w:val="14"/>
              </w:rPr>
            </w:pPr>
            <w:r>
              <w:rPr>
                <w:rFonts w:ascii="宋体"/>
                <w:sz w:val="14"/>
              </w:rPr>
              <w:t>7.8</w:t>
            </w:r>
          </w:p>
        </w:tc>
        <w:tc>
          <w:tcPr>
            <w:tcW w:w="1270" w:type="dxa"/>
          </w:tcPr>
          <w:p>
            <w:pPr>
              <w:pStyle w:val="TableParagraph"/>
              <w:ind w:left="501"/>
              <w:jc w:val="left"/>
              <w:rPr>
                <w:rFonts w:ascii="宋体"/>
                <w:sz w:val="14"/>
              </w:rPr>
            </w:pPr>
            <w:r>
              <w:rPr>
                <w:rFonts w:ascii="宋体"/>
                <w:sz w:val="14"/>
              </w:rPr>
              <w:t>12.9</w:t>
            </w:r>
          </w:p>
        </w:tc>
        <w:tc>
          <w:tcPr>
            <w:tcW w:w="1270" w:type="dxa"/>
          </w:tcPr>
          <w:p>
            <w:pPr>
              <w:pStyle w:val="TableParagraph"/>
              <w:ind w:right="467"/>
              <w:jc w:val="right"/>
              <w:rPr>
                <w:rFonts w:ascii="宋体"/>
                <w:sz w:val="14"/>
              </w:rPr>
            </w:pPr>
            <w:r>
              <w:rPr>
                <w:rFonts w:ascii="宋体"/>
                <w:sz w:val="14"/>
              </w:rPr>
              <w:t>16.9</w:t>
            </w:r>
          </w:p>
        </w:tc>
        <w:tc>
          <w:tcPr>
            <w:tcW w:w="1270" w:type="dxa"/>
          </w:tcPr>
          <w:p>
            <w:pPr>
              <w:pStyle w:val="TableParagraph"/>
              <w:ind w:left="424" w:right="388"/>
              <w:rPr>
                <w:rFonts w:ascii="宋体"/>
                <w:sz w:val="14"/>
              </w:rPr>
            </w:pPr>
            <w:r>
              <w:rPr>
                <w:rFonts w:ascii="宋体"/>
                <w:sz w:val="14"/>
              </w:rPr>
              <w:t>35</w:t>
            </w:r>
          </w:p>
        </w:tc>
        <w:tc>
          <w:tcPr>
            <w:tcW w:w="1270" w:type="dxa"/>
          </w:tcPr>
          <w:p>
            <w:pPr>
              <w:pStyle w:val="TableParagraph"/>
              <w:ind w:left="424" w:right="386"/>
              <w:rPr>
                <w:rFonts w:ascii="宋体"/>
                <w:sz w:val="14"/>
              </w:rPr>
            </w:pPr>
            <w:r>
              <w:rPr>
                <w:rFonts w:ascii="宋体"/>
                <w:sz w:val="14"/>
              </w:rPr>
              <w:t>21</w:t>
            </w:r>
          </w:p>
        </w:tc>
        <w:tc>
          <w:tcPr>
            <w:tcW w:w="1264" w:type="dxa"/>
          </w:tcPr>
          <w:p>
            <w:pPr>
              <w:pStyle w:val="TableParagraph"/>
              <w:ind w:left="427" w:right="384"/>
              <w:rPr>
                <w:rFonts w:ascii="宋体"/>
                <w:sz w:val="14"/>
              </w:rPr>
            </w:pPr>
            <w:r>
              <w:rPr>
                <w:rFonts w:ascii="宋体"/>
                <w:sz w:val="14"/>
              </w:rPr>
              <w:t>16</w:t>
            </w:r>
          </w:p>
        </w:tc>
      </w:tr>
      <w:tr>
        <w:trPr>
          <w:trHeight w:val="168" w:hRule="atLeast"/>
        </w:trPr>
        <w:tc>
          <w:tcPr>
            <w:tcW w:w="2175" w:type="dxa"/>
          </w:tcPr>
          <w:p>
            <w:pPr>
              <w:pStyle w:val="TableParagraph"/>
              <w:ind w:left="644" w:right="628"/>
              <w:rPr>
                <w:rFonts w:ascii="宋体" w:eastAsia="宋体" w:hint="eastAsia"/>
                <w:sz w:val="14"/>
              </w:rPr>
            </w:pPr>
            <w:r>
              <w:rPr>
                <w:rFonts w:ascii="宋体" w:eastAsia="宋体" w:hint="eastAsia"/>
                <w:sz w:val="14"/>
              </w:rPr>
              <w:t>创新药</w:t>
            </w:r>
          </w:p>
        </w:tc>
        <w:tc>
          <w:tcPr>
            <w:tcW w:w="2028" w:type="dxa"/>
          </w:tcPr>
          <w:p>
            <w:pPr>
              <w:pStyle w:val="TableParagraph"/>
              <w:ind w:left="678" w:right="659"/>
              <w:rPr>
                <w:rFonts w:ascii="宋体"/>
                <w:sz w:val="14"/>
              </w:rPr>
            </w:pPr>
            <w:r>
              <w:rPr>
                <w:rFonts w:ascii="宋体"/>
                <w:sz w:val="14"/>
              </w:rPr>
              <w:t>0013.HK</w:t>
            </w:r>
          </w:p>
        </w:tc>
        <w:tc>
          <w:tcPr>
            <w:tcW w:w="2107" w:type="dxa"/>
          </w:tcPr>
          <w:p>
            <w:pPr>
              <w:pStyle w:val="TableParagraph"/>
              <w:ind w:left="753" w:right="733"/>
              <w:rPr>
                <w:rFonts w:ascii="宋体" w:eastAsia="宋体" w:hint="eastAsia"/>
                <w:sz w:val="14"/>
              </w:rPr>
            </w:pPr>
            <w:r>
              <w:rPr>
                <w:rFonts w:ascii="宋体" w:eastAsia="宋体" w:hint="eastAsia"/>
                <w:sz w:val="14"/>
              </w:rPr>
              <w:t>和黄医药</w:t>
            </w:r>
          </w:p>
        </w:tc>
        <w:tc>
          <w:tcPr>
            <w:tcW w:w="1514" w:type="dxa"/>
          </w:tcPr>
          <w:p>
            <w:pPr>
              <w:pStyle w:val="TableParagraph"/>
              <w:ind w:left="636" w:right="607"/>
              <w:rPr>
                <w:rFonts w:ascii="宋体"/>
                <w:sz w:val="14"/>
              </w:rPr>
            </w:pPr>
            <w:r>
              <w:rPr>
                <w:rFonts w:ascii="宋体"/>
                <w:sz w:val="14"/>
              </w:rPr>
              <w:t>214</w:t>
            </w:r>
          </w:p>
        </w:tc>
        <w:tc>
          <w:tcPr>
            <w:tcW w:w="1270" w:type="dxa"/>
          </w:tcPr>
          <w:p>
            <w:pPr>
              <w:pStyle w:val="TableParagraph"/>
              <w:ind w:left="419" w:right="390"/>
              <w:rPr>
                <w:rFonts w:ascii="宋体"/>
                <w:sz w:val="14"/>
              </w:rPr>
            </w:pPr>
            <w:r>
              <w:rPr>
                <w:rFonts w:ascii="宋体"/>
                <w:sz w:val="14"/>
              </w:rPr>
              <w:t>-0.4</w:t>
            </w:r>
          </w:p>
        </w:tc>
        <w:tc>
          <w:tcPr>
            <w:tcW w:w="1270" w:type="dxa"/>
          </w:tcPr>
          <w:p>
            <w:pPr>
              <w:pStyle w:val="TableParagraph"/>
              <w:ind w:left="501"/>
              <w:jc w:val="left"/>
              <w:rPr>
                <w:rFonts w:ascii="宋体"/>
                <w:sz w:val="14"/>
              </w:rPr>
            </w:pPr>
            <w:r>
              <w:rPr>
                <w:rFonts w:ascii="宋体"/>
                <w:sz w:val="14"/>
              </w:rPr>
              <w:t>-0.2</w:t>
            </w:r>
          </w:p>
        </w:tc>
        <w:tc>
          <w:tcPr>
            <w:tcW w:w="1270" w:type="dxa"/>
          </w:tcPr>
          <w:p>
            <w:pPr>
              <w:pStyle w:val="TableParagraph"/>
              <w:ind w:right="500"/>
              <w:jc w:val="right"/>
              <w:rPr>
                <w:rFonts w:ascii="宋体"/>
                <w:sz w:val="14"/>
              </w:rPr>
            </w:pPr>
            <w:r>
              <w:rPr>
                <w:rFonts w:ascii="宋体"/>
                <w:sz w:val="14"/>
              </w:rPr>
              <w:t>0.4</w:t>
            </w:r>
          </w:p>
        </w:tc>
        <w:tc>
          <w:tcPr>
            <w:tcW w:w="1270" w:type="dxa"/>
          </w:tcPr>
          <w:p>
            <w:pPr>
              <w:pStyle w:val="TableParagraph"/>
              <w:ind w:left="39"/>
              <w:rPr>
                <w:rFonts w:ascii="宋体"/>
                <w:sz w:val="14"/>
              </w:rPr>
            </w:pPr>
            <w:r>
              <w:rPr>
                <w:rFonts w:ascii="宋体"/>
                <w:w w:val="99"/>
                <w:sz w:val="14"/>
              </w:rPr>
              <w:t>-</w:t>
            </w:r>
          </w:p>
        </w:tc>
        <w:tc>
          <w:tcPr>
            <w:tcW w:w="1270" w:type="dxa"/>
          </w:tcPr>
          <w:p>
            <w:pPr>
              <w:pStyle w:val="TableParagraph"/>
              <w:ind w:left="41"/>
              <w:rPr>
                <w:rFonts w:ascii="宋体"/>
                <w:sz w:val="14"/>
              </w:rPr>
            </w:pPr>
            <w:r>
              <w:rPr>
                <w:rFonts w:ascii="宋体"/>
                <w:w w:val="99"/>
                <w:sz w:val="14"/>
              </w:rPr>
              <w:t>-</w:t>
            </w:r>
          </w:p>
        </w:tc>
        <w:tc>
          <w:tcPr>
            <w:tcW w:w="1264" w:type="dxa"/>
          </w:tcPr>
          <w:p>
            <w:pPr>
              <w:pStyle w:val="TableParagraph"/>
              <w:ind w:left="41"/>
              <w:rPr>
                <w:rFonts w:ascii="宋体"/>
                <w:sz w:val="14"/>
              </w:rPr>
            </w:pPr>
            <w:r>
              <w:rPr>
                <w:rFonts w:ascii="宋体"/>
                <w:w w:val="99"/>
                <w:sz w:val="14"/>
              </w:rPr>
              <w:t>-</w:t>
            </w:r>
          </w:p>
        </w:tc>
      </w:tr>
      <w:tr>
        <w:trPr>
          <w:trHeight w:val="167" w:hRule="atLeast"/>
        </w:trPr>
        <w:tc>
          <w:tcPr>
            <w:tcW w:w="2175" w:type="dxa"/>
          </w:tcPr>
          <w:p>
            <w:pPr>
              <w:pStyle w:val="TableParagraph"/>
              <w:ind w:left="644" w:right="628"/>
              <w:rPr>
                <w:rFonts w:ascii="宋体" w:eastAsia="宋体" w:hint="eastAsia"/>
                <w:sz w:val="14"/>
              </w:rPr>
            </w:pPr>
            <w:r>
              <w:rPr>
                <w:rFonts w:ascii="宋体" w:eastAsia="宋体" w:hint="eastAsia"/>
                <w:sz w:val="14"/>
              </w:rPr>
              <w:t>创新药</w:t>
            </w:r>
          </w:p>
        </w:tc>
        <w:tc>
          <w:tcPr>
            <w:tcW w:w="2028" w:type="dxa"/>
          </w:tcPr>
          <w:p>
            <w:pPr>
              <w:pStyle w:val="TableParagraph"/>
              <w:ind w:left="678" w:right="659"/>
              <w:rPr>
                <w:rFonts w:ascii="宋体"/>
                <w:sz w:val="14"/>
              </w:rPr>
            </w:pPr>
            <w:r>
              <w:rPr>
                <w:rFonts w:ascii="宋体"/>
                <w:sz w:val="14"/>
              </w:rPr>
              <w:t>6990.HK</w:t>
            </w:r>
          </w:p>
        </w:tc>
        <w:tc>
          <w:tcPr>
            <w:tcW w:w="2107" w:type="dxa"/>
          </w:tcPr>
          <w:p>
            <w:pPr>
              <w:pStyle w:val="TableParagraph"/>
              <w:ind w:left="753" w:right="733"/>
              <w:rPr>
                <w:rFonts w:ascii="宋体" w:eastAsia="宋体" w:hint="eastAsia"/>
                <w:sz w:val="14"/>
              </w:rPr>
            </w:pPr>
            <w:r>
              <w:rPr>
                <w:rFonts w:ascii="宋体" w:eastAsia="宋体" w:hint="eastAsia"/>
                <w:sz w:val="14"/>
              </w:rPr>
              <w:t>科伦博泰</w:t>
            </w:r>
          </w:p>
        </w:tc>
        <w:tc>
          <w:tcPr>
            <w:tcW w:w="1514" w:type="dxa"/>
          </w:tcPr>
          <w:p>
            <w:pPr>
              <w:pStyle w:val="TableParagraph"/>
              <w:ind w:left="636" w:right="607"/>
              <w:rPr>
                <w:rFonts w:ascii="宋体"/>
                <w:sz w:val="14"/>
              </w:rPr>
            </w:pPr>
            <w:r>
              <w:rPr>
                <w:rFonts w:ascii="宋体"/>
                <w:sz w:val="14"/>
              </w:rPr>
              <w:t>157</w:t>
            </w:r>
          </w:p>
        </w:tc>
        <w:tc>
          <w:tcPr>
            <w:tcW w:w="1270" w:type="dxa"/>
          </w:tcPr>
          <w:p>
            <w:pPr>
              <w:pStyle w:val="TableParagraph"/>
              <w:ind w:left="419" w:right="390"/>
              <w:rPr>
                <w:rFonts w:ascii="宋体"/>
                <w:sz w:val="14"/>
              </w:rPr>
            </w:pPr>
            <w:r>
              <w:rPr>
                <w:rFonts w:ascii="宋体"/>
                <w:sz w:val="14"/>
              </w:rPr>
              <w:t>-2.6</w:t>
            </w:r>
          </w:p>
        </w:tc>
        <w:tc>
          <w:tcPr>
            <w:tcW w:w="1270" w:type="dxa"/>
          </w:tcPr>
          <w:p>
            <w:pPr>
              <w:pStyle w:val="TableParagraph"/>
              <w:ind w:left="501"/>
              <w:jc w:val="left"/>
              <w:rPr>
                <w:rFonts w:ascii="宋体"/>
                <w:sz w:val="14"/>
              </w:rPr>
            </w:pPr>
            <w:r>
              <w:rPr>
                <w:rFonts w:ascii="宋体"/>
                <w:sz w:val="14"/>
              </w:rPr>
              <w:t>-2.2</w:t>
            </w:r>
          </w:p>
        </w:tc>
        <w:tc>
          <w:tcPr>
            <w:tcW w:w="1270" w:type="dxa"/>
          </w:tcPr>
          <w:p>
            <w:pPr>
              <w:pStyle w:val="TableParagraph"/>
              <w:ind w:right="500"/>
              <w:jc w:val="right"/>
              <w:rPr>
                <w:rFonts w:ascii="宋体"/>
                <w:sz w:val="14"/>
              </w:rPr>
            </w:pPr>
            <w:r>
              <w:rPr>
                <w:rFonts w:ascii="宋体"/>
                <w:sz w:val="14"/>
              </w:rPr>
              <w:t>2.6</w:t>
            </w:r>
          </w:p>
        </w:tc>
        <w:tc>
          <w:tcPr>
            <w:tcW w:w="1270" w:type="dxa"/>
          </w:tcPr>
          <w:p>
            <w:pPr>
              <w:pStyle w:val="TableParagraph"/>
              <w:ind w:left="39"/>
              <w:rPr>
                <w:rFonts w:ascii="宋体"/>
                <w:sz w:val="14"/>
              </w:rPr>
            </w:pPr>
            <w:r>
              <w:rPr>
                <w:rFonts w:ascii="宋体"/>
                <w:w w:val="99"/>
                <w:sz w:val="14"/>
              </w:rPr>
              <w:t>-</w:t>
            </w:r>
          </w:p>
        </w:tc>
        <w:tc>
          <w:tcPr>
            <w:tcW w:w="1270" w:type="dxa"/>
          </w:tcPr>
          <w:p>
            <w:pPr>
              <w:pStyle w:val="TableParagraph"/>
              <w:ind w:left="41"/>
              <w:rPr>
                <w:rFonts w:ascii="宋体"/>
                <w:sz w:val="14"/>
              </w:rPr>
            </w:pPr>
            <w:r>
              <w:rPr>
                <w:rFonts w:ascii="宋体"/>
                <w:w w:val="99"/>
                <w:sz w:val="14"/>
              </w:rPr>
              <w:t>-</w:t>
            </w:r>
          </w:p>
        </w:tc>
        <w:tc>
          <w:tcPr>
            <w:tcW w:w="1264" w:type="dxa"/>
          </w:tcPr>
          <w:p>
            <w:pPr>
              <w:pStyle w:val="TableParagraph"/>
              <w:ind w:left="41"/>
              <w:rPr>
                <w:rFonts w:ascii="宋体"/>
                <w:sz w:val="14"/>
              </w:rPr>
            </w:pPr>
            <w:r>
              <w:rPr>
                <w:rFonts w:ascii="宋体"/>
                <w:w w:val="99"/>
                <w:sz w:val="14"/>
              </w:rPr>
              <w:t>-</w:t>
            </w:r>
          </w:p>
        </w:tc>
      </w:tr>
      <w:tr>
        <w:trPr>
          <w:trHeight w:val="168" w:hRule="atLeast"/>
        </w:trPr>
        <w:tc>
          <w:tcPr>
            <w:tcW w:w="2175" w:type="dxa"/>
          </w:tcPr>
          <w:p>
            <w:pPr>
              <w:pStyle w:val="TableParagraph"/>
              <w:ind w:left="644" w:right="628"/>
              <w:rPr>
                <w:rFonts w:ascii="宋体" w:eastAsia="宋体" w:hint="eastAsia"/>
                <w:sz w:val="14"/>
              </w:rPr>
            </w:pPr>
            <w:r>
              <w:rPr>
                <w:rFonts w:ascii="宋体" w:eastAsia="宋体" w:hint="eastAsia"/>
                <w:sz w:val="14"/>
              </w:rPr>
              <w:t>创新药</w:t>
            </w:r>
          </w:p>
        </w:tc>
        <w:tc>
          <w:tcPr>
            <w:tcW w:w="2028" w:type="dxa"/>
          </w:tcPr>
          <w:p>
            <w:pPr>
              <w:pStyle w:val="TableParagraph"/>
              <w:ind w:left="678" w:right="659"/>
              <w:rPr>
                <w:rFonts w:ascii="宋体"/>
                <w:sz w:val="14"/>
              </w:rPr>
            </w:pPr>
            <w:r>
              <w:rPr>
                <w:rFonts w:ascii="宋体"/>
                <w:sz w:val="14"/>
              </w:rPr>
              <w:t>688336.SH</w:t>
            </w:r>
          </w:p>
        </w:tc>
        <w:tc>
          <w:tcPr>
            <w:tcW w:w="2107" w:type="dxa"/>
          </w:tcPr>
          <w:p>
            <w:pPr>
              <w:pStyle w:val="TableParagraph"/>
              <w:ind w:left="753" w:right="733"/>
              <w:rPr>
                <w:rFonts w:ascii="宋体" w:eastAsia="宋体" w:hint="eastAsia"/>
                <w:sz w:val="14"/>
              </w:rPr>
            </w:pPr>
            <w:r>
              <w:rPr>
                <w:rFonts w:ascii="宋体" w:eastAsia="宋体" w:hint="eastAsia"/>
                <w:sz w:val="14"/>
              </w:rPr>
              <w:t>三生国健</w:t>
            </w:r>
          </w:p>
        </w:tc>
        <w:tc>
          <w:tcPr>
            <w:tcW w:w="1514" w:type="dxa"/>
          </w:tcPr>
          <w:p>
            <w:pPr>
              <w:pStyle w:val="TableParagraph"/>
              <w:ind w:left="636" w:right="607"/>
              <w:rPr>
                <w:rFonts w:ascii="宋体"/>
                <w:sz w:val="14"/>
              </w:rPr>
            </w:pPr>
            <w:r>
              <w:rPr>
                <w:rFonts w:ascii="宋体"/>
                <w:sz w:val="14"/>
              </w:rPr>
              <w:t>128</w:t>
            </w:r>
          </w:p>
        </w:tc>
        <w:tc>
          <w:tcPr>
            <w:tcW w:w="1270" w:type="dxa"/>
          </w:tcPr>
          <w:p>
            <w:pPr>
              <w:pStyle w:val="TableParagraph"/>
              <w:ind w:left="421" w:right="390"/>
              <w:rPr>
                <w:rFonts w:ascii="宋体"/>
                <w:sz w:val="14"/>
              </w:rPr>
            </w:pPr>
            <w:r>
              <w:rPr>
                <w:rFonts w:ascii="宋体"/>
                <w:sz w:val="14"/>
              </w:rPr>
              <w:t>5.4</w:t>
            </w:r>
          </w:p>
        </w:tc>
        <w:tc>
          <w:tcPr>
            <w:tcW w:w="1270" w:type="dxa"/>
          </w:tcPr>
          <w:p>
            <w:pPr>
              <w:pStyle w:val="TableParagraph"/>
              <w:ind w:left="537"/>
              <w:jc w:val="left"/>
              <w:rPr>
                <w:rFonts w:ascii="宋体"/>
                <w:sz w:val="14"/>
              </w:rPr>
            </w:pPr>
            <w:r>
              <w:rPr>
                <w:rFonts w:ascii="宋体"/>
                <w:sz w:val="14"/>
              </w:rPr>
              <w:t>1.5</w:t>
            </w:r>
          </w:p>
        </w:tc>
        <w:tc>
          <w:tcPr>
            <w:tcW w:w="1270" w:type="dxa"/>
          </w:tcPr>
          <w:p>
            <w:pPr>
              <w:pStyle w:val="TableParagraph"/>
              <w:ind w:right="500"/>
              <w:jc w:val="right"/>
              <w:rPr>
                <w:rFonts w:ascii="宋体"/>
                <w:sz w:val="14"/>
              </w:rPr>
            </w:pPr>
            <w:r>
              <w:rPr>
                <w:rFonts w:ascii="宋体"/>
                <w:sz w:val="14"/>
              </w:rPr>
              <w:t>2.5</w:t>
            </w:r>
          </w:p>
        </w:tc>
        <w:tc>
          <w:tcPr>
            <w:tcW w:w="1270" w:type="dxa"/>
          </w:tcPr>
          <w:p>
            <w:pPr>
              <w:pStyle w:val="TableParagraph"/>
              <w:ind w:left="424" w:right="388"/>
              <w:rPr>
                <w:rFonts w:ascii="宋体"/>
                <w:sz w:val="14"/>
              </w:rPr>
            </w:pPr>
            <w:r>
              <w:rPr>
                <w:rFonts w:ascii="宋体"/>
                <w:sz w:val="14"/>
              </w:rPr>
              <w:t>24</w:t>
            </w:r>
          </w:p>
        </w:tc>
        <w:tc>
          <w:tcPr>
            <w:tcW w:w="1270" w:type="dxa"/>
          </w:tcPr>
          <w:p>
            <w:pPr>
              <w:pStyle w:val="TableParagraph"/>
              <w:ind w:left="424" w:right="386"/>
              <w:rPr>
                <w:rFonts w:ascii="宋体"/>
                <w:sz w:val="14"/>
              </w:rPr>
            </w:pPr>
            <w:r>
              <w:rPr>
                <w:rFonts w:ascii="宋体"/>
                <w:sz w:val="14"/>
              </w:rPr>
              <w:t>88</w:t>
            </w:r>
          </w:p>
        </w:tc>
        <w:tc>
          <w:tcPr>
            <w:tcW w:w="1264" w:type="dxa"/>
          </w:tcPr>
          <w:p>
            <w:pPr>
              <w:pStyle w:val="TableParagraph"/>
              <w:ind w:left="427" w:right="384"/>
              <w:rPr>
                <w:rFonts w:ascii="宋体"/>
                <w:sz w:val="14"/>
              </w:rPr>
            </w:pPr>
            <w:r>
              <w:rPr>
                <w:rFonts w:ascii="宋体"/>
                <w:sz w:val="14"/>
              </w:rPr>
              <w:t>50</w:t>
            </w:r>
          </w:p>
        </w:tc>
      </w:tr>
      <w:tr>
        <w:trPr>
          <w:trHeight w:val="168" w:hRule="atLeast"/>
        </w:trPr>
        <w:tc>
          <w:tcPr>
            <w:tcW w:w="2175" w:type="dxa"/>
          </w:tcPr>
          <w:p>
            <w:pPr>
              <w:pStyle w:val="TableParagraph"/>
              <w:ind w:left="644" w:right="628"/>
              <w:rPr>
                <w:rFonts w:ascii="宋体" w:eastAsia="宋体" w:hint="eastAsia"/>
                <w:sz w:val="14"/>
              </w:rPr>
            </w:pPr>
            <w:r>
              <w:rPr>
                <w:rFonts w:ascii="宋体" w:eastAsia="宋体" w:hint="eastAsia"/>
                <w:sz w:val="14"/>
              </w:rPr>
              <w:t>创新药</w:t>
            </w:r>
          </w:p>
        </w:tc>
        <w:tc>
          <w:tcPr>
            <w:tcW w:w="2028" w:type="dxa"/>
          </w:tcPr>
          <w:p>
            <w:pPr>
              <w:pStyle w:val="TableParagraph"/>
              <w:ind w:left="678" w:right="659"/>
              <w:rPr>
                <w:rFonts w:ascii="宋体"/>
                <w:sz w:val="14"/>
              </w:rPr>
            </w:pPr>
            <w:r>
              <w:rPr>
                <w:rFonts w:ascii="宋体"/>
                <w:sz w:val="14"/>
              </w:rPr>
              <w:t>2105.HK</w:t>
            </w:r>
          </w:p>
        </w:tc>
        <w:tc>
          <w:tcPr>
            <w:tcW w:w="2107" w:type="dxa"/>
          </w:tcPr>
          <w:p>
            <w:pPr>
              <w:pStyle w:val="TableParagraph"/>
              <w:ind w:left="753" w:right="733"/>
              <w:rPr>
                <w:rFonts w:ascii="宋体" w:eastAsia="宋体" w:hint="eastAsia"/>
                <w:sz w:val="14"/>
              </w:rPr>
            </w:pPr>
            <w:r>
              <w:rPr>
                <w:rFonts w:ascii="宋体" w:eastAsia="宋体" w:hint="eastAsia"/>
                <w:sz w:val="14"/>
              </w:rPr>
              <w:t>来凯医药</w:t>
            </w:r>
          </w:p>
        </w:tc>
        <w:tc>
          <w:tcPr>
            <w:tcW w:w="1514" w:type="dxa"/>
          </w:tcPr>
          <w:p>
            <w:pPr>
              <w:pStyle w:val="TableParagraph"/>
              <w:ind w:left="633" w:right="607"/>
              <w:rPr>
                <w:rFonts w:ascii="宋体"/>
                <w:sz w:val="14"/>
              </w:rPr>
            </w:pPr>
            <w:r>
              <w:rPr>
                <w:rFonts w:ascii="宋体"/>
                <w:sz w:val="14"/>
              </w:rPr>
              <w:t>57</w:t>
            </w:r>
          </w:p>
        </w:tc>
        <w:tc>
          <w:tcPr>
            <w:tcW w:w="1270" w:type="dxa"/>
          </w:tcPr>
          <w:p>
            <w:pPr>
              <w:pStyle w:val="TableParagraph"/>
              <w:ind w:left="419" w:right="390"/>
              <w:rPr>
                <w:rFonts w:ascii="宋体"/>
                <w:sz w:val="14"/>
              </w:rPr>
            </w:pPr>
            <w:r>
              <w:rPr>
                <w:rFonts w:ascii="宋体"/>
                <w:sz w:val="14"/>
              </w:rPr>
              <w:t>-5.3</w:t>
            </w:r>
          </w:p>
        </w:tc>
        <w:tc>
          <w:tcPr>
            <w:tcW w:w="1270" w:type="dxa"/>
          </w:tcPr>
          <w:p>
            <w:pPr>
              <w:pStyle w:val="TableParagraph"/>
              <w:ind w:left="501"/>
              <w:jc w:val="left"/>
              <w:rPr>
                <w:rFonts w:ascii="宋体"/>
                <w:sz w:val="14"/>
              </w:rPr>
            </w:pPr>
            <w:r>
              <w:rPr>
                <w:rFonts w:ascii="宋体"/>
                <w:sz w:val="14"/>
              </w:rPr>
              <w:t>-4.8</w:t>
            </w:r>
          </w:p>
        </w:tc>
        <w:tc>
          <w:tcPr>
            <w:tcW w:w="1270" w:type="dxa"/>
          </w:tcPr>
          <w:p>
            <w:pPr>
              <w:pStyle w:val="TableParagraph"/>
              <w:ind w:right="467"/>
              <w:jc w:val="right"/>
              <w:rPr>
                <w:rFonts w:ascii="宋体"/>
                <w:sz w:val="14"/>
              </w:rPr>
            </w:pPr>
            <w:r>
              <w:rPr>
                <w:rFonts w:ascii="宋体"/>
                <w:sz w:val="14"/>
              </w:rPr>
              <w:t>-3.6</w:t>
            </w:r>
          </w:p>
        </w:tc>
        <w:tc>
          <w:tcPr>
            <w:tcW w:w="1270" w:type="dxa"/>
          </w:tcPr>
          <w:p>
            <w:pPr>
              <w:pStyle w:val="TableParagraph"/>
              <w:ind w:left="39"/>
              <w:rPr>
                <w:rFonts w:ascii="宋体"/>
                <w:sz w:val="14"/>
              </w:rPr>
            </w:pPr>
            <w:r>
              <w:rPr>
                <w:rFonts w:ascii="宋体"/>
                <w:w w:val="99"/>
                <w:sz w:val="14"/>
              </w:rPr>
              <w:t>-</w:t>
            </w:r>
          </w:p>
        </w:tc>
        <w:tc>
          <w:tcPr>
            <w:tcW w:w="1270" w:type="dxa"/>
          </w:tcPr>
          <w:p>
            <w:pPr>
              <w:pStyle w:val="TableParagraph"/>
              <w:ind w:left="41"/>
              <w:rPr>
                <w:rFonts w:ascii="宋体"/>
                <w:sz w:val="14"/>
              </w:rPr>
            </w:pPr>
            <w:r>
              <w:rPr>
                <w:rFonts w:ascii="宋体"/>
                <w:w w:val="99"/>
                <w:sz w:val="14"/>
              </w:rPr>
              <w:t>-</w:t>
            </w:r>
          </w:p>
        </w:tc>
        <w:tc>
          <w:tcPr>
            <w:tcW w:w="1264" w:type="dxa"/>
          </w:tcPr>
          <w:p>
            <w:pPr>
              <w:pStyle w:val="TableParagraph"/>
              <w:ind w:left="41"/>
              <w:rPr>
                <w:rFonts w:ascii="宋体"/>
                <w:sz w:val="14"/>
              </w:rPr>
            </w:pPr>
            <w:r>
              <w:rPr>
                <w:rFonts w:ascii="宋体"/>
                <w:w w:val="99"/>
                <w:sz w:val="14"/>
              </w:rPr>
              <w:t>-</w:t>
            </w:r>
          </w:p>
        </w:tc>
      </w:tr>
      <w:tr>
        <w:trPr>
          <w:trHeight w:val="168" w:hRule="atLeast"/>
        </w:trPr>
        <w:tc>
          <w:tcPr>
            <w:tcW w:w="2175" w:type="dxa"/>
          </w:tcPr>
          <w:p>
            <w:pPr>
              <w:pStyle w:val="TableParagraph"/>
              <w:ind w:left="644" w:right="628"/>
              <w:rPr>
                <w:rFonts w:ascii="宋体" w:eastAsia="宋体" w:hint="eastAsia"/>
                <w:sz w:val="14"/>
              </w:rPr>
            </w:pPr>
            <w:r>
              <w:rPr>
                <w:rFonts w:ascii="宋体" w:eastAsia="宋体" w:hint="eastAsia"/>
                <w:sz w:val="14"/>
              </w:rPr>
              <w:t>创新药</w:t>
            </w:r>
          </w:p>
        </w:tc>
        <w:tc>
          <w:tcPr>
            <w:tcW w:w="2028" w:type="dxa"/>
          </w:tcPr>
          <w:p>
            <w:pPr>
              <w:pStyle w:val="TableParagraph"/>
              <w:ind w:left="678" w:right="659"/>
              <w:rPr>
                <w:rFonts w:ascii="宋体"/>
                <w:sz w:val="14"/>
              </w:rPr>
            </w:pPr>
            <w:r>
              <w:rPr>
                <w:rFonts w:ascii="宋体"/>
                <w:sz w:val="14"/>
              </w:rPr>
              <w:t>3692.HK</w:t>
            </w:r>
          </w:p>
        </w:tc>
        <w:tc>
          <w:tcPr>
            <w:tcW w:w="2107" w:type="dxa"/>
          </w:tcPr>
          <w:p>
            <w:pPr>
              <w:pStyle w:val="TableParagraph"/>
              <w:ind w:left="753" w:right="733"/>
              <w:rPr>
                <w:rFonts w:ascii="宋体" w:eastAsia="宋体" w:hint="eastAsia"/>
                <w:sz w:val="14"/>
              </w:rPr>
            </w:pPr>
            <w:r>
              <w:rPr>
                <w:rFonts w:ascii="宋体" w:eastAsia="宋体" w:hint="eastAsia"/>
                <w:sz w:val="14"/>
              </w:rPr>
              <w:t>翰森制药</w:t>
            </w:r>
          </w:p>
        </w:tc>
        <w:tc>
          <w:tcPr>
            <w:tcW w:w="1514" w:type="dxa"/>
          </w:tcPr>
          <w:p>
            <w:pPr>
              <w:pStyle w:val="TableParagraph"/>
              <w:ind w:left="636" w:right="607"/>
              <w:rPr>
                <w:rFonts w:ascii="宋体"/>
                <w:sz w:val="14"/>
              </w:rPr>
            </w:pPr>
            <w:r>
              <w:rPr>
                <w:rFonts w:ascii="宋体"/>
                <w:sz w:val="14"/>
              </w:rPr>
              <w:t>767</w:t>
            </w:r>
          </w:p>
        </w:tc>
        <w:tc>
          <w:tcPr>
            <w:tcW w:w="1270" w:type="dxa"/>
          </w:tcPr>
          <w:p>
            <w:pPr>
              <w:pStyle w:val="TableParagraph"/>
              <w:ind w:left="419" w:right="390"/>
              <w:rPr>
                <w:rFonts w:ascii="宋体"/>
                <w:sz w:val="14"/>
              </w:rPr>
            </w:pPr>
            <w:r>
              <w:rPr>
                <w:rFonts w:ascii="宋体"/>
                <w:sz w:val="14"/>
              </w:rPr>
              <w:t>27.8</w:t>
            </w:r>
          </w:p>
        </w:tc>
        <w:tc>
          <w:tcPr>
            <w:tcW w:w="1270" w:type="dxa"/>
          </w:tcPr>
          <w:p>
            <w:pPr>
              <w:pStyle w:val="TableParagraph"/>
              <w:ind w:left="501"/>
              <w:jc w:val="left"/>
              <w:rPr>
                <w:rFonts w:ascii="宋体"/>
                <w:sz w:val="14"/>
              </w:rPr>
            </w:pPr>
            <w:r>
              <w:rPr>
                <w:rFonts w:ascii="宋体"/>
                <w:sz w:val="14"/>
              </w:rPr>
              <w:t>30.4</w:t>
            </w:r>
          </w:p>
        </w:tc>
        <w:tc>
          <w:tcPr>
            <w:tcW w:w="1270" w:type="dxa"/>
          </w:tcPr>
          <w:p>
            <w:pPr>
              <w:pStyle w:val="TableParagraph"/>
              <w:ind w:right="467"/>
              <w:jc w:val="right"/>
              <w:rPr>
                <w:rFonts w:ascii="宋体"/>
                <w:sz w:val="14"/>
              </w:rPr>
            </w:pPr>
            <w:r>
              <w:rPr>
                <w:rFonts w:ascii="宋体"/>
                <w:sz w:val="14"/>
              </w:rPr>
              <w:t>32.9</w:t>
            </w:r>
          </w:p>
        </w:tc>
        <w:tc>
          <w:tcPr>
            <w:tcW w:w="1270" w:type="dxa"/>
          </w:tcPr>
          <w:p>
            <w:pPr>
              <w:pStyle w:val="TableParagraph"/>
              <w:ind w:left="424" w:right="388"/>
              <w:rPr>
                <w:rFonts w:ascii="宋体"/>
                <w:sz w:val="14"/>
              </w:rPr>
            </w:pPr>
            <w:r>
              <w:rPr>
                <w:rFonts w:ascii="宋体"/>
                <w:sz w:val="14"/>
              </w:rPr>
              <w:t>28</w:t>
            </w:r>
          </w:p>
        </w:tc>
        <w:tc>
          <w:tcPr>
            <w:tcW w:w="1270" w:type="dxa"/>
          </w:tcPr>
          <w:p>
            <w:pPr>
              <w:pStyle w:val="TableParagraph"/>
              <w:ind w:left="424" w:right="386"/>
              <w:rPr>
                <w:rFonts w:ascii="宋体"/>
                <w:sz w:val="14"/>
              </w:rPr>
            </w:pPr>
            <w:r>
              <w:rPr>
                <w:rFonts w:ascii="宋体"/>
                <w:sz w:val="14"/>
              </w:rPr>
              <w:t>25</w:t>
            </w:r>
          </w:p>
        </w:tc>
        <w:tc>
          <w:tcPr>
            <w:tcW w:w="1264" w:type="dxa"/>
          </w:tcPr>
          <w:p>
            <w:pPr>
              <w:pStyle w:val="TableParagraph"/>
              <w:ind w:left="427" w:right="384"/>
              <w:rPr>
                <w:rFonts w:ascii="宋体"/>
                <w:sz w:val="14"/>
              </w:rPr>
            </w:pPr>
            <w:r>
              <w:rPr>
                <w:rFonts w:ascii="宋体"/>
                <w:sz w:val="14"/>
              </w:rPr>
              <w:t>23</w:t>
            </w:r>
          </w:p>
        </w:tc>
      </w:tr>
      <w:tr>
        <w:trPr>
          <w:trHeight w:val="168" w:hRule="atLeast"/>
        </w:trPr>
        <w:tc>
          <w:tcPr>
            <w:tcW w:w="2175" w:type="dxa"/>
          </w:tcPr>
          <w:p>
            <w:pPr>
              <w:pStyle w:val="TableParagraph"/>
              <w:ind w:left="644" w:right="628"/>
              <w:rPr>
                <w:rFonts w:ascii="宋体" w:eastAsia="宋体" w:hint="eastAsia"/>
                <w:sz w:val="14"/>
              </w:rPr>
            </w:pPr>
            <w:r>
              <w:rPr>
                <w:rFonts w:ascii="宋体" w:eastAsia="宋体" w:hint="eastAsia"/>
                <w:sz w:val="14"/>
              </w:rPr>
              <w:t>中药</w:t>
            </w:r>
          </w:p>
        </w:tc>
        <w:tc>
          <w:tcPr>
            <w:tcW w:w="2028" w:type="dxa"/>
          </w:tcPr>
          <w:p>
            <w:pPr>
              <w:pStyle w:val="TableParagraph"/>
              <w:ind w:left="678" w:right="659"/>
              <w:rPr>
                <w:rFonts w:ascii="宋体"/>
                <w:sz w:val="14"/>
              </w:rPr>
            </w:pPr>
            <w:r>
              <w:rPr>
                <w:rFonts w:ascii="宋体"/>
                <w:sz w:val="14"/>
              </w:rPr>
              <w:t>002603.SZ</w:t>
            </w:r>
          </w:p>
        </w:tc>
        <w:tc>
          <w:tcPr>
            <w:tcW w:w="2107" w:type="dxa"/>
          </w:tcPr>
          <w:p>
            <w:pPr>
              <w:pStyle w:val="TableParagraph"/>
              <w:ind w:left="753" w:right="733"/>
              <w:rPr>
                <w:rFonts w:ascii="宋体" w:eastAsia="宋体" w:hint="eastAsia"/>
                <w:sz w:val="14"/>
              </w:rPr>
            </w:pPr>
            <w:r>
              <w:rPr>
                <w:rFonts w:ascii="宋体" w:eastAsia="宋体" w:hint="eastAsia"/>
                <w:sz w:val="14"/>
              </w:rPr>
              <w:t>以岭药业</w:t>
            </w:r>
          </w:p>
        </w:tc>
        <w:tc>
          <w:tcPr>
            <w:tcW w:w="1514" w:type="dxa"/>
          </w:tcPr>
          <w:p>
            <w:pPr>
              <w:pStyle w:val="TableParagraph"/>
              <w:ind w:left="636" w:right="607"/>
              <w:rPr>
                <w:rFonts w:ascii="宋体"/>
                <w:sz w:val="14"/>
              </w:rPr>
            </w:pPr>
            <w:r>
              <w:rPr>
                <w:rFonts w:ascii="宋体"/>
                <w:sz w:val="14"/>
              </w:rPr>
              <w:t>362</w:t>
            </w:r>
          </w:p>
        </w:tc>
        <w:tc>
          <w:tcPr>
            <w:tcW w:w="1270" w:type="dxa"/>
          </w:tcPr>
          <w:p>
            <w:pPr>
              <w:pStyle w:val="TableParagraph"/>
              <w:ind w:left="419" w:right="390"/>
              <w:rPr>
                <w:rFonts w:ascii="宋体"/>
                <w:sz w:val="14"/>
              </w:rPr>
            </w:pPr>
            <w:r>
              <w:rPr>
                <w:rFonts w:ascii="宋体"/>
                <w:sz w:val="14"/>
              </w:rPr>
              <w:t>25.8</w:t>
            </w:r>
          </w:p>
        </w:tc>
        <w:tc>
          <w:tcPr>
            <w:tcW w:w="1270" w:type="dxa"/>
          </w:tcPr>
          <w:p>
            <w:pPr>
              <w:pStyle w:val="TableParagraph"/>
              <w:ind w:left="501"/>
              <w:jc w:val="left"/>
              <w:rPr>
                <w:rFonts w:ascii="宋体"/>
                <w:sz w:val="14"/>
              </w:rPr>
            </w:pPr>
            <w:r>
              <w:rPr>
                <w:rFonts w:ascii="宋体"/>
                <w:sz w:val="14"/>
              </w:rPr>
              <w:t>29.6</w:t>
            </w:r>
          </w:p>
        </w:tc>
        <w:tc>
          <w:tcPr>
            <w:tcW w:w="1270" w:type="dxa"/>
          </w:tcPr>
          <w:p>
            <w:pPr>
              <w:pStyle w:val="TableParagraph"/>
              <w:ind w:right="467"/>
              <w:jc w:val="right"/>
              <w:rPr>
                <w:rFonts w:ascii="宋体"/>
                <w:sz w:val="14"/>
              </w:rPr>
            </w:pPr>
            <w:r>
              <w:rPr>
                <w:rFonts w:ascii="宋体"/>
                <w:sz w:val="14"/>
              </w:rPr>
              <w:t>33.7</w:t>
            </w:r>
          </w:p>
        </w:tc>
        <w:tc>
          <w:tcPr>
            <w:tcW w:w="1270" w:type="dxa"/>
          </w:tcPr>
          <w:p>
            <w:pPr>
              <w:pStyle w:val="TableParagraph"/>
              <w:ind w:left="424" w:right="388"/>
              <w:rPr>
                <w:rFonts w:ascii="宋体"/>
                <w:sz w:val="14"/>
              </w:rPr>
            </w:pPr>
            <w:r>
              <w:rPr>
                <w:rFonts w:ascii="宋体"/>
                <w:sz w:val="14"/>
              </w:rPr>
              <w:t>14</w:t>
            </w:r>
          </w:p>
        </w:tc>
        <w:tc>
          <w:tcPr>
            <w:tcW w:w="1270" w:type="dxa"/>
          </w:tcPr>
          <w:p>
            <w:pPr>
              <w:pStyle w:val="TableParagraph"/>
              <w:ind w:left="424" w:right="386"/>
              <w:rPr>
                <w:rFonts w:ascii="宋体"/>
                <w:sz w:val="14"/>
              </w:rPr>
            </w:pPr>
            <w:r>
              <w:rPr>
                <w:rFonts w:ascii="宋体"/>
                <w:sz w:val="14"/>
              </w:rPr>
              <w:t>12</w:t>
            </w:r>
          </w:p>
        </w:tc>
        <w:tc>
          <w:tcPr>
            <w:tcW w:w="1264" w:type="dxa"/>
          </w:tcPr>
          <w:p>
            <w:pPr>
              <w:pStyle w:val="TableParagraph"/>
              <w:ind w:left="427" w:right="384"/>
              <w:rPr>
                <w:rFonts w:ascii="宋体"/>
                <w:sz w:val="14"/>
              </w:rPr>
            </w:pPr>
            <w:r>
              <w:rPr>
                <w:rFonts w:ascii="宋体"/>
                <w:sz w:val="14"/>
              </w:rPr>
              <w:t>11</w:t>
            </w:r>
          </w:p>
        </w:tc>
      </w:tr>
      <w:tr>
        <w:trPr>
          <w:trHeight w:val="167" w:hRule="atLeast"/>
        </w:trPr>
        <w:tc>
          <w:tcPr>
            <w:tcW w:w="2175" w:type="dxa"/>
          </w:tcPr>
          <w:p>
            <w:pPr>
              <w:pStyle w:val="TableParagraph"/>
              <w:ind w:left="644" w:right="628"/>
              <w:rPr>
                <w:rFonts w:ascii="宋体" w:eastAsia="宋体" w:hint="eastAsia"/>
                <w:sz w:val="14"/>
              </w:rPr>
            </w:pPr>
            <w:r>
              <w:rPr>
                <w:rFonts w:ascii="宋体" w:eastAsia="宋体" w:hint="eastAsia"/>
                <w:sz w:val="14"/>
              </w:rPr>
              <w:t>中药</w:t>
            </w:r>
          </w:p>
        </w:tc>
        <w:tc>
          <w:tcPr>
            <w:tcW w:w="2028" w:type="dxa"/>
          </w:tcPr>
          <w:p>
            <w:pPr>
              <w:pStyle w:val="TableParagraph"/>
              <w:ind w:left="678" w:right="659"/>
              <w:rPr>
                <w:rFonts w:ascii="宋体"/>
                <w:sz w:val="14"/>
              </w:rPr>
            </w:pPr>
            <w:r>
              <w:rPr>
                <w:rFonts w:ascii="宋体"/>
                <w:sz w:val="14"/>
              </w:rPr>
              <w:t>000999.SZ</w:t>
            </w:r>
          </w:p>
        </w:tc>
        <w:tc>
          <w:tcPr>
            <w:tcW w:w="2107" w:type="dxa"/>
          </w:tcPr>
          <w:p>
            <w:pPr>
              <w:pStyle w:val="TableParagraph"/>
              <w:ind w:left="753" w:right="733"/>
              <w:rPr>
                <w:rFonts w:ascii="宋体" w:eastAsia="宋体" w:hint="eastAsia"/>
                <w:sz w:val="14"/>
              </w:rPr>
            </w:pPr>
            <w:r>
              <w:rPr>
                <w:rFonts w:ascii="宋体" w:eastAsia="宋体" w:hint="eastAsia"/>
                <w:sz w:val="14"/>
              </w:rPr>
              <w:t>华润三九</w:t>
            </w:r>
          </w:p>
        </w:tc>
        <w:tc>
          <w:tcPr>
            <w:tcW w:w="1514" w:type="dxa"/>
          </w:tcPr>
          <w:p>
            <w:pPr>
              <w:pStyle w:val="TableParagraph"/>
              <w:ind w:left="636" w:right="607"/>
              <w:rPr>
                <w:rFonts w:ascii="宋体"/>
                <w:sz w:val="14"/>
              </w:rPr>
            </w:pPr>
            <w:r>
              <w:rPr>
                <w:rFonts w:ascii="宋体"/>
                <w:sz w:val="14"/>
              </w:rPr>
              <w:t>407</w:t>
            </w:r>
          </w:p>
        </w:tc>
        <w:tc>
          <w:tcPr>
            <w:tcW w:w="1270" w:type="dxa"/>
          </w:tcPr>
          <w:p>
            <w:pPr>
              <w:pStyle w:val="TableParagraph"/>
              <w:ind w:left="419" w:right="390"/>
              <w:rPr>
                <w:rFonts w:ascii="宋体"/>
                <w:sz w:val="14"/>
              </w:rPr>
            </w:pPr>
            <w:r>
              <w:rPr>
                <w:rFonts w:ascii="宋体"/>
                <w:sz w:val="14"/>
              </w:rPr>
              <w:t>30.7</w:t>
            </w:r>
          </w:p>
        </w:tc>
        <w:tc>
          <w:tcPr>
            <w:tcW w:w="1270" w:type="dxa"/>
          </w:tcPr>
          <w:p>
            <w:pPr>
              <w:pStyle w:val="TableParagraph"/>
              <w:ind w:left="501"/>
              <w:jc w:val="left"/>
              <w:rPr>
                <w:rFonts w:ascii="宋体"/>
                <w:sz w:val="14"/>
              </w:rPr>
            </w:pPr>
            <w:r>
              <w:rPr>
                <w:rFonts w:ascii="宋体"/>
                <w:sz w:val="14"/>
              </w:rPr>
              <w:t>36.8</w:t>
            </w:r>
          </w:p>
        </w:tc>
        <w:tc>
          <w:tcPr>
            <w:tcW w:w="1270" w:type="dxa"/>
          </w:tcPr>
          <w:p>
            <w:pPr>
              <w:pStyle w:val="TableParagraph"/>
              <w:ind w:right="467"/>
              <w:jc w:val="right"/>
              <w:rPr>
                <w:rFonts w:ascii="宋体"/>
                <w:sz w:val="14"/>
              </w:rPr>
            </w:pPr>
            <w:r>
              <w:rPr>
                <w:rFonts w:ascii="宋体"/>
                <w:sz w:val="14"/>
              </w:rPr>
              <w:t>43.5</w:t>
            </w:r>
          </w:p>
        </w:tc>
        <w:tc>
          <w:tcPr>
            <w:tcW w:w="1270" w:type="dxa"/>
          </w:tcPr>
          <w:p>
            <w:pPr>
              <w:pStyle w:val="TableParagraph"/>
              <w:ind w:left="424" w:right="388"/>
              <w:rPr>
                <w:rFonts w:ascii="宋体"/>
                <w:sz w:val="14"/>
              </w:rPr>
            </w:pPr>
            <w:r>
              <w:rPr>
                <w:rFonts w:ascii="宋体"/>
                <w:sz w:val="14"/>
              </w:rPr>
              <w:t>13</w:t>
            </w:r>
          </w:p>
        </w:tc>
        <w:tc>
          <w:tcPr>
            <w:tcW w:w="1270" w:type="dxa"/>
          </w:tcPr>
          <w:p>
            <w:pPr>
              <w:pStyle w:val="TableParagraph"/>
              <w:ind w:left="424" w:right="386"/>
              <w:rPr>
                <w:rFonts w:ascii="宋体"/>
                <w:sz w:val="14"/>
              </w:rPr>
            </w:pPr>
            <w:r>
              <w:rPr>
                <w:rFonts w:ascii="宋体"/>
                <w:sz w:val="14"/>
              </w:rPr>
              <w:t>11</w:t>
            </w:r>
          </w:p>
        </w:tc>
        <w:tc>
          <w:tcPr>
            <w:tcW w:w="1264" w:type="dxa"/>
          </w:tcPr>
          <w:p>
            <w:pPr>
              <w:pStyle w:val="TableParagraph"/>
              <w:ind w:left="41"/>
              <w:rPr>
                <w:rFonts w:ascii="宋体"/>
                <w:sz w:val="14"/>
              </w:rPr>
            </w:pPr>
            <w:r>
              <w:rPr>
                <w:rFonts w:ascii="宋体"/>
                <w:w w:val="99"/>
                <w:sz w:val="14"/>
              </w:rPr>
              <w:t>9</w:t>
            </w:r>
          </w:p>
        </w:tc>
      </w:tr>
      <w:tr>
        <w:trPr>
          <w:trHeight w:val="168" w:hRule="atLeast"/>
        </w:trPr>
        <w:tc>
          <w:tcPr>
            <w:tcW w:w="2175" w:type="dxa"/>
          </w:tcPr>
          <w:p>
            <w:pPr>
              <w:pStyle w:val="TableParagraph"/>
              <w:ind w:left="644" w:right="628"/>
              <w:rPr>
                <w:rFonts w:ascii="宋体" w:eastAsia="宋体" w:hint="eastAsia"/>
                <w:sz w:val="14"/>
              </w:rPr>
            </w:pPr>
            <w:r>
              <w:rPr>
                <w:rFonts w:ascii="宋体" w:eastAsia="宋体" w:hint="eastAsia"/>
                <w:sz w:val="14"/>
              </w:rPr>
              <w:t>中药</w:t>
            </w:r>
          </w:p>
        </w:tc>
        <w:tc>
          <w:tcPr>
            <w:tcW w:w="2028" w:type="dxa"/>
          </w:tcPr>
          <w:p>
            <w:pPr>
              <w:pStyle w:val="TableParagraph"/>
              <w:ind w:left="678" w:right="659"/>
              <w:rPr>
                <w:rFonts w:ascii="宋体"/>
                <w:sz w:val="14"/>
              </w:rPr>
            </w:pPr>
            <w:r>
              <w:rPr>
                <w:rFonts w:ascii="宋体"/>
                <w:sz w:val="14"/>
              </w:rPr>
              <w:t>000423.SZ</w:t>
            </w:r>
          </w:p>
        </w:tc>
        <w:tc>
          <w:tcPr>
            <w:tcW w:w="2107" w:type="dxa"/>
          </w:tcPr>
          <w:p>
            <w:pPr>
              <w:pStyle w:val="TableParagraph"/>
              <w:ind w:left="753" w:right="733"/>
              <w:rPr>
                <w:rFonts w:ascii="宋体" w:eastAsia="宋体" w:hint="eastAsia"/>
                <w:sz w:val="14"/>
              </w:rPr>
            </w:pPr>
            <w:r>
              <w:rPr>
                <w:rFonts w:ascii="宋体" w:eastAsia="宋体" w:hint="eastAsia"/>
                <w:sz w:val="14"/>
              </w:rPr>
              <w:t>东阿阿胶</w:t>
            </w:r>
          </w:p>
        </w:tc>
        <w:tc>
          <w:tcPr>
            <w:tcW w:w="1514" w:type="dxa"/>
          </w:tcPr>
          <w:p>
            <w:pPr>
              <w:pStyle w:val="TableParagraph"/>
              <w:ind w:left="636" w:right="607"/>
              <w:rPr>
                <w:rFonts w:ascii="宋体"/>
                <w:sz w:val="14"/>
              </w:rPr>
            </w:pPr>
            <w:r>
              <w:rPr>
                <w:rFonts w:ascii="宋体"/>
                <w:sz w:val="14"/>
              </w:rPr>
              <w:t>292</w:t>
            </w:r>
          </w:p>
        </w:tc>
        <w:tc>
          <w:tcPr>
            <w:tcW w:w="1270" w:type="dxa"/>
          </w:tcPr>
          <w:p>
            <w:pPr>
              <w:pStyle w:val="TableParagraph"/>
              <w:ind w:left="417" w:right="390"/>
              <w:rPr>
                <w:rFonts w:ascii="宋体"/>
                <w:sz w:val="14"/>
              </w:rPr>
            </w:pPr>
            <w:r>
              <w:rPr>
                <w:rFonts w:ascii="宋体"/>
                <w:sz w:val="14"/>
              </w:rPr>
              <w:t>11.11</w:t>
            </w:r>
          </w:p>
        </w:tc>
        <w:tc>
          <w:tcPr>
            <w:tcW w:w="1270" w:type="dxa"/>
          </w:tcPr>
          <w:p>
            <w:pPr>
              <w:pStyle w:val="TableParagraph"/>
              <w:ind w:left="465"/>
              <w:jc w:val="left"/>
              <w:rPr>
                <w:rFonts w:ascii="宋体"/>
                <w:sz w:val="14"/>
              </w:rPr>
            </w:pPr>
            <w:r>
              <w:rPr>
                <w:rFonts w:ascii="宋体"/>
                <w:sz w:val="14"/>
              </w:rPr>
              <w:t>14.86</w:t>
            </w:r>
          </w:p>
        </w:tc>
        <w:tc>
          <w:tcPr>
            <w:tcW w:w="1270" w:type="dxa"/>
          </w:tcPr>
          <w:p>
            <w:pPr>
              <w:pStyle w:val="TableParagraph"/>
              <w:ind w:right="433"/>
              <w:jc w:val="right"/>
              <w:rPr>
                <w:rFonts w:ascii="宋体"/>
                <w:sz w:val="14"/>
              </w:rPr>
            </w:pPr>
            <w:r>
              <w:rPr>
                <w:rFonts w:ascii="宋体"/>
                <w:sz w:val="14"/>
              </w:rPr>
              <w:t>19.29</w:t>
            </w:r>
          </w:p>
        </w:tc>
        <w:tc>
          <w:tcPr>
            <w:tcW w:w="1270" w:type="dxa"/>
          </w:tcPr>
          <w:p>
            <w:pPr>
              <w:pStyle w:val="TableParagraph"/>
              <w:ind w:left="424" w:right="388"/>
              <w:rPr>
                <w:rFonts w:ascii="宋体"/>
                <w:sz w:val="14"/>
              </w:rPr>
            </w:pPr>
            <w:r>
              <w:rPr>
                <w:rFonts w:ascii="宋体"/>
                <w:sz w:val="14"/>
              </w:rPr>
              <w:t>26</w:t>
            </w:r>
          </w:p>
        </w:tc>
        <w:tc>
          <w:tcPr>
            <w:tcW w:w="1270" w:type="dxa"/>
          </w:tcPr>
          <w:p>
            <w:pPr>
              <w:pStyle w:val="TableParagraph"/>
              <w:ind w:left="424" w:right="386"/>
              <w:rPr>
                <w:rFonts w:ascii="宋体"/>
                <w:sz w:val="14"/>
              </w:rPr>
            </w:pPr>
            <w:r>
              <w:rPr>
                <w:rFonts w:ascii="宋体"/>
                <w:sz w:val="14"/>
              </w:rPr>
              <w:t>20</w:t>
            </w:r>
          </w:p>
        </w:tc>
        <w:tc>
          <w:tcPr>
            <w:tcW w:w="1264" w:type="dxa"/>
          </w:tcPr>
          <w:p>
            <w:pPr>
              <w:pStyle w:val="TableParagraph"/>
              <w:ind w:left="427" w:right="384"/>
              <w:rPr>
                <w:rFonts w:ascii="宋体"/>
                <w:sz w:val="14"/>
              </w:rPr>
            </w:pPr>
            <w:r>
              <w:rPr>
                <w:rFonts w:ascii="宋体"/>
                <w:sz w:val="14"/>
              </w:rPr>
              <w:t>15</w:t>
            </w:r>
          </w:p>
        </w:tc>
      </w:tr>
      <w:tr>
        <w:trPr>
          <w:trHeight w:val="168" w:hRule="atLeast"/>
        </w:trPr>
        <w:tc>
          <w:tcPr>
            <w:tcW w:w="2175" w:type="dxa"/>
          </w:tcPr>
          <w:p>
            <w:pPr>
              <w:pStyle w:val="TableParagraph"/>
              <w:ind w:left="644" w:right="628"/>
              <w:rPr>
                <w:rFonts w:ascii="宋体" w:eastAsia="宋体" w:hint="eastAsia"/>
                <w:sz w:val="14"/>
              </w:rPr>
            </w:pPr>
            <w:r>
              <w:rPr>
                <w:rFonts w:ascii="宋体" w:eastAsia="宋体" w:hint="eastAsia"/>
                <w:sz w:val="14"/>
              </w:rPr>
              <w:t>中药</w:t>
            </w:r>
          </w:p>
        </w:tc>
        <w:tc>
          <w:tcPr>
            <w:tcW w:w="2028" w:type="dxa"/>
          </w:tcPr>
          <w:p>
            <w:pPr>
              <w:pStyle w:val="TableParagraph"/>
              <w:ind w:left="678" w:right="659"/>
              <w:rPr>
                <w:rFonts w:ascii="宋体"/>
                <w:sz w:val="14"/>
              </w:rPr>
            </w:pPr>
            <w:r>
              <w:rPr>
                <w:rFonts w:ascii="宋体"/>
                <w:sz w:val="14"/>
              </w:rPr>
              <w:t>600557.SH</w:t>
            </w:r>
          </w:p>
        </w:tc>
        <w:tc>
          <w:tcPr>
            <w:tcW w:w="2107" w:type="dxa"/>
          </w:tcPr>
          <w:p>
            <w:pPr>
              <w:pStyle w:val="TableParagraph"/>
              <w:ind w:left="753" w:right="733"/>
              <w:rPr>
                <w:rFonts w:ascii="宋体" w:eastAsia="宋体" w:hint="eastAsia"/>
                <w:sz w:val="14"/>
              </w:rPr>
            </w:pPr>
            <w:r>
              <w:rPr>
                <w:rFonts w:ascii="宋体" w:eastAsia="宋体" w:hint="eastAsia"/>
                <w:sz w:val="14"/>
              </w:rPr>
              <w:t>康缘药业</w:t>
            </w:r>
          </w:p>
        </w:tc>
        <w:tc>
          <w:tcPr>
            <w:tcW w:w="1514" w:type="dxa"/>
          </w:tcPr>
          <w:p>
            <w:pPr>
              <w:pStyle w:val="TableParagraph"/>
              <w:ind w:left="633" w:right="607"/>
              <w:rPr>
                <w:rFonts w:ascii="宋体"/>
                <w:sz w:val="14"/>
              </w:rPr>
            </w:pPr>
            <w:r>
              <w:rPr>
                <w:rFonts w:ascii="宋体"/>
                <w:sz w:val="14"/>
              </w:rPr>
              <w:t>95</w:t>
            </w:r>
          </w:p>
        </w:tc>
        <w:tc>
          <w:tcPr>
            <w:tcW w:w="1270" w:type="dxa"/>
          </w:tcPr>
          <w:p>
            <w:pPr>
              <w:pStyle w:val="TableParagraph"/>
              <w:ind w:left="421" w:right="390"/>
              <w:rPr>
                <w:rFonts w:ascii="宋体"/>
                <w:sz w:val="14"/>
              </w:rPr>
            </w:pPr>
            <w:r>
              <w:rPr>
                <w:rFonts w:ascii="宋体"/>
                <w:sz w:val="14"/>
              </w:rPr>
              <w:t>5.5</w:t>
            </w:r>
          </w:p>
        </w:tc>
        <w:tc>
          <w:tcPr>
            <w:tcW w:w="1270" w:type="dxa"/>
          </w:tcPr>
          <w:p>
            <w:pPr>
              <w:pStyle w:val="TableParagraph"/>
              <w:ind w:left="537"/>
              <w:jc w:val="left"/>
              <w:rPr>
                <w:rFonts w:ascii="宋体"/>
                <w:sz w:val="14"/>
              </w:rPr>
            </w:pPr>
            <w:r>
              <w:rPr>
                <w:rFonts w:ascii="宋体"/>
                <w:sz w:val="14"/>
              </w:rPr>
              <w:t>7.0</w:t>
            </w:r>
          </w:p>
        </w:tc>
        <w:tc>
          <w:tcPr>
            <w:tcW w:w="1270" w:type="dxa"/>
          </w:tcPr>
          <w:p>
            <w:pPr>
              <w:pStyle w:val="TableParagraph"/>
              <w:ind w:right="500"/>
              <w:jc w:val="right"/>
              <w:rPr>
                <w:rFonts w:ascii="宋体"/>
                <w:sz w:val="14"/>
              </w:rPr>
            </w:pPr>
            <w:r>
              <w:rPr>
                <w:rFonts w:ascii="宋体"/>
                <w:sz w:val="14"/>
              </w:rPr>
              <w:t>8.9</w:t>
            </w:r>
          </w:p>
        </w:tc>
        <w:tc>
          <w:tcPr>
            <w:tcW w:w="1270" w:type="dxa"/>
          </w:tcPr>
          <w:p>
            <w:pPr>
              <w:pStyle w:val="TableParagraph"/>
              <w:ind w:left="424" w:right="388"/>
              <w:rPr>
                <w:rFonts w:ascii="宋体"/>
                <w:sz w:val="14"/>
              </w:rPr>
            </w:pPr>
            <w:r>
              <w:rPr>
                <w:rFonts w:ascii="宋体"/>
                <w:sz w:val="14"/>
              </w:rPr>
              <w:t>17</w:t>
            </w:r>
          </w:p>
        </w:tc>
        <w:tc>
          <w:tcPr>
            <w:tcW w:w="1270" w:type="dxa"/>
          </w:tcPr>
          <w:p>
            <w:pPr>
              <w:pStyle w:val="TableParagraph"/>
              <w:ind w:left="424" w:right="386"/>
              <w:rPr>
                <w:rFonts w:ascii="宋体"/>
                <w:sz w:val="14"/>
              </w:rPr>
            </w:pPr>
            <w:r>
              <w:rPr>
                <w:rFonts w:ascii="宋体"/>
                <w:sz w:val="14"/>
              </w:rPr>
              <w:t>14</w:t>
            </w:r>
          </w:p>
        </w:tc>
        <w:tc>
          <w:tcPr>
            <w:tcW w:w="1264" w:type="dxa"/>
          </w:tcPr>
          <w:p>
            <w:pPr>
              <w:pStyle w:val="TableParagraph"/>
              <w:ind w:left="427" w:right="384"/>
              <w:rPr>
                <w:rFonts w:ascii="宋体"/>
                <w:sz w:val="14"/>
              </w:rPr>
            </w:pPr>
            <w:r>
              <w:rPr>
                <w:rFonts w:ascii="宋体"/>
                <w:sz w:val="14"/>
              </w:rPr>
              <w:t>11</w:t>
            </w:r>
          </w:p>
        </w:tc>
      </w:tr>
      <w:tr>
        <w:trPr>
          <w:trHeight w:val="167" w:hRule="atLeast"/>
        </w:trPr>
        <w:tc>
          <w:tcPr>
            <w:tcW w:w="2175" w:type="dxa"/>
          </w:tcPr>
          <w:p>
            <w:pPr>
              <w:pStyle w:val="TableParagraph"/>
              <w:ind w:left="644" w:right="628"/>
              <w:rPr>
                <w:rFonts w:ascii="宋体" w:eastAsia="宋体" w:hint="eastAsia"/>
                <w:sz w:val="14"/>
              </w:rPr>
            </w:pPr>
            <w:r>
              <w:rPr>
                <w:rFonts w:ascii="宋体" w:eastAsia="宋体" w:hint="eastAsia"/>
                <w:sz w:val="14"/>
              </w:rPr>
              <w:t>中药</w:t>
            </w:r>
          </w:p>
        </w:tc>
        <w:tc>
          <w:tcPr>
            <w:tcW w:w="2028" w:type="dxa"/>
          </w:tcPr>
          <w:p>
            <w:pPr>
              <w:pStyle w:val="TableParagraph"/>
              <w:ind w:left="678" w:right="659"/>
              <w:rPr>
                <w:rFonts w:ascii="宋体"/>
                <w:sz w:val="14"/>
              </w:rPr>
            </w:pPr>
            <w:r>
              <w:rPr>
                <w:rFonts w:ascii="宋体"/>
                <w:sz w:val="14"/>
              </w:rPr>
              <w:t>2273.HK</w:t>
            </w:r>
          </w:p>
        </w:tc>
        <w:tc>
          <w:tcPr>
            <w:tcW w:w="2107" w:type="dxa"/>
          </w:tcPr>
          <w:p>
            <w:pPr>
              <w:pStyle w:val="TableParagraph"/>
              <w:ind w:left="753" w:right="733"/>
              <w:rPr>
                <w:rFonts w:ascii="宋体" w:eastAsia="宋体" w:hint="eastAsia"/>
                <w:sz w:val="14"/>
              </w:rPr>
            </w:pPr>
            <w:r>
              <w:rPr>
                <w:rFonts w:ascii="宋体" w:eastAsia="宋体" w:hint="eastAsia"/>
                <w:sz w:val="14"/>
              </w:rPr>
              <w:t>固生堂</w:t>
            </w:r>
          </w:p>
        </w:tc>
        <w:tc>
          <w:tcPr>
            <w:tcW w:w="1514" w:type="dxa"/>
          </w:tcPr>
          <w:p>
            <w:pPr>
              <w:pStyle w:val="TableParagraph"/>
              <w:ind w:left="636" w:right="607"/>
              <w:rPr>
                <w:rFonts w:ascii="宋体"/>
                <w:sz w:val="14"/>
              </w:rPr>
            </w:pPr>
            <w:r>
              <w:rPr>
                <w:rFonts w:ascii="宋体"/>
                <w:sz w:val="14"/>
              </w:rPr>
              <w:t>100</w:t>
            </w:r>
          </w:p>
        </w:tc>
        <w:tc>
          <w:tcPr>
            <w:tcW w:w="1270" w:type="dxa"/>
          </w:tcPr>
          <w:p>
            <w:pPr>
              <w:pStyle w:val="TableParagraph"/>
              <w:ind w:left="421" w:right="390"/>
              <w:rPr>
                <w:rFonts w:ascii="宋体"/>
                <w:sz w:val="14"/>
              </w:rPr>
            </w:pPr>
            <w:r>
              <w:rPr>
                <w:rFonts w:ascii="宋体"/>
                <w:sz w:val="14"/>
              </w:rPr>
              <w:t>2.6</w:t>
            </w:r>
          </w:p>
        </w:tc>
        <w:tc>
          <w:tcPr>
            <w:tcW w:w="1270" w:type="dxa"/>
          </w:tcPr>
          <w:p>
            <w:pPr>
              <w:pStyle w:val="TableParagraph"/>
              <w:ind w:left="537"/>
              <w:jc w:val="left"/>
              <w:rPr>
                <w:rFonts w:ascii="宋体"/>
                <w:sz w:val="14"/>
              </w:rPr>
            </w:pPr>
            <w:r>
              <w:rPr>
                <w:rFonts w:ascii="宋体"/>
                <w:sz w:val="14"/>
              </w:rPr>
              <w:t>3.5</w:t>
            </w:r>
          </w:p>
        </w:tc>
        <w:tc>
          <w:tcPr>
            <w:tcW w:w="1270" w:type="dxa"/>
          </w:tcPr>
          <w:p>
            <w:pPr>
              <w:pStyle w:val="TableParagraph"/>
              <w:ind w:right="500"/>
              <w:jc w:val="right"/>
              <w:rPr>
                <w:rFonts w:ascii="宋体"/>
                <w:sz w:val="14"/>
              </w:rPr>
            </w:pPr>
            <w:r>
              <w:rPr>
                <w:rFonts w:ascii="宋体"/>
                <w:sz w:val="14"/>
              </w:rPr>
              <w:t>4.6</w:t>
            </w:r>
          </w:p>
        </w:tc>
        <w:tc>
          <w:tcPr>
            <w:tcW w:w="1270" w:type="dxa"/>
          </w:tcPr>
          <w:p>
            <w:pPr>
              <w:pStyle w:val="TableParagraph"/>
              <w:ind w:left="424" w:right="388"/>
              <w:rPr>
                <w:rFonts w:ascii="宋体"/>
                <w:sz w:val="14"/>
              </w:rPr>
            </w:pPr>
            <w:r>
              <w:rPr>
                <w:rFonts w:ascii="宋体"/>
                <w:sz w:val="14"/>
              </w:rPr>
              <w:t>38</w:t>
            </w:r>
          </w:p>
        </w:tc>
        <w:tc>
          <w:tcPr>
            <w:tcW w:w="1270" w:type="dxa"/>
          </w:tcPr>
          <w:p>
            <w:pPr>
              <w:pStyle w:val="TableParagraph"/>
              <w:ind w:left="424" w:right="386"/>
              <w:rPr>
                <w:rFonts w:ascii="宋体"/>
                <w:sz w:val="14"/>
              </w:rPr>
            </w:pPr>
            <w:r>
              <w:rPr>
                <w:rFonts w:ascii="宋体"/>
                <w:sz w:val="14"/>
              </w:rPr>
              <w:t>29</w:t>
            </w:r>
          </w:p>
        </w:tc>
        <w:tc>
          <w:tcPr>
            <w:tcW w:w="1264" w:type="dxa"/>
          </w:tcPr>
          <w:p>
            <w:pPr>
              <w:pStyle w:val="TableParagraph"/>
              <w:ind w:left="427" w:right="384"/>
              <w:rPr>
                <w:rFonts w:ascii="宋体"/>
                <w:sz w:val="14"/>
              </w:rPr>
            </w:pPr>
            <w:r>
              <w:rPr>
                <w:rFonts w:ascii="宋体"/>
                <w:sz w:val="14"/>
              </w:rPr>
              <w:t>22</w:t>
            </w:r>
          </w:p>
        </w:tc>
      </w:tr>
      <w:tr>
        <w:trPr>
          <w:trHeight w:val="168" w:hRule="atLeast"/>
        </w:trPr>
        <w:tc>
          <w:tcPr>
            <w:tcW w:w="2175" w:type="dxa"/>
          </w:tcPr>
          <w:p>
            <w:pPr>
              <w:pStyle w:val="TableParagraph"/>
              <w:ind w:left="644" w:right="628"/>
              <w:rPr>
                <w:rFonts w:ascii="宋体" w:eastAsia="宋体" w:hint="eastAsia"/>
                <w:sz w:val="14"/>
              </w:rPr>
            </w:pPr>
            <w:r>
              <w:rPr>
                <w:rFonts w:ascii="宋体" w:eastAsia="宋体" w:hint="eastAsia"/>
                <w:sz w:val="14"/>
              </w:rPr>
              <w:t>中药</w:t>
            </w:r>
          </w:p>
        </w:tc>
        <w:tc>
          <w:tcPr>
            <w:tcW w:w="2028" w:type="dxa"/>
          </w:tcPr>
          <w:p>
            <w:pPr>
              <w:pStyle w:val="TableParagraph"/>
              <w:ind w:left="678" w:right="659"/>
              <w:rPr>
                <w:rFonts w:ascii="宋体"/>
                <w:sz w:val="14"/>
              </w:rPr>
            </w:pPr>
            <w:r>
              <w:rPr>
                <w:rFonts w:ascii="宋体"/>
                <w:sz w:val="14"/>
              </w:rPr>
              <w:t>600329.SH</w:t>
            </w:r>
          </w:p>
        </w:tc>
        <w:tc>
          <w:tcPr>
            <w:tcW w:w="2107" w:type="dxa"/>
          </w:tcPr>
          <w:p>
            <w:pPr>
              <w:pStyle w:val="TableParagraph"/>
              <w:ind w:left="753" w:right="733"/>
              <w:rPr>
                <w:rFonts w:ascii="宋体" w:eastAsia="宋体" w:hint="eastAsia"/>
                <w:sz w:val="14"/>
              </w:rPr>
            </w:pPr>
            <w:r>
              <w:rPr>
                <w:rFonts w:ascii="宋体" w:eastAsia="宋体" w:hint="eastAsia"/>
                <w:sz w:val="14"/>
              </w:rPr>
              <w:t>达仁堂</w:t>
            </w:r>
          </w:p>
        </w:tc>
        <w:tc>
          <w:tcPr>
            <w:tcW w:w="1514" w:type="dxa"/>
          </w:tcPr>
          <w:p>
            <w:pPr>
              <w:pStyle w:val="TableParagraph"/>
              <w:ind w:left="636" w:right="607"/>
              <w:rPr>
                <w:rFonts w:ascii="宋体"/>
                <w:sz w:val="14"/>
              </w:rPr>
            </w:pPr>
            <w:r>
              <w:rPr>
                <w:rFonts w:ascii="宋体"/>
                <w:sz w:val="14"/>
              </w:rPr>
              <w:t>233</w:t>
            </w:r>
          </w:p>
        </w:tc>
        <w:tc>
          <w:tcPr>
            <w:tcW w:w="1270" w:type="dxa"/>
          </w:tcPr>
          <w:p>
            <w:pPr>
              <w:pStyle w:val="TableParagraph"/>
              <w:ind w:left="419" w:right="390"/>
              <w:rPr>
                <w:rFonts w:ascii="宋体"/>
                <w:sz w:val="14"/>
              </w:rPr>
            </w:pPr>
            <w:r>
              <w:rPr>
                <w:rFonts w:ascii="宋体"/>
                <w:sz w:val="14"/>
              </w:rPr>
              <w:t>10.8</w:t>
            </w:r>
          </w:p>
        </w:tc>
        <w:tc>
          <w:tcPr>
            <w:tcW w:w="1270" w:type="dxa"/>
          </w:tcPr>
          <w:p>
            <w:pPr>
              <w:pStyle w:val="TableParagraph"/>
              <w:ind w:left="501"/>
              <w:jc w:val="left"/>
              <w:rPr>
                <w:rFonts w:ascii="宋体"/>
                <w:sz w:val="14"/>
              </w:rPr>
            </w:pPr>
            <w:r>
              <w:rPr>
                <w:rFonts w:ascii="宋体"/>
                <w:sz w:val="14"/>
              </w:rPr>
              <w:t>13.4</w:t>
            </w:r>
          </w:p>
        </w:tc>
        <w:tc>
          <w:tcPr>
            <w:tcW w:w="1270" w:type="dxa"/>
          </w:tcPr>
          <w:p>
            <w:pPr>
              <w:pStyle w:val="TableParagraph"/>
              <w:ind w:right="467"/>
              <w:jc w:val="right"/>
              <w:rPr>
                <w:rFonts w:ascii="宋体"/>
                <w:sz w:val="14"/>
              </w:rPr>
            </w:pPr>
            <w:r>
              <w:rPr>
                <w:rFonts w:ascii="宋体"/>
                <w:sz w:val="14"/>
              </w:rPr>
              <w:t>16.6</w:t>
            </w:r>
          </w:p>
        </w:tc>
        <w:tc>
          <w:tcPr>
            <w:tcW w:w="1270" w:type="dxa"/>
          </w:tcPr>
          <w:p>
            <w:pPr>
              <w:pStyle w:val="TableParagraph"/>
              <w:ind w:left="424" w:right="388"/>
              <w:rPr>
                <w:rFonts w:ascii="宋体"/>
                <w:sz w:val="14"/>
              </w:rPr>
            </w:pPr>
            <w:r>
              <w:rPr>
                <w:rFonts w:ascii="宋体"/>
                <w:sz w:val="14"/>
              </w:rPr>
              <w:t>22</w:t>
            </w:r>
          </w:p>
        </w:tc>
        <w:tc>
          <w:tcPr>
            <w:tcW w:w="1270" w:type="dxa"/>
          </w:tcPr>
          <w:p>
            <w:pPr>
              <w:pStyle w:val="TableParagraph"/>
              <w:ind w:left="424" w:right="386"/>
              <w:rPr>
                <w:rFonts w:ascii="宋体"/>
                <w:sz w:val="14"/>
              </w:rPr>
            </w:pPr>
            <w:r>
              <w:rPr>
                <w:rFonts w:ascii="宋体"/>
                <w:sz w:val="14"/>
              </w:rPr>
              <w:t>17</w:t>
            </w:r>
          </w:p>
        </w:tc>
        <w:tc>
          <w:tcPr>
            <w:tcW w:w="1264" w:type="dxa"/>
          </w:tcPr>
          <w:p>
            <w:pPr>
              <w:pStyle w:val="TableParagraph"/>
              <w:ind w:left="427" w:right="384"/>
              <w:rPr>
                <w:rFonts w:ascii="宋体"/>
                <w:sz w:val="14"/>
              </w:rPr>
            </w:pPr>
            <w:r>
              <w:rPr>
                <w:rFonts w:ascii="宋体"/>
                <w:sz w:val="14"/>
              </w:rPr>
              <w:t>14</w:t>
            </w:r>
          </w:p>
        </w:tc>
      </w:tr>
      <w:tr>
        <w:trPr>
          <w:trHeight w:val="168" w:hRule="atLeast"/>
        </w:trPr>
        <w:tc>
          <w:tcPr>
            <w:tcW w:w="2175" w:type="dxa"/>
          </w:tcPr>
          <w:p>
            <w:pPr>
              <w:pStyle w:val="TableParagraph"/>
              <w:ind w:left="644" w:right="628"/>
              <w:rPr>
                <w:rFonts w:ascii="宋体" w:eastAsia="宋体" w:hint="eastAsia"/>
                <w:sz w:val="14"/>
              </w:rPr>
            </w:pPr>
            <w:r>
              <w:rPr>
                <w:rFonts w:ascii="宋体" w:eastAsia="宋体" w:hint="eastAsia"/>
                <w:sz w:val="14"/>
              </w:rPr>
              <w:t>中药</w:t>
            </w:r>
          </w:p>
        </w:tc>
        <w:tc>
          <w:tcPr>
            <w:tcW w:w="2028" w:type="dxa"/>
          </w:tcPr>
          <w:p>
            <w:pPr>
              <w:pStyle w:val="TableParagraph"/>
              <w:ind w:left="678" w:right="659"/>
              <w:rPr>
                <w:rFonts w:ascii="宋体"/>
                <w:sz w:val="14"/>
              </w:rPr>
            </w:pPr>
            <w:r>
              <w:rPr>
                <w:rFonts w:ascii="宋体"/>
                <w:sz w:val="14"/>
              </w:rPr>
              <w:t>600572.SH</w:t>
            </w:r>
          </w:p>
        </w:tc>
        <w:tc>
          <w:tcPr>
            <w:tcW w:w="2107" w:type="dxa"/>
          </w:tcPr>
          <w:p>
            <w:pPr>
              <w:pStyle w:val="TableParagraph"/>
              <w:ind w:left="753" w:right="733"/>
              <w:rPr>
                <w:rFonts w:ascii="宋体" w:eastAsia="宋体" w:hint="eastAsia"/>
                <w:sz w:val="14"/>
              </w:rPr>
            </w:pPr>
            <w:r>
              <w:rPr>
                <w:rFonts w:ascii="宋体" w:eastAsia="宋体" w:hint="eastAsia"/>
                <w:sz w:val="14"/>
              </w:rPr>
              <w:t>康恩贝</w:t>
            </w:r>
          </w:p>
        </w:tc>
        <w:tc>
          <w:tcPr>
            <w:tcW w:w="1514" w:type="dxa"/>
          </w:tcPr>
          <w:p>
            <w:pPr>
              <w:pStyle w:val="TableParagraph"/>
              <w:ind w:left="636" w:right="607"/>
              <w:rPr>
                <w:rFonts w:ascii="宋体"/>
                <w:sz w:val="14"/>
              </w:rPr>
            </w:pPr>
            <w:r>
              <w:rPr>
                <w:rFonts w:ascii="宋体"/>
                <w:sz w:val="14"/>
              </w:rPr>
              <w:t>125</w:t>
            </w:r>
          </w:p>
        </w:tc>
        <w:tc>
          <w:tcPr>
            <w:tcW w:w="1270" w:type="dxa"/>
          </w:tcPr>
          <w:p>
            <w:pPr>
              <w:pStyle w:val="TableParagraph"/>
              <w:ind w:left="421" w:right="390"/>
              <w:rPr>
                <w:rFonts w:ascii="宋体"/>
                <w:sz w:val="14"/>
              </w:rPr>
            </w:pPr>
            <w:r>
              <w:rPr>
                <w:rFonts w:ascii="宋体"/>
                <w:sz w:val="14"/>
              </w:rPr>
              <w:t>7.0</w:t>
            </w:r>
          </w:p>
        </w:tc>
        <w:tc>
          <w:tcPr>
            <w:tcW w:w="1270" w:type="dxa"/>
          </w:tcPr>
          <w:p>
            <w:pPr>
              <w:pStyle w:val="TableParagraph"/>
              <w:ind w:left="537"/>
              <w:jc w:val="left"/>
              <w:rPr>
                <w:rFonts w:ascii="宋体"/>
                <w:sz w:val="14"/>
              </w:rPr>
            </w:pPr>
            <w:r>
              <w:rPr>
                <w:rFonts w:ascii="宋体"/>
                <w:sz w:val="14"/>
              </w:rPr>
              <w:t>8.6</w:t>
            </w:r>
          </w:p>
        </w:tc>
        <w:tc>
          <w:tcPr>
            <w:tcW w:w="1270" w:type="dxa"/>
          </w:tcPr>
          <w:p>
            <w:pPr>
              <w:pStyle w:val="TableParagraph"/>
              <w:ind w:right="467"/>
              <w:jc w:val="right"/>
              <w:rPr>
                <w:rFonts w:ascii="宋体"/>
                <w:sz w:val="14"/>
              </w:rPr>
            </w:pPr>
            <w:r>
              <w:rPr>
                <w:rFonts w:ascii="宋体"/>
                <w:sz w:val="14"/>
              </w:rPr>
              <w:t>10.2</w:t>
            </w:r>
          </w:p>
        </w:tc>
        <w:tc>
          <w:tcPr>
            <w:tcW w:w="1270" w:type="dxa"/>
          </w:tcPr>
          <w:p>
            <w:pPr>
              <w:pStyle w:val="TableParagraph"/>
              <w:ind w:left="424" w:right="388"/>
              <w:rPr>
                <w:rFonts w:ascii="宋体"/>
                <w:sz w:val="14"/>
              </w:rPr>
            </w:pPr>
            <w:r>
              <w:rPr>
                <w:rFonts w:ascii="宋体"/>
                <w:sz w:val="14"/>
              </w:rPr>
              <w:t>18</w:t>
            </w:r>
          </w:p>
        </w:tc>
        <w:tc>
          <w:tcPr>
            <w:tcW w:w="1270" w:type="dxa"/>
          </w:tcPr>
          <w:p>
            <w:pPr>
              <w:pStyle w:val="TableParagraph"/>
              <w:ind w:left="424" w:right="386"/>
              <w:rPr>
                <w:rFonts w:ascii="宋体"/>
                <w:sz w:val="14"/>
              </w:rPr>
            </w:pPr>
            <w:r>
              <w:rPr>
                <w:rFonts w:ascii="宋体"/>
                <w:sz w:val="14"/>
              </w:rPr>
              <w:t>15</w:t>
            </w:r>
          </w:p>
        </w:tc>
        <w:tc>
          <w:tcPr>
            <w:tcW w:w="1264" w:type="dxa"/>
          </w:tcPr>
          <w:p>
            <w:pPr>
              <w:pStyle w:val="TableParagraph"/>
              <w:ind w:left="427" w:right="384"/>
              <w:rPr>
                <w:rFonts w:ascii="宋体"/>
                <w:sz w:val="14"/>
              </w:rPr>
            </w:pPr>
            <w:r>
              <w:rPr>
                <w:rFonts w:ascii="宋体"/>
                <w:sz w:val="14"/>
              </w:rPr>
              <w:t>12</w:t>
            </w:r>
          </w:p>
        </w:tc>
      </w:tr>
      <w:tr>
        <w:trPr>
          <w:trHeight w:val="168" w:hRule="atLeast"/>
        </w:trPr>
        <w:tc>
          <w:tcPr>
            <w:tcW w:w="2175" w:type="dxa"/>
          </w:tcPr>
          <w:p>
            <w:pPr>
              <w:pStyle w:val="TableParagraph"/>
              <w:ind w:left="644" w:right="628"/>
              <w:rPr>
                <w:rFonts w:ascii="宋体" w:eastAsia="宋体" w:hint="eastAsia"/>
                <w:sz w:val="14"/>
              </w:rPr>
            </w:pPr>
            <w:r>
              <w:rPr>
                <w:rFonts w:ascii="宋体" w:eastAsia="宋体" w:hint="eastAsia"/>
                <w:sz w:val="14"/>
              </w:rPr>
              <w:t>中药</w:t>
            </w:r>
          </w:p>
        </w:tc>
        <w:tc>
          <w:tcPr>
            <w:tcW w:w="2028" w:type="dxa"/>
          </w:tcPr>
          <w:p>
            <w:pPr>
              <w:pStyle w:val="TableParagraph"/>
              <w:ind w:left="678" w:right="659"/>
              <w:rPr>
                <w:rFonts w:ascii="宋体"/>
                <w:sz w:val="14"/>
              </w:rPr>
            </w:pPr>
            <w:r>
              <w:rPr>
                <w:rFonts w:ascii="宋体"/>
                <w:sz w:val="14"/>
              </w:rPr>
              <w:t>600129.SH</w:t>
            </w:r>
          </w:p>
        </w:tc>
        <w:tc>
          <w:tcPr>
            <w:tcW w:w="2107" w:type="dxa"/>
          </w:tcPr>
          <w:p>
            <w:pPr>
              <w:pStyle w:val="TableParagraph"/>
              <w:ind w:left="753" w:right="733"/>
              <w:rPr>
                <w:rFonts w:ascii="宋体" w:eastAsia="宋体" w:hint="eastAsia"/>
                <w:sz w:val="14"/>
              </w:rPr>
            </w:pPr>
            <w:r>
              <w:rPr>
                <w:rFonts w:ascii="宋体" w:eastAsia="宋体" w:hint="eastAsia"/>
                <w:sz w:val="14"/>
              </w:rPr>
              <w:t>太极集团</w:t>
            </w:r>
          </w:p>
        </w:tc>
        <w:tc>
          <w:tcPr>
            <w:tcW w:w="1514" w:type="dxa"/>
          </w:tcPr>
          <w:p>
            <w:pPr>
              <w:pStyle w:val="TableParagraph"/>
              <w:ind w:left="636" w:right="607"/>
              <w:rPr>
                <w:rFonts w:ascii="宋体"/>
                <w:sz w:val="14"/>
              </w:rPr>
            </w:pPr>
            <w:r>
              <w:rPr>
                <w:rFonts w:ascii="宋体"/>
                <w:sz w:val="14"/>
              </w:rPr>
              <w:t>206</w:t>
            </w:r>
          </w:p>
        </w:tc>
        <w:tc>
          <w:tcPr>
            <w:tcW w:w="1270" w:type="dxa"/>
          </w:tcPr>
          <w:p>
            <w:pPr>
              <w:pStyle w:val="TableParagraph"/>
              <w:ind w:left="421" w:right="390"/>
              <w:rPr>
                <w:rFonts w:ascii="宋体"/>
                <w:sz w:val="14"/>
              </w:rPr>
            </w:pPr>
            <w:r>
              <w:rPr>
                <w:rFonts w:ascii="宋体"/>
                <w:sz w:val="14"/>
              </w:rPr>
              <w:t>9.1</w:t>
            </w:r>
          </w:p>
        </w:tc>
        <w:tc>
          <w:tcPr>
            <w:tcW w:w="1270" w:type="dxa"/>
          </w:tcPr>
          <w:p>
            <w:pPr>
              <w:pStyle w:val="TableParagraph"/>
              <w:ind w:left="501"/>
              <w:jc w:val="left"/>
              <w:rPr>
                <w:rFonts w:ascii="宋体"/>
                <w:sz w:val="14"/>
              </w:rPr>
            </w:pPr>
            <w:r>
              <w:rPr>
                <w:rFonts w:ascii="宋体"/>
                <w:sz w:val="14"/>
              </w:rPr>
              <w:t>11.9</w:t>
            </w:r>
          </w:p>
        </w:tc>
        <w:tc>
          <w:tcPr>
            <w:tcW w:w="1270" w:type="dxa"/>
          </w:tcPr>
          <w:p>
            <w:pPr>
              <w:pStyle w:val="TableParagraph"/>
              <w:ind w:right="467"/>
              <w:jc w:val="right"/>
              <w:rPr>
                <w:rFonts w:ascii="宋体"/>
                <w:sz w:val="14"/>
              </w:rPr>
            </w:pPr>
            <w:r>
              <w:rPr>
                <w:rFonts w:ascii="宋体"/>
                <w:sz w:val="14"/>
              </w:rPr>
              <w:t>15.4</w:t>
            </w:r>
          </w:p>
        </w:tc>
        <w:tc>
          <w:tcPr>
            <w:tcW w:w="1270" w:type="dxa"/>
          </w:tcPr>
          <w:p>
            <w:pPr>
              <w:pStyle w:val="TableParagraph"/>
              <w:ind w:left="424" w:right="388"/>
              <w:rPr>
                <w:rFonts w:ascii="宋体"/>
                <w:sz w:val="14"/>
              </w:rPr>
            </w:pPr>
            <w:r>
              <w:rPr>
                <w:rFonts w:ascii="宋体"/>
                <w:sz w:val="14"/>
              </w:rPr>
              <w:t>23</w:t>
            </w:r>
          </w:p>
        </w:tc>
        <w:tc>
          <w:tcPr>
            <w:tcW w:w="1270" w:type="dxa"/>
          </w:tcPr>
          <w:p>
            <w:pPr>
              <w:pStyle w:val="TableParagraph"/>
              <w:ind w:left="424" w:right="386"/>
              <w:rPr>
                <w:rFonts w:ascii="宋体"/>
                <w:sz w:val="14"/>
              </w:rPr>
            </w:pPr>
            <w:r>
              <w:rPr>
                <w:rFonts w:ascii="宋体"/>
                <w:sz w:val="14"/>
              </w:rPr>
              <w:t>17</w:t>
            </w:r>
          </w:p>
        </w:tc>
        <w:tc>
          <w:tcPr>
            <w:tcW w:w="1264" w:type="dxa"/>
          </w:tcPr>
          <w:p>
            <w:pPr>
              <w:pStyle w:val="TableParagraph"/>
              <w:ind w:left="427" w:right="384"/>
              <w:rPr>
                <w:rFonts w:ascii="宋体"/>
                <w:sz w:val="14"/>
              </w:rPr>
            </w:pPr>
            <w:r>
              <w:rPr>
                <w:rFonts w:ascii="宋体"/>
                <w:sz w:val="14"/>
              </w:rPr>
              <w:t>13</w:t>
            </w:r>
          </w:p>
        </w:tc>
      </w:tr>
      <w:tr>
        <w:trPr>
          <w:trHeight w:val="168" w:hRule="atLeast"/>
        </w:trPr>
        <w:tc>
          <w:tcPr>
            <w:tcW w:w="2175" w:type="dxa"/>
          </w:tcPr>
          <w:p>
            <w:pPr>
              <w:pStyle w:val="TableParagraph"/>
              <w:ind w:left="644" w:right="628"/>
              <w:rPr>
                <w:rFonts w:ascii="宋体" w:eastAsia="宋体" w:hint="eastAsia"/>
                <w:sz w:val="14"/>
              </w:rPr>
            </w:pPr>
            <w:r>
              <w:rPr>
                <w:rFonts w:ascii="宋体" w:eastAsia="宋体" w:hint="eastAsia"/>
                <w:sz w:val="14"/>
              </w:rPr>
              <w:t>化药</w:t>
            </w:r>
          </w:p>
        </w:tc>
        <w:tc>
          <w:tcPr>
            <w:tcW w:w="2028" w:type="dxa"/>
          </w:tcPr>
          <w:p>
            <w:pPr>
              <w:pStyle w:val="TableParagraph"/>
              <w:ind w:left="678" w:right="659"/>
              <w:rPr>
                <w:rFonts w:ascii="宋体"/>
                <w:sz w:val="14"/>
              </w:rPr>
            </w:pPr>
            <w:r>
              <w:rPr>
                <w:rFonts w:ascii="宋体"/>
                <w:sz w:val="14"/>
              </w:rPr>
              <w:t>002294.SZ</w:t>
            </w:r>
          </w:p>
        </w:tc>
        <w:tc>
          <w:tcPr>
            <w:tcW w:w="2107" w:type="dxa"/>
          </w:tcPr>
          <w:p>
            <w:pPr>
              <w:pStyle w:val="TableParagraph"/>
              <w:ind w:left="753" w:right="733"/>
              <w:rPr>
                <w:rFonts w:ascii="宋体" w:eastAsia="宋体" w:hint="eastAsia"/>
                <w:sz w:val="14"/>
              </w:rPr>
            </w:pPr>
            <w:r>
              <w:rPr>
                <w:rFonts w:ascii="宋体" w:eastAsia="宋体" w:hint="eastAsia"/>
                <w:sz w:val="14"/>
              </w:rPr>
              <w:t>信立泰</w:t>
            </w:r>
          </w:p>
        </w:tc>
        <w:tc>
          <w:tcPr>
            <w:tcW w:w="1514" w:type="dxa"/>
          </w:tcPr>
          <w:p>
            <w:pPr>
              <w:pStyle w:val="TableParagraph"/>
              <w:ind w:left="636" w:right="607"/>
              <w:rPr>
                <w:rFonts w:ascii="宋体"/>
                <w:sz w:val="14"/>
              </w:rPr>
            </w:pPr>
            <w:r>
              <w:rPr>
                <w:rFonts w:ascii="宋体"/>
                <w:sz w:val="14"/>
              </w:rPr>
              <w:t>317</w:t>
            </w:r>
          </w:p>
        </w:tc>
        <w:tc>
          <w:tcPr>
            <w:tcW w:w="1270" w:type="dxa"/>
          </w:tcPr>
          <w:p>
            <w:pPr>
              <w:pStyle w:val="TableParagraph"/>
              <w:ind w:left="421" w:right="390"/>
              <w:rPr>
                <w:rFonts w:ascii="宋体"/>
                <w:sz w:val="14"/>
              </w:rPr>
            </w:pPr>
            <w:r>
              <w:rPr>
                <w:rFonts w:ascii="宋体"/>
                <w:sz w:val="14"/>
              </w:rPr>
              <w:t>6.8</w:t>
            </w:r>
          </w:p>
        </w:tc>
        <w:tc>
          <w:tcPr>
            <w:tcW w:w="1270" w:type="dxa"/>
          </w:tcPr>
          <w:p>
            <w:pPr>
              <w:pStyle w:val="TableParagraph"/>
              <w:ind w:left="537"/>
              <w:jc w:val="left"/>
              <w:rPr>
                <w:rFonts w:ascii="宋体"/>
                <w:sz w:val="14"/>
              </w:rPr>
            </w:pPr>
            <w:r>
              <w:rPr>
                <w:rFonts w:ascii="宋体"/>
                <w:sz w:val="14"/>
              </w:rPr>
              <w:t>7.6</w:t>
            </w:r>
          </w:p>
        </w:tc>
        <w:tc>
          <w:tcPr>
            <w:tcW w:w="1270" w:type="dxa"/>
          </w:tcPr>
          <w:p>
            <w:pPr>
              <w:pStyle w:val="TableParagraph"/>
              <w:ind w:right="500"/>
              <w:jc w:val="right"/>
              <w:rPr>
                <w:rFonts w:ascii="宋体"/>
                <w:sz w:val="14"/>
              </w:rPr>
            </w:pPr>
            <w:r>
              <w:rPr>
                <w:rFonts w:ascii="宋体"/>
                <w:sz w:val="14"/>
              </w:rPr>
              <w:t>8.8</w:t>
            </w:r>
          </w:p>
        </w:tc>
        <w:tc>
          <w:tcPr>
            <w:tcW w:w="1270" w:type="dxa"/>
          </w:tcPr>
          <w:p>
            <w:pPr>
              <w:pStyle w:val="TableParagraph"/>
              <w:ind w:left="424" w:right="388"/>
              <w:rPr>
                <w:rFonts w:ascii="宋体"/>
                <w:sz w:val="14"/>
              </w:rPr>
            </w:pPr>
            <w:r>
              <w:rPr>
                <w:rFonts w:ascii="宋体"/>
                <w:sz w:val="14"/>
              </w:rPr>
              <w:t>47</w:t>
            </w:r>
          </w:p>
        </w:tc>
        <w:tc>
          <w:tcPr>
            <w:tcW w:w="1270" w:type="dxa"/>
          </w:tcPr>
          <w:p>
            <w:pPr>
              <w:pStyle w:val="TableParagraph"/>
              <w:ind w:left="424" w:right="386"/>
              <w:rPr>
                <w:rFonts w:ascii="宋体"/>
                <w:sz w:val="14"/>
              </w:rPr>
            </w:pPr>
            <w:r>
              <w:rPr>
                <w:rFonts w:ascii="宋体"/>
                <w:sz w:val="14"/>
              </w:rPr>
              <w:t>42</w:t>
            </w:r>
          </w:p>
        </w:tc>
        <w:tc>
          <w:tcPr>
            <w:tcW w:w="1264" w:type="dxa"/>
          </w:tcPr>
          <w:p>
            <w:pPr>
              <w:pStyle w:val="TableParagraph"/>
              <w:ind w:left="427" w:right="384"/>
              <w:rPr>
                <w:rFonts w:ascii="宋体"/>
                <w:sz w:val="14"/>
              </w:rPr>
            </w:pPr>
            <w:r>
              <w:rPr>
                <w:rFonts w:ascii="宋体"/>
                <w:sz w:val="14"/>
              </w:rPr>
              <w:t>36</w:t>
            </w:r>
          </w:p>
        </w:tc>
      </w:tr>
      <w:tr>
        <w:trPr>
          <w:trHeight w:val="168" w:hRule="atLeast"/>
        </w:trPr>
        <w:tc>
          <w:tcPr>
            <w:tcW w:w="2175" w:type="dxa"/>
          </w:tcPr>
          <w:p>
            <w:pPr>
              <w:pStyle w:val="TableParagraph"/>
              <w:ind w:left="644" w:right="628"/>
              <w:rPr>
                <w:rFonts w:ascii="宋体" w:eastAsia="宋体" w:hint="eastAsia"/>
                <w:sz w:val="14"/>
              </w:rPr>
            </w:pPr>
            <w:r>
              <w:rPr>
                <w:rFonts w:ascii="宋体" w:eastAsia="宋体" w:hint="eastAsia"/>
                <w:sz w:val="14"/>
              </w:rPr>
              <w:t>化药</w:t>
            </w:r>
          </w:p>
        </w:tc>
        <w:tc>
          <w:tcPr>
            <w:tcW w:w="2028" w:type="dxa"/>
          </w:tcPr>
          <w:p>
            <w:pPr>
              <w:pStyle w:val="TableParagraph"/>
              <w:ind w:left="678" w:right="659"/>
              <w:rPr>
                <w:rFonts w:ascii="宋体"/>
                <w:sz w:val="14"/>
              </w:rPr>
            </w:pPr>
            <w:r>
              <w:rPr>
                <w:rFonts w:ascii="宋体"/>
                <w:sz w:val="14"/>
              </w:rPr>
              <w:t>000963.SZ</w:t>
            </w:r>
          </w:p>
        </w:tc>
        <w:tc>
          <w:tcPr>
            <w:tcW w:w="2107" w:type="dxa"/>
          </w:tcPr>
          <w:p>
            <w:pPr>
              <w:pStyle w:val="TableParagraph"/>
              <w:ind w:left="753" w:right="733"/>
              <w:rPr>
                <w:rFonts w:ascii="宋体" w:eastAsia="宋体" w:hint="eastAsia"/>
                <w:sz w:val="14"/>
              </w:rPr>
            </w:pPr>
            <w:r>
              <w:rPr>
                <w:rFonts w:ascii="宋体" w:eastAsia="宋体" w:hint="eastAsia"/>
                <w:sz w:val="14"/>
              </w:rPr>
              <w:t>华东医药</w:t>
            </w:r>
          </w:p>
        </w:tc>
        <w:tc>
          <w:tcPr>
            <w:tcW w:w="1514" w:type="dxa"/>
          </w:tcPr>
          <w:p>
            <w:pPr>
              <w:pStyle w:val="TableParagraph"/>
              <w:ind w:left="636" w:right="607"/>
              <w:rPr>
                <w:rFonts w:ascii="宋体"/>
                <w:sz w:val="14"/>
              </w:rPr>
            </w:pPr>
            <w:r>
              <w:rPr>
                <w:rFonts w:ascii="宋体"/>
                <w:sz w:val="14"/>
              </w:rPr>
              <w:t>705</w:t>
            </w:r>
          </w:p>
        </w:tc>
        <w:tc>
          <w:tcPr>
            <w:tcW w:w="1270" w:type="dxa"/>
          </w:tcPr>
          <w:p>
            <w:pPr>
              <w:pStyle w:val="TableParagraph"/>
              <w:ind w:left="419" w:right="390"/>
              <w:rPr>
                <w:rFonts w:ascii="宋体"/>
                <w:sz w:val="14"/>
              </w:rPr>
            </w:pPr>
            <w:r>
              <w:rPr>
                <w:rFonts w:ascii="宋体"/>
                <w:sz w:val="14"/>
              </w:rPr>
              <w:t>30.2</w:t>
            </w:r>
          </w:p>
        </w:tc>
        <w:tc>
          <w:tcPr>
            <w:tcW w:w="1270" w:type="dxa"/>
          </w:tcPr>
          <w:p>
            <w:pPr>
              <w:pStyle w:val="TableParagraph"/>
              <w:ind w:left="501"/>
              <w:jc w:val="left"/>
              <w:rPr>
                <w:rFonts w:ascii="宋体"/>
                <w:sz w:val="14"/>
              </w:rPr>
            </w:pPr>
            <w:r>
              <w:rPr>
                <w:rFonts w:ascii="宋体"/>
                <w:sz w:val="14"/>
              </w:rPr>
              <w:t>36.8</w:t>
            </w:r>
          </w:p>
        </w:tc>
        <w:tc>
          <w:tcPr>
            <w:tcW w:w="1270" w:type="dxa"/>
          </w:tcPr>
          <w:p>
            <w:pPr>
              <w:pStyle w:val="TableParagraph"/>
              <w:ind w:right="467"/>
              <w:jc w:val="right"/>
              <w:rPr>
                <w:rFonts w:ascii="宋体"/>
                <w:sz w:val="14"/>
              </w:rPr>
            </w:pPr>
            <w:r>
              <w:rPr>
                <w:rFonts w:ascii="宋体"/>
                <w:sz w:val="14"/>
              </w:rPr>
              <w:t>45.6</w:t>
            </w:r>
          </w:p>
        </w:tc>
        <w:tc>
          <w:tcPr>
            <w:tcW w:w="1270" w:type="dxa"/>
          </w:tcPr>
          <w:p>
            <w:pPr>
              <w:pStyle w:val="TableParagraph"/>
              <w:ind w:left="424" w:right="388"/>
              <w:rPr>
                <w:rFonts w:ascii="宋体"/>
                <w:sz w:val="14"/>
              </w:rPr>
            </w:pPr>
            <w:r>
              <w:rPr>
                <w:rFonts w:ascii="宋体"/>
                <w:sz w:val="14"/>
              </w:rPr>
              <w:t>23</w:t>
            </w:r>
          </w:p>
        </w:tc>
        <w:tc>
          <w:tcPr>
            <w:tcW w:w="1270" w:type="dxa"/>
          </w:tcPr>
          <w:p>
            <w:pPr>
              <w:pStyle w:val="TableParagraph"/>
              <w:ind w:left="424" w:right="386"/>
              <w:rPr>
                <w:rFonts w:ascii="宋体"/>
                <w:sz w:val="14"/>
              </w:rPr>
            </w:pPr>
            <w:r>
              <w:rPr>
                <w:rFonts w:ascii="宋体"/>
                <w:sz w:val="14"/>
              </w:rPr>
              <w:t>19</w:t>
            </w:r>
          </w:p>
        </w:tc>
        <w:tc>
          <w:tcPr>
            <w:tcW w:w="1264" w:type="dxa"/>
          </w:tcPr>
          <w:p>
            <w:pPr>
              <w:pStyle w:val="TableParagraph"/>
              <w:ind w:left="427" w:right="384"/>
              <w:rPr>
                <w:rFonts w:ascii="宋体"/>
                <w:sz w:val="14"/>
              </w:rPr>
            </w:pPr>
            <w:r>
              <w:rPr>
                <w:rFonts w:ascii="宋体"/>
                <w:sz w:val="14"/>
              </w:rPr>
              <w:t>15</w:t>
            </w:r>
          </w:p>
        </w:tc>
      </w:tr>
      <w:tr>
        <w:trPr>
          <w:trHeight w:val="168" w:hRule="atLeast"/>
        </w:trPr>
        <w:tc>
          <w:tcPr>
            <w:tcW w:w="2175" w:type="dxa"/>
          </w:tcPr>
          <w:p>
            <w:pPr>
              <w:pStyle w:val="TableParagraph"/>
              <w:ind w:left="644" w:right="628"/>
              <w:rPr>
                <w:rFonts w:ascii="宋体" w:eastAsia="宋体" w:hint="eastAsia"/>
                <w:sz w:val="14"/>
              </w:rPr>
            </w:pPr>
            <w:r>
              <w:rPr>
                <w:rFonts w:ascii="宋体" w:eastAsia="宋体" w:hint="eastAsia"/>
                <w:sz w:val="14"/>
              </w:rPr>
              <w:t>生物制品</w:t>
            </w:r>
          </w:p>
        </w:tc>
        <w:tc>
          <w:tcPr>
            <w:tcW w:w="2028" w:type="dxa"/>
          </w:tcPr>
          <w:p>
            <w:pPr>
              <w:pStyle w:val="TableParagraph"/>
              <w:ind w:left="678" w:right="659"/>
              <w:rPr>
                <w:rFonts w:ascii="宋体"/>
                <w:sz w:val="14"/>
              </w:rPr>
            </w:pPr>
            <w:r>
              <w:rPr>
                <w:rFonts w:ascii="宋体"/>
                <w:sz w:val="14"/>
              </w:rPr>
              <w:t>600867.SH</w:t>
            </w:r>
          </w:p>
        </w:tc>
        <w:tc>
          <w:tcPr>
            <w:tcW w:w="2107" w:type="dxa"/>
          </w:tcPr>
          <w:p>
            <w:pPr>
              <w:pStyle w:val="TableParagraph"/>
              <w:ind w:left="753" w:right="733"/>
              <w:rPr>
                <w:rFonts w:ascii="宋体" w:eastAsia="宋体" w:hint="eastAsia"/>
                <w:sz w:val="14"/>
              </w:rPr>
            </w:pPr>
            <w:r>
              <w:rPr>
                <w:rFonts w:ascii="宋体" w:eastAsia="宋体" w:hint="eastAsia"/>
                <w:sz w:val="14"/>
              </w:rPr>
              <w:t>通化东宝</w:t>
            </w:r>
          </w:p>
        </w:tc>
        <w:tc>
          <w:tcPr>
            <w:tcW w:w="1514" w:type="dxa"/>
          </w:tcPr>
          <w:p>
            <w:pPr>
              <w:pStyle w:val="TableParagraph"/>
              <w:ind w:left="636" w:right="607"/>
              <w:rPr>
                <w:rFonts w:ascii="宋体"/>
                <w:sz w:val="14"/>
              </w:rPr>
            </w:pPr>
            <w:r>
              <w:rPr>
                <w:rFonts w:ascii="宋体"/>
                <w:sz w:val="14"/>
              </w:rPr>
              <w:t>211</w:t>
            </w:r>
          </w:p>
        </w:tc>
        <w:tc>
          <w:tcPr>
            <w:tcW w:w="1270" w:type="dxa"/>
          </w:tcPr>
          <w:p>
            <w:pPr>
              <w:pStyle w:val="TableParagraph"/>
              <w:ind w:left="419" w:right="390"/>
              <w:rPr>
                <w:rFonts w:ascii="宋体"/>
                <w:sz w:val="14"/>
              </w:rPr>
            </w:pPr>
            <w:r>
              <w:rPr>
                <w:rFonts w:ascii="宋体"/>
                <w:sz w:val="14"/>
              </w:rPr>
              <w:t>10.1</w:t>
            </w:r>
          </w:p>
        </w:tc>
        <w:tc>
          <w:tcPr>
            <w:tcW w:w="1270" w:type="dxa"/>
          </w:tcPr>
          <w:p>
            <w:pPr>
              <w:pStyle w:val="TableParagraph"/>
              <w:ind w:left="501"/>
              <w:jc w:val="left"/>
              <w:rPr>
                <w:rFonts w:ascii="宋体"/>
                <w:sz w:val="14"/>
              </w:rPr>
            </w:pPr>
            <w:r>
              <w:rPr>
                <w:rFonts w:ascii="宋体"/>
                <w:sz w:val="14"/>
              </w:rPr>
              <w:t>12.1</w:t>
            </w:r>
          </w:p>
        </w:tc>
        <w:tc>
          <w:tcPr>
            <w:tcW w:w="1270" w:type="dxa"/>
          </w:tcPr>
          <w:p>
            <w:pPr>
              <w:pStyle w:val="TableParagraph"/>
              <w:ind w:right="467"/>
              <w:jc w:val="right"/>
              <w:rPr>
                <w:rFonts w:ascii="宋体"/>
                <w:sz w:val="14"/>
              </w:rPr>
            </w:pPr>
            <w:r>
              <w:rPr>
                <w:rFonts w:ascii="宋体"/>
                <w:sz w:val="14"/>
              </w:rPr>
              <w:t>14.5</w:t>
            </w:r>
          </w:p>
        </w:tc>
        <w:tc>
          <w:tcPr>
            <w:tcW w:w="1270" w:type="dxa"/>
          </w:tcPr>
          <w:p>
            <w:pPr>
              <w:pStyle w:val="TableParagraph"/>
              <w:ind w:left="424" w:right="388"/>
              <w:rPr>
                <w:rFonts w:ascii="宋体"/>
                <w:sz w:val="14"/>
              </w:rPr>
            </w:pPr>
            <w:r>
              <w:rPr>
                <w:rFonts w:ascii="宋体"/>
                <w:sz w:val="14"/>
              </w:rPr>
              <w:t>21</w:t>
            </w:r>
          </w:p>
        </w:tc>
        <w:tc>
          <w:tcPr>
            <w:tcW w:w="1270" w:type="dxa"/>
          </w:tcPr>
          <w:p>
            <w:pPr>
              <w:pStyle w:val="TableParagraph"/>
              <w:ind w:left="424" w:right="386"/>
              <w:rPr>
                <w:rFonts w:ascii="宋体"/>
                <w:sz w:val="14"/>
              </w:rPr>
            </w:pPr>
            <w:r>
              <w:rPr>
                <w:rFonts w:ascii="宋体"/>
                <w:sz w:val="14"/>
              </w:rPr>
              <w:t>17</w:t>
            </w:r>
          </w:p>
        </w:tc>
        <w:tc>
          <w:tcPr>
            <w:tcW w:w="1264" w:type="dxa"/>
          </w:tcPr>
          <w:p>
            <w:pPr>
              <w:pStyle w:val="TableParagraph"/>
              <w:ind w:left="427" w:right="384"/>
              <w:rPr>
                <w:rFonts w:ascii="宋体"/>
                <w:sz w:val="14"/>
              </w:rPr>
            </w:pPr>
            <w:r>
              <w:rPr>
                <w:rFonts w:ascii="宋体"/>
                <w:sz w:val="14"/>
              </w:rPr>
              <w:t>15</w:t>
            </w:r>
          </w:p>
        </w:tc>
      </w:tr>
      <w:tr>
        <w:trPr>
          <w:trHeight w:val="168" w:hRule="atLeast"/>
        </w:trPr>
        <w:tc>
          <w:tcPr>
            <w:tcW w:w="2175" w:type="dxa"/>
          </w:tcPr>
          <w:p>
            <w:pPr>
              <w:pStyle w:val="TableParagraph"/>
              <w:ind w:left="644" w:right="628"/>
              <w:rPr>
                <w:rFonts w:ascii="宋体" w:eastAsia="宋体" w:hint="eastAsia"/>
                <w:sz w:val="14"/>
              </w:rPr>
            </w:pPr>
            <w:r>
              <w:rPr>
                <w:rFonts w:ascii="宋体" w:eastAsia="宋体" w:hint="eastAsia"/>
                <w:sz w:val="14"/>
              </w:rPr>
              <w:t>医药零售</w:t>
            </w:r>
          </w:p>
        </w:tc>
        <w:tc>
          <w:tcPr>
            <w:tcW w:w="2028" w:type="dxa"/>
          </w:tcPr>
          <w:p>
            <w:pPr>
              <w:pStyle w:val="TableParagraph"/>
              <w:ind w:left="678" w:right="659"/>
              <w:rPr>
                <w:rFonts w:ascii="宋体"/>
                <w:sz w:val="14"/>
              </w:rPr>
            </w:pPr>
            <w:r>
              <w:rPr>
                <w:rFonts w:ascii="宋体"/>
                <w:sz w:val="14"/>
              </w:rPr>
              <w:t>605266.SH</w:t>
            </w:r>
          </w:p>
        </w:tc>
        <w:tc>
          <w:tcPr>
            <w:tcW w:w="2107" w:type="dxa"/>
          </w:tcPr>
          <w:p>
            <w:pPr>
              <w:pStyle w:val="TableParagraph"/>
              <w:ind w:left="753" w:right="733"/>
              <w:rPr>
                <w:rFonts w:ascii="宋体" w:eastAsia="宋体" w:hint="eastAsia"/>
                <w:sz w:val="14"/>
              </w:rPr>
            </w:pPr>
            <w:r>
              <w:rPr>
                <w:rFonts w:ascii="宋体" w:eastAsia="宋体" w:hint="eastAsia"/>
                <w:sz w:val="14"/>
              </w:rPr>
              <w:t>健之佳</w:t>
            </w:r>
          </w:p>
        </w:tc>
        <w:tc>
          <w:tcPr>
            <w:tcW w:w="1514" w:type="dxa"/>
          </w:tcPr>
          <w:p>
            <w:pPr>
              <w:pStyle w:val="TableParagraph"/>
              <w:ind w:left="633" w:right="607"/>
              <w:rPr>
                <w:rFonts w:ascii="宋体"/>
                <w:sz w:val="14"/>
              </w:rPr>
            </w:pPr>
            <w:r>
              <w:rPr>
                <w:rFonts w:ascii="宋体"/>
                <w:sz w:val="14"/>
              </w:rPr>
              <w:t>60</w:t>
            </w:r>
          </w:p>
        </w:tc>
        <w:tc>
          <w:tcPr>
            <w:tcW w:w="1270" w:type="dxa"/>
          </w:tcPr>
          <w:p>
            <w:pPr>
              <w:pStyle w:val="TableParagraph"/>
              <w:ind w:left="421" w:right="390"/>
              <w:rPr>
                <w:rFonts w:ascii="宋体"/>
                <w:sz w:val="14"/>
              </w:rPr>
            </w:pPr>
            <w:r>
              <w:rPr>
                <w:rFonts w:ascii="宋体"/>
                <w:sz w:val="14"/>
              </w:rPr>
              <w:t>4.4</w:t>
            </w:r>
          </w:p>
        </w:tc>
        <w:tc>
          <w:tcPr>
            <w:tcW w:w="1270" w:type="dxa"/>
          </w:tcPr>
          <w:p>
            <w:pPr>
              <w:pStyle w:val="TableParagraph"/>
              <w:ind w:left="537"/>
              <w:jc w:val="left"/>
              <w:rPr>
                <w:rFonts w:ascii="宋体"/>
                <w:sz w:val="14"/>
              </w:rPr>
            </w:pPr>
            <w:r>
              <w:rPr>
                <w:rFonts w:ascii="宋体"/>
                <w:sz w:val="14"/>
              </w:rPr>
              <w:t>5.5</w:t>
            </w:r>
          </w:p>
        </w:tc>
        <w:tc>
          <w:tcPr>
            <w:tcW w:w="1270" w:type="dxa"/>
          </w:tcPr>
          <w:p>
            <w:pPr>
              <w:pStyle w:val="TableParagraph"/>
              <w:ind w:right="500"/>
              <w:jc w:val="right"/>
              <w:rPr>
                <w:rFonts w:ascii="宋体"/>
                <w:sz w:val="14"/>
              </w:rPr>
            </w:pPr>
            <w:r>
              <w:rPr>
                <w:rFonts w:ascii="宋体"/>
                <w:sz w:val="14"/>
              </w:rPr>
              <w:t>7.1</w:t>
            </w:r>
          </w:p>
        </w:tc>
        <w:tc>
          <w:tcPr>
            <w:tcW w:w="1270" w:type="dxa"/>
          </w:tcPr>
          <w:p>
            <w:pPr>
              <w:pStyle w:val="TableParagraph"/>
              <w:ind w:left="424" w:right="388"/>
              <w:rPr>
                <w:rFonts w:ascii="宋体"/>
                <w:sz w:val="14"/>
              </w:rPr>
            </w:pPr>
            <w:r>
              <w:rPr>
                <w:rFonts w:ascii="宋体"/>
                <w:sz w:val="14"/>
              </w:rPr>
              <w:t>14</w:t>
            </w:r>
          </w:p>
        </w:tc>
        <w:tc>
          <w:tcPr>
            <w:tcW w:w="1270" w:type="dxa"/>
          </w:tcPr>
          <w:p>
            <w:pPr>
              <w:pStyle w:val="TableParagraph"/>
              <w:ind w:left="424" w:right="386"/>
              <w:rPr>
                <w:rFonts w:ascii="宋体"/>
                <w:sz w:val="14"/>
              </w:rPr>
            </w:pPr>
            <w:r>
              <w:rPr>
                <w:rFonts w:ascii="宋体"/>
                <w:sz w:val="14"/>
              </w:rPr>
              <w:t>11</w:t>
            </w:r>
          </w:p>
        </w:tc>
        <w:tc>
          <w:tcPr>
            <w:tcW w:w="1264" w:type="dxa"/>
          </w:tcPr>
          <w:p>
            <w:pPr>
              <w:pStyle w:val="TableParagraph"/>
              <w:ind w:left="41"/>
              <w:rPr>
                <w:rFonts w:ascii="宋体"/>
                <w:sz w:val="14"/>
              </w:rPr>
            </w:pPr>
            <w:r>
              <w:rPr>
                <w:rFonts w:ascii="宋体"/>
                <w:w w:val="99"/>
                <w:sz w:val="14"/>
              </w:rPr>
              <w:t>8</w:t>
            </w:r>
          </w:p>
        </w:tc>
      </w:tr>
      <w:tr>
        <w:trPr>
          <w:trHeight w:val="168" w:hRule="atLeast"/>
        </w:trPr>
        <w:tc>
          <w:tcPr>
            <w:tcW w:w="2175" w:type="dxa"/>
          </w:tcPr>
          <w:p>
            <w:pPr>
              <w:pStyle w:val="TableParagraph"/>
              <w:ind w:left="644" w:right="628"/>
              <w:rPr>
                <w:rFonts w:ascii="宋体" w:eastAsia="宋体" w:hint="eastAsia"/>
                <w:sz w:val="14"/>
              </w:rPr>
            </w:pPr>
            <w:r>
              <w:rPr>
                <w:rFonts w:ascii="宋体" w:eastAsia="宋体" w:hint="eastAsia"/>
                <w:sz w:val="14"/>
              </w:rPr>
              <w:t>医疗服务</w:t>
            </w:r>
          </w:p>
        </w:tc>
        <w:tc>
          <w:tcPr>
            <w:tcW w:w="2028" w:type="dxa"/>
          </w:tcPr>
          <w:p>
            <w:pPr>
              <w:pStyle w:val="TableParagraph"/>
              <w:ind w:left="678" w:right="659"/>
              <w:rPr>
                <w:rFonts w:ascii="宋体"/>
                <w:sz w:val="14"/>
              </w:rPr>
            </w:pPr>
            <w:r>
              <w:rPr>
                <w:rFonts w:ascii="宋体"/>
                <w:sz w:val="14"/>
              </w:rPr>
              <w:t>301239.SZ</w:t>
            </w:r>
          </w:p>
        </w:tc>
        <w:tc>
          <w:tcPr>
            <w:tcW w:w="2107" w:type="dxa"/>
          </w:tcPr>
          <w:p>
            <w:pPr>
              <w:pStyle w:val="TableParagraph"/>
              <w:ind w:left="753" w:right="733"/>
              <w:rPr>
                <w:rFonts w:ascii="宋体" w:eastAsia="宋体" w:hint="eastAsia"/>
                <w:sz w:val="14"/>
              </w:rPr>
            </w:pPr>
            <w:r>
              <w:rPr>
                <w:rFonts w:ascii="宋体" w:eastAsia="宋体" w:hint="eastAsia"/>
                <w:sz w:val="14"/>
              </w:rPr>
              <w:t>普瑞眼科</w:t>
            </w:r>
          </w:p>
        </w:tc>
        <w:tc>
          <w:tcPr>
            <w:tcW w:w="1514" w:type="dxa"/>
          </w:tcPr>
          <w:p>
            <w:pPr>
              <w:pStyle w:val="TableParagraph"/>
              <w:ind w:left="636" w:right="607"/>
              <w:rPr>
                <w:rFonts w:ascii="宋体"/>
                <w:sz w:val="14"/>
              </w:rPr>
            </w:pPr>
            <w:r>
              <w:rPr>
                <w:rFonts w:ascii="宋体"/>
                <w:sz w:val="14"/>
              </w:rPr>
              <w:t>157</w:t>
            </w:r>
          </w:p>
        </w:tc>
        <w:tc>
          <w:tcPr>
            <w:tcW w:w="1270" w:type="dxa"/>
          </w:tcPr>
          <w:p>
            <w:pPr>
              <w:pStyle w:val="TableParagraph"/>
              <w:ind w:left="421" w:right="390"/>
              <w:rPr>
                <w:rFonts w:ascii="宋体"/>
                <w:sz w:val="14"/>
              </w:rPr>
            </w:pPr>
            <w:r>
              <w:rPr>
                <w:rFonts w:ascii="宋体"/>
                <w:sz w:val="14"/>
              </w:rPr>
              <w:t>2.6</w:t>
            </w:r>
          </w:p>
        </w:tc>
        <w:tc>
          <w:tcPr>
            <w:tcW w:w="1270" w:type="dxa"/>
          </w:tcPr>
          <w:p>
            <w:pPr>
              <w:pStyle w:val="TableParagraph"/>
              <w:ind w:left="537"/>
              <w:jc w:val="left"/>
              <w:rPr>
                <w:rFonts w:ascii="宋体"/>
                <w:sz w:val="14"/>
              </w:rPr>
            </w:pPr>
            <w:r>
              <w:rPr>
                <w:rFonts w:ascii="宋体"/>
                <w:sz w:val="14"/>
              </w:rPr>
              <w:t>3.1</w:t>
            </w:r>
          </w:p>
        </w:tc>
        <w:tc>
          <w:tcPr>
            <w:tcW w:w="1270" w:type="dxa"/>
          </w:tcPr>
          <w:p>
            <w:pPr>
              <w:pStyle w:val="TableParagraph"/>
              <w:ind w:right="500"/>
              <w:jc w:val="right"/>
              <w:rPr>
                <w:rFonts w:ascii="宋体"/>
                <w:sz w:val="14"/>
              </w:rPr>
            </w:pPr>
            <w:r>
              <w:rPr>
                <w:rFonts w:ascii="宋体"/>
                <w:sz w:val="14"/>
              </w:rPr>
              <w:t>4.0</w:t>
            </w:r>
          </w:p>
        </w:tc>
        <w:tc>
          <w:tcPr>
            <w:tcW w:w="1270" w:type="dxa"/>
          </w:tcPr>
          <w:p>
            <w:pPr>
              <w:pStyle w:val="TableParagraph"/>
              <w:ind w:left="424" w:right="388"/>
              <w:rPr>
                <w:rFonts w:ascii="宋体"/>
                <w:sz w:val="14"/>
              </w:rPr>
            </w:pPr>
            <w:r>
              <w:rPr>
                <w:rFonts w:ascii="宋体"/>
                <w:sz w:val="14"/>
              </w:rPr>
              <w:t>60</w:t>
            </w:r>
          </w:p>
        </w:tc>
        <w:tc>
          <w:tcPr>
            <w:tcW w:w="1270" w:type="dxa"/>
          </w:tcPr>
          <w:p>
            <w:pPr>
              <w:pStyle w:val="TableParagraph"/>
              <w:ind w:left="424" w:right="386"/>
              <w:rPr>
                <w:rFonts w:ascii="宋体"/>
                <w:sz w:val="14"/>
              </w:rPr>
            </w:pPr>
            <w:r>
              <w:rPr>
                <w:rFonts w:ascii="宋体"/>
                <w:sz w:val="14"/>
              </w:rPr>
              <w:t>50</w:t>
            </w:r>
          </w:p>
        </w:tc>
        <w:tc>
          <w:tcPr>
            <w:tcW w:w="1264" w:type="dxa"/>
          </w:tcPr>
          <w:p>
            <w:pPr>
              <w:pStyle w:val="TableParagraph"/>
              <w:ind w:left="427" w:right="384"/>
              <w:rPr>
                <w:rFonts w:ascii="宋体"/>
                <w:sz w:val="14"/>
              </w:rPr>
            </w:pPr>
            <w:r>
              <w:rPr>
                <w:rFonts w:ascii="宋体"/>
                <w:sz w:val="14"/>
              </w:rPr>
              <w:t>39</w:t>
            </w:r>
          </w:p>
        </w:tc>
      </w:tr>
      <w:tr>
        <w:trPr>
          <w:trHeight w:val="168" w:hRule="atLeast"/>
        </w:trPr>
        <w:tc>
          <w:tcPr>
            <w:tcW w:w="2175" w:type="dxa"/>
          </w:tcPr>
          <w:p>
            <w:pPr>
              <w:pStyle w:val="TableParagraph"/>
              <w:ind w:left="644" w:right="628"/>
              <w:rPr>
                <w:rFonts w:ascii="宋体" w:eastAsia="宋体" w:hint="eastAsia"/>
                <w:sz w:val="14"/>
              </w:rPr>
            </w:pPr>
            <w:r>
              <w:rPr>
                <w:rFonts w:ascii="宋体" w:eastAsia="宋体" w:hint="eastAsia"/>
                <w:sz w:val="14"/>
              </w:rPr>
              <w:t>医疗服务</w:t>
            </w:r>
          </w:p>
        </w:tc>
        <w:tc>
          <w:tcPr>
            <w:tcW w:w="2028" w:type="dxa"/>
          </w:tcPr>
          <w:p>
            <w:pPr>
              <w:pStyle w:val="TableParagraph"/>
              <w:ind w:left="678" w:right="659"/>
              <w:rPr>
                <w:rFonts w:ascii="宋体"/>
                <w:sz w:val="14"/>
              </w:rPr>
            </w:pPr>
            <w:r>
              <w:rPr>
                <w:rFonts w:ascii="宋体"/>
                <w:sz w:val="14"/>
              </w:rPr>
              <w:t>301267.SZ</w:t>
            </w:r>
          </w:p>
        </w:tc>
        <w:tc>
          <w:tcPr>
            <w:tcW w:w="2107" w:type="dxa"/>
          </w:tcPr>
          <w:p>
            <w:pPr>
              <w:pStyle w:val="TableParagraph"/>
              <w:ind w:left="753" w:right="733"/>
              <w:rPr>
                <w:rFonts w:ascii="宋体" w:eastAsia="宋体" w:hint="eastAsia"/>
                <w:sz w:val="14"/>
              </w:rPr>
            </w:pPr>
            <w:r>
              <w:rPr>
                <w:rFonts w:ascii="宋体" w:eastAsia="宋体" w:hint="eastAsia"/>
                <w:sz w:val="14"/>
              </w:rPr>
              <w:t>华厦眼科</w:t>
            </w:r>
          </w:p>
        </w:tc>
        <w:tc>
          <w:tcPr>
            <w:tcW w:w="1514" w:type="dxa"/>
          </w:tcPr>
          <w:p>
            <w:pPr>
              <w:pStyle w:val="TableParagraph"/>
              <w:ind w:left="636" w:right="607"/>
              <w:rPr>
                <w:rFonts w:ascii="宋体"/>
                <w:sz w:val="14"/>
              </w:rPr>
            </w:pPr>
            <w:r>
              <w:rPr>
                <w:rFonts w:ascii="宋体"/>
                <w:sz w:val="14"/>
              </w:rPr>
              <w:t>378</w:t>
            </w:r>
          </w:p>
        </w:tc>
        <w:tc>
          <w:tcPr>
            <w:tcW w:w="1270" w:type="dxa"/>
          </w:tcPr>
          <w:p>
            <w:pPr>
              <w:pStyle w:val="TableParagraph"/>
              <w:ind w:left="421" w:right="390"/>
              <w:rPr>
                <w:rFonts w:ascii="宋体"/>
                <w:sz w:val="14"/>
              </w:rPr>
            </w:pPr>
            <w:r>
              <w:rPr>
                <w:rFonts w:ascii="宋体"/>
                <w:sz w:val="14"/>
              </w:rPr>
              <w:t>6.8</w:t>
            </w:r>
          </w:p>
        </w:tc>
        <w:tc>
          <w:tcPr>
            <w:tcW w:w="1270" w:type="dxa"/>
          </w:tcPr>
          <w:p>
            <w:pPr>
              <w:pStyle w:val="TableParagraph"/>
              <w:ind w:left="537"/>
              <w:jc w:val="left"/>
              <w:rPr>
                <w:rFonts w:ascii="宋体"/>
                <w:sz w:val="14"/>
              </w:rPr>
            </w:pPr>
            <w:r>
              <w:rPr>
                <w:rFonts w:ascii="宋体"/>
                <w:sz w:val="14"/>
              </w:rPr>
              <w:t>8.9</w:t>
            </w:r>
          </w:p>
        </w:tc>
        <w:tc>
          <w:tcPr>
            <w:tcW w:w="1270" w:type="dxa"/>
          </w:tcPr>
          <w:p>
            <w:pPr>
              <w:pStyle w:val="TableParagraph"/>
              <w:ind w:right="467"/>
              <w:jc w:val="right"/>
              <w:rPr>
                <w:rFonts w:ascii="宋体"/>
                <w:sz w:val="14"/>
              </w:rPr>
            </w:pPr>
            <w:r>
              <w:rPr>
                <w:rFonts w:ascii="宋体"/>
                <w:sz w:val="14"/>
              </w:rPr>
              <w:t>11.7</w:t>
            </w:r>
          </w:p>
        </w:tc>
        <w:tc>
          <w:tcPr>
            <w:tcW w:w="1270" w:type="dxa"/>
          </w:tcPr>
          <w:p>
            <w:pPr>
              <w:pStyle w:val="TableParagraph"/>
              <w:ind w:left="424" w:right="388"/>
              <w:rPr>
                <w:rFonts w:ascii="宋体"/>
                <w:sz w:val="14"/>
              </w:rPr>
            </w:pPr>
            <w:r>
              <w:rPr>
                <w:rFonts w:ascii="宋体"/>
                <w:sz w:val="14"/>
              </w:rPr>
              <w:t>56</w:t>
            </w:r>
          </w:p>
        </w:tc>
        <w:tc>
          <w:tcPr>
            <w:tcW w:w="1270" w:type="dxa"/>
          </w:tcPr>
          <w:p>
            <w:pPr>
              <w:pStyle w:val="TableParagraph"/>
              <w:ind w:left="424" w:right="386"/>
              <w:rPr>
                <w:rFonts w:ascii="宋体"/>
                <w:sz w:val="14"/>
              </w:rPr>
            </w:pPr>
            <w:r>
              <w:rPr>
                <w:rFonts w:ascii="宋体"/>
                <w:sz w:val="14"/>
              </w:rPr>
              <w:t>42</w:t>
            </w:r>
          </w:p>
        </w:tc>
        <w:tc>
          <w:tcPr>
            <w:tcW w:w="1264" w:type="dxa"/>
          </w:tcPr>
          <w:p>
            <w:pPr>
              <w:pStyle w:val="TableParagraph"/>
              <w:ind w:left="427" w:right="384"/>
              <w:rPr>
                <w:rFonts w:ascii="宋体"/>
                <w:sz w:val="14"/>
              </w:rPr>
            </w:pPr>
            <w:r>
              <w:rPr>
                <w:rFonts w:ascii="宋体"/>
                <w:sz w:val="14"/>
              </w:rPr>
              <w:t>32</w:t>
            </w:r>
          </w:p>
        </w:tc>
      </w:tr>
      <w:tr>
        <w:trPr>
          <w:trHeight w:val="168" w:hRule="atLeast"/>
        </w:trPr>
        <w:tc>
          <w:tcPr>
            <w:tcW w:w="2175" w:type="dxa"/>
          </w:tcPr>
          <w:p>
            <w:pPr>
              <w:pStyle w:val="TableParagraph"/>
              <w:ind w:left="646" w:right="628"/>
              <w:rPr>
                <w:rFonts w:ascii="宋体" w:eastAsia="宋体" w:hint="eastAsia"/>
                <w:sz w:val="14"/>
              </w:rPr>
            </w:pPr>
            <w:r>
              <w:rPr>
                <w:rFonts w:ascii="宋体" w:eastAsia="宋体" w:hint="eastAsia"/>
                <w:sz w:val="14"/>
              </w:rPr>
              <w:t>生命科学服务</w:t>
            </w:r>
          </w:p>
        </w:tc>
        <w:tc>
          <w:tcPr>
            <w:tcW w:w="2028" w:type="dxa"/>
          </w:tcPr>
          <w:p>
            <w:pPr>
              <w:pStyle w:val="TableParagraph"/>
              <w:ind w:left="678" w:right="659"/>
              <w:rPr>
                <w:rFonts w:ascii="宋体"/>
                <w:sz w:val="14"/>
              </w:rPr>
            </w:pPr>
            <w:r>
              <w:rPr>
                <w:rFonts w:ascii="宋体"/>
                <w:sz w:val="14"/>
              </w:rPr>
              <w:t>301080.SZ</w:t>
            </w:r>
          </w:p>
        </w:tc>
        <w:tc>
          <w:tcPr>
            <w:tcW w:w="2107" w:type="dxa"/>
          </w:tcPr>
          <w:p>
            <w:pPr>
              <w:pStyle w:val="TableParagraph"/>
              <w:ind w:left="753" w:right="733"/>
              <w:rPr>
                <w:rFonts w:ascii="宋体" w:eastAsia="宋体" w:hint="eastAsia"/>
                <w:sz w:val="14"/>
              </w:rPr>
            </w:pPr>
            <w:r>
              <w:rPr>
                <w:rFonts w:ascii="宋体" w:eastAsia="宋体" w:hint="eastAsia"/>
                <w:sz w:val="14"/>
              </w:rPr>
              <w:t>百普赛斯</w:t>
            </w:r>
          </w:p>
        </w:tc>
        <w:tc>
          <w:tcPr>
            <w:tcW w:w="1514" w:type="dxa"/>
          </w:tcPr>
          <w:p>
            <w:pPr>
              <w:pStyle w:val="TableParagraph"/>
              <w:ind w:left="633" w:right="607"/>
              <w:rPr>
                <w:rFonts w:ascii="宋体"/>
                <w:sz w:val="14"/>
              </w:rPr>
            </w:pPr>
            <w:r>
              <w:rPr>
                <w:rFonts w:ascii="宋体"/>
                <w:sz w:val="14"/>
              </w:rPr>
              <w:t>78</w:t>
            </w:r>
          </w:p>
        </w:tc>
        <w:tc>
          <w:tcPr>
            <w:tcW w:w="1270" w:type="dxa"/>
          </w:tcPr>
          <w:p>
            <w:pPr>
              <w:pStyle w:val="TableParagraph"/>
              <w:ind w:left="421" w:right="390"/>
              <w:rPr>
                <w:rFonts w:ascii="宋体"/>
                <w:sz w:val="14"/>
              </w:rPr>
            </w:pPr>
            <w:r>
              <w:rPr>
                <w:rFonts w:ascii="宋体"/>
                <w:sz w:val="14"/>
              </w:rPr>
              <w:t>1.9</w:t>
            </w:r>
          </w:p>
        </w:tc>
        <w:tc>
          <w:tcPr>
            <w:tcW w:w="1270" w:type="dxa"/>
          </w:tcPr>
          <w:p>
            <w:pPr>
              <w:pStyle w:val="TableParagraph"/>
              <w:ind w:left="537"/>
              <w:jc w:val="left"/>
              <w:rPr>
                <w:rFonts w:ascii="宋体"/>
                <w:sz w:val="14"/>
              </w:rPr>
            </w:pPr>
            <w:r>
              <w:rPr>
                <w:rFonts w:ascii="宋体"/>
                <w:sz w:val="14"/>
              </w:rPr>
              <w:t>2.5</w:t>
            </w:r>
          </w:p>
        </w:tc>
        <w:tc>
          <w:tcPr>
            <w:tcW w:w="1270" w:type="dxa"/>
          </w:tcPr>
          <w:p>
            <w:pPr>
              <w:pStyle w:val="TableParagraph"/>
              <w:ind w:right="500"/>
              <w:jc w:val="right"/>
              <w:rPr>
                <w:rFonts w:ascii="宋体"/>
                <w:sz w:val="14"/>
              </w:rPr>
            </w:pPr>
            <w:r>
              <w:rPr>
                <w:rFonts w:ascii="宋体"/>
                <w:sz w:val="14"/>
              </w:rPr>
              <w:t>3.3</w:t>
            </w:r>
          </w:p>
        </w:tc>
        <w:tc>
          <w:tcPr>
            <w:tcW w:w="1270" w:type="dxa"/>
          </w:tcPr>
          <w:p>
            <w:pPr>
              <w:pStyle w:val="TableParagraph"/>
              <w:ind w:left="424" w:right="388"/>
              <w:rPr>
                <w:rFonts w:ascii="宋体"/>
                <w:sz w:val="14"/>
              </w:rPr>
            </w:pPr>
            <w:r>
              <w:rPr>
                <w:rFonts w:ascii="宋体"/>
                <w:sz w:val="14"/>
              </w:rPr>
              <w:t>41</w:t>
            </w:r>
          </w:p>
        </w:tc>
        <w:tc>
          <w:tcPr>
            <w:tcW w:w="1270" w:type="dxa"/>
          </w:tcPr>
          <w:p>
            <w:pPr>
              <w:pStyle w:val="TableParagraph"/>
              <w:ind w:left="424" w:right="386"/>
              <w:rPr>
                <w:rFonts w:ascii="宋体"/>
                <w:sz w:val="14"/>
              </w:rPr>
            </w:pPr>
            <w:r>
              <w:rPr>
                <w:rFonts w:ascii="宋体"/>
                <w:sz w:val="14"/>
              </w:rPr>
              <w:t>31</w:t>
            </w:r>
          </w:p>
        </w:tc>
        <w:tc>
          <w:tcPr>
            <w:tcW w:w="1264" w:type="dxa"/>
          </w:tcPr>
          <w:p>
            <w:pPr>
              <w:pStyle w:val="TableParagraph"/>
              <w:ind w:left="427" w:right="384"/>
              <w:rPr>
                <w:rFonts w:ascii="宋体"/>
                <w:sz w:val="14"/>
              </w:rPr>
            </w:pPr>
            <w:r>
              <w:rPr>
                <w:rFonts w:ascii="宋体"/>
                <w:sz w:val="14"/>
              </w:rPr>
              <w:t>24</w:t>
            </w:r>
          </w:p>
        </w:tc>
      </w:tr>
      <w:tr>
        <w:trPr>
          <w:trHeight w:val="168" w:hRule="atLeast"/>
        </w:trPr>
        <w:tc>
          <w:tcPr>
            <w:tcW w:w="2175" w:type="dxa"/>
          </w:tcPr>
          <w:p>
            <w:pPr>
              <w:pStyle w:val="TableParagraph"/>
              <w:ind w:left="646" w:right="628"/>
              <w:rPr>
                <w:rFonts w:ascii="宋体" w:eastAsia="宋体" w:hint="eastAsia"/>
                <w:sz w:val="14"/>
              </w:rPr>
            </w:pPr>
            <w:r>
              <w:rPr>
                <w:rFonts w:ascii="宋体" w:eastAsia="宋体" w:hint="eastAsia"/>
                <w:sz w:val="14"/>
              </w:rPr>
              <w:t>生命科学服务</w:t>
            </w:r>
          </w:p>
        </w:tc>
        <w:tc>
          <w:tcPr>
            <w:tcW w:w="2028" w:type="dxa"/>
          </w:tcPr>
          <w:p>
            <w:pPr>
              <w:pStyle w:val="TableParagraph"/>
              <w:ind w:left="678" w:right="659"/>
              <w:rPr>
                <w:rFonts w:ascii="宋体"/>
                <w:sz w:val="14"/>
              </w:rPr>
            </w:pPr>
            <w:r>
              <w:rPr>
                <w:rFonts w:ascii="宋体"/>
                <w:sz w:val="14"/>
              </w:rPr>
              <w:t>688114.SH</w:t>
            </w:r>
          </w:p>
        </w:tc>
        <w:tc>
          <w:tcPr>
            <w:tcW w:w="2107" w:type="dxa"/>
          </w:tcPr>
          <w:p>
            <w:pPr>
              <w:pStyle w:val="TableParagraph"/>
              <w:ind w:left="753" w:right="733"/>
              <w:rPr>
                <w:rFonts w:ascii="宋体" w:eastAsia="宋体" w:hint="eastAsia"/>
                <w:sz w:val="14"/>
              </w:rPr>
            </w:pPr>
            <w:r>
              <w:rPr>
                <w:rFonts w:ascii="宋体" w:eastAsia="宋体" w:hint="eastAsia"/>
                <w:sz w:val="14"/>
              </w:rPr>
              <w:t>华大智造</w:t>
            </w:r>
          </w:p>
        </w:tc>
        <w:tc>
          <w:tcPr>
            <w:tcW w:w="1514" w:type="dxa"/>
          </w:tcPr>
          <w:p>
            <w:pPr>
              <w:pStyle w:val="TableParagraph"/>
              <w:ind w:left="636" w:right="607"/>
              <w:rPr>
                <w:rFonts w:ascii="宋体"/>
                <w:sz w:val="14"/>
              </w:rPr>
            </w:pPr>
            <w:r>
              <w:rPr>
                <w:rFonts w:ascii="宋体"/>
                <w:sz w:val="14"/>
              </w:rPr>
              <w:t>327</w:t>
            </w:r>
          </w:p>
        </w:tc>
        <w:tc>
          <w:tcPr>
            <w:tcW w:w="1270" w:type="dxa"/>
          </w:tcPr>
          <w:p>
            <w:pPr>
              <w:pStyle w:val="TableParagraph"/>
              <w:ind w:left="421" w:right="390"/>
              <w:rPr>
                <w:rFonts w:ascii="宋体"/>
                <w:sz w:val="14"/>
              </w:rPr>
            </w:pPr>
            <w:r>
              <w:rPr>
                <w:rFonts w:ascii="宋体"/>
                <w:sz w:val="14"/>
              </w:rPr>
              <w:t>0.3</w:t>
            </w:r>
          </w:p>
        </w:tc>
        <w:tc>
          <w:tcPr>
            <w:tcW w:w="1270" w:type="dxa"/>
          </w:tcPr>
          <w:p>
            <w:pPr>
              <w:pStyle w:val="TableParagraph"/>
              <w:ind w:left="537"/>
              <w:jc w:val="left"/>
              <w:rPr>
                <w:rFonts w:ascii="宋体"/>
                <w:sz w:val="14"/>
              </w:rPr>
            </w:pPr>
            <w:r>
              <w:rPr>
                <w:rFonts w:ascii="宋体"/>
                <w:sz w:val="14"/>
              </w:rPr>
              <w:t>1.6</w:t>
            </w:r>
          </w:p>
        </w:tc>
        <w:tc>
          <w:tcPr>
            <w:tcW w:w="1270" w:type="dxa"/>
          </w:tcPr>
          <w:p>
            <w:pPr>
              <w:pStyle w:val="TableParagraph"/>
              <w:ind w:right="500"/>
              <w:jc w:val="right"/>
              <w:rPr>
                <w:rFonts w:ascii="宋体"/>
                <w:sz w:val="14"/>
              </w:rPr>
            </w:pPr>
            <w:r>
              <w:rPr>
                <w:rFonts w:ascii="宋体"/>
                <w:sz w:val="14"/>
              </w:rPr>
              <w:t>3.3</w:t>
            </w:r>
          </w:p>
        </w:tc>
        <w:tc>
          <w:tcPr>
            <w:tcW w:w="1270" w:type="dxa"/>
          </w:tcPr>
          <w:p>
            <w:pPr>
              <w:pStyle w:val="TableParagraph"/>
              <w:ind w:right="465"/>
              <w:jc w:val="right"/>
              <w:rPr>
                <w:rFonts w:ascii="宋体"/>
                <w:sz w:val="14"/>
              </w:rPr>
            </w:pPr>
            <w:r>
              <w:rPr>
                <w:rFonts w:ascii="宋体"/>
                <w:sz w:val="14"/>
              </w:rPr>
              <w:t>1257</w:t>
            </w:r>
          </w:p>
        </w:tc>
        <w:tc>
          <w:tcPr>
            <w:tcW w:w="1270" w:type="dxa"/>
          </w:tcPr>
          <w:p>
            <w:pPr>
              <w:pStyle w:val="TableParagraph"/>
              <w:ind w:left="424" w:right="383"/>
              <w:rPr>
                <w:rFonts w:ascii="宋体"/>
                <w:sz w:val="14"/>
              </w:rPr>
            </w:pPr>
            <w:r>
              <w:rPr>
                <w:rFonts w:ascii="宋体"/>
                <w:sz w:val="14"/>
              </w:rPr>
              <w:t>207</w:t>
            </w:r>
          </w:p>
        </w:tc>
        <w:tc>
          <w:tcPr>
            <w:tcW w:w="1264" w:type="dxa"/>
          </w:tcPr>
          <w:p>
            <w:pPr>
              <w:pStyle w:val="TableParagraph"/>
              <w:ind w:left="427" w:right="384"/>
              <w:rPr>
                <w:rFonts w:ascii="宋体"/>
                <w:sz w:val="14"/>
              </w:rPr>
            </w:pPr>
            <w:r>
              <w:rPr>
                <w:rFonts w:ascii="宋体"/>
                <w:sz w:val="14"/>
              </w:rPr>
              <w:t>99</w:t>
            </w:r>
          </w:p>
        </w:tc>
      </w:tr>
      <w:tr>
        <w:trPr>
          <w:trHeight w:val="168" w:hRule="atLeast"/>
        </w:trPr>
        <w:tc>
          <w:tcPr>
            <w:tcW w:w="2175" w:type="dxa"/>
          </w:tcPr>
          <w:p>
            <w:pPr>
              <w:pStyle w:val="TableParagraph"/>
              <w:ind w:left="646" w:right="628"/>
              <w:rPr>
                <w:rFonts w:ascii="宋体" w:eastAsia="宋体" w:hint="eastAsia"/>
                <w:sz w:val="14"/>
              </w:rPr>
            </w:pPr>
            <w:r>
              <w:rPr>
                <w:rFonts w:ascii="宋体" w:eastAsia="宋体" w:hint="eastAsia"/>
                <w:sz w:val="14"/>
              </w:rPr>
              <w:t>生命科学服务</w:t>
            </w:r>
          </w:p>
        </w:tc>
        <w:tc>
          <w:tcPr>
            <w:tcW w:w="2028" w:type="dxa"/>
          </w:tcPr>
          <w:p>
            <w:pPr>
              <w:pStyle w:val="TableParagraph"/>
              <w:ind w:left="678" w:right="659"/>
              <w:rPr>
                <w:rFonts w:ascii="宋体"/>
                <w:sz w:val="14"/>
              </w:rPr>
            </w:pPr>
            <w:r>
              <w:rPr>
                <w:rFonts w:ascii="宋体"/>
                <w:sz w:val="14"/>
              </w:rPr>
              <w:t>688073.SH</w:t>
            </w:r>
          </w:p>
        </w:tc>
        <w:tc>
          <w:tcPr>
            <w:tcW w:w="2107" w:type="dxa"/>
          </w:tcPr>
          <w:p>
            <w:pPr>
              <w:pStyle w:val="TableParagraph"/>
              <w:ind w:left="753" w:right="733"/>
              <w:rPr>
                <w:rFonts w:ascii="宋体" w:eastAsia="宋体" w:hint="eastAsia"/>
                <w:sz w:val="14"/>
              </w:rPr>
            </w:pPr>
            <w:r>
              <w:rPr>
                <w:rFonts w:ascii="宋体" w:eastAsia="宋体" w:hint="eastAsia"/>
                <w:sz w:val="14"/>
              </w:rPr>
              <w:t>毕得医药</w:t>
            </w:r>
          </w:p>
        </w:tc>
        <w:tc>
          <w:tcPr>
            <w:tcW w:w="1514" w:type="dxa"/>
          </w:tcPr>
          <w:p>
            <w:pPr>
              <w:pStyle w:val="TableParagraph"/>
              <w:ind w:left="633" w:right="607"/>
              <w:rPr>
                <w:rFonts w:ascii="宋体"/>
                <w:sz w:val="14"/>
              </w:rPr>
            </w:pPr>
            <w:r>
              <w:rPr>
                <w:rFonts w:ascii="宋体"/>
                <w:sz w:val="14"/>
              </w:rPr>
              <w:t>61</w:t>
            </w:r>
          </w:p>
        </w:tc>
        <w:tc>
          <w:tcPr>
            <w:tcW w:w="1270" w:type="dxa"/>
          </w:tcPr>
          <w:p>
            <w:pPr>
              <w:pStyle w:val="TableParagraph"/>
              <w:ind w:left="421" w:right="390"/>
              <w:rPr>
                <w:rFonts w:ascii="宋体"/>
                <w:sz w:val="14"/>
              </w:rPr>
            </w:pPr>
            <w:r>
              <w:rPr>
                <w:rFonts w:ascii="宋体"/>
                <w:sz w:val="14"/>
              </w:rPr>
              <w:t>2.1</w:t>
            </w:r>
          </w:p>
        </w:tc>
        <w:tc>
          <w:tcPr>
            <w:tcW w:w="1270" w:type="dxa"/>
          </w:tcPr>
          <w:p>
            <w:pPr>
              <w:pStyle w:val="TableParagraph"/>
              <w:ind w:left="537"/>
              <w:jc w:val="left"/>
              <w:rPr>
                <w:rFonts w:ascii="宋体"/>
                <w:sz w:val="14"/>
              </w:rPr>
            </w:pPr>
            <w:r>
              <w:rPr>
                <w:rFonts w:ascii="宋体"/>
                <w:sz w:val="14"/>
              </w:rPr>
              <w:t>3.0</w:t>
            </w:r>
          </w:p>
        </w:tc>
        <w:tc>
          <w:tcPr>
            <w:tcW w:w="1270" w:type="dxa"/>
          </w:tcPr>
          <w:p>
            <w:pPr>
              <w:pStyle w:val="TableParagraph"/>
              <w:ind w:right="500"/>
              <w:jc w:val="right"/>
              <w:rPr>
                <w:rFonts w:ascii="宋体"/>
                <w:sz w:val="14"/>
              </w:rPr>
            </w:pPr>
            <w:r>
              <w:rPr>
                <w:rFonts w:ascii="宋体"/>
                <w:sz w:val="14"/>
              </w:rPr>
              <w:t>4.1</w:t>
            </w:r>
          </w:p>
        </w:tc>
        <w:tc>
          <w:tcPr>
            <w:tcW w:w="1270" w:type="dxa"/>
          </w:tcPr>
          <w:p>
            <w:pPr>
              <w:pStyle w:val="TableParagraph"/>
              <w:ind w:left="424" w:right="388"/>
              <w:rPr>
                <w:rFonts w:ascii="宋体"/>
                <w:sz w:val="14"/>
              </w:rPr>
            </w:pPr>
            <w:r>
              <w:rPr>
                <w:rFonts w:ascii="宋体"/>
                <w:sz w:val="14"/>
              </w:rPr>
              <w:t>29</w:t>
            </w:r>
          </w:p>
        </w:tc>
        <w:tc>
          <w:tcPr>
            <w:tcW w:w="1270" w:type="dxa"/>
          </w:tcPr>
          <w:p>
            <w:pPr>
              <w:pStyle w:val="TableParagraph"/>
              <w:ind w:left="424" w:right="386"/>
              <w:rPr>
                <w:rFonts w:ascii="宋体"/>
                <w:sz w:val="14"/>
              </w:rPr>
            </w:pPr>
            <w:r>
              <w:rPr>
                <w:rFonts w:ascii="宋体"/>
                <w:sz w:val="14"/>
              </w:rPr>
              <w:t>20</w:t>
            </w:r>
          </w:p>
        </w:tc>
        <w:tc>
          <w:tcPr>
            <w:tcW w:w="1264" w:type="dxa"/>
          </w:tcPr>
          <w:p>
            <w:pPr>
              <w:pStyle w:val="TableParagraph"/>
              <w:ind w:left="427" w:right="384"/>
              <w:rPr>
                <w:rFonts w:ascii="宋体"/>
                <w:sz w:val="14"/>
              </w:rPr>
            </w:pPr>
            <w:r>
              <w:rPr>
                <w:rFonts w:ascii="宋体"/>
                <w:sz w:val="14"/>
              </w:rPr>
              <w:t>15</w:t>
            </w:r>
          </w:p>
        </w:tc>
      </w:tr>
      <w:tr>
        <w:trPr>
          <w:trHeight w:val="168" w:hRule="atLeast"/>
        </w:trPr>
        <w:tc>
          <w:tcPr>
            <w:tcW w:w="2175" w:type="dxa"/>
          </w:tcPr>
          <w:p>
            <w:pPr>
              <w:pStyle w:val="TableParagraph"/>
              <w:ind w:left="646" w:right="628"/>
              <w:rPr>
                <w:rFonts w:ascii="宋体"/>
                <w:sz w:val="14"/>
              </w:rPr>
            </w:pPr>
            <w:r>
              <w:rPr>
                <w:rFonts w:ascii="宋体"/>
                <w:sz w:val="14"/>
              </w:rPr>
              <w:t>CRO</w:t>
            </w:r>
          </w:p>
        </w:tc>
        <w:tc>
          <w:tcPr>
            <w:tcW w:w="2028" w:type="dxa"/>
          </w:tcPr>
          <w:p>
            <w:pPr>
              <w:pStyle w:val="TableParagraph"/>
              <w:ind w:left="678" w:right="659"/>
              <w:rPr>
                <w:rFonts w:ascii="宋体"/>
                <w:sz w:val="14"/>
              </w:rPr>
            </w:pPr>
            <w:r>
              <w:rPr>
                <w:rFonts w:ascii="宋体"/>
                <w:sz w:val="14"/>
              </w:rPr>
              <w:t>301333.SZ</w:t>
            </w:r>
          </w:p>
        </w:tc>
        <w:tc>
          <w:tcPr>
            <w:tcW w:w="2107" w:type="dxa"/>
          </w:tcPr>
          <w:p>
            <w:pPr>
              <w:pStyle w:val="TableParagraph"/>
              <w:ind w:left="753" w:right="733"/>
              <w:rPr>
                <w:rFonts w:ascii="宋体" w:eastAsia="宋体" w:hint="eastAsia"/>
                <w:sz w:val="14"/>
              </w:rPr>
            </w:pPr>
            <w:r>
              <w:rPr>
                <w:rFonts w:ascii="宋体" w:eastAsia="宋体" w:hint="eastAsia"/>
                <w:sz w:val="14"/>
              </w:rPr>
              <w:t>诺思格</w:t>
            </w:r>
          </w:p>
        </w:tc>
        <w:tc>
          <w:tcPr>
            <w:tcW w:w="1514" w:type="dxa"/>
          </w:tcPr>
          <w:p>
            <w:pPr>
              <w:pStyle w:val="TableParagraph"/>
              <w:ind w:left="633" w:right="607"/>
              <w:rPr>
                <w:rFonts w:ascii="宋体"/>
                <w:sz w:val="14"/>
              </w:rPr>
            </w:pPr>
            <w:r>
              <w:rPr>
                <w:rFonts w:ascii="宋体"/>
                <w:sz w:val="14"/>
              </w:rPr>
              <w:t>61</w:t>
            </w:r>
          </w:p>
        </w:tc>
        <w:tc>
          <w:tcPr>
            <w:tcW w:w="1270" w:type="dxa"/>
          </w:tcPr>
          <w:p>
            <w:pPr>
              <w:pStyle w:val="TableParagraph"/>
              <w:ind w:left="421" w:right="390"/>
              <w:rPr>
                <w:rFonts w:ascii="宋体"/>
                <w:sz w:val="14"/>
              </w:rPr>
            </w:pPr>
            <w:r>
              <w:rPr>
                <w:rFonts w:ascii="宋体"/>
                <w:sz w:val="14"/>
              </w:rPr>
              <w:t>1.7</w:t>
            </w:r>
          </w:p>
        </w:tc>
        <w:tc>
          <w:tcPr>
            <w:tcW w:w="1270" w:type="dxa"/>
          </w:tcPr>
          <w:p>
            <w:pPr>
              <w:pStyle w:val="TableParagraph"/>
              <w:ind w:left="537"/>
              <w:jc w:val="left"/>
              <w:rPr>
                <w:rFonts w:ascii="宋体"/>
                <w:sz w:val="14"/>
              </w:rPr>
            </w:pPr>
            <w:r>
              <w:rPr>
                <w:rFonts w:ascii="宋体"/>
                <w:sz w:val="14"/>
              </w:rPr>
              <w:t>2.2</w:t>
            </w:r>
          </w:p>
        </w:tc>
        <w:tc>
          <w:tcPr>
            <w:tcW w:w="1270" w:type="dxa"/>
          </w:tcPr>
          <w:p>
            <w:pPr>
              <w:pStyle w:val="TableParagraph"/>
              <w:ind w:right="500"/>
              <w:jc w:val="right"/>
              <w:rPr>
                <w:rFonts w:ascii="宋体"/>
                <w:sz w:val="14"/>
              </w:rPr>
            </w:pPr>
            <w:r>
              <w:rPr>
                <w:rFonts w:ascii="宋体"/>
                <w:sz w:val="14"/>
              </w:rPr>
              <w:t>2.9</w:t>
            </w:r>
          </w:p>
        </w:tc>
        <w:tc>
          <w:tcPr>
            <w:tcW w:w="1270" w:type="dxa"/>
          </w:tcPr>
          <w:p>
            <w:pPr>
              <w:pStyle w:val="TableParagraph"/>
              <w:ind w:left="424" w:right="388"/>
              <w:rPr>
                <w:rFonts w:ascii="宋体"/>
                <w:sz w:val="14"/>
              </w:rPr>
            </w:pPr>
            <w:r>
              <w:rPr>
                <w:rFonts w:ascii="宋体"/>
                <w:sz w:val="14"/>
              </w:rPr>
              <w:t>36</w:t>
            </w:r>
          </w:p>
        </w:tc>
        <w:tc>
          <w:tcPr>
            <w:tcW w:w="1270" w:type="dxa"/>
          </w:tcPr>
          <w:p>
            <w:pPr>
              <w:pStyle w:val="TableParagraph"/>
              <w:ind w:left="424" w:right="386"/>
              <w:rPr>
                <w:rFonts w:ascii="宋体"/>
                <w:sz w:val="14"/>
              </w:rPr>
            </w:pPr>
            <w:r>
              <w:rPr>
                <w:rFonts w:ascii="宋体"/>
                <w:sz w:val="14"/>
              </w:rPr>
              <w:t>28</w:t>
            </w:r>
          </w:p>
        </w:tc>
        <w:tc>
          <w:tcPr>
            <w:tcW w:w="1264" w:type="dxa"/>
          </w:tcPr>
          <w:p>
            <w:pPr>
              <w:pStyle w:val="TableParagraph"/>
              <w:ind w:left="427" w:right="384"/>
              <w:rPr>
                <w:rFonts w:ascii="宋体"/>
                <w:sz w:val="14"/>
              </w:rPr>
            </w:pPr>
            <w:r>
              <w:rPr>
                <w:rFonts w:ascii="宋体"/>
                <w:sz w:val="14"/>
              </w:rPr>
              <w:t>21</w:t>
            </w:r>
          </w:p>
        </w:tc>
      </w:tr>
    </w:tbl>
    <w:p>
      <w:pPr>
        <w:spacing w:after="0"/>
        <w:rPr>
          <w:rFonts w:ascii="宋体"/>
          <w:sz w:val="14"/>
        </w:rPr>
        <w:sectPr>
          <w:headerReference w:type="default" r:id="rId67"/>
          <w:footerReference w:type="default" r:id="rId68"/>
          <w:pgSz w:w="19200" w:h="10800" w:orient="landscape"/>
          <w:pgMar w:header="471" w:footer="82" w:top="1100" w:bottom="2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
        <w:rPr>
          <w:sz w:val="21"/>
        </w:rPr>
      </w:pPr>
    </w:p>
    <w:p>
      <w:pPr>
        <w:pStyle w:val="Heading1"/>
      </w:pPr>
      <w:r>
        <w:rPr>
          <w:color w:val="0A4EA1"/>
        </w:rPr>
        <w:t>第三部分</w:t>
      </w:r>
    </w:p>
    <w:p>
      <w:pPr>
        <w:pStyle w:val="BodyText"/>
        <w:spacing w:before="4"/>
        <w:rPr>
          <w:b/>
          <w:sz w:val="23"/>
        </w:rPr>
      </w:pPr>
    </w:p>
    <w:p>
      <w:pPr>
        <w:spacing w:after="0"/>
        <w:rPr>
          <w:sz w:val="23"/>
        </w:rPr>
        <w:sectPr>
          <w:headerReference w:type="default" r:id="rId69"/>
          <w:footerReference w:type="default" r:id="rId70"/>
          <w:pgSz w:w="19200" w:h="10800" w:orient="landscape"/>
          <w:pgMar w:header="0" w:footer="0" w:top="0" w:bottom="0" w:left="0" w:right="0"/>
        </w:sectPr>
      </w:pPr>
    </w:p>
    <w:p>
      <w:pPr>
        <w:spacing w:before="44"/>
        <w:ind w:left="0" w:right="0" w:firstLine="0"/>
        <w:jc w:val="right"/>
        <w:rPr>
          <w:b/>
          <w:sz w:val="32"/>
        </w:rPr>
      </w:pPr>
      <w:r>
        <w:rPr>
          <w:b/>
          <w:color w:val="FFFFFF"/>
          <w:w w:val="99"/>
          <w:sz w:val="32"/>
          <w:shd w:fill="BEBEBE" w:color="auto" w:val="clear"/>
        </w:rPr>
        <w:t> </w:t>
      </w:r>
      <w:r>
        <w:rPr>
          <w:b/>
          <w:color w:val="FFFFFF"/>
          <w:spacing w:val="-37"/>
          <w:sz w:val="32"/>
          <w:shd w:fill="BEBEBE" w:color="auto" w:val="clear"/>
        </w:rPr>
        <w:t> </w:t>
      </w:r>
      <w:r>
        <w:rPr>
          <w:b/>
          <w:color w:val="FFFFFF"/>
          <w:sz w:val="32"/>
          <w:shd w:fill="BEBEBE" w:color="auto" w:val="clear"/>
        </w:rPr>
        <w:t>01</w:t>
      </w:r>
      <w:r>
        <w:rPr>
          <w:b/>
          <w:color w:val="FFFFFF"/>
          <w:spacing w:val="-36"/>
          <w:sz w:val="32"/>
          <w:shd w:fill="BEBEBE" w:color="auto" w:val="clear"/>
        </w:rPr>
        <w:t> </w:t>
      </w:r>
    </w:p>
    <w:p>
      <w:pPr>
        <w:pStyle w:val="BodyText"/>
        <w:spacing w:before="5"/>
        <w:rPr>
          <w:b/>
          <w:sz w:val="45"/>
        </w:rPr>
      </w:pPr>
    </w:p>
    <w:p>
      <w:pPr>
        <w:spacing w:before="1"/>
        <w:ind w:left="0" w:right="0" w:firstLine="0"/>
        <w:jc w:val="right"/>
        <w:rPr>
          <w:b/>
          <w:sz w:val="32"/>
        </w:rPr>
      </w:pPr>
      <w:r>
        <w:rPr>
          <w:b/>
          <w:color w:val="FFFFFF"/>
          <w:w w:val="99"/>
          <w:sz w:val="32"/>
          <w:shd w:fill="BEBEBE" w:color="auto" w:val="clear"/>
        </w:rPr>
        <w:t> </w:t>
      </w:r>
      <w:r>
        <w:rPr>
          <w:b/>
          <w:color w:val="FFFFFF"/>
          <w:spacing w:val="-37"/>
          <w:sz w:val="32"/>
          <w:shd w:fill="BEBEBE" w:color="auto" w:val="clear"/>
        </w:rPr>
        <w:t> </w:t>
      </w:r>
      <w:r>
        <w:rPr>
          <w:b/>
          <w:color w:val="FFFFFF"/>
          <w:sz w:val="32"/>
          <w:shd w:fill="BEBEBE" w:color="auto" w:val="clear"/>
        </w:rPr>
        <w:t>02</w:t>
      </w:r>
      <w:r>
        <w:rPr>
          <w:b/>
          <w:color w:val="FFFFFF"/>
          <w:spacing w:val="-36"/>
          <w:sz w:val="32"/>
          <w:shd w:fill="BEBEBE" w:color="auto" w:val="clear"/>
        </w:rPr>
        <w:t> </w:t>
      </w:r>
    </w:p>
    <w:p>
      <w:pPr>
        <w:spacing w:before="6"/>
        <w:ind w:left="564" w:right="0" w:firstLine="0"/>
        <w:jc w:val="left"/>
        <w:rPr>
          <w:sz w:val="36"/>
        </w:rPr>
      </w:pPr>
      <w:r>
        <w:rPr/>
        <w:br w:type="column"/>
      </w:r>
      <w:r>
        <w:rPr>
          <w:color w:val="A6A6A6"/>
          <w:sz w:val="36"/>
        </w:rPr>
        <w:t>行情回顾</w:t>
      </w:r>
    </w:p>
    <w:p>
      <w:pPr>
        <w:pStyle w:val="BodyText"/>
        <w:spacing w:before="5"/>
        <w:rPr>
          <w:sz w:val="41"/>
        </w:rPr>
      </w:pPr>
    </w:p>
    <w:p>
      <w:pPr>
        <w:spacing w:before="0"/>
        <w:ind w:left="563" w:right="0" w:firstLine="0"/>
        <w:jc w:val="left"/>
        <w:rPr>
          <w:sz w:val="36"/>
        </w:rPr>
      </w:pPr>
      <w:r>
        <w:rPr>
          <w:color w:val="A6A6A6"/>
          <w:sz w:val="36"/>
        </w:rPr>
        <w:t>板块观点和投资组合</w:t>
      </w:r>
    </w:p>
    <w:p>
      <w:pPr>
        <w:spacing w:after="0"/>
        <w:jc w:val="left"/>
        <w:rPr>
          <w:sz w:val="36"/>
        </w:rPr>
        <w:sectPr>
          <w:type w:val="continuous"/>
          <w:pgSz w:w="19200" w:h="10800" w:orient="landscape"/>
          <w:pgMar w:top="140" w:bottom="0" w:left="0" w:right="0"/>
          <w:cols w:num="2" w:equalWidth="0">
            <w:col w:w="2345" w:space="40"/>
            <w:col w:w="16815"/>
          </w:cols>
        </w:sectPr>
      </w:pPr>
    </w:p>
    <w:p>
      <w:pPr>
        <w:pStyle w:val="BodyText"/>
        <w:spacing w:before="11" w:after="1"/>
        <w:rPr>
          <w:sz w:val="21"/>
        </w:rPr>
      </w:pPr>
      <w:r>
        <w:rPr/>
        <w:drawing>
          <wp:anchor distT="0" distB="0" distL="0" distR="0" allowOverlap="1" layoutInCell="1" locked="0" behindDoc="0" simplePos="0" relativeHeight="15769088">
            <wp:simplePos x="0" y="0"/>
            <wp:positionH relativeFrom="page">
              <wp:posOffset>10372343</wp:posOffset>
            </wp:positionH>
            <wp:positionV relativeFrom="page">
              <wp:posOffset>0</wp:posOffset>
            </wp:positionV>
            <wp:extent cx="1819655" cy="6857998"/>
            <wp:effectExtent l="0" t="0" r="0" b="0"/>
            <wp:wrapNone/>
            <wp:docPr id="127" name="image4.jpeg"/>
            <wp:cNvGraphicFramePr>
              <a:graphicFrameLocks noChangeAspect="1"/>
            </wp:cNvGraphicFramePr>
            <a:graphic>
              <a:graphicData uri="http://schemas.openxmlformats.org/drawingml/2006/picture">
                <pic:pic>
                  <pic:nvPicPr>
                    <pic:cNvPr id="128" name="image4.jpeg"/>
                    <pic:cNvPicPr/>
                  </pic:nvPicPr>
                  <pic:blipFill>
                    <a:blip r:embed="rId12" cstate="print"/>
                    <a:stretch>
                      <a:fillRect/>
                    </a:stretch>
                  </pic:blipFill>
                  <pic:spPr>
                    <a:xfrm>
                      <a:off x="0" y="0"/>
                      <a:ext cx="1819655" cy="6857998"/>
                    </a:xfrm>
                    <a:prstGeom prst="rect">
                      <a:avLst/>
                    </a:prstGeom>
                  </pic:spPr>
                </pic:pic>
              </a:graphicData>
            </a:graphic>
          </wp:anchor>
        </w:drawing>
      </w:r>
    </w:p>
    <w:p>
      <w:pPr>
        <w:pStyle w:val="BodyText"/>
        <w:ind w:left="1393"/>
        <w:rPr>
          <w:sz w:val="20"/>
        </w:rPr>
      </w:pPr>
      <w:r>
        <w:rPr>
          <w:position w:val="-1"/>
          <w:sz w:val="20"/>
        </w:rPr>
        <w:pict>
          <v:shape style="width:658.35pt;height:65.2pt;mso-position-horizontal-relative:char;mso-position-vertical-relative:line" type="#_x0000_t202" filled="false" stroked="true" strokeweight="2.04pt" strokecolor="#0a4ea1">
            <w10:anchorlock/>
            <v:textbox inset="0,0,0,0">
              <w:txbxContent>
                <w:p>
                  <w:pPr>
                    <w:tabs>
                      <w:tab w:pos="1513" w:val="left" w:leader="none"/>
                    </w:tabs>
                    <w:spacing w:before="319"/>
                    <w:ind w:left="206" w:right="0" w:firstLine="0"/>
                    <w:jc w:val="left"/>
                    <w:rPr>
                      <w:b/>
                      <w:sz w:val="36"/>
                    </w:rPr>
                  </w:pPr>
                  <w:r>
                    <w:rPr>
                      <w:b/>
                      <w:color w:val="FFFFFF"/>
                      <w:w w:val="99"/>
                      <w:position w:val="1"/>
                      <w:sz w:val="32"/>
                      <w:shd w:fill="006FC0" w:color="auto" w:val="clear"/>
                    </w:rPr>
                    <w:t> </w:t>
                  </w:r>
                  <w:r>
                    <w:rPr>
                      <w:b/>
                      <w:color w:val="FFFFFF"/>
                      <w:spacing w:val="-37"/>
                      <w:position w:val="1"/>
                      <w:sz w:val="32"/>
                      <w:shd w:fill="006FC0" w:color="auto" w:val="clear"/>
                    </w:rPr>
                    <w:t> </w:t>
                  </w:r>
                  <w:r>
                    <w:rPr>
                      <w:b/>
                      <w:color w:val="FFFFFF"/>
                      <w:position w:val="1"/>
                      <w:sz w:val="32"/>
                      <w:shd w:fill="006FC0" w:color="auto" w:val="clear"/>
                    </w:rPr>
                    <w:t>03</w:t>
                  </w:r>
                  <w:r>
                    <w:rPr>
                      <w:b/>
                      <w:color w:val="FFFFFF"/>
                      <w:position w:val="1"/>
                      <w:sz w:val="32"/>
                    </w:rPr>
                    <w:tab/>
                  </w:r>
                  <w:r>
                    <w:rPr>
                      <w:b/>
                      <w:color w:val="0A4EA1"/>
                      <w:sz w:val="36"/>
                    </w:rPr>
                    <w:t>行业和个股事件</w:t>
                  </w:r>
                </w:p>
              </w:txbxContent>
            </v:textbox>
            <v:stroke dashstyle="solid"/>
          </v:shape>
        </w:pict>
      </w:r>
      <w:r>
        <w:rPr>
          <w:position w:val="-1"/>
          <w:sz w:val="20"/>
        </w:rPr>
      </w:r>
    </w:p>
    <w:p>
      <w:pPr>
        <w:spacing w:after="0"/>
        <w:rPr>
          <w:sz w:val="20"/>
        </w:rPr>
        <w:sectPr>
          <w:type w:val="continuous"/>
          <w:pgSz w:w="19200" w:h="10800" w:orient="landscape"/>
          <w:pgMar w:top="140" w:bottom="0" w:left="0" w:right="0"/>
        </w:sectPr>
      </w:pPr>
    </w:p>
    <w:p>
      <w:pPr>
        <w:pStyle w:val="BodyText"/>
        <w:rPr>
          <w:sz w:val="20"/>
        </w:rPr>
      </w:pPr>
    </w:p>
    <w:p>
      <w:pPr>
        <w:pStyle w:val="BodyText"/>
        <w:spacing w:before="4"/>
        <w:rPr>
          <w:sz w:val="11"/>
        </w:rPr>
      </w:pPr>
    </w:p>
    <w:p>
      <w:pPr>
        <w:spacing w:line="187" w:lineRule="auto" w:before="109"/>
        <w:ind w:left="933" w:right="2136" w:firstLine="0"/>
        <w:jc w:val="both"/>
        <w:rPr>
          <w:sz w:val="28"/>
        </w:rPr>
      </w:pPr>
      <w:r>
        <w:rPr/>
        <w:drawing>
          <wp:anchor distT="0" distB="0" distL="0" distR="0" allowOverlap="1" layoutInCell="1" locked="0" behindDoc="0" simplePos="0" relativeHeight="15769600">
            <wp:simplePos x="0" y="0"/>
            <wp:positionH relativeFrom="page">
              <wp:posOffset>9144</wp:posOffset>
            </wp:positionH>
            <wp:positionV relativeFrom="paragraph">
              <wp:posOffset>-207994</wp:posOffset>
            </wp:positionV>
            <wp:extent cx="12182855" cy="89915"/>
            <wp:effectExtent l="0" t="0" r="0" b="0"/>
            <wp:wrapNone/>
            <wp:docPr id="133" name="image5.png"/>
            <wp:cNvGraphicFramePr>
              <a:graphicFrameLocks noChangeAspect="1"/>
            </wp:cNvGraphicFramePr>
            <a:graphic>
              <a:graphicData uri="http://schemas.openxmlformats.org/drawingml/2006/picture">
                <pic:pic>
                  <pic:nvPicPr>
                    <pic:cNvPr id="134" name="image5.png"/>
                    <pic:cNvPicPr/>
                  </pic:nvPicPr>
                  <pic:blipFill>
                    <a:blip r:embed="rId14" cstate="print"/>
                    <a:stretch>
                      <a:fillRect/>
                    </a:stretch>
                  </pic:blipFill>
                  <pic:spPr>
                    <a:xfrm>
                      <a:off x="0" y="0"/>
                      <a:ext cx="12182855" cy="89915"/>
                    </a:xfrm>
                    <a:prstGeom prst="rect">
                      <a:avLst/>
                    </a:prstGeom>
                  </pic:spPr>
                </pic:pic>
              </a:graphicData>
            </a:graphic>
          </wp:anchor>
        </w:drawing>
      </w:r>
      <w:r>
        <w:rPr>
          <w:b/>
          <w:color w:val="57585B"/>
          <w:sz w:val="28"/>
        </w:rPr>
        <w:t>10月20日，国家医保局回应对十四届全国人大代表李利的回复函称，PET-CT等医疗项目检查费用普遍较高，将其纳入国家医保， 特别是纳入甲类报销目录尚需充分论证。</w:t>
      </w:r>
      <w:r>
        <w:rPr>
          <w:color w:val="57585B"/>
          <w:sz w:val="28"/>
        </w:rPr>
        <w:t>原劳动和社会保障等部委联合制定的《关于印发城镇职工基本医疗保险诊疗项目管理、医疗服务设施范围和支付标准意见的通知》(劳社部发 [1999] 22 号) 规定应用正电子发射断层扫描装置 (PET)、电子束 CT 等大型医疗设备进行的检查、治疗项目，不属于基本医疗保险支付范围。主要考虑是我国仍处于社会主义初级阶段，医保筹资整体水平不高2022 年城乡居民医保的人均筹资水平仅 960 元，保障能力十分有限，基本医疗保险制度主要立足于为群众提供基本的医疗保障。</w:t>
      </w:r>
    </w:p>
    <w:p>
      <w:pPr>
        <w:pStyle w:val="BodyText"/>
        <w:spacing w:before="5"/>
        <w:rPr>
          <w:sz w:val="47"/>
        </w:rPr>
      </w:pPr>
    </w:p>
    <w:p>
      <w:pPr>
        <w:spacing w:line="184" w:lineRule="auto" w:before="0"/>
        <w:ind w:left="933" w:right="1857" w:firstLine="0"/>
        <w:jc w:val="left"/>
        <w:rPr>
          <w:sz w:val="28"/>
        </w:rPr>
      </w:pPr>
      <w:r>
        <w:rPr>
          <w:b/>
          <w:color w:val="57585B"/>
          <w:sz w:val="28"/>
        </w:rPr>
        <w:t>10</w:t>
      </w:r>
      <w:r>
        <w:rPr>
          <w:b/>
          <w:color w:val="57585B"/>
          <w:spacing w:val="4"/>
          <w:sz w:val="28"/>
        </w:rPr>
        <w:t>月</w:t>
      </w:r>
      <w:r>
        <w:rPr>
          <w:b/>
          <w:color w:val="57585B"/>
          <w:sz w:val="28"/>
        </w:rPr>
        <w:t>20日，翰森制药宣布，其全资附属公司翰森生物与葛兰素史克（GSK）</w:t>
      </w:r>
      <w:r>
        <w:rPr>
          <w:b/>
          <w:color w:val="57585B"/>
          <w:spacing w:val="1"/>
          <w:sz w:val="28"/>
        </w:rPr>
        <w:t>的全资附属公司</w:t>
      </w:r>
      <w:r>
        <w:rPr>
          <w:b/>
          <w:color w:val="57585B"/>
          <w:sz w:val="28"/>
        </w:rPr>
        <w:t>GlaxoSmithKline</w:t>
      </w:r>
      <w:r>
        <w:rPr>
          <w:b/>
          <w:color w:val="57585B"/>
          <w:spacing w:val="1"/>
          <w:sz w:val="28"/>
        </w:rPr>
        <w:t>订立许可协议，据  </w:t>
      </w:r>
      <w:r>
        <w:rPr>
          <w:b/>
          <w:color w:val="57585B"/>
          <w:sz w:val="28"/>
        </w:rPr>
        <w:t>此被许可人将获授予全球独占许可（不含中国大陆、香港、澳门及台湾地区），以开发、生产及商业化HS-20089。</w:t>
      </w:r>
      <w:r>
        <w:rPr>
          <w:color w:val="57585B"/>
          <w:sz w:val="28"/>
        </w:rPr>
        <w:t>根据医药魔方， HS-20089</w:t>
      </w:r>
      <w:r>
        <w:rPr>
          <w:color w:val="57585B"/>
          <w:spacing w:val="1"/>
          <w:sz w:val="28"/>
        </w:rPr>
        <w:t>是一种新型</w:t>
      </w:r>
      <w:r>
        <w:rPr>
          <w:color w:val="57585B"/>
          <w:sz w:val="28"/>
        </w:rPr>
        <w:t>B7-H4靶向抗体药物偶联物（ADC），其有效载荷为拓扑异构酶抑制剂（TOPOi）。B7-H4</w:t>
      </w:r>
      <w:r>
        <w:rPr>
          <w:color w:val="57585B"/>
          <w:spacing w:val="4"/>
          <w:sz w:val="28"/>
        </w:rPr>
        <w:t>是</w:t>
      </w:r>
      <w:r>
        <w:rPr>
          <w:color w:val="57585B"/>
          <w:sz w:val="28"/>
        </w:rPr>
        <w:t>B7超家族中的  一种跨膜糖蛋白，在正常组织中表达有限，但在多种癌症中高表达。HS-20089正在中国进行用于治疗晚期实体瘤的I期临床研究。  </w:t>
      </w:r>
      <w:r>
        <w:rPr>
          <w:color w:val="57585B"/>
          <w:spacing w:val="-3"/>
          <w:sz w:val="28"/>
        </w:rPr>
        <w:t>根据许可协议并按照其中的条款及条件，翰森生物将收取</w:t>
      </w:r>
      <w:r>
        <w:rPr>
          <w:color w:val="57585B"/>
          <w:sz w:val="28"/>
        </w:rPr>
        <w:t>8500</w:t>
      </w:r>
      <w:r>
        <w:rPr>
          <w:color w:val="57585B"/>
          <w:spacing w:val="-3"/>
          <w:sz w:val="28"/>
        </w:rPr>
        <w:t>万美元首付款，并有资格就</w:t>
      </w:r>
      <w:r>
        <w:rPr>
          <w:color w:val="57585B"/>
          <w:sz w:val="28"/>
        </w:rPr>
        <w:t>HS-20089</w:t>
      </w:r>
      <w:r>
        <w:rPr>
          <w:color w:val="57585B"/>
          <w:spacing w:val="-3"/>
          <w:sz w:val="28"/>
        </w:rPr>
        <w:t>收取最多</w:t>
      </w:r>
      <w:r>
        <w:rPr>
          <w:color w:val="57585B"/>
          <w:sz w:val="28"/>
        </w:rPr>
        <w:t>14.85</w:t>
      </w:r>
      <w:r>
        <w:rPr>
          <w:color w:val="57585B"/>
          <w:spacing w:val="-3"/>
          <w:sz w:val="28"/>
        </w:rPr>
        <w:t>亿美元的相关事 件达成时的里程碑付款。</w:t>
      </w:r>
    </w:p>
    <w:p>
      <w:pPr>
        <w:pStyle w:val="BodyText"/>
        <w:spacing w:before="13"/>
        <w:rPr>
          <w:sz w:val="48"/>
        </w:rPr>
      </w:pPr>
    </w:p>
    <w:p>
      <w:pPr>
        <w:pStyle w:val="BodyText"/>
        <w:spacing w:line="184" w:lineRule="auto"/>
        <w:ind w:left="933" w:right="2136"/>
        <w:jc w:val="both"/>
      </w:pPr>
      <w:r>
        <w:rPr>
          <w:b/>
          <w:color w:val="57585B"/>
        </w:rPr>
        <w:t>10</w:t>
      </w:r>
      <w:r>
        <w:rPr>
          <w:b/>
          <w:color w:val="57585B"/>
          <w:spacing w:val="-3"/>
        </w:rPr>
        <w:t>月</w:t>
      </w:r>
      <w:r>
        <w:rPr>
          <w:b/>
          <w:color w:val="57585B"/>
        </w:rPr>
        <w:t>27</w:t>
      </w:r>
      <w:r>
        <w:rPr>
          <w:b/>
          <w:color w:val="57585B"/>
          <w:spacing w:val="-3"/>
        </w:rPr>
        <w:t>日，赛诺菲宣布</w:t>
      </w:r>
      <w:r>
        <w:rPr>
          <w:b/>
          <w:color w:val="57585B"/>
        </w:rPr>
        <w:t>“Play</w:t>
      </w:r>
      <w:r>
        <w:rPr>
          <w:b/>
          <w:color w:val="57585B"/>
          <w:spacing w:val="66"/>
        </w:rPr>
        <w:t> </w:t>
      </w:r>
      <w:r>
        <w:rPr>
          <w:b/>
          <w:color w:val="57585B"/>
        </w:rPr>
        <w:t>to</w:t>
      </w:r>
      <w:r>
        <w:rPr>
          <w:b/>
          <w:color w:val="57585B"/>
          <w:spacing w:val="70"/>
        </w:rPr>
        <w:t> </w:t>
      </w:r>
      <w:r>
        <w:rPr>
          <w:b/>
          <w:color w:val="57585B"/>
        </w:rPr>
        <w:t>Win”</w:t>
      </w:r>
      <w:r>
        <w:rPr>
          <w:b/>
          <w:color w:val="57585B"/>
          <w:spacing w:val="-3"/>
        </w:rPr>
        <w:t>战略全面更新。</w:t>
      </w:r>
      <w:r>
        <w:rPr>
          <w:color w:val="57585B"/>
          <w:spacing w:val="-3"/>
        </w:rPr>
        <w:t>更新的战略举措包括启动战略成本计划，将大部分节省的资金重新分配给创新和增长动力；增加研发投入，充分发挥其管道潜力，推动长期增长并提高股东价值；计划最早在</w:t>
      </w:r>
      <w:r>
        <w:rPr>
          <w:color w:val="57585B"/>
        </w:rPr>
        <w:t>2024年第</w:t>
      </w:r>
      <w:r>
        <w:rPr>
          <w:color w:val="57585B"/>
          <w:spacing w:val="3"/>
        </w:rPr>
        <w:t>4</w:t>
      </w:r>
      <w:r>
        <w:rPr>
          <w:color w:val="57585B"/>
        </w:rPr>
        <w:t>季度通过创建总部位于法国的上市公司来分离消费者保健业务。同时，赛诺菲公布了2023Q3业绩，前三个季度总营收321.51亿欧元，同比增长3.9%</w:t>
      </w:r>
    </w:p>
    <w:p>
      <w:pPr>
        <w:pStyle w:val="BodyText"/>
        <w:spacing w:line="184" w:lineRule="auto" w:before="8"/>
        <w:ind w:left="933" w:right="2095"/>
      </w:pPr>
      <w:r>
        <w:rPr>
          <w:color w:val="57585B"/>
        </w:rPr>
        <w:t>（按固定汇率CER计算）。Q3营收119.64亿欧元，同比增长3.2%，其中度普利尤单抗Q3营收28.47亿欧元，同比增长32.8%。赛诺菲预计，度普利尤单抗2023年销售额接近110亿欧元。</w:t>
      </w:r>
    </w:p>
    <w:p>
      <w:pPr>
        <w:spacing w:after="0" w:line="184" w:lineRule="auto"/>
        <w:sectPr>
          <w:headerReference w:type="default" r:id="rId71"/>
          <w:footerReference w:type="default" r:id="rId72"/>
          <w:pgSz w:w="19200" w:h="10800" w:orient="landscape"/>
          <w:pgMar w:header="471" w:footer="230" w:top="1100" w:bottom="420" w:left="0" w:right="0"/>
          <w:pgNumType w:start="29"/>
        </w:sectPr>
      </w:pPr>
    </w:p>
    <w:p>
      <w:pPr>
        <w:pStyle w:val="BodyText"/>
        <w:rPr>
          <w:sz w:val="20"/>
        </w:rPr>
      </w:pPr>
      <w:r>
        <w:rPr/>
        <w:drawing>
          <wp:anchor distT="0" distB="0" distL="0" distR="0" allowOverlap="1" layoutInCell="1" locked="0" behindDoc="0" simplePos="0" relativeHeight="15770112">
            <wp:simplePos x="0" y="0"/>
            <wp:positionH relativeFrom="page">
              <wp:posOffset>9144</wp:posOffset>
            </wp:positionH>
            <wp:positionV relativeFrom="page">
              <wp:posOffset>859536</wp:posOffset>
            </wp:positionV>
            <wp:extent cx="12182855" cy="89915"/>
            <wp:effectExtent l="0" t="0" r="0" b="0"/>
            <wp:wrapNone/>
            <wp:docPr id="139" name="image5.png"/>
            <wp:cNvGraphicFramePr>
              <a:graphicFrameLocks noChangeAspect="1"/>
            </wp:cNvGraphicFramePr>
            <a:graphic>
              <a:graphicData uri="http://schemas.openxmlformats.org/drawingml/2006/picture">
                <pic:pic>
                  <pic:nvPicPr>
                    <pic:cNvPr id="140" name="image5.png"/>
                    <pic:cNvPicPr/>
                  </pic:nvPicPr>
                  <pic:blipFill>
                    <a:blip r:embed="rId14" cstate="print"/>
                    <a:stretch>
                      <a:fillRect/>
                    </a:stretch>
                  </pic:blipFill>
                  <pic:spPr>
                    <a:xfrm>
                      <a:off x="0" y="0"/>
                      <a:ext cx="12182855" cy="89915"/>
                    </a:xfrm>
                    <a:prstGeom prst="rect">
                      <a:avLst/>
                    </a:prstGeom>
                  </pic:spPr>
                </pic:pic>
              </a:graphicData>
            </a:graphic>
          </wp:anchor>
        </w:drawing>
      </w:r>
    </w:p>
    <w:p>
      <w:pPr>
        <w:pStyle w:val="BodyText"/>
        <w:rPr>
          <w:sz w:val="20"/>
        </w:rPr>
      </w:pPr>
    </w:p>
    <w:p>
      <w:pPr>
        <w:pStyle w:val="BodyText"/>
        <w:rPr>
          <w:sz w:val="20"/>
        </w:rPr>
      </w:pPr>
    </w:p>
    <w:p>
      <w:pPr>
        <w:pStyle w:val="BodyText"/>
        <w:spacing w:before="13"/>
        <w:rPr>
          <w:sz w:val="24"/>
        </w:rPr>
      </w:pPr>
    </w:p>
    <w:tbl>
      <w:tblPr>
        <w:tblW w:w="0" w:type="auto"/>
        <w:jc w:val="left"/>
        <w:tblInd w:w="17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22"/>
        <w:gridCol w:w="1540"/>
        <w:gridCol w:w="1707"/>
        <w:gridCol w:w="3751"/>
        <w:gridCol w:w="639"/>
        <w:gridCol w:w="1784"/>
        <w:gridCol w:w="1555"/>
        <w:gridCol w:w="4081"/>
      </w:tblGrid>
      <w:tr>
        <w:trPr>
          <w:trHeight w:val="380" w:hRule="atLeast"/>
        </w:trPr>
        <w:tc>
          <w:tcPr>
            <w:tcW w:w="622" w:type="dxa"/>
            <w:shd w:val="clear" w:color="auto" w:fill="D9D9D9"/>
          </w:tcPr>
          <w:p>
            <w:pPr>
              <w:pStyle w:val="TableParagraph"/>
              <w:spacing w:line="360" w:lineRule="exact"/>
              <w:ind w:left="90" w:right="71"/>
              <w:rPr>
                <w:rFonts w:ascii="Microsoft JhengHei" w:eastAsia="Microsoft JhengHei" w:hint="eastAsia"/>
                <w:b/>
                <w:sz w:val="20"/>
              </w:rPr>
            </w:pPr>
            <w:r>
              <w:rPr>
                <w:rFonts w:ascii="Microsoft JhengHei" w:eastAsia="Microsoft JhengHei" w:hint="eastAsia"/>
                <w:b/>
                <w:sz w:val="20"/>
              </w:rPr>
              <w:t>排序</w:t>
            </w:r>
          </w:p>
        </w:tc>
        <w:tc>
          <w:tcPr>
            <w:tcW w:w="1540" w:type="dxa"/>
            <w:shd w:val="clear" w:color="auto" w:fill="D9D9D9"/>
          </w:tcPr>
          <w:p>
            <w:pPr>
              <w:pStyle w:val="TableParagraph"/>
              <w:spacing w:line="360" w:lineRule="exact"/>
              <w:ind w:left="249" w:right="229"/>
              <w:rPr>
                <w:rFonts w:ascii="Microsoft JhengHei" w:eastAsia="Microsoft JhengHei" w:hint="eastAsia"/>
                <w:b/>
                <w:sz w:val="20"/>
              </w:rPr>
            </w:pPr>
            <w:r>
              <w:rPr>
                <w:rFonts w:ascii="Microsoft JhengHei" w:eastAsia="Microsoft JhengHei" w:hint="eastAsia"/>
                <w:b/>
                <w:sz w:val="20"/>
              </w:rPr>
              <w:t>涨幅前五名</w:t>
            </w:r>
          </w:p>
        </w:tc>
        <w:tc>
          <w:tcPr>
            <w:tcW w:w="1707" w:type="dxa"/>
            <w:shd w:val="clear" w:color="auto" w:fill="D9D9D9"/>
          </w:tcPr>
          <w:p>
            <w:pPr>
              <w:pStyle w:val="TableParagraph"/>
              <w:spacing w:line="360" w:lineRule="exact"/>
              <w:ind w:left="331" w:right="315"/>
              <w:rPr>
                <w:rFonts w:ascii="Microsoft JhengHei" w:eastAsia="Microsoft JhengHei" w:hint="eastAsia"/>
                <w:b/>
                <w:sz w:val="20"/>
              </w:rPr>
            </w:pPr>
            <w:r>
              <w:rPr>
                <w:rFonts w:ascii="Microsoft JhengHei" w:eastAsia="Microsoft JhengHei" w:hint="eastAsia"/>
                <w:b/>
                <w:sz w:val="20"/>
              </w:rPr>
              <w:t>本周涨跌幅</w:t>
            </w:r>
          </w:p>
        </w:tc>
        <w:tc>
          <w:tcPr>
            <w:tcW w:w="3751" w:type="dxa"/>
            <w:shd w:val="clear" w:color="auto" w:fill="D9D9D9"/>
          </w:tcPr>
          <w:p>
            <w:pPr>
              <w:pStyle w:val="TableParagraph"/>
              <w:spacing w:line="360" w:lineRule="exact"/>
              <w:ind w:left="1055" w:right="1034"/>
              <w:rPr>
                <w:rFonts w:ascii="Microsoft JhengHei" w:eastAsia="Microsoft JhengHei" w:hint="eastAsia"/>
                <w:b/>
                <w:sz w:val="20"/>
              </w:rPr>
            </w:pPr>
            <w:r>
              <w:rPr>
                <w:rFonts w:ascii="Microsoft JhengHei" w:eastAsia="Microsoft JhengHei" w:hint="eastAsia"/>
                <w:b/>
                <w:sz w:val="20"/>
              </w:rPr>
              <w:t>原因分析</w:t>
            </w:r>
          </w:p>
        </w:tc>
        <w:tc>
          <w:tcPr>
            <w:tcW w:w="639" w:type="dxa"/>
            <w:shd w:val="clear" w:color="auto" w:fill="D9D9D9"/>
          </w:tcPr>
          <w:p>
            <w:pPr>
              <w:pStyle w:val="TableParagraph"/>
              <w:spacing w:line="360" w:lineRule="exact"/>
              <w:ind w:left="100" w:right="79"/>
              <w:rPr>
                <w:rFonts w:ascii="Microsoft JhengHei" w:eastAsia="Microsoft JhengHei" w:hint="eastAsia"/>
                <w:b/>
                <w:sz w:val="20"/>
              </w:rPr>
            </w:pPr>
            <w:r>
              <w:rPr>
                <w:rFonts w:ascii="Microsoft JhengHei" w:eastAsia="Microsoft JhengHei" w:hint="eastAsia"/>
                <w:b/>
                <w:sz w:val="20"/>
              </w:rPr>
              <w:t>排序</w:t>
            </w:r>
          </w:p>
        </w:tc>
        <w:tc>
          <w:tcPr>
            <w:tcW w:w="1784" w:type="dxa"/>
            <w:shd w:val="clear" w:color="auto" w:fill="D9D9D9"/>
          </w:tcPr>
          <w:p>
            <w:pPr>
              <w:pStyle w:val="TableParagraph"/>
              <w:spacing w:line="360" w:lineRule="exact"/>
              <w:ind w:left="371" w:right="352"/>
              <w:rPr>
                <w:rFonts w:ascii="Microsoft JhengHei" w:eastAsia="Microsoft JhengHei" w:hint="eastAsia"/>
                <w:b/>
                <w:sz w:val="20"/>
              </w:rPr>
            </w:pPr>
            <w:r>
              <w:rPr>
                <w:rFonts w:ascii="Microsoft JhengHei" w:eastAsia="Microsoft JhengHei" w:hint="eastAsia"/>
                <w:b/>
                <w:sz w:val="20"/>
              </w:rPr>
              <w:t>跌幅前五名</w:t>
            </w:r>
          </w:p>
        </w:tc>
        <w:tc>
          <w:tcPr>
            <w:tcW w:w="1555" w:type="dxa"/>
            <w:shd w:val="clear" w:color="auto" w:fill="D9D9D9"/>
          </w:tcPr>
          <w:p>
            <w:pPr>
              <w:pStyle w:val="TableParagraph"/>
              <w:spacing w:line="360" w:lineRule="exact"/>
              <w:ind w:left="256" w:right="239"/>
              <w:rPr>
                <w:rFonts w:ascii="Microsoft JhengHei" w:eastAsia="Microsoft JhengHei" w:hint="eastAsia"/>
                <w:b/>
                <w:sz w:val="20"/>
              </w:rPr>
            </w:pPr>
            <w:r>
              <w:rPr>
                <w:rFonts w:ascii="Microsoft JhengHei" w:eastAsia="Microsoft JhengHei" w:hint="eastAsia"/>
                <w:b/>
                <w:sz w:val="20"/>
              </w:rPr>
              <w:t>本周涨跌幅</w:t>
            </w:r>
          </w:p>
        </w:tc>
        <w:tc>
          <w:tcPr>
            <w:tcW w:w="4081" w:type="dxa"/>
            <w:shd w:val="clear" w:color="auto" w:fill="D9D9D9"/>
          </w:tcPr>
          <w:p>
            <w:pPr>
              <w:pStyle w:val="TableParagraph"/>
              <w:spacing w:line="360" w:lineRule="exact"/>
              <w:ind w:left="1516" w:right="1503"/>
              <w:rPr>
                <w:rFonts w:ascii="Microsoft JhengHei" w:eastAsia="Microsoft JhengHei" w:hint="eastAsia"/>
                <w:b/>
                <w:sz w:val="20"/>
              </w:rPr>
            </w:pPr>
            <w:r>
              <w:rPr>
                <w:rFonts w:ascii="Microsoft JhengHei" w:eastAsia="Microsoft JhengHei" w:hint="eastAsia"/>
                <w:b/>
                <w:sz w:val="20"/>
              </w:rPr>
              <w:t>原因分析</w:t>
            </w:r>
          </w:p>
        </w:tc>
      </w:tr>
      <w:tr>
        <w:trPr>
          <w:trHeight w:val="876" w:hRule="atLeast"/>
        </w:trPr>
        <w:tc>
          <w:tcPr>
            <w:tcW w:w="622" w:type="dxa"/>
          </w:tcPr>
          <w:p>
            <w:pPr>
              <w:pStyle w:val="TableParagraph"/>
              <w:spacing w:line="240" w:lineRule="auto" w:before="13"/>
              <w:jc w:val="left"/>
              <w:rPr>
                <w:sz w:val="16"/>
              </w:rPr>
            </w:pPr>
          </w:p>
          <w:p>
            <w:pPr>
              <w:pStyle w:val="TableParagraph"/>
              <w:spacing w:line="240" w:lineRule="auto"/>
              <w:ind w:left="18"/>
              <w:rPr>
                <w:rFonts w:ascii="宋体"/>
                <w:sz w:val="20"/>
              </w:rPr>
            </w:pPr>
            <w:r>
              <w:rPr>
                <w:rFonts w:ascii="宋体"/>
                <w:w w:val="99"/>
                <w:sz w:val="20"/>
              </w:rPr>
              <w:t>1</w:t>
            </w:r>
          </w:p>
        </w:tc>
        <w:tc>
          <w:tcPr>
            <w:tcW w:w="1540" w:type="dxa"/>
          </w:tcPr>
          <w:p>
            <w:pPr>
              <w:pStyle w:val="TableParagraph"/>
              <w:spacing w:line="240" w:lineRule="auto" w:before="17"/>
              <w:jc w:val="left"/>
              <w:rPr>
                <w:sz w:val="16"/>
              </w:rPr>
            </w:pPr>
          </w:p>
          <w:p>
            <w:pPr>
              <w:pStyle w:val="TableParagraph"/>
              <w:spacing w:line="240" w:lineRule="auto"/>
              <w:ind w:left="247" w:right="230"/>
              <w:rPr>
                <w:rFonts w:ascii="宋体" w:eastAsia="宋体" w:hint="eastAsia"/>
                <w:sz w:val="20"/>
              </w:rPr>
            </w:pPr>
            <w:r>
              <w:rPr>
                <w:rFonts w:ascii="宋体" w:eastAsia="宋体" w:hint="eastAsia"/>
                <w:sz w:val="20"/>
              </w:rPr>
              <w:t>凯因科技</w:t>
            </w:r>
          </w:p>
        </w:tc>
        <w:tc>
          <w:tcPr>
            <w:tcW w:w="1707" w:type="dxa"/>
          </w:tcPr>
          <w:p>
            <w:pPr>
              <w:pStyle w:val="TableParagraph"/>
              <w:spacing w:line="240" w:lineRule="auto" w:before="9"/>
              <w:jc w:val="left"/>
              <w:rPr>
                <w:sz w:val="17"/>
              </w:rPr>
            </w:pPr>
          </w:p>
          <w:p>
            <w:pPr>
              <w:pStyle w:val="TableParagraph"/>
              <w:spacing w:line="240" w:lineRule="auto"/>
              <w:ind w:left="331" w:right="315"/>
              <w:rPr>
                <w:rFonts w:ascii="Arial"/>
                <w:sz w:val="20"/>
              </w:rPr>
            </w:pPr>
            <w:r>
              <w:rPr>
                <w:rFonts w:ascii="Arial"/>
                <w:sz w:val="20"/>
              </w:rPr>
              <w:t>29.45%</w:t>
            </w:r>
          </w:p>
        </w:tc>
        <w:tc>
          <w:tcPr>
            <w:tcW w:w="3751" w:type="dxa"/>
          </w:tcPr>
          <w:p>
            <w:pPr>
              <w:pStyle w:val="TableParagraph"/>
              <w:spacing w:line="240" w:lineRule="auto" w:before="13"/>
              <w:jc w:val="left"/>
              <w:rPr>
                <w:sz w:val="16"/>
              </w:rPr>
            </w:pPr>
          </w:p>
          <w:p>
            <w:pPr>
              <w:pStyle w:val="TableParagraph"/>
              <w:spacing w:line="240" w:lineRule="auto"/>
              <w:ind w:left="1055" w:right="1034"/>
              <w:rPr>
                <w:rFonts w:ascii="宋体" w:eastAsia="宋体" w:hint="eastAsia"/>
                <w:sz w:val="20"/>
              </w:rPr>
            </w:pPr>
            <w:r>
              <w:rPr>
                <w:rFonts w:ascii="宋体" w:eastAsia="宋体" w:hint="eastAsia"/>
                <w:sz w:val="20"/>
              </w:rPr>
              <w:t>三季报发布</w:t>
            </w:r>
          </w:p>
        </w:tc>
        <w:tc>
          <w:tcPr>
            <w:tcW w:w="639" w:type="dxa"/>
          </w:tcPr>
          <w:p>
            <w:pPr>
              <w:pStyle w:val="TableParagraph"/>
              <w:spacing w:line="240" w:lineRule="auto" w:before="13"/>
              <w:jc w:val="left"/>
              <w:rPr>
                <w:sz w:val="16"/>
              </w:rPr>
            </w:pPr>
          </w:p>
          <w:p>
            <w:pPr>
              <w:pStyle w:val="TableParagraph"/>
              <w:spacing w:line="240" w:lineRule="auto"/>
              <w:ind w:left="20"/>
              <w:rPr>
                <w:rFonts w:ascii="宋体"/>
                <w:sz w:val="20"/>
              </w:rPr>
            </w:pPr>
            <w:r>
              <w:rPr>
                <w:rFonts w:ascii="宋体"/>
                <w:w w:val="99"/>
                <w:sz w:val="20"/>
              </w:rPr>
              <w:t>1</w:t>
            </w:r>
          </w:p>
        </w:tc>
        <w:tc>
          <w:tcPr>
            <w:tcW w:w="1784" w:type="dxa"/>
          </w:tcPr>
          <w:p>
            <w:pPr>
              <w:pStyle w:val="TableParagraph"/>
              <w:spacing w:line="240" w:lineRule="auto" w:before="17"/>
              <w:jc w:val="left"/>
              <w:rPr>
                <w:sz w:val="16"/>
              </w:rPr>
            </w:pPr>
          </w:p>
          <w:p>
            <w:pPr>
              <w:pStyle w:val="TableParagraph"/>
              <w:spacing w:line="240" w:lineRule="auto"/>
              <w:ind w:left="371" w:right="351"/>
              <w:rPr>
                <w:rFonts w:ascii="宋体" w:eastAsia="宋体" w:hint="eastAsia"/>
                <w:sz w:val="20"/>
              </w:rPr>
            </w:pPr>
            <w:r>
              <w:rPr>
                <w:rFonts w:ascii="宋体" w:eastAsia="宋体" w:hint="eastAsia"/>
                <w:sz w:val="20"/>
              </w:rPr>
              <w:t>*ST吉药</w:t>
            </w:r>
          </w:p>
        </w:tc>
        <w:tc>
          <w:tcPr>
            <w:tcW w:w="1555" w:type="dxa"/>
          </w:tcPr>
          <w:p>
            <w:pPr>
              <w:pStyle w:val="TableParagraph"/>
              <w:spacing w:line="240" w:lineRule="auto" w:before="9"/>
              <w:jc w:val="left"/>
              <w:rPr>
                <w:sz w:val="17"/>
              </w:rPr>
            </w:pPr>
          </w:p>
          <w:p>
            <w:pPr>
              <w:pStyle w:val="TableParagraph"/>
              <w:spacing w:line="240" w:lineRule="auto"/>
              <w:ind w:left="256" w:right="239"/>
              <w:rPr>
                <w:rFonts w:ascii="Arial"/>
                <w:sz w:val="20"/>
              </w:rPr>
            </w:pPr>
            <w:r>
              <w:rPr>
                <w:rFonts w:ascii="Arial"/>
                <w:sz w:val="20"/>
              </w:rPr>
              <w:t>-11.14%</w:t>
            </w:r>
          </w:p>
        </w:tc>
        <w:tc>
          <w:tcPr>
            <w:tcW w:w="4081" w:type="dxa"/>
          </w:tcPr>
          <w:p>
            <w:pPr>
              <w:pStyle w:val="TableParagraph"/>
              <w:spacing w:line="240" w:lineRule="auto" w:before="13"/>
              <w:jc w:val="left"/>
              <w:rPr>
                <w:sz w:val="16"/>
              </w:rPr>
            </w:pPr>
          </w:p>
          <w:p>
            <w:pPr>
              <w:pStyle w:val="TableParagraph"/>
              <w:spacing w:line="240" w:lineRule="auto"/>
              <w:ind w:left="1517" w:right="1503"/>
              <w:rPr>
                <w:rFonts w:ascii="宋体" w:eastAsia="宋体" w:hint="eastAsia"/>
                <w:sz w:val="20"/>
              </w:rPr>
            </w:pPr>
            <w:r>
              <w:rPr>
                <w:rFonts w:ascii="宋体" w:eastAsia="宋体" w:hint="eastAsia"/>
                <w:sz w:val="20"/>
              </w:rPr>
              <w:t>三季报发布</w:t>
            </w:r>
          </w:p>
        </w:tc>
      </w:tr>
      <w:tr>
        <w:trPr>
          <w:trHeight w:val="876" w:hRule="atLeast"/>
        </w:trPr>
        <w:tc>
          <w:tcPr>
            <w:tcW w:w="622" w:type="dxa"/>
          </w:tcPr>
          <w:p>
            <w:pPr>
              <w:pStyle w:val="TableParagraph"/>
              <w:spacing w:line="240" w:lineRule="auto" w:before="14"/>
              <w:jc w:val="left"/>
              <w:rPr>
                <w:sz w:val="16"/>
              </w:rPr>
            </w:pPr>
          </w:p>
          <w:p>
            <w:pPr>
              <w:pStyle w:val="TableParagraph"/>
              <w:spacing w:line="240" w:lineRule="auto"/>
              <w:ind w:left="18"/>
              <w:rPr>
                <w:rFonts w:ascii="宋体"/>
                <w:sz w:val="20"/>
              </w:rPr>
            </w:pPr>
            <w:r>
              <w:rPr>
                <w:rFonts w:ascii="宋体"/>
                <w:w w:val="99"/>
                <w:sz w:val="20"/>
              </w:rPr>
              <w:t>2</w:t>
            </w:r>
          </w:p>
        </w:tc>
        <w:tc>
          <w:tcPr>
            <w:tcW w:w="1540" w:type="dxa"/>
          </w:tcPr>
          <w:p>
            <w:pPr>
              <w:pStyle w:val="TableParagraph"/>
              <w:spacing w:line="240" w:lineRule="auto" w:before="17"/>
              <w:jc w:val="left"/>
              <w:rPr>
                <w:sz w:val="16"/>
              </w:rPr>
            </w:pPr>
          </w:p>
          <w:p>
            <w:pPr>
              <w:pStyle w:val="TableParagraph"/>
              <w:spacing w:line="240" w:lineRule="auto"/>
              <w:ind w:left="247" w:right="230"/>
              <w:rPr>
                <w:rFonts w:ascii="宋体" w:eastAsia="宋体" w:hint="eastAsia"/>
                <w:sz w:val="20"/>
              </w:rPr>
            </w:pPr>
            <w:r>
              <w:rPr>
                <w:rFonts w:ascii="宋体" w:eastAsia="宋体" w:hint="eastAsia"/>
                <w:sz w:val="20"/>
              </w:rPr>
              <w:t>诺泰生物</w:t>
            </w:r>
          </w:p>
        </w:tc>
        <w:tc>
          <w:tcPr>
            <w:tcW w:w="1707" w:type="dxa"/>
          </w:tcPr>
          <w:p>
            <w:pPr>
              <w:pStyle w:val="TableParagraph"/>
              <w:spacing w:line="240" w:lineRule="auto" w:before="9"/>
              <w:jc w:val="left"/>
              <w:rPr>
                <w:sz w:val="17"/>
              </w:rPr>
            </w:pPr>
          </w:p>
          <w:p>
            <w:pPr>
              <w:pStyle w:val="TableParagraph"/>
              <w:spacing w:line="240" w:lineRule="auto"/>
              <w:ind w:left="331" w:right="315"/>
              <w:rPr>
                <w:rFonts w:ascii="Arial"/>
                <w:sz w:val="20"/>
              </w:rPr>
            </w:pPr>
            <w:r>
              <w:rPr>
                <w:rFonts w:ascii="Arial"/>
                <w:sz w:val="20"/>
              </w:rPr>
              <w:t>24.51%</w:t>
            </w:r>
          </w:p>
        </w:tc>
        <w:tc>
          <w:tcPr>
            <w:tcW w:w="3751" w:type="dxa"/>
          </w:tcPr>
          <w:p>
            <w:pPr>
              <w:pStyle w:val="TableParagraph"/>
              <w:spacing w:line="240" w:lineRule="auto" w:before="14"/>
              <w:jc w:val="left"/>
              <w:rPr>
                <w:sz w:val="16"/>
              </w:rPr>
            </w:pPr>
          </w:p>
          <w:p>
            <w:pPr>
              <w:pStyle w:val="TableParagraph"/>
              <w:spacing w:line="240" w:lineRule="auto"/>
              <w:ind w:left="1055" w:right="1034"/>
              <w:rPr>
                <w:rFonts w:ascii="宋体" w:eastAsia="宋体" w:hint="eastAsia"/>
                <w:sz w:val="20"/>
              </w:rPr>
            </w:pPr>
            <w:r>
              <w:rPr>
                <w:rFonts w:ascii="宋体" w:eastAsia="宋体" w:hint="eastAsia"/>
                <w:sz w:val="20"/>
              </w:rPr>
              <w:t>减肥药概念</w:t>
            </w:r>
          </w:p>
        </w:tc>
        <w:tc>
          <w:tcPr>
            <w:tcW w:w="639" w:type="dxa"/>
          </w:tcPr>
          <w:p>
            <w:pPr>
              <w:pStyle w:val="TableParagraph"/>
              <w:spacing w:line="240" w:lineRule="auto" w:before="14"/>
              <w:jc w:val="left"/>
              <w:rPr>
                <w:sz w:val="16"/>
              </w:rPr>
            </w:pPr>
          </w:p>
          <w:p>
            <w:pPr>
              <w:pStyle w:val="TableParagraph"/>
              <w:spacing w:line="240" w:lineRule="auto"/>
              <w:ind w:left="20"/>
              <w:rPr>
                <w:rFonts w:ascii="宋体"/>
                <w:sz w:val="20"/>
              </w:rPr>
            </w:pPr>
            <w:r>
              <w:rPr>
                <w:rFonts w:ascii="宋体"/>
                <w:w w:val="99"/>
                <w:sz w:val="20"/>
              </w:rPr>
              <w:t>2</w:t>
            </w:r>
          </w:p>
        </w:tc>
        <w:tc>
          <w:tcPr>
            <w:tcW w:w="1784" w:type="dxa"/>
          </w:tcPr>
          <w:p>
            <w:pPr>
              <w:pStyle w:val="TableParagraph"/>
              <w:spacing w:line="240" w:lineRule="auto" w:before="17"/>
              <w:jc w:val="left"/>
              <w:rPr>
                <w:sz w:val="16"/>
              </w:rPr>
            </w:pPr>
          </w:p>
          <w:p>
            <w:pPr>
              <w:pStyle w:val="TableParagraph"/>
              <w:spacing w:line="240" w:lineRule="auto"/>
              <w:ind w:left="367" w:right="352"/>
              <w:rPr>
                <w:rFonts w:ascii="宋体" w:eastAsia="宋体" w:hint="eastAsia"/>
                <w:sz w:val="20"/>
              </w:rPr>
            </w:pPr>
            <w:r>
              <w:rPr>
                <w:rFonts w:ascii="宋体" w:eastAsia="宋体" w:hint="eastAsia"/>
                <w:sz w:val="20"/>
              </w:rPr>
              <w:t>艾德生物</w:t>
            </w:r>
          </w:p>
        </w:tc>
        <w:tc>
          <w:tcPr>
            <w:tcW w:w="1555" w:type="dxa"/>
          </w:tcPr>
          <w:p>
            <w:pPr>
              <w:pStyle w:val="TableParagraph"/>
              <w:spacing w:line="240" w:lineRule="auto" w:before="9"/>
              <w:jc w:val="left"/>
              <w:rPr>
                <w:sz w:val="17"/>
              </w:rPr>
            </w:pPr>
          </w:p>
          <w:p>
            <w:pPr>
              <w:pStyle w:val="TableParagraph"/>
              <w:spacing w:line="240" w:lineRule="auto"/>
              <w:ind w:left="256" w:right="239"/>
              <w:rPr>
                <w:rFonts w:ascii="Arial"/>
                <w:sz w:val="20"/>
              </w:rPr>
            </w:pPr>
            <w:r>
              <w:rPr>
                <w:rFonts w:ascii="Arial"/>
                <w:sz w:val="20"/>
              </w:rPr>
              <w:t>-9.41%</w:t>
            </w:r>
          </w:p>
        </w:tc>
        <w:tc>
          <w:tcPr>
            <w:tcW w:w="4081" w:type="dxa"/>
          </w:tcPr>
          <w:p>
            <w:pPr>
              <w:pStyle w:val="TableParagraph"/>
              <w:spacing w:line="240" w:lineRule="auto" w:before="14"/>
              <w:jc w:val="left"/>
              <w:rPr>
                <w:sz w:val="16"/>
              </w:rPr>
            </w:pPr>
          </w:p>
          <w:p>
            <w:pPr>
              <w:pStyle w:val="TableParagraph"/>
              <w:spacing w:line="240" w:lineRule="auto"/>
              <w:ind w:left="1516" w:right="1503"/>
              <w:rPr>
                <w:rFonts w:ascii="宋体" w:eastAsia="宋体" w:hint="eastAsia"/>
                <w:sz w:val="20"/>
              </w:rPr>
            </w:pPr>
            <w:r>
              <w:rPr>
                <w:rFonts w:ascii="宋体" w:eastAsia="宋体" w:hint="eastAsia"/>
                <w:sz w:val="20"/>
              </w:rPr>
              <w:t>三季报发布</w:t>
            </w:r>
          </w:p>
        </w:tc>
      </w:tr>
      <w:tr>
        <w:trPr>
          <w:trHeight w:val="876" w:hRule="atLeast"/>
        </w:trPr>
        <w:tc>
          <w:tcPr>
            <w:tcW w:w="622" w:type="dxa"/>
          </w:tcPr>
          <w:p>
            <w:pPr>
              <w:pStyle w:val="TableParagraph"/>
              <w:spacing w:line="240" w:lineRule="auto" w:before="14"/>
              <w:jc w:val="left"/>
              <w:rPr>
                <w:sz w:val="16"/>
              </w:rPr>
            </w:pPr>
          </w:p>
          <w:p>
            <w:pPr>
              <w:pStyle w:val="TableParagraph"/>
              <w:spacing w:line="240" w:lineRule="auto"/>
              <w:ind w:left="18"/>
              <w:rPr>
                <w:rFonts w:ascii="宋体"/>
                <w:sz w:val="20"/>
              </w:rPr>
            </w:pPr>
            <w:r>
              <w:rPr>
                <w:rFonts w:ascii="宋体"/>
                <w:w w:val="99"/>
                <w:sz w:val="20"/>
              </w:rPr>
              <w:t>3</w:t>
            </w:r>
          </w:p>
        </w:tc>
        <w:tc>
          <w:tcPr>
            <w:tcW w:w="1540" w:type="dxa"/>
          </w:tcPr>
          <w:p>
            <w:pPr>
              <w:pStyle w:val="TableParagraph"/>
              <w:spacing w:line="240" w:lineRule="auto" w:before="18"/>
              <w:jc w:val="left"/>
              <w:rPr>
                <w:sz w:val="16"/>
              </w:rPr>
            </w:pPr>
          </w:p>
          <w:p>
            <w:pPr>
              <w:pStyle w:val="TableParagraph"/>
              <w:spacing w:line="240" w:lineRule="auto"/>
              <w:ind w:left="247" w:right="230"/>
              <w:rPr>
                <w:rFonts w:ascii="宋体" w:eastAsia="宋体" w:hint="eastAsia"/>
                <w:sz w:val="20"/>
              </w:rPr>
            </w:pPr>
            <w:r>
              <w:rPr>
                <w:rFonts w:ascii="宋体" w:eastAsia="宋体" w:hint="eastAsia"/>
                <w:sz w:val="20"/>
              </w:rPr>
              <w:t>海特生物</w:t>
            </w:r>
          </w:p>
        </w:tc>
        <w:tc>
          <w:tcPr>
            <w:tcW w:w="1707" w:type="dxa"/>
          </w:tcPr>
          <w:p>
            <w:pPr>
              <w:pStyle w:val="TableParagraph"/>
              <w:spacing w:line="240" w:lineRule="auto" w:before="9"/>
              <w:jc w:val="left"/>
              <w:rPr>
                <w:sz w:val="17"/>
              </w:rPr>
            </w:pPr>
          </w:p>
          <w:p>
            <w:pPr>
              <w:pStyle w:val="TableParagraph"/>
              <w:spacing w:line="240" w:lineRule="auto"/>
              <w:ind w:left="331" w:right="315"/>
              <w:rPr>
                <w:rFonts w:ascii="Arial"/>
                <w:sz w:val="20"/>
              </w:rPr>
            </w:pPr>
            <w:r>
              <w:rPr>
                <w:rFonts w:ascii="Arial"/>
                <w:sz w:val="20"/>
              </w:rPr>
              <w:t>21.42%</w:t>
            </w:r>
          </w:p>
        </w:tc>
        <w:tc>
          <w:tcPr>
            <w:tcW w:w="3751" w:type="dxa"/>
          </w:tcPr>
          <w:p>
            <w:pPr>
              <w:pStyle w:val="TableParagraph"/>
              <w:spacing w:line="240" w:lineRule="auto" w:before="14"/>
              <w:jc w:val="left"/>
              <w:rPr>
                <w:sz w:val="16"/>
              </w:rPr>
            </w:pPr>
          </w:p>
          <w:p>
            <w:pPr>
              <w:pStyle w:val="TableParagraph"/>
              <w:spacing w:line="240" w:lineRule="auto"/>
              <w:ind w:left="1053" w:right="1035"/>
              <w:rPr>
                <w:rFonts w:ascii="宋体" w:eastAsia="宋体" w:hint="eastAsia"/>
                <w:sz w:val="20"/>
              </w:rPr>
            </w:pPr>
            <w:r>
              <w:rPr>
                <w:rFonts w:ascii="宋体" w:eastAsia="宋体" w:hint="eastAsia"/>
                <w:sz w:val="20"/>
              </w:rPr>
              <w:t>CPT即将上市</w:t>
            </w:r>
          </w:p>
        </w:tc>
        <w:tc>
          <w:tcPr>
            <w:tcW w:w="639" w:type="dxa"/>
          </w:tcPr>
          <w:p>
            <w:pPr>
              <w:pStyle w:val="TableParagraph"/>
              <w:spacing w:line="240" w:lineRule="auto" w:before="14"/>
              <w:jc w:val="left"/>
              <w:rPr>
                <w:sz w:val="16"/>
              </w:rPr>
            </w:pPr>
          </w:p>
          <w:p>
            <w:pPr>
              <w:pStyle w:val="TableParagraph"/>
              <w:spacing w:line="240" w:lineRule="auto"/>
              <w:ind w:left="20"/>
              <w:rPr>
                <w:rFonts w:ascii="宋体"/>
                <w:sz w:val="20"/>
              </w:rPr>
            </w:pPr>
            <w:r>
              <w:rPr>
                <w:rFonts w:ascii="宋体"/>
                <w:w w:val="99"/>
                <w:sz w:val="20"/>
              </w:rPr>
              <w:t>3</w:t>
            </w:r>
          </w:p>
        </w:tc>
        <w:tc>
          <w:tcPr>
            <w:tcW w:w="1784" w:type="dxa"/>
          </w:tcPr>
          <w:p>
            <w:pPr>
              <w:pStyle w:val="TableParagraph"/>
              <w:spacing w:line="240" w:lineRule="auto" w:before="18"/>
              <w:jc w:val="left"/>
              <w:rPr>
                <w:sz w:val="16"/>
              </w:rPr>
            </w:pPr>
          </w:p>
          <w:p>
            <w:pPr>
              <w:pStyle w:val="TableParagraph"/>
              <w:spacing w:line="240" w:lineRule="auto"/>
              <w:ind w:left="367" w:right="352"/>
              <w:rPr>
                <w:rFonts w:ascii="宋体" w:eastAsia="宋体" w:hint="eastAsia"/>
                <w:sz w:val="20"/>
              </w:rPr>
            </w:pPr>
            <w:r>
              <w:rPr>
                <w:rFonts w:ascii="宋体" w:eastAsia="宋体" w:hint="eastAsia"/>
                <w:sz w:val="20"/>
              </w:rPr>
              <w:t>国药股份</w:t>
            </w:r>
          </w:p>
        </w:tc>
        <w:tc>
          <w:tcPr>
            <w:tcW w:w="1555" w:type="dxa"/>
          </w:tcPr>
          <w:p>
            <w:pPr>
              <w:pStyle w:val="TableParagraph"/>
              <w:spacing w:line="240" w:lineRule="auto" w:before="9"/>
              <w:jc w:val="left"/>
              <w:rPr>
                <w:sz w:val="17"/>
              </w:rPr>
            </w:pPr>
          </w:p>
          <w:p>
            <w:pPr>
              <w:pStyle w:val="TableParagraph"/>
              <w:spacing w:line="240" w:lineRule="auto"/>
              <w:ind w:left="256" w:right="239"/>
              <w:rPr>
                <w:rFonts w:ascii="Arial"/>
                <w:sz w:val="20"/>
              </w:rPr>
            </w:pPr>
            <w:r>
              <w:rPr>
                <w:rFonts w:ascii="Arial"/>
                <w:sz w:val="20"/>
              </w:rPr>
              <w:t>-8.55%</w:t>
            </w:r>
          </w:p>
        </w:tc>
        <w:tc>
          <w:tcPr>
            <w:tcW w:w="4081" w:type="dxa"/>
          </w:tcPr>
          <w:p>
            <w:pPr>
              <w:pStyle w:val="TableParagraph"/>
              <w:spacing w:line="240" w:lineRule="auto" w:before="14"/>
              <w:jc w:val="left"/>
              <w:rPr>
                <w:sz w:val="16"/>
              </w:rPr>
            </w:pPr>
          </w:p>
          <w:p>
            <w:pPr>
              <w:pStyle w:val="TableParagraph"/>
              <w:spacing w:line="240" w:lineRule="auto"/>
              <w:ind w:left="1516" w:right="1503"/>
              <w:rPr>
                <w:rFonts w:ascii="宋体" w:eastAsia="宋体" w:hint="eastAsia"/>
                <w:sz w:val="20"/>
              </w:rPr>
            </w:pPr>
            <w:r>
              <w:rPr>
                <w:rFonts w:ascii="宋体" w:eastAsia="宋体" w:hint="eastAsia"/>
                <w:sz w:val="20"/>
              </w:rPr>
              <w:t>三季报发布</w:t>
            </w:r>
          </w:p>
        </w:tc>
      </w:tr>
      <w:tr>
        <w:trPr>
          <w:trHeight w:val="876" w:hRule="atLeast"/>
        </w:trPr>
        <w:tc>
          <w:tcPr>
            <w:tcW w:w="622" w:type="dxa"/>
          </w:tcPr>
          <w:p>
            <w:pPr>
              <w:pStyle w:val="TableParagraph"/>
              <w:spacing w:line="240" w:lineRule="auto" w:before="14"/>
              <w:jc w:val="left"/>
              <w:rPr>
                <w:sz w:val="16"/>
              </w:rPr>
            </w:pPr>
          </w:p>
          <w:p>
            <w:pPr>
              <w:pStyle w:val="TableParagraph"/>
              <w:spacing w:line="240" w:lineRule="auto"/>
              <w:ind w:left="18"/>
              <w:rPr>
                <w:rFonts w:ascii="宋体"/>
                <w:sz w:val="20"/>
              </w:rPr>
            </w:pPr>
            <w:r>
              <w:rPr>
                <w:rFonts w:ascii="宋体"/>
                <w:w w:val="99"/>
                <w:sz w:val="20"/>
              </w:rPr>
              <w:t>4</w:t>
            </w:r>
          </w:p>
        </w:tc>
        <w:tc>
          <w:tcPr>
            <w:tcW w:w="1540" w:type="dxa"/>
          </w:tcPr>
          <w:p>
            <w:pPr>
              <w:pStyle w:val="TableParagraph"/>
              <w:spacing w:line="240" w:lineRule="auto"/>
              <w:jc w:val="left"/>
              <w:rPr>
                <w:sz w:val="17"/>
              </w:rPr>
            </w:pPr>
          </w:p>
          <w:p>
            <w:pPr>
              <w:pStyle w:val="TableParagraph"/>
              <w:spacing w:line="240" w:lineRule="auto"/>
              <w:ind w:left="248" w:right="230"/>
              <w:rPr>
                <w:rFonts w:ascii="宋体" w:eastAsia="宋体" w:hint="eastAsia"/>
                <w:sz w:val="20"/>
              </w:rPr>
            </w:pPr>
            <w:r>
              <w:rPr>
                <w:rFonts w:ascii="宋体" w:eastAsia="宋体" w:hint="eastAsia"/>
                <w:sz w:val="20"/>
              </w:rPr>
              <w:t>迪哲医药-U</w:t>
            </w:r>
          </w:p>
        </w:tc>
        <w:tc>
          <w:tcPr>
            <w:tcW w:w="1707" w:type="dxa"/>
          </w:tcPr>
          <w:p>
            <w:pPr>
              <w:pStyle w:val="TableParagraph"/>
              <w:spacing w:line="240" w:lineRule="auto" w:before="10"/>
              <w:jc w:val="left"/>
              <w:rPr>
                <w:sz w:val="17"/>
              </w:rPr>
            </w:pPr>
          </w:p>
          <w:p>
            <w:pPr>
              <w:pStyle w:val="TableParagraph"/>
              <w:spacing w:line="240" w:lineRule="auto"/>
              <w:ind w:left="331" w:right="315"/>
              <w:rPr>
                <w:rFonts w:ascii="Arial"/>
                <w:sz w:val="20"/>
              </w:rPr>
            </w:pPr>
            <w:r>
              <w:rPr>
                <w:rFonts w:ascii="Arial"/>
                <w:sz w:val="20"/>
              </w:rPr>
              <w:t>19.40%</w:t>
            </w:r>
          </w:p>
        </w:tc>
        <w:tc>
          <w:tcPr>
            <w:tcW w:w="3751" w:type="dxa"/>
          </w:tcPr>
          <w:p>
            <w:pPr>
              <w:pStyle w:val="TableParagraph"/>
              <w:spacing w:line="240" w:lineRule="auto" w:before="14"/>
              <w:jc w:val="left"/>
              <w:rPr>
                <w:sz w:val="16"/>
              </w:rPr>
            </w:pPr>
          </w:p>
          <w:p>
            <w:pPr>
              <w:pStyle w:val="TableParagraph"/>
              <w:spacing w:line="240" w:lineRule="auto"/>
              <w:ind w:left="1055" w:right="1035"/>
              <w:rPr>
                <w:rFonts w:ascii="宋体" w:eastAsia="宋体" w:hint="eastAsia"/>
                <w:sz w:val="20"/>
              </w:rPr>
            </w:pPr>
            <w:r>
              <w:rPr>
                <w:rFonts w:ascii="宋体" w:eastAsia="宋体" w:hint="eastAsia"/>
                <w:sz w:val="20"/>
              </w:rPr>
              <w:t>公布药品临床数据</w:t>
            </w:r>
          </w:p>
        </w:tc>
        <w:tc>
          <w:tcPr>
            <w:tcW w:w="639" w:type="dxa"/>
          </w:tcPr>
          <w:p>
            <w:pPr>
              <w:pStyle w:val="TableParagraph"/>
              <w:spacing w:line="240" w:lineRule="auto" w:before="14"/>
              <w:jc w:val="left"/>
              <w:rPr>
                <w:sz w:val="16"/>
              </w:rPr>
            </w:pPr>
          </w:p>
          <w:p>
            <w:pPr>
              <w:pStyle w:val="TableParagraph"/>
              <w:spacing w:line="240" w:lineRule="auto"/>
              <w:ind w:left="20"/>
              <w:rPr>
                <w:rFonts w:ascii="宋体"/>
                <w:sz w:val="20"/>
              </w:rPr>
            </w:pPr>
            <w:r>
              <w:rPr>
                <w:rFonts w:ascii="宋体"/>
                <w:w w:val="99"/>
                <w:sz w:val="20"/>
              </w:rPr>
              <w:t>4</w:t>
            </w:r>
          </w:p>
        </w:tc>
        <w:tc>
          <w:tcPr>
            <w:tcW w:w="1784" w:type="dxa"/>
          </w:tcPr>
          <w:p>
            <w:pPr>
              <w:pStyle w:val="TableParagraph"/>
              <w:spacing w:line="240" w:lineRule="auto"/>
              <w:jc w:val="left"/>
              <w:rPr>
                <w:sz w:val="17"/>
              </w:rPr>
            </w:pPr>
          </w:p>
          <w:p>
            <w:pPr>
              <w:pStyle w:val="TableParagraph"/>
              <w:spacing w:line="240" w:lineRule="auto"/>
              <w:ind w:left="369" w:right="352"/>
              <w:rPr>
                <w:rFonts w:ascii="宋体" w:eastAsia="宋体" w:hint="eastAsia"/>
                <w:sz w:val="20"/>
              </w:rPr>
            </w:pPr>
            <w:r>
              <w:rPr>
                <w:rFonts w:ascii="宋体" w:eastAsia="宋体" w:hint="eastAsia"/>
                <w:sz w:val="20"/>
              </w:rPr>
              <w:t>爱美客</w:t>
            </w:r>
          </w:p>
        </w:tc>
        <w:tc>
          <w:tcPr>
            <w:tcW w:w="1555" w:type="dxa"/>
          </w:tcPr>
          <w:p>
            <w:pPr>
              <w:pStyle w:val="TableParagraph"/>
              <w:spacing w:line="240" w:lineRule="auto" w:before="10"/>
              <w:jc w:val="left"/>
              <w:rPr>
                <w:sz w:val="17"/>
              </w:rPr>
            </w:pPr>
          </w:p>
          <w:p>
            <w:pPr>
              <w:pStyle w:val="TableParagraph"/>
              <w:spacing w:line="240" w:lineRule="auto"/>
              <w:ind w:left="256" w:right="239"/>
              <w:rPr>
                <w:rFonts w:ascii="Arial"/>
                <w:sz w:val="20"/>
              </w:rPr>
            </w:pPr>
            <w:r>
              <w:rPr>
                <w:rFonts w:ascii="Arial"/>
                <w:sz w:val="20"/>
              </w:rPr>
              <w:t>-8.34%</w:t>
            </w:r>
          </w:p>
        </w:tc>
        <w:tc>
          <w:tcPr>
            <w:tcW w:w="4081" w:type="dxa"/>
          </w:tcPr>
          <w:p>
            <w:pPr>
              <w:pStyle w:val="TableParagraph"/>
              <w:spacing w:line="240" w:lineRule="auto" w:before="14"/>
              <w:jc w:val="left"/>
              <w:rPr>
                <w:sz w:val="16"/>
              </w:rPr>
            </w:pPr>
          </w:p>
          <w:p>
            <w:pPr>
              <w:pStyle w:val="TableParagraph"/>
              <w:spacing w:line="240" w:lineRule="auto"/>
              <w:ind w:left="1516" w:right="1503"/>
              <w:rPr>
                <w:rFonts w:ascii="宋体" w:eastAsia="宋体" w:hint="eastAsia"/>
                <w:sz w:val="20"/>
              </w:rPr>
            </w:pPr>
            <w:r>
              <w:rPr>
                <w:rFonts w:ascii="宋体" w:eastAsia="宋体" w:hint="eastAsia"/>
                <w:sz w:val="20"/>
              </w:rPr>
              <w:t>三季报发布</w:t>
            </w:r>
          </w:p>
        </w:tc>
      </w:tr>
      <w:tr>
        <w:trPr>
          <w:trHeight w:val="876" w:hRule="atLeast"/>
        </w:trPr>
        <w:tc>
          <w:tcPr>
            <w:tcW w:w="622" w:type="dxa"/>
          </w:tcPr>
          <w:p>
            <w:pPr>
              <w:pStyle w:val="TableParagraph"/>
              <w:spacing w:line="240" w:lineRule="auto" w:before="14"/>
              <w:jc w:val="left"/>
              <w:rPr>
                <w:sz w:val="16"/>
              </w:rPr>
            </w:pPr>
          </w:p>
          <w:p>
            <w:pPr>
              <w:pStyle w:val="TableParagraph"/>
              <w:spacing w:line="240" w:lineRule="auto"/>
              <w:ind w:left="18"/>
              <w:rPr>
                <w:rFonts w:ascii="宋体"/>
                <w:sz w:val="20"/>
              </w:rPr>
            </w:pPr>
            <w:r>
              <w:rPr>
                <w:rFonts w:ascii="宋体"/>
                <w:w w:val="99"/>
                <w:sz w:val="20"/>
              </w:rPr>
              <w:t>5</w:t>
            </w:r>
          </w:p>
        </w:tc>
        <w:tc>
          <w:tcPr>
            <w:tcW w:w="1540" w:type="dxa"/>
          </w:tcPr>
          <w:p>
            <w:pPr>
              <w:pStyle w:val="TableParagraph"/>
              <w:spacing w:line="240" w:lineRule="auto"/>
              <w:jc w:val="left"/>
              <w:rPr>
                <w:sz w:val="17"/>
              </w:rPr>
            </w:pPr>
          </w:p>
          <w:p>
            <w:pPr>
              <w:pStyle w:val="TableParagraph"/>
              <w:spacing w:line="240" w:lineRule="auto"/>
              <w:ind w:left="247" w:right="230"/>
              <w:rPr>
                <w:rFonts w:ascii="宋体" w:eastAsia="宋体" w:hint="eastAsia"/>
                <w:sz w:val="20"/>
              </w:rPr>
            </w:pPr>
            <w:r>
              <w:rPr>
                <w:rFonts w:ascii="宋体" w:eastAsia="宋体" w:hint="eastAsia"/>
                <w:sz w:val="20"/>
              </w:rPr>
              <w:t>普利制药</w:t>
            </w:r>
          </w:p>
        </w:tc>
        <w:tc>
          <w:tcPr>
            <w:tcW w:w="1707" w:type="dxa"/>
          </w:tcPr>
          <w:p>
            <w:pPr>
              <w:pStyle w:val="TableParagraph"/>
              <w:spacing w:line="240" w:lineRule="auto" w:before="10"/>
              <w:jc w:val="left"/>
              <w:rPr>
                <w:sz w:val="17"/>
              </w:rPr>
            </w:pPr>
          </w:p>
          <w:p>
            <w:pPr>
              <w:pStyle w:val="TableParagraph"/>
              <w:spacing w:line="240" w:lineRule="auto"/>
              <w:ind w:left="331" w:right="315"/>
              <w:rPr>
                <w:rFonts w:ascii="Arial"/>
                <w:sz w:val="20"/>
              </w:rPr>
            </w:pPr>
            <w:r>
              <w:rPr>
                <w:rFonts w:ascii="Arial"/>
                <w:sz w:val="20"/>
              </w:rPr>
              <w:t>18.95%</w:t>
            </w:r>
          </w:p>
        </w:tc>
        <w:tc>
          <w:tcPr>
            <w:tcW w:w="3751" w:type="dxa"/>
          </w:tcPr>
          <w:p>
            <w:pPr>
              <w:pStyle w:val="TableParagraph"/>
              <w:spacing w:line="240" w:lineRule="auto" w:before="14"/>
              <w:jc w:val="left"/>
              <w:rPr>
                <w:sz w:val="16"/>
              </w:rPr>
            </w:pPr>
          </w:p>
          <w:p>
            <w:pPr>
              <w:pStyle w:val="TableParagraph"/>
              <w:spacing w:line="240" w:lineRule="auto"/>
              <w:ind w:left="1055" w:right="1034"/>
              <w:rPr>
                <w:rFonts w:ascii="宋体" w:eastAsia="宋体" w:hint="eastAsia"/>
                <w:sz w:val="20"/>
              </w:rPr>
            </w:pPr>
            <w:r>
              <w:rPr>
                <w:rFonts w:ascii="宋体" w:eastAsia="宋体" w:hint="eastAsia"/>
                <w:sz w:val="20"/>
              </w:rPr>
              <w:t>减肥药概念</w:t>
            </w:r>
          </w:p>
        </w:tc>
        <w:tc>
          <w:tcPr>
            <w:tcW w:w="639" w:type="dxa"/>
          </w:tcPr>
          <w:p>
            <w:pPr>
              <w:pStyle w:val="TableParagraph"/>
              <w:spacing w:line="240" w:lineRule="auto" w:before="14"/>
              <w:jc w:val="left"/>
              <w:rPr>
                <w:sz w:val="16"/>
              </w:rPr>
            </w:pPr>
          </w:p>
          <w:p>
            <w:pPr>
              <w:pStyle w:val="TableParagraph"/>
              <w:spacing w:line="240" w:lineRule="auto"/>
              <w:ind w:left="20"/>
              <w:rPr>
                <w:rFonts w:ascii="宋体"/>
                <w:sz w:val="20"/>
              </w:rPr>
            </w:pPr>
            <w:r>
              <w:rPr>
                <w:rFonts w:ascii="宋体"/>
                <w:w w:val="99"/>
                <w:sz w:val="20"/>
              </w:rPr>
              <w:t>5</w:t>
            </w:r>
          </w:p>
        </w:tc>
        <w:tc>
          <w:tcPr>
            <w:tcW w:w="1784" w:type="dxa"/>
          </w:tcPr>
          <w:p>
            <w:pPr>
              <w:pStyle w:val="TableParagraph"/>
              <w:spacing w:line="240" w:lineRule="auto"/>
              <w:jc w:val="left"/>
              <w:rPr>
                <w:sz w:val="17"/>
              </w:rPr>
            </w:pPr>
          </w:p>
          <w:p>
            <w:pPr>
              <w:pStyle w:val="TableParagraph"/>
              <w:spacing w:line="240" w:lineRule="auto"/>
              <w:ind w:left="367" w:right="352"/>
              <w:rPr>
                <w:rFonts w:ascii="宋体" w:eastAsia="宋体" w:hint="eastAsia"/>
                <w:sz w:val="20"/>
              </w:rPr>
            </w:pPr>
            <w:r>
              <w:rPr>
                <w:rFonts w:ascii="宋体" w:eastAsia="宋体" w:hint="eastAsia"/>
                <w:sz w:val="20"/>
              </w:rPr>
              <w:t>锦好医疗</w:t>
            </w:r>
          </w:p>
        </w:tc>
        <w:tc>
          <w:tcPr>
            <w:tcW w:w="1555" w:type="dxa"/>
          </w:tcPr>
          <w:p>
            <w:pPr>
              <w:pStyle w:val="TableParagraph"/>
              <w:spacing w:line="240" w:lineRule="auto" w:before="10"/>
              <w:jc w:val="left"/>
              <w:rPr>
                <w:sz w:val="17"/>
              </w:rPr>
            </w:pPr>
          </w:p>
          <w:p>
            <w:pPr>
              <w:pStyle w:val="TableParagraph"/>
              <w:spacing w:line="240" w:lineRule="auto"/>
              <w:ind w:left="256" w:right="239"/>
              <w:rPr>
                <w:rFonts w:ascii="Arial"/>
                <w:sz w:val="20"/>
              </w:rPr>
            </w:pPr>
            <w:r>
              <w:rPr>
                <w:rFonts w:ascii="Arial"/>
                <w:sz w:val="20"/>
              </w:rPr>
              <w:t>-8.06%</w:t>
            </w:r>
          </w:p>
        </w:tc>
        <w:tc>
          <w:tcPr>
            <w:tcW w:w="4081" w:type="dxa"/>
          </w:tcPr>
          <w:p>
            <w:pPr>
              <w:pStyle w:val="TableParagraph"/>
              <w:spacing w:line="240" w:lineRule="auto" w:before="14"/>
              <w:jc w:val="left"/>
              <w:rPr>
                <w:sz w:val="16"/>
              </w:rPr>
            </w:pPr>
          </w:p>
          <w:p>
            <w:pPr>
              <w:pStyle w:val="TableParagraph"/>
              <w:spacing w:line="240" w:lineRule="auto"/>
              <w:ind w:left="1516" w:right="1503"/>
              <w:rPr>
                <w:rFonts w:ascii="宋体" w:eastAsia="宋体" w:hint="eastAsia"/>
                <w:sz w:val="20"/>
              </w:rPr>
            </w:pPr>
            <w:r>
              <w:rPr>
                <w:rFonts w:ascii="宋体" w:eastAsia="宋体" w:hint="eastAsia"/>
                <w:sz w:val="20"/>
              </w:rPr>
              <w:t>无特殊原因</w:t>
            </w:r>
          </w:p>
        </w:tc>
      </w:tr>
    </w:tbl>
    <w:p>
      <w:pPr>
        <w:pStyle w:val="BodyText"/>
        <w:spacing w:before="7"/>
        <w:rPr>
          <w:sz w:val="19"/>
        </w:rPr>
      </w:pPr>
    </w:p>
    <w:p>
      <w:pPr>
        <w:spacing w:before="53"/>
        <w:ind w:left="0" w:right="2086" w:firstLine="0"/>
        <w:jc w:val="right"/>
        <w:rPr>
          <w:sz w:val="18"/>
        </w:rPr>
      </w:pPr>
      <w:r>
        <w:rPr>
          <w:color w:val="57585B"/>
          <w:sz w:val="18"/>
        </w:rPr>
        <w:t>数据来源：WIND，华创证券</w:t>
      </w:r>
    </w:p>
    <w:p>
      <w:pPr>
        <w:spacing w:after="0"/>
        <w:jc w:val="right"/>
        <w:rPr>
          <w:sz w:val="18"/>
        </w:rPr>
        <w:sectPr>
          <w:headerReference w:type="default" r:id="rId73"/>
          <w:footerReference w:type="default" r:id="rId74"/>
          <w:pgSz w:w="19200" w:h="10800" w:orient="landscape"/>
          <w:pgMar w:header="471" w:footer="230" w:top="1100" w:bottom="420" w:left="0" w:right="0"/>
        </w:sectPr>
      </w:pPr>
    </w:p>
    <w:p>
      <w:pPr>
        <w:pStyle w:val="BodyText"/>
        <w:rPr>
          <w:sz w:val="20"/>
        </w:rPr>
      </w:pPr>
    </w:p>
    <w:p>
      <w:pPr>
        <w:pStyle w:val="BodyText"/>
        <w:spacing w:before="4"/>
        <w:rPr>
          <w:sz w:val="11"/>
        </w:rPr>
      </w:pPr>
    </w:p>
    <w:p>
      <w:pPr>
        <w:pStyle w:val="BodyText"/>
        <w:spacing w:before="28"/>
        <w:ind w:left="933"/>
      </w:pPr>
      <w:r>
        <w:rPr/>
        <w:drawing>
          <wp:anchor distT="0" distB="0" distL="0" distR="0" allowOverlap="1" layoutInCell="1" locked="0" behindDoc="0" simplePos="0" relativeHeight="15770624">
            <wp:simplePos x="0" y="0"/>
            <wp:positionH relativeFrom="page">
              <wp:posOffset>9144</wp:posOffset>
            </wp:positionH>
            <wp:positionV relativeFrom="paragraph">
              <wp:posOffset>-207803</wp:posOffset>
            </wp:positionV>
            <wp:extent cx="12182855" cy="89915"/>
            <wp:effectExtent l="0" t="0" r="0" b="0"/>
            <wp:wrapNone/>
            <wp:docPr id="143" name="image5.png"/>
            <wp:cNvGraphicFramePr>
              <a:graphicFrameLocks noChangeAspect="1"/>
            </wp:cNvGraphicFramePr>
            <a:graphic>
              <a:graphicData uri="http://schemas.openxmlformats.org/drawingml/2006/picture">
                <pic:pic>
                  <pic:nvPicPr>
                    <pic:cNvPr id="144" name="image5.png"/>
                    <pic:cNvPicPr/>
                  </pic:nvPicPr>
                  <pic:blipFill>
                    <a:blip r:embed="rId14" cstate="print"/>
                    <a:stretch>
                      <a:fillRect/>
                    </a:stretch>
                  </pic:blipFill>
                  <pic:spPr>
                    <a:xfrm>
                      <a:off x="0" y="0"/>
                      <a:ext cx="12182855" cy="89915"/>
                    </a:xfrm>
                    <a:prstGeom prst="rect">
                      <a:avLst/>
                    </a:prstGeom>
                  </pic:spPr>
                </pic:pic>
              </a:graphicData>
            </a:graphic>
          </wp:anchor>
        </w:drawing>
      </w:r>
      <w:r>
        <w:rPr>
          <w:color w:val="57585B"/>
        </w:rPr>
        <w:t>1、集采力度超预期；</w:t>
      </w:r>
    </w:p>
    <w:p>
      <w:pPr>
        <w:pStyle w:val="BodyText"/>
        <w:spacing w:before="125"/>
        <w:ind w:left="933"/>
      </w:pPr>
      <w:r>
        <w:rPr>
          <w:color w:val="57585B"/>
        </w:rPr>
        <w:t>2、创新药谈判降价幅度超预期；</w:t>
      </w:r>
    </w:p>
    <w:p>
      <w:pPr>
        <w:pStyle w:val="BodyText"/>
        <w:spacing w:before="122"/>
        <w:ind w:left="933"/>
      </w:pPr>
      <w:r>
        <w:rPr>
          <w:color w:val="57585B"/>
        </w:rPr>
        <w:t>3、医院门诊量恢复低于预期。</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0"/>
        </w:rPr>
      </w:pPr>
    </w:p>
    <w:p>
      <w:pPr>
        <w:spacing w:before="95"/>
        <w:ind w:left="9458" w:right="9468" w:firstLine="0"/>
        <w:jc w:val="center"/>
        <w:rPr>
          <w:rFonts w:ascii="Arial"/>
          <w:sz w:val="21"/>
        </w:rPr>
      </w:pPr>
      <w:r>
        <w:rPr/>
        <w:pict>
          <v:group style="position:absolute;margin-left:8.16pt;margin-top:-3.089223pt;width:456.4pt;height:18.45pt;mso-position-horizontal-relative:page;mso-position-vertical-relative:paragraph;z-index:15771136" coordorigin="163,-62" coordsize="9128,369">
            <v:shape style="position:absolute;left:6834;top:134;width:1467;height:161" type="#_x0000_t202" filled="false" stroked="false">
              <v:textbox inset="0,0,0,0">
                <w:txbxContent>
                  <w:p>
                    <w:pPr>
                      <w:spacing w:line="161" w:lineRule="exact" w:before="0"/>
                      <w:ind w:left="0" w:right="0" w:firstLine="0"/>
                      <w:jc w:val="left"/>
                      <w:rPr>
                        <w:rFonts w:ascii="宋体" w:eastAsia="宋体" w:hint="eastAsia"/>
                        <w:sz w:val="16"/>
                      </w:rPr>
                    </w:pPr>
                    <w:r>
                      <w:rPr>
                        <w:rFonts w:ascii="宋体" w:eastAsia="宋体" w:hint="eastAsia"/>
                        <w:sz w:val="16"/>
                      </w:rPr>
                      <w:t>未经许可，禁止转载</w:t>
                    </w:r>
                  </w:p>
                </w:txbxContent>
              </v:textbox>
              <w10:wrap type="none"/>
            </v:shape>
            <v:shape style="position:absolute;left:418;top:126;width:5268;height:180" type="#_x0000_t202" filled="false" stroked="false">
              <v:textbox inset="0,0,0,0">
                <w:txbxContent>
                  <w:p>
                    <w:pPr>
                      <w:spacing w:line="180" w:lineRule="exact" w:before="0"/>
                      <w:ind w:left="0" w:right="0" w:firstLine="0"/>
                      <w:jc w:val="left"/>
                      <w:rPr>
                        <w:rFonts w:ascii="宋体" w:eastAsia="宋体" w:hint="eastAsia"/>
                        <w:sz w:val="16"/>
                      </w:rPr>
                    </w:pPr>
                    <w:r>
                      <w:rPr>
                        <w:rFonts w:ascii="宋体" w:eastAsia="宋体" w:hint="eastAsia"/>
                        <w:sz w:val="16"/>
                      </w:rPr>
                      <w:t>证监会审核华创证券投资咨询业务资格批文号：证监许可（</w:t>
                    </w:r>
                    <w:r>
                      <w:rPr>
                        <w:rFonts w:ascii="Arial" w:eastAsia="Arial"/>
                        <w:sz w:val="16"/>
                      </w:rPr>
                      <w:t>2009</w:t>
                    </w:r>
                    <w:r>
                      <w:rPr>
                        <w:rFonts w:ascii="宋体" w:eastAsia="宋体" w:hint="eastAsia"/>
                        <w:sz w:val="16"/>
                      </w:rPr>
                      <w:t>）</w:t>
                    </w:r>
                    <w:r>
                      <w:rPr>
                        <w:rFonts w:ascii="Arial" w:eastAsia="Arial"/>
                        <w:sz w:val="16"/>
                      </w:rPr>
                      <w:t>1210 </w:t>
                    </w:r>
                    <w:r>
                      <w:rPr>
                        <w:rFonts w:ascii="宋体" w:eastAsia="宋体" w:hint="eastAsia"/>
                        <w:sz w:val="16"/>
                      </w:rPr>
                      <w:t>号</w:t>
                    </w:r>
                  </w:p>
                </w:txbxContent>
              </v:textbox>
              <w10:wrap type="none"/>
            </v:shape>
            <v:shape style="position:absolute;left:163;top:-62;width:9128;height:368" type="#_x0000_t75" stroked="false">
              <v:imagedata r:id="rId77" o:title=""/>
            </v:shape>
            <w10:wrap type="none"/>
          </v:group>
        </w:pict>
      </w:r>
      <w:r>
        <w:rPr>
          <w:rFonts w:ascii="Arial"/>
          <w:color w:val="888888"/>
          <w:sz w:val="21"/>
        </w:rPr>
        <w:t>31</w:t>
      </w:r>
    </w:p>
    <w:p>
      <w:pPr>
        <w:spacing w:after="0"/>
        <w:jc w:val="center"/>
        <w:rPr>
          <w:rFonts w:ascii="Arial"/>
          <w:sz w:val="21"/>
        </w:rPr>
        <w:sectPr>
          <w:headerReference w:type="default" r:id="rId75"/>
          <w:footerReference w:type="default" r:id="rId76"/>
          <w:pgSz w:w="19200" w:h="10800" w:orient="landscape"/>
          <w:pgMar w:header="471" w:footer="0" w:top="1100" w:bottom="0" w:left="0" w:right="0"/>
        </w:sectPr>
      </w:pPr>
    </w:p>
    <w:p>
      <w:pPr>
        <w:pStyle w:val="BodyText"/>
        <w:rPr>
          <w:rFonts w:ascii="Arial"/>
          <w:sz w:val="20"/>
        </w:rPr>
      </w:pPr>
    </w:p>
    <w:p>
      <w:pPr>
        <w:pStyle w:val="BodyText"/>
        <w:spacing w:before="4"/>
        <w:rPr>
          <w:rFonts w:ascii="Arial"/>
          <w:sz w:val="23"/>
        </w:rPr>
      </w:pPr>
    </w:p>
    <w:p>
      <w:pPr>
        <w:spacing w:before="27"/>
        <w:ind w:left="956" w:right="0" w:firstLine="0"/>
        <w:jc w:val="left"/>
        <w:rPr>
          <w:b/>
          <w:sz w:val="28"/>
        </w:rPr>
      </w:pPr>
      <w:r>
        <w:rPr/>
        <w:drawing>
          <wp:anchor distT="0" distB="0" distL="0" distR="0" allowOverlap="1" layoutInCell="1" locked="0" behindDoc="0" simplePos="0" relativeHeight="15771648">
            <wp:simplePos x="0" y="0"/>
            <wp:positionH relativeFrom="page">
              <wp:posOffset>9144</wp:posOffset>
            </wp:positionH>
            <wp:positionV relativeFrom="paragraph">
              <wp:posOffset>-159035</wp:posOffset>
            </wp:positionV>
            <wp:extent cx="12182855" cy="89915"/>
            <wp:effectExtent l="0" t="0" r="0" b="0"/>
            <wp:wrapNone/>
            <wp:docPr id="147" name="image5.png"/>
            <wp:cNvGraphicFramePr>
              <a:graphicFrameLocks noChangeAspect="1"/>
            </wp:cNvGraphicFramePr>
            <a:graphic>
              <a:graphicData uri="http://schemas.openxmlformats.org/drawingml/2006/picture">
                <pic:pic>
                  <pic:nvPicPr>
                    <pic:cNvPr id="148" name="image5.png"/>
                    <pic:cNvPicPr/>
                  </pic:nvPicPr>
                  <pic:blipFill>
                    <a:blip r:embed="rId14" cstate="print"/>
                    <a:stretch>
                      <a:fillRect/>
                    </a:stretch>
                  </pic:blipFill>
                  <pic:spPr>
                    <a:xfrm>
                      <a:off x="0" y="0"/>
                      <a:ext cx="12182855" cy="89915"/>
                    </a:xfrm>
                    <a:prstGeom prst="rect">
                      <a:avLst/>
                    </a:prstGeom>
                  </pic:spPr>
                </pic:pic>
              </a:graphicData>
            </a:graphic>
          </wp:anchor>
        </w:drawing>
      </w:r>
      <w:r>
        <w:rPr>
          <w:b/>
          <w:sz w:val="28"/>
        </w:rPr>
        <w:t>分析师声明</w:t>
      </w:r>
    </w:p>
    <w:p>
      <w:pPr>
        <w:spacing w:before="192"/>
        <w:ind w:left="956" w:right="0" w:firstLine="0"/>
        <w:jc w:val="left"/>
        <w:rPr>
          <w:sz w:val="22"/>
        </w:rPr>
      </w:pPr>
      <w:r>
        <w:rPr>
          <w:color w:val="57585B"/>
          <w:sz w:val="22"/>
        </w:rPr>
        <w:t>每位负责撰写本研究报告全部或部分内容的分析师在此作以下声明：</w:t>
      </w:r>
    </w:p>
    <w:p>
      <w:pPr>
        <w:pStyle w:val="BodyText"/>
        <w:spacing w:before="8"/>
        <w:rPr>
          <w:sz w:val="24"/>
        </w:rPr>
      </w:pPr>
    </w:p>
    <w:p>
      <w:pPr>
        <w:spacing w:line="177" w:lineRule="auto" w:before="0"/>
        <w:ind w:left="956" w:right="738" w:firstLine="0"/>
        <w:jc w:val="left"/>
        <w:rPr>
          <w:sz w:val="22"/>
        </w:rPr>
      </w:pPr>
      <w:r>
        <w:rPr>
          <w:color w:val="57585B"/>
          <w:sz w:val="22"/>
        </w:rPr>
        <w:t>分析师在本报告中对所提及的证券或发行人发表的任何建议和观点均准确地反映了其个人对该证券或发行人的看法和判断；分析师对任何其他券商发布的所有可能存在雷同的研究报告不负有任何直接或者间接的可能责任。</w:t>
      </w:r>
    </w:p>
    <w:p>
      <w:pPr>
        <w:pStyle w:val="BodyText"/>
        <w:spacing w:before="6"/>
        <w:rPr>
          <w:sz w:val="34"/>
        </w:rPr>
      </w:pPr>
    </w:p>
    <w:p>
      <w:pPr>
        <w:spacing w:before="0"/>
        <w:ind w:left="956" w:right="0" w:firstLine="0"/>
        <w:jc w:val="left"/>
        <w:rPr>
          <w:b/>
          <w:sz w:val="28"/>
        </w:rPr>
      </w:pPr>
      <w:r>
        <w:rPr>
          <w:b/>
          <w:sz w:val="28"/>
        </w:rPr>
        <w:t>免责声明</w:t>
      </w:r>
    </w:p>
    <w:p>
      <w:pPr>
        <w:spacing w:before="192"/>
        <w:ind w:left="956" w:right="0" w:firstLine="0"/>
        <w:jc w:val="left"/>
        <w:rPr>
          <w:sz w:val="22"/>
        </w:rPr>
      </w:pPr>
      <w:r>
        <w:rPr>
          <w:color w:val="57585B"/>
          <w:sz w:val="22"/>
        </w:rPr>
        <w:t>本报告仅供华创证券有限责任公司（以下简称“本公司”）的客户使用。本公司不会因接收人收到本报告而视其为客户。</w:t>
      </w:r>
    </w:p>
    <w:p>
      <w:pPr>
        <w:pStyle w:val="BodyText"/>
        <w:spacing w:before="8"/>
        <w:rPr>
          <w:sz w:val="24"/>
        </w:rPr>
      </w:pPr>
    </w:p>
    <w:p>
      <w:pPr>
        <w:spacing w:line="177" w:lineRule="auto" w:before="0"/>
        <w:ind w:left="956" w:right="731" w:firstLine="0"/>
        <w:jc w:val="left"/>
        <w:rPr>
          <w:sz w:val="22"/>
        </w:rPr>
      </w:pPr>
      <w:r>
        <w:rPr>
          <w:color w:val="57585B"/>
          <w:sz w:val="22"/>
        </w:rPr>
        <w:t>本报告所载资料的来源被认为是可靠的，但本公司不保证其准确性或完整性。本报告所载的资料、意见及推测仅反映本公司于发布本报告当日的判断。在不同时期，本公司可发出与本报告所载资料、意见及推测不一致的报告。本公司在知晓范围内履行披露义务。</w:t>
      </w:r>
    </w:p>
    <w:p>
      <w:pPr>
        <w:pStyle w:val="BodyText"/>
        <w:spacing w:before="1"/>
        <w:rPr>
          <w:sz w:val="26"/>
        </w:rPr>
      </w:pPr>
    </w:p>
    <w:p>
      <w:pPr>
        <w:spacing w:line="177" w:lineRule="auto" w:before="0"/>
        <w:ind w:left="956" w:right="732" w:firstLine="0"/>
        <w:jc w:val="both"/>
        <w:rPr>
          <w:sz w:val="22"/>
        </w:rPr>
      </w:pPr>
      <w:r>
        <w:rPr>
          <w:color w:val="57585B"/>
          <w:sz w:val="22"/>
        </w:rPr>
        <w:t>报告中的内容和意见仅供参考，并不构成本公司对具体证券买卖的出价或询价。本报告所载信息不构成对所涉及证券的个人投资建议，也未考虑到个别客户特殊的投资目标、财务状况或需求。客户应考虑本报告中的任何意见或建议是否符合其特定状况，自主作出投资决策并自行承担投资风险，任何形式的分享证券投资收益或者分担证券投资损失的书面或口头承诺均为无效。本报告中提及的投资价格和价值以及这些投资带来的预期收入可能会波动。</w:t>
      </w:r>
    </w:p>
    <w:p>
      <w:pPr>
        <w:pStyle w:val="BodyText"/>
        <w:rPr>
          <w:sz w:val="26"/>
        </w:rPr>
      </w:pPr>
    </w:p>
    <w:p>
      <w:pPr>
        <w:spacing w:line="177" w:lineRule="auto" w:before="0"/>
        <w:ind w:left="956" w:right="731" w:firstLine="0"/>
        <w:jc w:val="left"/>
        <w:rPr>
          <w:sz w:val="22"/>
        </w:rPr>
      </w:pPr>
      <w:r>
        <w:rPr>
          <w:color w:val="57585B"/>
          <w:sz w:val="22"/>
        </w:rPr>
        <w:t>本报告版权仅为本公司所有，本公司对本报告保留一切权利。未经本公司事先书面许可，任何机构和个人不得以任何形式翻版、复制、发表或引用本报告的任何部分。如征得本公司许可进行引用、刊发的，需在允许的范围内使用，并注明出处为“华创证券研究”，且不得对本报告进行任何有悖原意的引用、删节和修改。</w:t>
      </w:r>
    </w:p>
    <w:p>
      <w:pPr>
        <w:pStyle w:val="BodyText"/>
        <w:rPr>
          <w:sz w:val="22"/>
        </w:rPr>
      </w:pPr>
    </w:p>
    <w:p>
      <w:pPr>
        <w:spacing w:before="0"/>
        <w:ind w:left="956" w:right="0" w:firstLine="0"/>
        <w:jc w:val="left"/>
        <w:rPr>
          <w:sz w:val="22"/>
        </w:rPr>
      </w:pPr>
      <w:r>
        <w:rPr>
          <w:color w:val="57585B"/>
          <w:sz w:val="22"/>
        </w:rPr>
        <w:t>证券市场是一个风险无时不在的市场，请您务必对盈亏风险有清醒的认识，认真考虑是否进行证券交易。市场有风险，投资需谨慎。</w:t>
      </w:r>
    </w:p>
    <w:p>
      <w:pPr>
        <w:pStyle w:val="BodyText"/>
        <w:spacing w:before="4"/>
        <w:rPr>
          <w:sz w:val="25"/>
        </w:rPr>
      </w:pPr>
    </w:p>
    <w:p>
      <w:pPr>
        <w:tabs>
          <w:tab w:pos="6834" w:val="left" w:leader="none"/>
          <w:tab w:pos="9711" w:val="right" w:leader="none"/>
        </w:tabs>
        <w:spacing w:before="94"/>
        <w:ind w:left="418" w:right="0" w:firstLine="0"/>
        <w:jc w:val="left"/>
        <w:rPr>
          <w:rFonts w:ascii="Arial" w:eastAsia="Arial"/>
          <w:sz w:val="21"/>
        </w:rPr>
      </w:pPr>
      <w:r>
        <w:rPr>
          <w:rFonts w:ascii="宋体" w:eastAsia="宋体" w:hint="eastAsia"/>
          <w:position w:val="2"/>
          <w:sz w:val="16"/>
        </w:rPr>
        <w:t>证监会审</w:t>
      </w:r>
      <w:r>
        <w:rPr>
          <w:rFonts w:ascii="宋体" w:eastAsia="宋体" w:hint="eastAsia"/>
          <w:spacing w:val="-3"/>
          <w:position w:val="2"/>
          <w:sz w:val="16"/>
        </w:rPr>
        <w:t>核</w:t>
      </w:r>
      <w:r>
        <w:rPr>
          <w:rFonts w:ascii="宋体" w:eastAsia="宋体" w:hint="eastAsia"/>
          <w:position w:val="2"/>
          <w:sz w:val="16"/>
        </w:rPr>
        <w:t>华创</w:t>
      </w:r>
      <w:r>
        <w:rPr>
          <w:rFonts w:ascii="宋体" w:eastAsia="宋体" w:hint="eastAsia"/>
          <w:spacing w:val="-3"/>
          <w:position w:val="2"/>
          <w:sz w:val="16"/>
        </w:rPr>
        <w:t>证</w:t>
      </w:r>
      <w:r>
        <w:rPr>
          <w:rFonts w:ascii="宋体" w:eastAsia="宋体" w:hint="eastAsia"/>
          <w:position w:val="2"/>
          <w:sz w:val="16"/>
        </w:rPr>
        <w:t>券投</w:t>
      </w:r>
      <w:r>
        <w:rPr>
          <w:rFonts w:ascii="宋体" w:eastAsia="宋体" w:hint="eastAsia"/>
          <w:spacing w:val="-3"/>
          <w:position w:val="2"/>
          <w:sz w:val="16"/>
        </w:rPr>
        <w:t>资</w:t>
      </w:r>
      <w:r>
        <w:rPr>
          <w:rFonts w:ascii="宋体" w:eastAsia="宋体" w:hint="eastAsia"/>
          <w:position w:val="2"/>
          <w:sz w:val="16"/>
        </w:rPr>
        <w:t>咨询</w:t>
      </w:r>
      <w:r>
        <w:rPr>
          <w:rFonts w:ascii="宋体" w:eastAsia="宋体" w:hint="eastAsia"/>
          <w:spacing w:val="-3"/>
          <w:position w:val="2"/>
          <w:sz w:val="16"/>
        </w:rPr>
        <w:t>业</w:t>
      </w:r>
      <w:r>
        <w:rPr>
          <w:rFonts w:ascii="宋体" w:eastAsia="宋体" w:hint="eastAsia"/>
          <w:position w:val="2"/>
          <w:sz w:val="16"/>
        </w:rPr>
        <w:t>务资</w:t>
      </w:r>
      <w:r>
        <w:rPr>
          <w:rFonts w:ascii="宋体" w:eastAsia="宋体" w:hint="eastAsia"/>
          <w:spacing w:val="-3"/>
          <w:position w:val="2"/>
          <w:sz w:val="16"/>
        </w:rPr>
        <w:t>格</w:t>
      </w:r>
      <w:r>
        <w:rPr>
          <w:rFonts w:ascii="宋体" w:eastAsia="宋体" w:hint="eastAsia"/>
          <w:position w:val="2"/>
          <w:sz w:val="16"/>
        </w:rPr>
        <w:t>批文</w:t>
      </w:r>
      <w:r>
        <w:rPr>
          <w:rFonts w:ascii="宋体" w:eastAsia="宋体" w:hint="eastAsia"/>
          <w:spacing w:val="-3"/>
          <w:position w:val="2"/>
          <w:sz w:val="16"/>
        </w:rPr>
        <w:t>号</w:t>
      </w:r>
      <w:r>
        <w:rPr>
          <w:rFonts w:ascii="宋体" w:eastAsia="宋体" w:hint="eastAsia"/>
          <w:position w:val="2"/>
          <w:sz w:val="16"/>
        </w:rPr>
        <w:t>：证</w:t>
      </w:r>
      <w:r>
        <w:rPr>
          <w:rFonts w:ascii="宋体" w:eastAsia="宋体" w:hint="eastAsia"/>
          <w:spacing w:val="-3"/>
          <w:position w:val="2"/>
          <w:sz w:val="16"/>
        </w:rPr>
        <w:t>监</w:t>
      </w:r>
      <w:r>
        <w:rPr>
          <w:rFonts w:ascii="宋体" w:eastAsia="宋体" w:hint="eastAsia"/>
          <w:position w:val="2"/>
          <w:sz w:val="16"/>
        </w:rPr>
        <w:t>许可（</w:t>
      </w:r>
      <w:r>
        <w:rPr>
          <w:rFonts w:ascii="Arial" w:eastAsia="Arial"/>
          <w:position w:val="2"/>
          <w:sz w:val="16"/>
        </w:rPr>
        <w:t>2009</w:t>
      </w:r>
      <w:r>
        <w:rPr>
          <w:rFonts w:ascii="宋体" w:eastAsia="宋体" w:hint="eastAsia"/>
          <w:position w:val="2"/>
          <w:sz w:val="16"/>
        </w:rPr>
        <w:t>）</w:t>
      </w:r>
      <w:r>
        <w:rPr>
          <w:rFonts w:ascii="Arial" w:eastAsia="Arial"/>
          <w:position w:val="2"/>
          <w:sz w:val="16"/>
        </w:rPr>
        <w:t>1210</w:t>
      </w:r>
      <w:r>
        <w:rPr>
          <w:rFonts w:ascii="Arial" w:eastAsia="Arial"/>
          <w:spacing w:val="6"/>
          <w:position w:val="2"/>
          <w:sz w:val="16"/>
        </w:rPr>
        <w:t> </w:t>
      </w:r>
      <w:r>
        <w:rPr>
          <w:rFonts w:ascii="宋体" w:eastAsia="宋体" w:hint="eastAsia"/>
          <w:position w:val="2"/>
          <w:sz w:val="16"/>
        </w:rPr>
        <w:t>号</w:t>
        <w:tab/>
        <w:t>未经许可</w:t>
      </w:r>
      <w:r>
        <w:rPr>
          <w:rFonts w:ascii="宋体" w:eastAsia="宋体" w:hint="eastAsia"/>
          <w:spacing w:val="-3"/>
          <w:position w:val="2"/>
          <w:sz w:val="16"/>
        </w:rPr>
        <w:t>，</w:t>
      </w:r>
      <w:r>
        <w:rPr>
          <w:rFonts w:ascii="宋体" w:eastAsia="宋体" w:hint="eastAsia"/>
          <w:position w:val="2"/>
          <w:sz w:val="16"/>
        </w:rPr>
        <w:t>禁止</w:t>
      </w:r>
      <w:r>
        <w:rPr>
          <w:rFonts w:ascii="宋体" w:eastAsia="宋体" w:hint="eastAsia"/>
          <w:spacing w:val="-3"/>
          <w:position w:val="2"/>
          <w:sz w:val="16"/>
        </w:rPr>
        <w:t>转</w:t>
      </w:r>
      <w:r>
        <w:rPr>
          <w:rFonts w:ascii="宋体" w:eastAsia="宋体" w:hint="eastAsia"/>
          <w:position w:val="2"/>
          <w:sz w:val="16"/>
        </w:rPr>
        <w:t>载</w:t>
      </w:r>
      <w:r>
        <w:rPr>
          <w:rFonts w:ascii="Times New Roman" w:eastAsia="Times New Roman"/>
          <w:position w:val="2"/>
          <w:sz w:val="16"/>
        </w:rPr>
        <w:tab/>
      </w:r>
      <w:r>
        <w:rPr>
          <w:rFonts w:ascii="Arial" w:eastAsia="Arial"/>
          <w:color w:val="888888"/>
          <w:sz w:val="21"/>
        </w:rPr>
        <w:t>32</w:t>
      </w:r>
    </w:p>
    <w:sectPr>
      <w:headerReference w:type="default" r:id="rId78"/>
      <w:footerReference w:type="default" r:id="rId79"/>
      <w:pgSz w:w="19200" w:h="10800" w:orient="landscape"/>
      <w:pgMar w:header="471" w:footer="0" w:top="1100" w:bottom="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微软雅黑">
    <w:altName w:val="微软雅黑"/>
    <w:charset w:val="86"/>
    <w:family w:val="swiss"/>
    <w:pitch w:val="variable"/>
  </w:font>
  <w:font w:name="Microsoft YaHei UI Light">
    <w:altName w:val="Microsoft YaHei UI Light"/>
    <w:charset w:val="86"/>
    <w:family w:val="swiss"/>
    <w:pitch w:val="variable"/>
  </w:font>
  <w:font w:name="Calibri">
    <w:altName w:val="Calibri"/>
    <w:charset w:val="0"/>
    <w:family w:val="swiss"/>
    <w:pitch w:val="variable"/>
  </w:font>
  <w:font w:name="Microsoft JhengHei">
    <w:altName w:val="Microsoft JhengHei"/>
    <w:charset w:val="0"/>
    <w:family w:val="swiss"/>
    <w:pitch w:val="variable"/>
  </w:font>
  <w:font w:name="Wingdings">
    <w:altName w:val="Wingdings"/>
    <w:charset w:val="2"/>
    <w:family w:val="auto"/>
    <w:pitch w:val="variable"/>
  </w:font>
  <w:font w:name="等线">
    <w:altName w:val="等线"/>
    <w:charset w:val="86"/>
    <w:family w:val="auto"/>
    <w:pitch w:val="variable"/>
  </w:font>
  <w:font w:name="宋体">
    <w:altName w:val="宋体"/>
    <w:charset w:val="86"/>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75.709991pt;margin-top:520.368286pt;width:7.9pt;height:13.8pt;mso-position-horizontal-relative:page;mso-position-vertical-relative:page;z-index:-18064384" type="#_x0000_t202" filled="false" stroked="false">
          <v:textbox inset="0,0,0,0">
            <w:txbxContent>
              <w:p>
                <w:pPr>
                  <w:spacing w:before="14"/>
                  <w:ind w:left="20" w:right="0" w:firstLine="0"/>
                  <w:jc w:val="left"/>
                  <w:rPr>
                    <w:rFonts w:ascii="Arial"/>
                    <w:sz w:val="21"/>
                  </w:rPr>
                </w:pPr>
                <w:r>
                  <w:rPr>
                    <w:rFonts w:ascii="Arial"/>
                    <w:color w:val="888888"/>
                    <w:w w:val="100"/>
                    <w:sz w:val="21"/>
                  </w:rPr>
                  <w:t>3</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72.809998pt;margin-top:520.368286pt;width:13.8pt;height:13.8pt;mso-position-horizontal-relative:page;mso-position-vertical-relative:page;z-index:-18043904" type="#_x0000_t202" filled="false" stroked="false">
          <v:textbox inset="0,0,0,0">
            <w:txbxContent>
              <w:p>
                <w:pPr>
                  <w:spacing w:before="14"/>
                  <w:ind w:left="20" w:right="0" w:firstLine="0"/>
                  <w:jc w:val="left"/>
                  <w:rPr>
                    <w:rFonts w:ascii="Arial"/>
                    <w:sz w:val="21"/>
                  </w:rPr>
                </w:pPr>
                <w:r>
                  <w:rPr>
                    <w:rFonts w:ascii="Arial"/>
                    <w:color w:val="888888"/>
                    <w:sz w:val="21"/>
                  </w:rPr>
                  <w:t>13</w:t>
                </w:r>
              </w:p>
            </w:txbxContent>
          </v:textbox>
          <w10:wrap type="none"/>
        </v:shape>
      </w:pict>
    </w:r>
    <w:r>
      <w:rPr/>
      <w:pict>
        <v:shape style="position:absolute;margin-left:501.079987pt;margin-top:520.549072pt;width:127.95pt;height:13.9pt;mso-position-horizontal-relative:page;mso-position-vertical-relative:page;z-index:-18043392" type="#_x0000_t202" filled="false" stroked="false">
          <v:textbox inset="0,0,0,0">
            <w:txbxContent>
              <w:p>
                <w:pPr>
                  <w:spacing w:line="278" w:lineRule="exact" w:before="0"/>
                  <w:ind w:left="20" w:right="0" w:firstLine="0"/>
                  <w:jc w:val="left"/>
                  <w:rPr>
                    <w:sz w:val="18"/>
                  </w:rPr>
                </w:pPr>
                <w:r>
                  <w:rPr>
                    <w:color w:val="57585B"/>
                    <w:sz w:val="18"/>
                  </w:rPr>
                  <w:t>数据来源：中康数据，华创证券</w:t>
                </w:r>
              </w:p>
            </w:txbxContent>
          </v:textbox>
          <w10:wrap type="none"/>
        </v:shape>
      </w:pict>
    </w:r>
    <w:r>
      <w:rPr/>
      <w:pict>
        <v:shape style="position:absolute;margin-left:19.927999pt;margin-top:521.665588pt;width:264.4pt;height:11pt;mso-position-horizontal-relative:page;mso-position-vertical-relative:page;z-index:-18042880" type="#_x0000_t202" filled="false" stroked="false">
          <v:textbox inset="0,0,0,0">
            <w:txbxContent>
              <w:p>
                <w:pPr>
                  <w:spacing w:before="5"/>
                  <w:ind w:left="20" w:right="0" w:firstLine="0"/>
                  <w:jc w:val="left"/>
                  <w:rPr>
                    <w:rFonts w:ascii="宋体" w:eastAsia="宋体" w:hint="eastAsia"/>
                    <w:sz w:val="16"/>
                  </w:rPr>
                </w:pPr>
                <w:r>
                  <w:rPr>
                    <w:rFonts w:ascii="宋体" w:eastAsia="宋体" w:hint="eastAsia"/>
                    <w:sz w:val="16"/>
                  </w:rPr>
                  <w:t>证监会审核华创证券投资咨询业务资格批文号：证监许可（</w:t>
                </w:r>
                <w:r>
                  <w:rPr>
                    <w:rFonts w:ascii="Arial" w:eastAsia="Arial"/>
                    <w:sz w:val="16"/>
                  </w:rPr>
                  <w:t>2009</w:t>
                </w:r>
                <w:r>
                  <w:rPr>
                    <w:rFonts w:ascii="宋体" w:eastAsia="宋体" w:hint="eastAsia"/>
                    <w:sz w:val="16"/>
                  </w:rPr>
                  <w:t>）</w:t>
                </w:r>
                <w:r>
                  <w:rPr>
                    <w:rFonts w:ascii="Arial" w:eastAsia="Arial"/>
                    <w:sz w:val="16"/>
                  </w:rPr>
                  <w:t>1210 </w:t>
                </w:r>
                <w:r>
                  <w:rPr>
                    <w:rFonts w:ascii="宋体" w:eastAsia="宋体" w:hint="eastAsia"/>
                    <w:sz w:val="16"/>
                  </w:rPr>
                  <w:t>号</w:t>
                </w:r>
              </w:p>
            </w:txbxContent>
          </v:textbox>
          <w10:wrap type="none"/>
        </v:shape>
      </w:pict>
    </w:r>
    <w:r>
      <w:rPr/>
      <w:pict>
        <v:shape style="position:absolute;margin-left:340.73999pt;margin-top:522.034607pt;width:74.350pt;height:10.050pt;mso-position-horizontal-relative:page;mso-position-vertical-relative:page;z-index:-18042368" type="#_x0000_t202" filled="false" stroked="false">
          <v:textbox inset="0,0,0,0">
            <w:txbxContent>
              <w:p>
                <w:pPr>
                  <w:spacing w:line="201" w:lineRule="exact" w:before="0"/>
                  <w:ind w:left="20" w:right="0" w:firstLine="0"/>
                  <w:jc w:val="left"/>
                  <w:rPr>
                    <w:rFonts w:ascii="宋体" w:eastAsia="宋体" w:hint="eastAsia"/>
                    <w:sz w:val="16"/>
                  </w:rPr>
                </w:pPr>
                <w:r>
                  <w:rPr>
                    <w:rFonts w:ascii="宋体" w:eastAsia="宋体" w:hint="eastAsia"/>
                    <w:sz w:val="16"/>
                  </w:rPr>
                  <w:t>未经许可，禁止转载</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72.809998pt;margin-top:520.368286pt;width:476.65pt;height:14.1pt;mso-position-horizontal-relative:page;mso-position-vertical-relative:page;z-index:-18040832" type="#_x0000_t202" filled="false" stroked="false">
          <v:textbox inset="0,0,0,0">
            <w:txbxContent>
              <w:p>
                <w:pPr>
                  <w:tabs>
                    <w:tab w:pos="484" w:val="left" w:leader="none"/>
                  </w:tabs>
                  <w:spacing w:line="281" w:lineRule="exact" w:before="0"/>
                  <w:ind w:left="20" w:right="0" w:firstLine="0"/>
                  <w:jc w:val="left"/>
                  <w:rPr>
                    <w:sz w:val="18"/>
                  </w:rPr>
                </w:pPr>
                <w:r>
                  <w:rPr>
                    <w:rFonts w:ascii="Arial" w:hAnsi="Arial" w:eastAsia="Arial"/>
                    <w:color w:val="888888"/>
                    <w:sz w:val="21"/>
                  </w:rPr>
                  <w:t>14</w:t>
                  <w:tab/>
                </w:r>
                <w:r>
                  <w:rPr>
                    <w:color w:val="57585B"/>
                    <w:sz w:val="18"/>
                  </w:rPr>
                  <w:t>数据来源：PhRMA</w:t>
                </w:r>
                <w:r>
                  <w:rPr>
                    <w:color w:val="57585B"/>
                    <w:spacing w:val="-8"/>
                    <w:sz w:val="18"/>
                  </w:rPr>
                  <w:t>, </w:t>
                </w:r>
                <w:r>
                  <w:rPr>
                    <w:color w:val="57585B"/>
                    <w:sz w:val="18"/>
                  </w:rPr>
                  <w:t>Alzheimer‘s</w:t>
                </w:r>
                <w:r>
                  <w:rPr>
                    <w:color w:val="57585B"/>
                    <w:spacing w:val="-14"/>
                    <w:sz w:val="18"/>
                  </w:rPr>
                  <w:t> </w:t>
                </w:r>
                <w:r>
                  <w:rPr>
                    <w:color w:val="57585B"/>
                    <w:sz w:val="18"/>
                  </w:rPr>
                  <w:t>Medicines</w:t>
                </w:r>
                <w:r>
                  <w:rPr>
                    <w:color w:val="57585B"/>
                    <w:spacing w:val="-7"/>
                    <w:sz w:val="18"/>
                  </w:rPr>
                  <w:t>: </w:t>
                </w:r>
                <w:r>
                  <w:rPr>
                    <w:color w:val="57585B"/>
                    <w:sz w:val="18"/>
                  </w:rPr>
                  <w:t>Setbacks</w:t>
                </w:r>
                <w:r>
                  <w:rPr>
                    <w:color w:val="57585B"/>
                    <w:spacing w:val="-11"/>
                    <w:sz w:val="18"/>
                  </w:rPr>
                  <w:t> </w:t>
                </w:r>
                <w:r>
                  <w:rPr>
                    <w:color w:val="57585B"/>
                    <w:sz w:val="18"/>
                  </w:rPr>
                  <w:t>and</w:t>
                </w:r>
                <w:r>
                  <w:rPr>
                    <w:color w:val="57585B"/>
                    <w:spacing w:val="-9"/>
                    <w:sz w:val="18"/>
                  </w:rPr>
                  <w:t> </w:t>
                </w:r>
                <w:r>
                  <w:rPr>
                    <w:color w:val="57585B"/>
                    <w:sz w:val="18"/>
                  </w:rPr>
                  <w:t>Stepping</w:t>
                </w:r>
                <w:r>
                  <w:rPr>
                    <w:color w:val="57585B"/>
                    <w:spacing w:val="-12"/>
                    <w:sz w:val="18"/>
                  </w:rPr>
                  <w:t> </w:t>
                </w:r>
                <w:r>
                  <w:rPr>
                    <w:color w:val="57585B"/>
                    <w:sz w:val="18"/>
                  </w:rPr>
                  <w:t>Stones</w:t>
                </w:r>
                <w:r>
                  <w:rPr>
                    <w:color w:val="57585B"/>
                    <w:spacing w:val="-3"/>
                    <w:sz w:val="18"/>
                  </w:rPr>
                  <w:t>，医药魔方，公司公告，华创证券</w:t>
                </w:r>
              </w:p>
            </w:txbxContent>
          </v:textbox>
          <w10:wrap type="none"/>
        </v:shape>
      </w:pict>
    </w:r>
    <w:r>
      <w:rPr/>
      <w:pict>
        <v:shape style="position:absolute;margin-left:19.927999pt;margin-top:521.665588pt;width:264.4pt;height:11pt;mso-position-horizontal-relative:page;mso-position-vertical-relative:page;z-index:-18040320" type="#_x0000_t202" filled="false" stroked="false">
          <v:textbox inset="0,0,0,0">
            <w:txbxContent>
              <w:p>
                <w:pPr>
                  <w:spacing w:before="5"/>
                  <w:ind w:left="20" w:right="0" w:firstLine="0"/>
                  <w:jc w:val="left"/>
                  <w:rPr>
                    <w:rFonts w:ascii="宋体" w:eastAsia="宋体" w:hint="eastAsia"/>
                    <w:sz w:val="16"/>
                  </w:rPr>
                </w:pPr>
                <w:r>
                  <w:rPr>
                    <w:rFonts w:ascii="宋体" w:eastAsia="宋体" w:hint="eastAsia"/>
                    <w:sz w:val="16"/>
                  </w:rPr>
                  <w:t>证监会审核华创证券投资咨询业务资格批文号：证监许可（</w:t>
                </w:r>
                <w:r>
                  <w:rPr>
                    <w:rFonts w:ascii="Arial" w:eastAsia="Arial"/>
                    <w:sz w:val="16"/>
                  </w:rPr>
                  <w:t>2009</w:t>
                </w:r>
                <w:r>
                  <w:rPr>
                    <w:rFonts w:ascii="宋体" w:eastAsia="宋体" w:hint="eastAsia"/>
                    <w:sz w:val="16"/>
                  </w:rPr>
                  <w:t>）</w:t>
                </w:r>
                <w:r>
                  <w:rPr>
                    <w:rFonts w:ascii="Arial" w:eastAsia="Arial"/>
                    <w:sz w:val="16"/>
                  </w:rPr>
                  <w:t>1210 </w:t>
                </w:r>
                <w:r>
                  <w:rPr>
                    <w:rFonts w:ascii="宋体" w:eastAsia="宋体" w:hint="eastAsia"/>
                    <w:sz w:val="16"/>
                  </w:rPr>
                  <w:t>号</w:t>
                </w:r>
              </w:p>
            </w:txbxContent>
          </v:textbox>
          <w10:wrap type="none"/>
        </v:shape>
      </w:pict>
    </w:r>
    <w:r>
      <w:rPr/>
      <w:pict>
        <v:shape style="position:absolute;margin-left:340.73999pt;margin-top:522.034607pt;width:74.350pt;height:10.050pt;mso-position-horizontal-relative:page;mso-position-vertical-relative:page;z-index:-18039808" type="#_x0000_t202" filled="false" stroked="false">
          <v:textbox inset="0,0,0,0">
            <w:txbxContent>
              <w:p>
                <w:pPr>
                  <w:spacing w:line="201" w:lineRule="exact" w:before="0"/>
                  <w:ind w:left="20" w:right="0" w:firstLine="0"/>
                  <w:jc w:val="left"/>
                  <w:rPr>
                    <w:rFonts w:ascii="宋体" w:eastAsia="宋体" w:hint="eastAsia"/>
                    <w:sz w:val="16"/>
                  </w:rPr>
                </w:pPr>
                <w:r>
                  <w:rPr>
                    <w:rFonts w:ascii="宋体" w:eastAsia="宋体" w:hint="eastAsia"/>
                    <w:sz w:val="16"/>
                  </w:rPr>
                  <w:t>未经许可，禁止转载</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72.809998pt;margin-top:520.368286pt;width:13.8pt;height:13.8pt;mso-position-horizontal-relative:page;mso-position-vertical-relative:page;z-index:-18038272" type="#_x0000_t202" filled="false" stroked="false">
          <v:textbox inset="0,0,0,0">
            <w:txbxContent>
              <w:p>
                <w:pPr>
                  <w:spacing w:before="14"/>
                  <w:ind w:left="20" w:right="0" w:firstLine="0"/>
                  <w:jc w:val="left"/>
                  <w:rPr>
                    <w:rFonts w:ascii="Arial"/>
                    <w:sz w:val="21"/>
                  </w:rPr>
                </w:pPr>
                <w:r>
                  <w:rPr>
                    <w:rFonts w:ascii="Arial"/>
                    <w:color w:val="888888"/>
                    <w:sz w:val="21"/>
                  </w:rPr>
                  <w:t>15</w:t>
                </w:r>
              </w:p>
            </w:txbxContent>
          </v:textbox>
          <w10:wrap type="none"/>
        </v:shape>
      </w:pict>
    </w:r>
    <w:r>
      <w:rPr/>
      <w:pict>
        <v:shape style="position:absolute;margin-left:501.079987pt;margin-top:520.549072pt;width:172.7pt;height:13.9pt;mso-position-horizontal-relative:page;mso-position-vertical-relative:page;z-index:-18037760" type="#_x0000_t202" filled="false" stroked="false">
          <v:textbox inset="0,0,0,0">
            <w:txbxContent>
              <w:p>
                <w:pPr>
                  <w:spacing w:line="278" w:lineRule="exact" w:before="0"/>
                  <w:ind w:left="20" w:right="0" w:firstLine="0"/>
                  <w:jc w:val="left"/>
                  <w:rPr>
                    <w:sz w:val="18"/>
                  </w:rPr>
                </w:pPr>
                <w:r>
                  <w:rPr>
                    <w:color w:val="57585B"/>
                    <w:sz w:val="18"/>
                  </w:rPr>
                  <w:t>数据来源：医药魔方，公司公告，华创证券</w:t>
                </w:r>
              </w:p>
            </w:txbxContent>
          </v:textbox>
          <w10:wrap type="none"/>
        </v:shape>
      </w:pict>
    </w:r>
    <w:r>
      <w:rPr/>
      <w:pict>
        <v:shape style="position:absolute;margin-left:19.927999pt;margin-top:521.665588pt;width:264.4pt;height:11pt;mso-position-horizontal-relative:page;mso-position-vertical-relative:page;z-index:-18037248" type="#_x0000_t202" filled="false" stroked="false">
          <v:textbox inset="0,0,0,0">
            <w:txbxContent>
              <w:p>
                <w:pPr>
                  <w:spacing w:before="5"/>
                  <w:ind w:left="20" w:right="0" w:firstLine="0"/>
                  <w:jc w:val="left"/>
                  <w:rPr>
                    <w:rFonts w:ascii="宋体" w:eastAsia="宋体" w:hint="eastAsia"/>
                    <w:sz w:val="16"/>
                  </w:rPr>
                </w:pPr>
                <w:r>
                  <w:rPr>
                    <w:rFonts w:ascii="宋体" w:eastAsia="宋体" w:hint="eastAsia"/>
                    <w:sz w:val="16"/>
                  </w:rPr>
                  <w:t>证监会审核华创证券投资咨询业务资格批文号：证监许可（</w:t>
                </w:r>
                <w:r>
                  <w:rPr>
                    <w:rFonts w:ascii="Arial" w:eastAsia="Arial"/>
                    <w:sz w:val="16"/>
                  </w:rPr>
                  <w:t>2009</w:t>
                </w:r>
                <w:r>
                  <w:rPr>
                    <w:rFonts w:ascii="宋体" w:eastAsia="宋体" w:hint="eastAsia"/>
                    <w:sz w:val="16"/>
                  </w:rPr>
                  <w:t>）</w:t>
                </w:r>
                <w:r>
                  <w:rPr>
                    <w:rFonts w:ascii="Arial" w:eastAsia="Arial"/>
                    <w:sz w:val="16"/>
                  </w:rPr>
                  <w:t>1210 </w:t>
                </w:r>
                <w:r>
                  <w:rPr>
                    <w:rFonts w:ascii="宋体" w:eastAsia="宋体" w:hint="eastAsia"/>
                    <w:sz w:val="16"/>
                  </w:rPr>
                  <w:t>号</w:t>
                </w:r>
              </w:p>
            </w:txbxContent>
          </v:textbox>
          <w10:wrap type="none"/>
        </v:shape>
      </w:pict>
    </w:r>
    <w:r>
      <w:rPr/>
      <w:pict>
        <v:shape style="position:absolute;margin-left:340.73999pt;margin-top:522.034607pt;width:74.350pt;height:10.050pt;mso-position-horizontal-relative:page;mso-position-vertical-relative:page;z-index:-18036736" type="#_x0000_t202" filled="false" stroked="false">
          <v:textbox inset="0,0,0,0">
            <w:txbxContent>
              <w:p>
                <w:pPr>
                  <w:spacing w:line="201" w:lineRule="exact" w:before="0"/>
                  <w:ind w:left="20" w:right="0" w:firstLine="0"/>
                  <w:jc w:val="left"/>
                  <w:rPr>
                    <w:rFonts w:ascii="宋体" w:eastAsia="宋体" w:hint="eastAsia"/>
                    <w:sz w:val="16"/>
                  </w:rPr>
                </w:pPr>
                <w:r>
                  <w:rPr>
                    <w:rFonts w:ascii="宋体" w:eastAsia="宋体" w:hint="eastAsia"/>
                    <w:sz w:val="16"/>
                  </w:rPr>
                  <w:t>未经许可，禁止转载</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8.100006pt;margin-top:519.34906pt;width:190.6pt;height:13.9pt;mso-position-horizontal-relative:page;mso-position-vertical-relative:page;z-index:-18035200" type="#_x0000_t202" filled="false" stroked="false">
          <v:textbox inset="0,0,0,0">
            <w:txbxContent>
              <w:p>
                <w:pPr>
                  <w:spacing w:line="278" w:lineRule="exact" w:before="0"/>
                  <w:ind w:left="20" w:right="0" w:firstLine="0"/>
                  <w:jc w:val="left"/>
                  <w:rPr>
                    <w:sz w:val="18"/>
                  </w:rPr>
                </w:pPr>
                <w:r>
                  <w:rPr>
                    <w:color w:val="57585B"/>
                    <w:sz w:val="18"/>
                  </w:rPr>
                  <w:t>数据来源：医药魔方，公司公告，华创证券整理</w:t>
                </w:r>
              </w:p>
            </w:txbxContent>
          </v:textbox>
          <w10:wrap type="none"/>
        </v:shape>
      </w:pict>
    </w:r>
    <w:r>
      <w:rPr/>
      <w:pict>
        <v:shape style="position:absolute;margin-left:472.809998pt;margin-top:520.368286pt;width:13.8pt;height:13.8pt;mso-position-horizontal-relative:page;mso-position-vertical-relative:page;z-index:-18034688" type="#_x0000_t202" filled="false" stroked="false">
          <v:textbox inset="0,0,0,0">
            <w:txbxContent>
              <w:p>
                <w:pPr>
                  <w:spacing w:before="14"/>
                  <w:ind w:left="20" w:right="0" w:firstLine="0"/>
                  <w:jc w:val="left"/>
                  <w:rPr>
                    <w:rFonts w:ascii="Arial"/>
                    <w:sz w:val="21"/>
                  </w:rPr>
                </w:pPr>
                <w:r>
                  <w:rPr>
                    <w:rFonts w:ascii="Arial"/>
                    <w:color w:val="888888"/>
                    <w:sz w:val="21"/>
                  </w:rPr>
                  <w:t>16</w:t>
                </w:r>
              </w:p>
            </w:txbxContent>
          </v:textbox>
          <w10:wrap type="none"/>
        </v:shape>
      </w:pict>
    </w:r>
    <w:r>
      <w:rPr/>
      <w:pict>
        <v:shape style="position:absolute;margin-left:19.927999pt;margin-top:521.665588pt;width:264.4pt;height:11pt;mso-position-horizontal-relative:page;mso-position-vertical-relative:page;z-index:-18034176" type="#_x0000_t202" filled="false" stroked="false">
          <v:textbox inset="0,0,0,0">
            <w:txbxContent>
              <w:p>
                <w:pPr>
                  <w:spacing w:before="5"/>
                  <w:ind w:left="20" w:right="0" w:firstLine="0"/>
                  <w:jc w:val="left"/>
                  <w:rPr>
                    <w:rFonts w:ascii="宋体" w:eastAsia="宋体" w:hint="eastAsia"/>
                    <w:sz w:val="16"/>
                  </w:rPr>
                </w:pPr>
                <w:r>
                  <w:rPr>
                    <w:rFonts w:ascii="宋体" w:eastAsia="宋体" w:hint="eastAsia"/>
                    <w:sz w:val="16"/>
                  </w:rPr>
                  <w:t>证监会审核华创证券投资咨询业务资格批文号：证监许可（</w:t>
                </w:r>
                <w:r>
                  <w:rPr>
                    <w:rFonts w:ascii="Arial" w:eastAsia="Arial"/>
                    <w:sz w:val="16"/>
                  </w:rPr>
                  <w:t>2009</w:t>
                </w:r>
                <w:r>
                  <w:rPr>
                    <w:rFonts w:ascii="宋体" w:eastAsia="宋体" w:hint="eastAsia"/>
                    <w:sz w:val="16"/>
                  </w:rPr>
                  <w:t>）</w:t>
                </w:r>
                <w:r>
                  <w:rPr>
                    <w:rFonts w:ascii="Arial" w:eastAsia="Arial"/>
                    <w:sz w:val="16"/>
                  </w:rPr>
                  <w:t>1210 </w:t>
                </w:r>
                <w:r>
                  <w:rPr>
                    <w:rFonts w:ascii="宋体" w:eastAsia="宋体" w:hint="eastAsia"/>
                    <w:sz w:val="16"/>
                  </w:rPr>
                  <w:t>号</w:t>
                </w:r>
              </w:p>
            </w:txbxContent>
          </v:textbox>
          <w10:wrap type="none"/>
        </v:shape>
      </w:pict>
    </w:r>
    <w:r>
      <w:rPr/>
      <w:pict>
        <v:shape style="position:absolute;margin-left:340.73999pt;margin-top:522.034607pt;width:74.350pt;height:10.050pt;mso-position-horizontal-relative:page;mso-position-vertical-relative:page;z-index:-18033664" type="#_x0000_t202" filled="false" stroked="false">
          <v:textbox inset="0,0,0,0">
            <w:txbxContent>
              <w:p>
                <w:pPr>
                  <w:spacing w:line="201" w:lineRule="exact" w:before="0"/>
                  <w:ind w:left="20" w:right="0" w:firstLine="0"/>
                  <w:jc w:val="left"/>
                  <w:rPr>
                    <w:rFonts w:ascii="宋体" w:eastAsia="宋体" w:hint="eastAsia"/>
                    <w:sz w:val="16"/>
                  </w:rPr>
                </w:pPr>
                <w:r>
                  <w:rPr>
                    <w:rFonts w:ascii="宋体" w:eastAsia="宋体" w:hint="eastAsia"/>
                    <w:sz w:val="16"/>
                  </w:rPr>
                  <w:t>未经许可，禁止转载</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72.809998pt;margin-top:520.368286pt;width:13.8pt;height:13.8pt;mso-position-horizontal-relative:page;mso-position-vertical-relative:page;z-index:-18032128" type="#_x0000_t202" filled="false" stroked="false">
          <v:textbox inset="0,0,0,0">
            <w:txbxContent>
              <w:p>
                <w:pPr>
                  <w:spacing w:before="14"/>
                  <w:ind w:left="20" w:right="0" w:firstLine="0"/>
                  <w:jc w:val="left"/>
                  <w:rPr>
                    <w:rFonts w:ascii="Arial"/>
                    <w:sz w:val="21"/>
                  </w:rPr>
                </w:pPr>
                <w:r>
                  <w:rPr>
                    <w:rFonts w:ascii="Arial"/>
                    <w:color w:val="888888"/>
                    <w:sz w:val="21"/>
                  </w:rPr>
                  <w:t>17</w:t>
                </w:r>
              </w:p>
            </w:txbxContent>
          </v:textbox>
          <w10:wrap type="none"/>
        </v:shape>
      </w:pict>
    </w:r>
    <w:r>
      <w:rPr/>
      <w:pict>
        <v:shape style="position:absolute;margin-left:511.589996pt;margin-top:521.029053pt;width:127.9pt;height:13.9pt;mso-position-horizontal-relative:page;mso-position-vertical-relative:page;z-index:-18031616" type="#_x0000_t202" filled="false" stroked="false">
          <v:textbox inset="0,0,0,0">
            <w:txbxContent>
              <w:p>
                <w:pPr>
                  <w:spacing w:line="278" w:lineRule="exact" w:before="0"/>
                  <w:ind w:left="20" w:right="0" w:firstLine="0"/>
                  <w:jc w:val="left"/>
                  <w:rPr>
                    <w:sz w:val="18"/>
                  </w:rPr>
                </w:pPr>
                <w:r>
                  <w:rPr>
                    <w:color w:val="57585B"/>
                    <w:sz w:val="18"/>
                  </w:rPr>
                  <w:t>数据来源：公司公告，华创证券</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70.809998pt;margin-top:520.368286pt;width:17.8pt;height:13.8pt;mso-position-horizontal-relative:page;mso-position-vertical-relative:page;z-index:-18030080" type="#_x0000_t202" filled="false" stroked="false">
          <v:textbox inset="0,0,0,0">
            <w:txbxContent>
              <w:p>
                <w:pPr>
                  <w:spacing w:before="14"/>
                  <w:ind w:left="60" w:right="0" w:firstLine="0"/>
                  <w:jc w:val="left"/>
                  <w:rPr>
                    <w:rFonts w:ascii="Arial"/>
                    <w:sz w:val="21"/>
                  </w:rPr>
                </w:pPr>
                <w:r>
                  <w:rPr/>
                  <w:fldChar w:fldCharType="begin"/>
                </w:r>
                <w:r>
                  <w:rPr>
                    <w:rFonts w:ascii="Arial"/>
                    <w:color w:val="888888"/>
                    <w:sz w:val="21"/>
                  </w:rPr>
                  <w:instrText> PAGE </w:instrText>
                </w:r>
                <w:r>
                  <w:rPr/>
                  <w:fldChar w:fldCharType="separate"/>
                </w:r>
                <w:r>
                  <w:rPr/>
                  <w:t>18</w:t>
                </w:r>
                <w:r>
                  <w:rPr/>
                  <w:fldChar w:fldCharType="end"/>
                </w:r>
              </w:p>
            </w:txbxContent>
          </v:textbox>
          <w10:wrap type="none"/>
        </v:shape>
      </w:pict>
    </w:r>
    <w:r>
      <w:rPr/>
      <w:pict>
        <v:shape style="position:absolute;margin-left:501.079987pt;margin-top:520.549072pt;width:172.7pt;height:13.9pt;mso-position-horizontal-relative:page;mso-position-vertical-relative:page;z-index:-18029568" type="#_x0000_t202" filled="false" stroked="false">
          <v:textbox inset="0,0,0,0">
            <w:txbxContent>
              <w:p>
                <w:pPr>
                  <w:spacing w:line="278" w:lineRule="exact" w:before="0"/>
                  <w:ind w:left="20" w:right="0" w:firstLine="0"/>
                  <w:jc w:val="left"/>
                  <w:rPr>
                    <w:sz w:val="18"/>
                  </w:rPr>
                </w:pPr>
                <w:r>
                  <w:rPr>
                    <w:color w:val="57585B"/>
                    <w:sz w:val="18"/>
                  </w:rPr>
                  <w:t>数据来源：医药魔方，公司公告，华创证券</w:t>
                </w:r>
              </w:p>
            </w:txbxContent>
          </v:textbox>
          <w10:wrap type="none"/>
        </v:shape>
      </w:pict>
    </w:r>
    <w:r>
      <w:rPr/>
      <w:pict>
        <v:shape style="position:absolute;margin-left:19.927999pt;margin-top:521.665588pt;width:264.4pt;height:11pt;mso-position-horizontal-relative:page;mso-position-vertical-relative:page;z-index:-18029056" type="#_x0000_t202" filled="false" stroked="false">
          <v:textbox inset="0,0,0,0">
            <w:txbxContent>
              <w:p>
                <w:pPr>
                  <w:spacing w:before="5"/>
                  <w:ind w:left="20" w:right="0" w:firstLine="0"/>
                  <w:jc w:val="left"/>
                  <w:rPr>
                    <w:rFonts w:ascii="宋体" w:eastAsia="宋体" w:hint="eastAsia"/>
                    <w:sz w:val="16"/>
                  </w:rPr>
                </w:pPr>
                <w:r>
                  <w:rPr>
                    <w:rFonts w:ascii="宋体" w:eastAsia="宋体" w:hint="eastAsia"/>
                    <w:sz w:val="16"/>
                  </w:rPr>
                  <w:t>证监会审核华创证券投资咨询业务资格批文号：证监许可（</w:t>
                </w:r>
                <w:r>
                  <w:rPr>
                    <w:rFonts w:ascii="Arial" w:eastAsia="Arial"/>
                    <w:sz w:val="16"/>
                  </w:rPr>
                  <w:t>2009</w:t>
                </w:r>
                <w:r>
                  <w:rPr>
                    <w:rFonts w:ascii="宋体" w:eastAsia="宋体" w:hint="eastAsia"/>
                    <w:sz w:val="16"/>
                  </w:rPr>
                  <w:t>）</w:t>
                </w:r>
                <w:r>
                  <w:rPr>
                    <w:rFonts w:ascii="Arial" w:eastAsia="Arial"/>
                    <w:sz w:val="16"/>
                  </w:rPr>
                  <w:t>1210 </w:t>
                </w:r>
                <w:r>
                  <w:rPr>
                    <w:rFonts w:ascii="宋体" w:eastAsia="宋体" w:hint="eastAsia"/>
                    <w:sz w:val="16"/>
                  </w:rPr>
                  <w:t>号</w:t>
                </w:r>
              </w:p>
            </w:txbxContent>
          </v:textbox>
          <w10:wrap type="none"/>
        </v:shape>
      </w:pict>
    </w:r>
    <w:r>
      <w:rPr/>
      <w:pict>
        <v:shape style="position:absolute;margin-left:340.73999pt;margin-top:522.034607pt;width:74.350pt;height:10.050pt;mso-position-horizontal-relative:page;mso-position-vertical-relative:page;z-index:-18028544" type="#_x0000_t202" filled="false" stroked="false">
          <v:textbox inset="0,0,0,0">
            <w:txbxContent>
              <w:p>
                <w:pPr>
                  <w:spacing w:line="201" w:lineRule="exact" w:before="0"/>
                  <w:ind w:left="20" w:right="0" w:firstLine="0"/>
                  <w:jc w:val="left"/>
                  <w:rPr>
                    <w:rFonts w:ascii="宋体" w:eastAsia="宋体" w:hint="eastAsia"/>
                    <w:sz w:val="16"/>
                  </w:rPr>
                </w:pPr>
                <w:r>
                  <w:rPr>
                    <w:rFonts w:ascii="宋体" w:eastAsia="宋体" w:hint="eastAsia"/>
                    <w:sz w:val="16"/>
                  </w:rPr>
                  <w:t>未经许可，禁止转载</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70.809998pt;margin-top:520.368286pt;width:17.8pt;height:13.8pt;mso-position-horizontal-relative:page;mso-position-vertical-relative:page;z-index:-18027008" type="#_x0000_t202" filled="false" stroked="false">
          <v:textbox inset="0,0,0,0">
            <w:txbxContent>
              <w:p>
                <w:pPr>
                  <w:spacing w:before="14"/>
                  <w:ind w:left="60" w:right="0" w:firstLine="0"/>
                  <w:jc w:val="left"/>
                  <w:rPr>
                    <w:rFonts w:ascii="Arial"/>
                    <w:sz w:val="21"/>
                  </w:rPr>
                </w:pPr>
                <w:r>
                  <w:rPr/>
                  <w:fldChar w:fldCharType="begin"/>
                </w:r>
                <w:r>
                  <w:rPr>
                    <w:rFonts w:ascii="Arial"/>
                    <w:color w:val="888888"/>
                    <w:sz w:val="21"/>
                  </w:rPr>
                  <w:instrText> PAGE </w:instrText>
                </w:r>
                <w:r>
                  <w:rPr/>
                  <w:fldChar w:fldCharType="separate"/>
                </w:r>
                <w:r>
                  <w:rPr/>
                  <w:t>21</w:t>
                </w:r>
                <w:r>
                  <w:rPr/>
                  <w:fldChar w:fldCharType="end"/>
                </w:r>
              </w:p>
            </w:txbxContent>
          </v:textbox>
          <w10:wrap type="none"/>
        </v:shape>
      </w:pict>
    </w:r>
    <w:r>
      <w:rPr/>
      <w:pict>
        <v:shape style="position:absolute;margin-left:19.927999pt;margin-top:521.665588pt;width:264.4pt;height:11pt;mso-position-horizontal-relative:page;mso-position-vertical-relative:page;z-index:-18026496" type="#_x0000_t202" filled="false" stroked="false">
          <v:textbox inset="0,0,0,0">
            <w:txbxContent>
              <w:p>
                <w:pPr>
                  <w:spacing w:before="5"/>
                  <w:ind w:left="20" w:right="0" w:firstLine="0"/>
                  <w:jc w:val="left"/>
                  <w:rPr>
                    <w:rFonts w:ascii="宋体" w:eastAsia="宋体" w:hint="eastAsia"/>
                    <w:sz w:val="16"/>
                  </w:rPr>
                </w:pPr>
                <w:r>
                  <w:rPr>
                    <w:rFonts w:ascii="宋体" w:eastAsia="宋体" w:hint="eastAsia"/>
                    <w:sz w:val="16"/>
                  </w:rPr>
                  <w:t>证监会审核华创证券投资咨询业务资格批文号：证监许可（</w:t>
                </w:r>
                <w:r>
                  <w:rPr>
                    <w:rFonts w:ascii="Arial" w:eastAsia="Arial"/>
                    <w:sz w:val="16"/>
                  </w:rPr>
                  <w:t>2009</w:t>
                </w:r>
                <w:r>
                  <w:rPr>
                    <w:rFonts w:ascii="宋体" w:eastAsia="宋体" w:hint="eastAsia"/>
                    <w:sz w:val="16"/>
                  </w:rPr>
                  <w:t>）</w:t>
                </w:r>
                <w:r>
                  <w:rPr>
                    <w:rFonts w:ascii="Arial" w:eastAsia="Arial"/>
                    <w:sz w:val="16"/>
                  </w:rPr>
                  <w:t>1210 </w:t>
                </w:r>
                <w:r>
                  <w:rPr>
                    <w:rFonts w:ascii="宋体" w:eastAsia="宋体" w:hint="eastAsia"/>
                    <w:sz w:val="16"/>
                  </w:rPr>
                  <w:t>号</w:t>
                </w:r>
              </w:p>
            </w:txbxContent>
          </v:textbox>
          <w10:wrap type="none"/>
        </v:shape>
      </w:pict>
    </w:r>
    <w:r>
      <w:rPr/>
      <w:pict>
        <v:shape style="position:absolute;margin-left:340.73999pt;margin-top:522.034607pt;width:74.350pt;height:10.050pt;mso-position-horizontal-relative:page;mso-position-vertical-relative:page;z-index:-18025984" type="#_x0000_t202" filled="false" stroked="false">
          <v:textbox inset="0,0,0,0">
            <w:txbxContent>
              <w:p>
                <w:pPr>
                  <w:spacing w:line="201" w:lineRule="exact" w:before="0"/>
                  <w:ind w:left="20" w:right="0" w:firstLine="0"/>
                  <w:jc w:val="left"/>
                  <w:rPr>
                    <w:rFonts w:ascii="宋体" w:eastAsia="宋体" w:hint="eastAsia"/>
                    <w:sz w:val="16"/>
                  </w:rPr>
                </w:pPr>
                <w:r>
                  <w:rPr>
                    <w:rFonts w:ascii="宋体" w:eastAsia="宋体" w:hint="eastAsia"/>
                    <w:sz w:val="16"/>
                  </w:rPr>
                  <w:t>未经许可，禁止转载</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0" simplePos="0" relativeHeight="15768576">
          <wp:simplePos x="0" y="0"/>
          <wp:positionH relativeFrom="page">
            <wp:posOffset>103631</wp:posOffset>
          </wp:positionH>
          <wp:positionV relativeFrom="page">
            <wp:posOffset>6518147</wp:posOffset>
          </wp:positionV>
          <wp:extent cx="5795772" cy="233172"/>
          <wp:effectExtent l="0" t="0" r="0" b="0"/>
          <wp:wrapNone/>
          <wp:docPr id="99" name="image18.jpeg"/>
          <wp:cNvGraphicFramePr>
            <a:graphicFrameLocks noChangeAspect="1"/>
          </wp:cNvGraphicFramePr>
          <a:graphic>
            <a:graphicData uri="http://schemas.openxmlformats.org/drawingml/2006/picture">
              <pic:pic>
                <pic:nvPicPr>
                  <pic:cNvPr id="100" name="image18.jpeg"/>
                  <pic:cNvPicPr/>
                </pic:nvPicPr>
                <pic:blipFill>
                  <a:blip r:embed="rId1" cstate="print"/>
                  <a:stretch>
                    <a:fillRect/>
                  </a:stretch>
                </pic:blipFill>
                <pic:spPr>
                  <a:xfrm>
                    <a:off x="0" y="0"/>
                    <a:ext cx="5795772" cy="233172"/>
                  </a:xfrm>
                  <a:prstGeom prst="rect">
                    <a:avLst/>
                  </a:prstGeom>
                </pic:spPr>
              </pic:pic>
            </a:graphicData>
          </a:graphic>
        </wp:anchor>
      </w:drawing>
    </w:r>
    <w:r>
      <w:rPr/>
      <w:pict>
        <v:shape style="position:absolute;margin-left:470.809998pt;margin-top:520.368286pt;width:17.8pt;height:13.8pt;mso-position-horizontal-relative:page;mso-position-vertical-relative:page;z-index:-18023936" type="#_x0000_t202" filled="false" stroked="false">
          <v:textbox inset="0,0,0,0">
            <w:txbxContent>
              <w:p>
                <w:pPr>
                  <w:spacing w:before="14"/>
                  <w:ind w:left="60" w:right="0" w:firstLine="0"/>
                  <w:jc w:val="left"/>
                  <w:rPr>
                    <w:rFonts w:ascii="Arial"/>
                    <w:sz w:val="21"/>
                  </w:rPr>
                </w:pPr>
                <w:r>
                  <w:rPr/>
                  <w:fldChar w:fldCharType="begin"/>
                </w:r>
                <w:r>
                  <w:rPr>
                    <w:rFonts w:ascii="Arial"/>
                    <w:color w:val="888888"/>
                    <w:sz w:val="21"/>
                  </w:rPr>
                  <w:instrText> PAGE </w:instrText>
                </w:r>
                <w:r>
                  <w:rPr/>
                  <w:fldChar w:fldCharType="separate"/>
                </w:r>
                <w:r>
                  <w:rPr/>
                  <w:t>22</w:t>
                </w:r>
                <w:r>
                  <w:rPr/>
                  <w:fldChar w:fldCharType="end"/>
                </w:r>
              </w:p>
            </w:txbxContent>
          </v:textbox>
          <w10:wrap type="none"/>
        </v:shape>
      </w:pict>
    </w:r>
    <w:r>
      <w:rPr/>
      <w:pict>
        <v:shape style="position:absolute;margin-left:19.927999pt;margin-top:521.665588pt;width:264.4pt;height:11pt;mso-position-horizontal-relative:page;mso-position-vertical-relative:page;z-index:-18023424" type="#_x0000_t202" filled="false" stroked="false">
          <v:textbox inset="0,0,0,0">
            <w:txbxContent>
              <w:p>
                <w:pPr>
                  <w:spacing w:before="5"/>
                  <w:ind w:left="20" w:right="0" w:firstLine="0"/>
                  <w:jc w:val="left"/>
                  <w:rPr>
                    <w:rFonts w:ascii="宋体" w:eastAsia="宋体" w:hint="eastAsia"/>
                    <w:sz w:val="16"/>
                  </w:rPr>
                </w:pPr>
                <w:r>
                  <w:rPr>
                    <w:rFonts w:ascii="宋体" w:eastAsia="宋体" w:hint="eastAsia"/>
                    <w:sz w:val="16"/>
                  </w:rPr>
                  <w:t>证监会审核华创证券投资咨询业务资格批文号：证监许可（</w:t>
                </w:r>
                <w:r>
                  <w:rPr>
                    <w:rFonts w:ascii="Arial" w:eastAsia="Arial"/>
                    <w:sz w:val="16"/>
                  </w:rPr>
                  <w:t>2009</w:t>
                </w:r>
                <w:r>
                  <w:rPr>
                    <w:rFonts w:ascii="宋体" w:eastAsia="宋体" w:hint="eastAsia"/>
                    <w:sz w:val="16"/>
                  </w:rPr>
                  <w:t>）</w:t>
                </w:r>
                <w:r>
                  <w:rPr>
                    <w:rFonts w:ascii="Arial" w:eastAsia="Arial"/>
                    <w:sz w:val="16"/>
                  </w:rPr>
                  <w:t>1210 </w:t>
                </w:r>
                <w:r>
                  <w:rPr>
                    <w:rFonts w:ascii="宋体" w:eastAsia="宋体" w:hint="eastAsia"/>
                    <w:sz w:val="16"/>
                  </w:rPr>
                  <w:t>号</w:t>
                </w:r>
              </w:p>
            </w:txbxContent>
          </v:textbox>
          <w10:wrap type="none"/>
        </v:shape>
      </w:pict>
    </w:r>
    <w:r>
      <w:rPr/>
      <w:pict>
        <v:shape style="position:absolute;margin-left:340.73999pt;margin-top:522.034607pt;width:74.350pt;height:10.050pt;mso-position-horizontal-relative:page;mso-position-vertical-relative:page;z-index:-18022912" type="#_x0000_t202" filled="false" stroked="false">
          <v:textbox inset="0,0,0,0">
            <w:txbxContent>
              <w:p>
                <w:pPr>
                  <w:spacing w:line="201" w:lineRule="exact" w:before="0"/>
                  <w:ind w:left="20" w:right="0" w:firstLine="0"/>
                  <w:jc w:val="left"/>
                  <w:rPr>
                    <w:rFonts w:ascii="宋体" w:eastAsia="宋体" w:hint="eastAsia"/>
                    <w:sz w:val="16"/>
                  </w:rPr>
                </w:pPr>
                <w:r>
                  <w:rPr>
                    <w:rFonts w:ascii="宋体" w:eastAsia="宋体" w:hint="eastAsia"/>
                    <w:sz w:val="16"/>
                  </w:rPr>
                  <w:t>未经许可，禁止转载</w:t>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0" simplePos="0" relativeHeight="15771648">
          <wp:simplePos x="0" y="0"/>
          <wp:positionH relativeFrom="page">
            <wp:posOffset>103631</wp:posOffset>
          </wp:positionH>
          <wp:positionV relativeFrom="page">
            <wp:posOffset>6518147</wp:posOffset>
          </wp:positionV>
          <wp:extent cx="5795772" cy="233172"/>
          <wp:effectExtent l="0" t="0" r="0" b="0"/>
          <wp:wrapNone/>
          <wp:docPr id="105" name="image18.jpeg"/>
          <wp:cNvGraphicFramePr>
            <a:graphicFrameLocks noChangeAspect="1"/>
          </wp:cNvGraphicFramePr>
          <a:graphic>
            <a:graphicData uri="http://schemas.openxmlformats.org/drawingml/2006/picture">
              <pic:pic>
                <pic:nvPicPr>
                  <pic:cNvPr id="106" name="image18.jpeg"/>
                  <pic:cNvPicPr/>
                </pic:nvPicPr>
                <pic:blipFill>
                  <a:blip r:embed="rId1" cstate="print"/>
                  <a:stretch>
                    <a:fillRect/>
                  </a:stretch>
                </pic:blipFill>
                <pic:spPr>
                  <a:xfrm>
                    <a:off x="0" y="0"/>
                    <a:ext cx="5795772" cy="233172"/>
                  </a:xfrm>
                  <a:prstGeom prst="rect">
                    <a:avLst/>
                  </a:prstGeom>
                </pic:spPr>
              </pic:pic>
            </a:graphicData>
          </a:graphic>
        </wp:anchor>
      </w:drawing>
    </w:r>
    <w:r>
      <w:rPr/>
      <w:pict>
        <v:shape style="position:absolute;margin-left:470.809998pt;margin-top:520.368286pt;width:17.8pt;height:13.8pt;mso-position-horizontal-relative:page;mso-position-vertical-relative:page;z-index:-18020864" type="#_x0000_t202" filled="false" stroked="false">
          <v:textbox inset="0,0,0,0">
            <w:txbxContent>
              <w:p>
                <w:pPr>
                  <w:spacing w:before="14"/>
                  <w:ind w:left="60" w:right="0" w:firstLine="0"/>
                  <w:jc w:val="left"/>
                  <w:rPr>
                    <w:rFonts w:ascii="Arial"/>
                    <w:sz w:val="21"/>
                  </w:rPr>
                </w:pPr>
                <w:r>
                  <w:rPr/>
                  <w:fldChar w:fldCharType="begin"/>
                </w:r>
                <w:r>
                  <w:rPr>
                    <w:rFonts w:ascii="Arial"/>
                    <w:color w:val="888888"/>
                    <w:sz w:val="21"/>
                  </w:rPr>
                  <w:instrText> PAGE </w:instrText>
                </w:r>
                <w:r>
                  <w:rPr/>
                  <w:fldChar w:fldCharType="separate"/>
                </w:r>
                <w:r>
                  <w:rPr/>
                  <w:t>23</w:t>
                </w:r>
                <w:r>
                  <w:rPr/>
                  <w:fldChar w:fldCharType="end"/>
                </w:r>
              </w:p>
            </w:txbxContent>
          </v:textbox>
          <w10:wrap type="none"/>
        </v:shape>
      </w:pict>
    </w:r>
    <w:r>
      <w:rPr/>
      <w:pict>
        <v:shape style="position:absolute;margin-left:19.927999pt;margin-top:521.665588pt;width:264.4pt;height:11pt;mso-position-horizontal-relative:page;mso-position-vertical-relative:page;z-index:-18020352" type="#_x0000_t202" filled="false" stroked="false">
          <v:textbox inset="0,0,0,0">
            <w:txbxContent>
              <w:p>
                <w:pPr>
                  <w:spacing w:before="5"/>
                  <w:ind w:left="20" w:right="0" w:firstLine="0"/>
                  <w:jc w:val="left"/>
                  <w:rPr>
                    <w:rFonts w:ascii="宋体" w:eastAsia="宋体" w:hint="eastAsia"/>
                    <w:sz w:val="16"/>
                  </w:rPr>
                </w:pPr>
                <w:r>
                  <w:rPr>
                    <w:rFonts w:ascii="宋体" w:eastAsia="宋体" w:hint="eastAsia"/>
                    <w:sz w:val="16"/>
                  </w:rPr>
                  <w:t>证监会审核华创证券投资咨询业务资格批文号：证监许可（</w:t>
                </w:r>
                <w:r>
                  <w:rPr>
                    <w:rFonts w:ascii="Arial" w:eastAsia="Arial"/>
                    <w:sz w:val="16"/>
                  </w:rPr>
                  <w:t>2009</w:t>
                </w:r>
                <w:r>
                  <w:rPr>
                    <w:rFonts w:ascii="宋体" w:eastAsia="宋体" w:hint="eastAsia"/>
                    <w:sz w:val="16"/>
                  </w:rPr>
                  <w:t>）</w:t>
                </w:r>
                <w:r>
                  <w:rPr>
                    <w:rFonts w:ascii="Arial" w:eastAsia="Arial"/>
                    <w:sz w:val="16"/>
                  </w:rPr>
                  <w:t>1210 </w:t>
                </w:r>
                <w:r>
                  <w:rPr>
                    <w:rFonts w:ascii="宋体" w:eastAsia="宋体" w:hint="eastAsia"/>
                    <w:sz w:val="16"/>
                  </w:rPr>
                  <w:t>号</w:t>
                </w:r>
              </w:p>
            </w:txbxContent>
          </v:textbox>
          <w10:wrap type="none"/>
        </v:shape>
      </w:pict>
    </w:r>
    <w:r>
      <w:rPr/>
      <w:pict>
        <v:shape style="position:absolute;margin-left:340.73999pt;margin-top:522.034607pt;width:74.350pt;height:10.050pt;mso-position-horizontal-relative:page;mso-position-vertical-relative:page;z-index:-18019840" type="#_x0000_t202" filled="false" stroked="false">
          <v:textbox inset="0,0,0,0">
            <w:txbxContent>
              <w:p>
                <w:pPr>
                  <w:spacing w:line="201" w:lineRule="exact" w:before="0"/>
                  <w:ind w:left="20" w:right="0" w:firstLine="0"/>
                  <w:jc w:val="left"/>
                  <w:rPr>
                    <w:rFonts w:ascii="宋体" w:eastAsia="宋体" w:hint="eastAsia"/>
                    <w:sz w:val="16"/>
                  </w:rPr>
                </w:pPr>
                <w:r>
                  <w:rPr>
                    <w:rFonts w:ascii="宋体" w:eastAsia="宋体" w:hint="eastAsia"/>
                    <w:sz w:val="16"/>
                  </w:rPr>
                  <w:t>未经许可，禁止转载</w:t>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70.809998pt;margin-top:520.368286pt;width:17.8pt;height:13.8pt;mso-position-horizontal-relative:page;mso-position-vertical-relative:page;z-index:-18018304" type="#_x0000_t202" filled="false" stroked="false">
          <v:textbox inset="0,0,0,0">
            <w:txbxContent>
              <w:p>
                <w:pPr>
                  <w:spacing w:before="14"/>
                  <w:ind w:left="60" w:right="0" w:firstLine="0"/>
                  <w:jc w:val="left"/>
                  <w:rPr>
                    <w:rFonts w:ascii="Arial"/>
                    <w:sz w:val="21"/>
                  </w:rPr>
                </w:pPr>
                <w:r>
                  <w:rPr/>
                  <w:fldChar w:fldCharType="begin"/>
                </w:r>
                <w:r>
                  <w:rPr>
                    <w:rFonts w:ascii="Arial"/>
                    <w:color w:val="888888"/>
                    <w:sz w:val="21"/>
                  </w:rPr>
                  <w:instrText> PAGE </w:instrText>
                </w:r>
                <w:r>
                  <w:rPr/>
                  <w:fldChar w:fldCharType="separate"/>
                </w:r>
                <w:r>
                  <w:rPr/>
                  <w:t>24</w:t>
                </w:r>
                <w:r>
                  <w:rPr/>
                  <w:fldChar w:fldCharType="end"/>
                </w:r>
              </w:p>
            </w:txbxContent>
          </v:textbox>
          <w10:wrap type="none"/>
        </v:shape>
      </w:pict>
    </w:r>
    <w:r>
      <w:rPr/>
      <w:pict>
        <v:shape style="position:absolute;margin-left:19.927999pt;margin-top:521.665588pt;width:264.4pt;height:11pt;mso-position-horizontal-relative:page;mso-position-vertical-relative:page;z-index:-18017792" type="#_x0000_t202" filled="false" stroked="false">
          <v:textbox inset="0,0,0,0">
            <w:txbxContent>
              <w:p>
                <w:pPr>
                  <w:spacing w:before="5"/>
                  <w:ind w:left="20" w:right="0" w:firstLine="0"/>
                  <w:jc w:val="left"/>
                  <w:rPr>
                    <w:rFonts w:ascii="宋体" w:eastAsia="宋体" w:hint="eastAsia"/>
                    <w:sz w:val="16"/>
                  </w:rPr>
                </w:pPr>
                <w:r>
                  <w:rPr>
                    <w:rFonts w:ascii="宋体" w:eastAsia="宋体" w:hint="eastAsia"/>
                    <w:sz w:val="16"/>
                  </w:rPr>
                  <w:t>证监会审核华创证券投资咨询业务资格批文号：证监许可（</w:t>
                </w:r>
                <w:r>
                  <w:rPr>
                    <w:rFonts w:ascii="Arial" w:eastAsia="Arial"/>
                    <w:sz w:val="16"/>
                  </w:rPr>
                  <w:t>2009</w:t>
                </w:r>
                <w:r>
                  <w:rPr>
                    <w:rFonts w:ascii="宋体" w:eastAsia="宋体" w:hint="eastAsia"/>
                    <w:sz w:val="16"/>
                  </w:rPr>
                  <w:t>）</w:t>
                </w:r>
                <w:r>
                  <w:rPr>
                    <w:rFonts w:ascii="Arial" w:eastAsia="Arial"/>
                    <w:sz w:val="16"/>
                  </w:rPr>
                  <w:t>1210 </w:t>
                </w:r>
                <w:r>
                  <w:rPr>
                    <w:rFonts w:ascii="宋体" w:eastAsia="宋体" w:hint="eastAsia"/>
                    <w:sz w:val="16"/>
                  </w:rPr>
                  <w:t>号</w:t>
                </w:r>
              </w:p>
            </w:txbxContent>
          </v:textbox>
          <w10:wrap type="none"/>
        </v:shape>
      </w:pict>
    </w:r>
    <w:r>
      <w:rPr/>
      <w:pict>
        <v:shape style="position:absolute;margin-left:340.73999pt;margin-top:522.034607pt;width:74.350pt;height:10.050pt;mso-position-horizontal-relative:page;mso-position-vertical-relative:page;z-index:-18017280" type="#_x0000_t202" filled="false" stroked="false">
          <v:textbox inset="0,0,0,0">
            <w:txbxContent>
              <w:p>
                <w:pPr>
                  <w:spacing w:line="201" w:lineRule="exact" w:before="0"/>
                  <w:ind w:left="20" w:right="0" w:firstLine="0"/>
                  <w:jc w:val="left"/>
                  <w:rPr>
                    <w:rFonts w:ascii="宋体" w:eastAsia="宋体" w:hint="eastAsia"/>
                    <w:sz w:val="16"/>
                  </w:rPr>
                </w:pPr>
                <w:r>
                  <w:rPr>
                    <w:rFonts w:ascii="宋体" w:eastAsia="宋体" w:hint="eastAsia"/>
                    <w:sz w:val="16"/>
                  </w:rPr>
                  <w:t>未经许可，禁止转载</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70.809998pt;margin-top:520.368286pt;width:17.8pt;height:13.8pt;mso-position-horizontal-relative:page;mso-position-vertical-relative:page;z-index:-18015744" type="#_x0000_t202" filled="false" stroked="false">
          <v:textbox inset="0,0,0,0">
            <w:txbxContent>
              <w:p>
                <w:pPr>
                  <w:spacing w:before="14"/>
                  <w:ind w:left="60" w:right="0" w:firstLine="0"/>
                  <w:jc w:val="left"/>
                  <w:rPr>
                    <w:rFonts w:ascii="Arial"/>
                    <w:sz w:val="21"/>
                  </w:rPr>
                </w:pPr>
                <w:r>
                  <w:rPr/>
                  <w:fldChar w:fldCharType="begin"/>
                </w:r>
                <w:r>
                  <w:rPr>
                    <w:rFonts w:ascii="Arial"/>
                    <w:color w:val="888888"/>
                    <w:sz w:val="21"/>
                  </w:rPr>
                  <w:instrText> PAGE </w:instrText>
                </w:r>
                <w:r>
                  <w:rPr/>
                  <w:fldChar w:fldCharType="separate"/>
                </w:r>
                <w:r>
                  <w:rPr/>
                  <w:t>25</w:t>
                </w:r>
                <w:r>
                  <w:rPr/>
                  <w:fldChar w:fldCharType="end"/>
                </w:r>
              </w:p>
            </w:txbxContent>
          </v:textbox>
          <w10:wrap type="none"/>
        </v:shape>
      </w:pict>
    </w:r>
    <w:r>
      <w:rPr/>
      <w:pict>
        <v:shape style="position:absolute;margin-left:623.789978pt;margin-top:520.549072pt;width:150.2pt;height:13.9pt;mso-position-horizontal-relative:page;mso-position-vertical-relative:page;z-index:-18015232" type="#_x0000_t202" filled="false" stroked="false">
          <v:textbox inset="0,0,0,0">
            <w:txbxContent>
              <w:p>
                <w:pPr>
                  <w:spacing w:line="278" w:lineRule="exact" w:before="0"/>
                  <w:ind w:left="20" w:right="0" w:firstLine="0"/>
                  <w:jc w:val="left"/>
                  <w:rPr>
                    <w:sz w:val="18"/>
                  </w:rPr>
                </w:pPr>
                <w:r>
                  <w:rPr>
                    <w:color w:val="57585B"/>
                    <w:sz w:val="18"/>
                  </w:rPr>
                  <w:t>数据来源：Wind，KPMG，华创证券</w:t>
                </w:r>
              </w:p>
            </w:txbxContent>
          </v:textbox>
          <w10:wrap type="none"/>
        </v:shape>
      </w:pict>
    </w:r>
    <w:r>
      <w:rPr/>
      <w:pict>
        <v:shape style="position:absolute;margin-left:19.927999pt;margin-top:521.665588pt;width:264.4pt;height:11pt;mso-position-horizontal-relative:page;mso-position-vertical-relative:page;z-index:-18014720" type="#_x0000_t202" filled="false" stroked="false">
          <v:textbox inset="0,0,0,0">
            <w:txbxContent>
              <w:p>
                <w:pPr>
                  <w:spacing w:before="5"/>
                  <w:ind w:left="20" w:right="0" w:firstLine="0"/>
                  <w:jc w:val="left"/>
                  <w:rPr>
                    <w:rFonts w:ascii="宋体" w:eastAsia="宋体" w:hint="eastAsia"/>
                    <w:sz w:val="16"/>
                  </w:rPr>
                </w:pPr>
                <w:r>
                  <w:rPr>
                    <w:rFonts w:ascii="宋体" w:eastAsia="宋体" w:hint="eastAsia"/>
                    <w:sz w:val="16"/>
                  </w:rPr>
                  <w:t>证监会审核华创证券投资咨询业务资格批文号：证监许可（</w:t>
                </w:r>
                <w:r>
                  <w:rPr>
                    <w:rFonts w:ascii="Arial" w:eastAsia="Arial"/>
                    <w:sz w:val="16"/>
                  </w:rPr>
                  <w:t>2009</w:t>
                </w:r>
                <w:r>
                  <w:rPr>
                    <w:rFonts w:ascii="宋体" w:eastAsia="宋体" w:hint="eastAsia"/>
                    <w:sz w:val="16"/>
                  </w:rPr>
                  <w:t>）</w:t>
                </w:r>
                <w:r>
                  <w:rPr>
                    <w:rFonts w:ascii="Arial" w:eastAsia="Arial"/>
                    <w:sz w:val="16"/>
                  </w:rPr>
                  <w:t>1210 </w:t>
                </w:r>
                <w:r>
                  <w:rPr>
                    <w:rFonts w:ascii="宋体" w:eastAsia="宋体" w:hint="eastAsia"/>
                    <w:sz w:val="16"/>
                  </w:rPr>
                  <w:t>号</w:t>
                </w:r>
              </w:p>
            </w:txbxContent>
          </v:textbox>
          <w10:wrap type="none"/>
        </v:shape>
      </w:pict>
    </w:r>
    <w:r>
      <w:rPr/>
      <w:pict>
        <v:shape style="position:absolute;margin-left:340.73999pt;margin-top:522.034607pt;width:74.350pt;height:10.050pt;mso-position-horizontal-relative:page;mso-position-vertical-relative:page;z-index:-18014208" type="#_x0000_t202" filled="false" stroked="false">
          <v:textbox inset="0,0,0,0">
            <w:txbxContent>
              <w:p>
                <w:pPr>
                  <w:spacing w:line="201" w:lineRule="exact" w:before="0"/>
                  <w:ind w:left="20" w:right="0" w:firstLine="0"/>
                  <w:jc w:val="left"/>
                  <w:rPr>
                    <w:rFonts w:ascii="宋体" w:eastAsia="宋体" w:hint="eastAsia"/>
                    <w:sz w:val="16"/>
                  </w:rPr>
                </w:pPr>
                <w:r>
                  <w:rPr>
                    <w:rFonts w:ascii="宋体" w:eastAsia="宋体" w:hint="eastAsia"/>
                    <w:sz w:val="16"/>
                  </w:rPr>
                  <w:t>未经许可，禁止转载</w:t>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70.809998pt;margin-top:520.368286pt;width:17.8pt;height:13.8pt;mso-position-horizontal-relative:page;mso-position-vertical-relative:page;z-index:-18012672" type="#_x0000_t202" filled="false" stroked="false">
          <v:textbox inset="0,0,0,0">
            <w:txbxContent>
              <w:p>
                <w:pPr>
                  <w:spacing w:before="14"/>
                  <w:ind w:left="60" w:right="0" w:firstLine="0"/>
                  <w:jc w:val="left"/>
                  <w:rPr>
                    <w:rFonts w:ascii="Arial"/>
                    <w:sz w:val="21"/>
                  </w:rPr>
                </w:pPr>
                <w:r>
                  <w:rPr/>
                  <w:fldChar w:fldCharType="begin"/>
                </w:r>
                <w:r>
                  <w:rPr>
                    <w:rFonts w:ascii="Arial"/>
                    <w:color w:val="888888"/>
                    <w:sz w:val="21"/>
                  </w:rPr>
                  <w:instrText> PAGE </w:instrText>
                </w:r>
                <w:r>
                  <w:rPr/>
                  <w:fldChar w:fldCharType="separate"/>
                </w:r>
                <w:r>
                  <w:rPr/>
                  <w:t>26</w:t>
                </w:r>
                <w:r>
                  <w:rPr/>
                  <w:fldChar w:fldCharType="end"/>
                </w:r>
              </w:p>
            </w:txbxContent>
          </v:textbox>
          <w10:wrap type="none"/>
        </v:shape>
      </w:pict>
    </w:r>
    <w:r>
      <w:rPr/>
      <w:pict>
        <v:shape style="position:absolute;margin-left:766.02002pt;margin-top:520.549072pt;width:136.8pt;height:13.9pt;mso-position-horizontal-relative:page;mso-position-vertical-relative:page;z-index:-18012160" type="#_x0000_t202" filled="false" stroked="false">
          <v:textbox inset="0,0,0,0">
            <w:txbxContent>
              <w:p>
                <w:pPr>
                  <w:spacing w:line="278" w:lineRule="exact" w:before="0"/>
                  <w:ind w:left="20" w:right="0" w:firstLine="0"/>
                  <w:jc w:val="left"/>
                  <w:rPr>
                    <w:sz w:val="18"/>
                  </w:rPr>
                </w:pPr>
                <w:r>
                  <w:rPr>
                    <w:color w:val="57585B"/>
                    <w:sz w:val="18"/>
                  </w:rPr>
                  <w:t>数据来源：各公司公告，华创证券</w:t>
                </w:r>
              </w:p>
            </w:txbxContent>
          </v:textbox>
          <w10:wrap type="none"/>
        </v:shape>
      </w:pict>
    </w:r>
    <w:r>
      <w:rPr/>
      <w:pict>
        <v:shape style="position:absolute;margin-left:19.927999pt;margin-top:521.665588pt;width:264.4pt;height:11pt;mso-position-horizontal-relative:page;mso-position-vertical-relative:page;z-index:-18011648" type="#_x0000_t202" filled="false" stroked="false">
          <v:textbox inset="0,0,0,0">
            <w:txbxContent>
              <w:p>
                <w:pPr>
                  <w:spacing w:before="5"/>
                  <w:ind w:left="20" w:right="0" w:firstLine="0"/>
                  <w:jc w:val="left"/>
                  <w:rPr>
                    <w:rFonts w:ascii="宋体" w:eastAsia="宋体" w:hint="eastAsia"/>
                    <w:sz w:val="16"/>
                  </w:rPr>
                </w:pPr>
                <w:r>
                  <w:rPr>
                    <w:rFonts w:ascii="宋体" w:eastAsia="宋体" w:hint="eastAsia"/>
                    <w:sz w:val="16"/>
                  </w:rPr>
                  <w:t>证监会审核华创证券投资咨询业务资格批文号：证监许可（</w:t>
                </w:r>
                <w:r>
                  <w:rPr>
                    <w:rFonts w:ascii="Arial" w:eastAsia="Arial"/>
                    <w:sz w:val="16"/>
                  </w:rPr>
                  <w:t>2009</w:t>
                </w:r>
                <w:r>
                  <w:rPr>
                    <w:rFonts w:ascii="宋体" w:eastAsia="宋体" w:hint="eastAsia"/>
                    <w:sz w:val="16"/>
                  </w:rPr>
                  <w:t>）</w:t>
                </w:r>
                <w:r>
                  <w:rPr>
                    <w:rFonts w:ascii="Arial" w:eastAsia="Arial"/>
                    <w:sz w:val="16"/>
                  </w:rPr>
                  <w:t>1210 </w:t>
                </w:r>
                <w:r>
                  <w:rPr>
                    <w:rFonts w:ascii="宋体" w:eastAsia="宋体" w:hint="eastAsia"/>
                    <w:sz w:val="16"/>
                  </w:rPr>
                  <w:t>号</w:t>
                </w:r>
              </w:p>
            </w:txbxContent>
          </v:textbox>
          <w10:wrap type="none"/>
        </v:shape>
      </w:pict>
    </w:r>
    <w:r>
      <w:rPr/>
      <w:pict>
        <v:shape style="position:absolute;margin-left:340.73999pt;margin-top:522.034607pt;width:74.350pt;height:10.050pt;mso-position-horizontal-relative:page;mso-position-vertical-relative:page;z-index:-18011136" type="#_x0000_t202" filled="false" stroked="false">
          <v:textbox inset="0,0,0,0">
            <w:txbxContent>
              <w:p>
                <w:pPr>
                  <w:spacing w:line="201" w:lineRule="exact" w:before="0"/>
                  <w:ind w:left="20" w:right="0" w:firstLine="0"/>
                  <w:jc w:val="left"/>
                  <w:rPr>
                    <w:rFonts w:ascii="宋体" w:eastAsia="宋体" w:hint="eastAsia"/>
                    <w:sz w:val="16"/>
                  </w:rPr>
                </w:pPr>
                <w:r>
                  <w:rPr>
                    <w:rFonts w:ascii="宋体" w:eastAsia="宋体" w:hint="eastAsia"/>
                    <w:sz w:val="16"/>
                  </w:rPr>
                  <w:t>未经许可，禁止转载</w:t>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72.809998pt;margin-top:520.368286pt;width:13.8pt;height:13.8pt;mso-position-horizontal-relative:page;mso-position-vertical-relative:page;z-index:-18009600" type="#_x0000_t202" filled="false" stroked="false">
          <v:textbox inset="0,0,0,0">
            <w:txbxContent>
              <w:p>
                <w:pPr>
                  <w:spacing w:before="14"/>
                  <w:ind w:left="20" w:right="0" w:firstLine="0"/>
                  <w:jc w:val="left"/>
                  <w:rPr>
                    <w:rFonts w:ascii="Arial"/>
                    <w:sz w:val="21"/>
                  </w:rPr>
                </w:pPr>
                <w:r>
                  <w:rPr>
                    <w:rFonts w:ascii="Arial"/>
                    <w:color w:val="888888"/>
                    <w:sz w:val="21"/>
                  </w:rPr>
                  <w:t>27</w:t>
                </w:r>
              </w:p>
            </w:txbxContent>
          </v:textbox>
          <w10:wrap type="none"/>
        </v:shape>
      </w:pict>
    </w:r>
    <w:r>
      <w:rPr/>
      <w:pict>
        <v:shape style="position:absolute;margin-left:19.927999pt;margin-top:521.665588pt;width:264.4pt;height:11pt;mso-position-horizontal-relative:page;mso-position-vertical-relative:page;z-index:-18009088" type="#_x0000_t202" filled="false" stroked="false">
          <v:textbox inset="0,0,0,0">
            <w:txbxContent>
              <w:p>
                <w:pPr>
                  <w:spacing w:before="5"/>
                  <w:ind w:left="20" w:right="0" w:firstLine="0"/>
                  <w:jc w:val="left"/>
                  <w:rPr>
                    <w:rFonts w:ascii="宋体" w:eastAsia="宋体" w:hint="eastAsia"/>
                    <w:sz w:val="16"/>
                  </w:rPr>
                </w:pPr>
                <w:r>
                  <w:rPr>
                    <w:rFonts w:ascii="宋体" w:eastAsia="宋体" w:hint="eastAsia"/>
                    <w:sz w:val="16"/>
                  </w:rPr>
                  <w:t>证监会审核华创证券投资咨询业务资格批文号：证监许可（</w:t>
                </w:r>
                <w:r>
                  <w:rPr>
                    <w:rFonts w:ascii="Arial" w:eastAsia="Arial"/>
                    <w:sz w:val="16"/>
                  </w:rPr>
                  <w:t>2009</w:t>
                </w:r>
                <w:r>
                  <w:rPr>
                    <w:rFonts w:ascii="宋体" w:eastAsia="宋体" w:hint="eastAsia"/>
                    <w:sz w:val="16"/>
                  </w:rPr>
                  <w:t>）</w:t>
                </w:r>
                <w:r>
                  <w:rPr>
                    <w:rFonts w:ascii="Arial" w:eastAsia="Arial"/>
                    <w:sz w:val="16"/>
                  </w:rPr>
                  <w:t>1210 </w:t>
                </w:r>
                <w:r>
                  <w:rPr>
                    <w:rFonts w:ascii="宋体" w:eastAsia="宋体" w:hint="eastAsia"/>
                    <w:sz w:val="16"/>
                  </w:rPr>
                  <w:t>号</w:t>
                </w:r>
              </w:p>
            </w:txbxContent>
          </v:textbox>
          <w10:wrap type="none"/>
        </v:shape>
      </w:pict>
    </w:r>
    <w:r>
      <w:rPr/>
      <w:pict>
        <v:shape style="position:absolute;margin-left:340.73999pt;margin-top:522.034607pt;width:74.350pt;height:10.050pt;mso-position-horizontal-relative:page;mso-position-vertical-relative:page;z-index:-18008576" type="#_x0000_t202" filled="false" stroked="false">
          <v:textbox inset="0,0,0,0">
            <w:txbxContent>
              <w:p>
                <w:pPr>
                  <w:spacing w:line="201" w:lineRule="exact" w:before="0"/>
                  <w:ind w:left="20" w:right="0" w:firstLine="0"/>
                  <w:jc w:val="left"/>
                  <w:rPr>
                    <w:rFonts w:ascii="宋体" w:eastAsia="宋体" w:hint="eastAsia"/>
                    <w:sz w:val="16"/>
                  </w:rPr>
                </w:pPr>
                <w:r>
                  <w:rPr>
                    <w:rFonts w:ascii="宋体" w:eastAsia="宋体" w:hint="eastAsia"/>
                    <w:sz w:val="16"/>
                  </w:rPr>
                  <w:t>未经许可，禁止转载</w:t>
                </w:r>
              </w:p>
            </w:txbxContent>
          </v:textbox>
          <w10:wrap type="none"/>
        </v:shape>
      </w:pict>
    </w:r>
    <w:r>
      <w:rPr/>
      <w:pict>
        <v:shape style="position:absolute;margin-left:561.659973pt;margin-top:523.525024pt;width:393.8pt;height:13.9pt;mso-position-horizontal-relative:page;mso-position-vertical-relative:page;z-index:-18008064" type="#_x0000_t202" filled="false" stroked="false">
          <v:textbox inset="0,0,0,0">
            <w:txbxContent>
              <w:p>
                <w:pPr>
                  <w:spacing w:line="278" w:lineRule="exact" w:before="0"/>
                  <w:ind w:left="20" w:right="0" w:firstLine="0"/>
                  <w:jc w:val="left"/>
                  <w:rPr>
                    <w:sz w:val="18"/>
                  </w:rPr>
                </w:pPr>
                <w:r>
                  <w:rPr>
                    <w:color w:val="57585B"/>
                    <w:sz w:val="18"/>
                  </w:rPr>
                  <w:t>和黄医药归母净利润单位：亿美元 数据来源：WIND（截至2023年10月27日收盘）,华创证券预测</w:t>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927999pt;margin-top:522.665588pt;width:393.2pt;height:9pt;mso-position-horizontal-relative:page;mso-position-vertical-relative:page;z-index:-18006528" type="#_x0000_t202" filled="false" stroked="false">
          <v:textbox inset="0,0,0,0">
            <w:txbxContent>
              <w:p>
                <w:pPr>
                  <w:tabs>
                    <w:tab w:pos="6416" w:val="left" w:leader="none"/>
                  </w:tabs>
                  <w:spacing w:line="180" w:lineRule="exact" w:before="0"/>
                  <w:ind w:left="0" w:right="0" w:firstLine="0"/>
                  <w:jc w:val="left"/>
                  <w:rPr>
                    <w:rFonts w:ascii="宋体" w:eastAsia="宋体" w:hint="eastAsia"/>
                    <w:sz w:val="16"/>
                  </w:rPr>
                </w:pPr>
                <w:r>
                  <w:rPr>
                    <w:rFonts w:ascii="宋体" w:eastAsia="宋体" w:hint="eastAsia"/>
                    <w:sz w:val="16"/>
                  </w:rPr>
                  <w:t>证监会审</w:t>
                </w:r>
                <w:r>
                  <w:rPr>
                    <w:rFonts w:ascii="宋体" w:eastAsia="宋体" w:hint="eastAsia"/>
                    <w:spacing w:val="-3"/>
                    <w:sz w:val="16"/>
                  </w:rPr>
                  <w:t>核</w:t>
                </w:r>
                <w:r>
                  <w:rPr>
                    <w:rFonts w:ascii="宋体" w:eastAsia="宋体" w:hint="eastAsia"/>
                    <w:sz w:val="16"/>
                  </w:rPr>
                  <w:t>华创</w:t>
                </w:r>
                <w:r>
                  <w:rPr>
                    <w:rFonts w:ascii="宋体" w:eastAsia="宋体" w:hint="eastAsia"/>
                    <w:spacing w:val="-3"/>
                    <w:sz w:val="16"/>
                  </w:rPr>
                  <w:t>证</w:t>
                </w:r>
                <w:r>
                  <w:rPr>
                    <w:rFonts w:ascii="宋体" w:eastAsia="宋体" w:hint="eastAsia"/>
                    <w:sz w:val="16"/>
                  </w:rPr>
                  <w:t>券投</w:t>
                </w:r>
                <w:r>
                  <w:rPr>
                    <w:rFonts w:ascii="宋体" w:eastAsia="宋体" w:hint="eastAsia"/>
                    <w:spacing w:val="-3"/>
                    <w:sz w:val="16"/>
                  </w:rPr>
                  <w:t>资</w:t>
                </w:r>
                <w:r>
                  <w:rPr>
                    <w:rFonts w:ascii="宋体" w:eastAsia="宋体" w:hint="eastAsia"/>
                    <w:sz w:val="16"/>
                  </w:rPr>
                  <w:t>咨询</w:t>
                </w:r>
                <w:r>
                  <w:rPr>
                    <w:rFonts w:ascii="宋体" w:eastAsia="宋体" w:hint="eastAsia"/>
                    <w:spacing w:val="-3"/>
                    <w:sz w:val="16"/>
                  </w:rPr>
                  <w:t>业</w:t>
                </w:r>
                <w:r>
                  <w:rPr>
                    <w:rFonts w:ascii="宋体" w:eastAsia="宋体" w:hint="eastAsia"/>
                    <w:sz w:val="16"/>
                  </w:rPr>
                  <w:t>务资</w:t>
                </w:r>
                <w:r>
                  <w:rPr>
                    <w:rFonts w:ascii="宋体" w:eastAsia="宋体" w:hint="eastAsia"/>
                    <w:spacing w:val="-3"/>
                    <w:sz w:val="16"/>
                  </w:rPr>
                  <w:t>格</w:t>
                </w:r>
                <w:r>
                  <w:rPr>
                    <w:rFonts w:ascii="宋体" w:eastAsia="宋体" w:hint="eastAsia"/>
                    <w:sz w:val="16"/>
                  </w:rPr>
                  <w:t>批文</w:t>
                </w:r>
                <w:r>
                  <w:rPr>
                    <w:rFonts w:ascii="宋体" w:eastAsia="宋体" w:hint="eastAsia"/>
                    <w:spacing w:val="-3"/>
                    <w:sz w:val="16"/>
                  </w:rPr>
                  <w:t>号</w:t>
                </w:r>
                <w:r>
                  <w:rPr>
                    <w:rFonts w:ascii="宋体" w:eastAsia="宋体" w:hint="eastAsia"/>
                    <w:sz w:val="16"/>
                  </w:rPr>
                  <w:t>：证</w:t>
                </w:r>
                <w:r>
                  <w:rPr>
                    <w:rFonts w:ascii="宋体" w:eastAsia="宋体" w:hint="eastAsia"/>
                    <w:spacing w:val="-3"/>
                    <w:sz w:val="16"/>
                  </w:rPr>
                  <w:t>监</w:t>
                </w:r>
                <w:r>
                  <w:rPr>
                    <w:rFonts w:ascii="宋体" w:eastAsia="宋体" w:hint="eastAsia"/>
                    <w:sz w:val="16"/>
                  </w:rPr>
                  <w:t>许可（</w:t>
                </w:r>
                <w:r>
                  <w:rPr>
                    <w:rFonts w:ascii="Arial" w:eastAsia="Arial"/>
                    <w:sz w:val="16"/>
                  </w:rPr>
                  <w:t>2009</w:t>
                </w:r>
                <w:r>
                  <w:rPr>
                    <w:rFonts w:ascii="宋体" w:eastAsia="宋体" w:hint="eastAsia"/>
                    <w:sz w:val="16"/>
                  </w:rPr>
                  <w:t>）</w:t>
                </w:r>
                <w:r>
                  <w:rPr>
                    <w:rFonts w:ascii="Arial" w:eastAsia="Arial"/>
                    <w:sz w:val="16"/>
                  </w:rPr>
                  <w:t>1210</w:t>
                </w:r>
                <w:r>
                  <w:rPr>
                    <w:rFonts w:ascii="Arial" w:eastAsia="Arial"/>
                    <w:spacing w:val="6"/>
                    <w:sz w:val="16"/>
                  </w:rPr>
                  <w:t> </w:t>
                </w:r>
                <w:r>
                  <w:rPr>
                    <w:rFonts w:ascii="宋体" w:eastAsia="宋体" w:hint="eastAsia"/>
                    <w:sz w:val="16"/>
                  </w:rPr>
                  <w:t>号</w:t>
                  <w:tab/>
                  <w:t>未经许可</w:t>
                </w:r>
                <w:r>
                  <w:rPr>
                    <w:rFonts w:ascii="宋体" w:eastAsia="宋体" w:hint="eastAsia"/>
                    <w:spacing w:val="-3"/>
                    <w:sz w:val="16"/>
                  </w:rPr>
                  <w:t>，</w:t>
                </w:r>
                <w:r>
                  <w:rPr>
                    <w:rFonts w:ascii="宋体" w:eastAsia="宋体" w:hint="eastAsia"/>
                    <w:sz w:val="16"/>
                  </w:rPr>
                  <w:t>禁止</w:t>
                </w:r>
                <w:r>
                  <w:rPr>
                    <w:rFonts w:ascii="宋体" w:eastAsia="宋体" w:hint="eastAsia"/>
                    <w:spacing w:val="-3"/>
                    <w:sz w:val="16"/>
                  </w:rPr>
                  <w:t>转</w:t>
                </w:r>
                <w:r>
                  <w:rPr>
                    <w:rFonts w:ascii="宋体" w:eastAsia="宋体" w:hint="eastAsia"/>
                    <w:spacing w:val="-19"/>
                    <w:sz w:val="16"/>
                  </w:rPr>
                  <w:t>载</w:t>
                </w:r>
              </w:p>
            </w:txbxContent>
          </v:textbox>
          <w10:wrap type="none"/>
        </v:shape>
      </w:pict>
    </w:r>
    <w:r>
      <w:rPr/>
      <w:drawing>
        <wp:anchor distT="0" distB="0" distL="0" distR="0" allowOverlap="1" layoutInCell="1" locked="0" behindDoc="1" simplePos="0" relativeHeight="485310464">
          <wp:simplePos x="0" y="0"/>
          <wp:positionH relativeFrom="page">
            <wp:posOffset>282882</wp:posOffset>
          </wp:positionH>
          <wp:positionV relativeFrom="page">
            <wp:posOffset>6584767</wp:posOffset>
          </wp:positionV>
          <wp:extent cx="5390798" cy="113254"/>
          <wp:effectExtent l="0" t="0" r="0" b="0"/>
          <wp:wrapNone/>
          <wp:docPr id="131" name="image6.jpeg"/>
          <wp:cNvGraphicFramePr>
            <a:graphicFrameLocks noChangeAspect="1"/>
          </wp:cNvGraphicFramePr>
          <a:graphic>
            <a:graphicData uri="http://schemas.openxmlformats.org/drawingml/2006/picture">
              <pic:pic>
                <pic:nvPicPr>
                  <pic:cNvPr id="132" name="image6.jpeg"/>
                  <pic:cNvPicPr/>
                </pic:nvPicPr>
                <pic:blipFill>
                  <a:blip r:embed="rId1" cstate="print"/>
                  <a:stretch>
                    <a:fillRect/>
                  </a:stretch>
                </pic:blipFill>
                <pic:spPr>
                  <a:xfrm>
                    <a:off x="0" y="0"/>
                    <a:ext cx="5390798" cy="113254"/>
                  </a:xfrm>
                  <a:prstGeom prst="rect">
                    <a:avLst/>
                  </a:prstGeom>
                </pic:spPr>
              </pic:pic>
            </a:graphicData>
          </a:graphic>
        </wp:anchor>
      </w:drawing>
    </w:r>
    <w:r>
      <w:rPr/>
      <w:pict>
        <v:shape style="position:absolute;margin-left:470.809998pt;margin-top:520.368286pt;width:17.8pt;height:13.8pt;mso-position-horizontal-relative:page;mso-position-vertical-relative:page;z-index:-18005504" type="#_x0000_t202" filled="false" stroked="false">
          <v:textbox inset="0,0,0,0">
            <w:txbxContent>
              <w:p>
                <w:pPr>
                  <w:spacing w:before="14"/>
                  <w:ind w:left="60" w:right="0" w:firstLine="0"/>
                  <w:jc w:val="left"/>
                  <w:rPr>
                    <w:rFonts w:ascii="Arial"/>
                    <w:sz w:val="21"/>
                  </w:rPr>
                </w:pPr>
                <w:r>
                  <w:rPr/>
                  <w:fldChar w:fldCharType="begin"/>
                </w:r>
                <w:r>
                  <w:rPr>
                    <w:rFonts w:ascii="Arial"/>
                    <w:color w:val="888888"/>
                    <w:sz w:val="21"/>
                  </w:rPr>
                  <w:instrText> PAGE </w:instrText>
                </w:r>
                <w:r>
                  <w:rPr/>
                  <w:fldChar w:fldCharType="separate"/>
                </w:r>
                <w:r>
                  <w:rPr/>
                  <w:t>29</w:t>
                </w:r>
                <w:r>
                  <w:rPr/>
                  <w:fldChar w:fldCharType="end"/>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927999pt;margin-top:522.665588pt;width:393.2pt;height:9pt;mso-position-horizontal-relative:page;mso-position-vertical-relative:page;z-index:-18003968" type="#_x0000_t202" filled="false" stroked="false">
          <v:textbox inset="0,0,0,0">
            <w:txbxContent>
              <w:p>
                <w:pPr>
                  <w:tabs>
                    <w:tab w:pos="6416" w:val="left" w:leader="none"/>
                  </w:tabs>
                  <w:spacing w:line="180" w:lineRule="exact" w:before="0"/>
                  <w:ind w:left="0" w:right="0" w:firstLine="0"/>
                  <w:jc w:val="left"/>
                  <w:rPr>
                    <w:rFonts w:ascii="宋体" w:eastAsia="宋体" w:hint="eastAsia"/>
                    <w:sz w:val="16"/>
                  </w:rPr>
                </w:pPr>
                <w:r>
                  <w:rPr>
                    <w:rFonts w:ascii="宋体" w:eastAsia="宋体" w:hint="eastAsia"/>
                    <w:sz w:val="16"/>
                  </w:rPr>
                  <w:t>证监会审</w:t>
                </w:r>
                <w:r>
                  <w:rPr>
                    <w:rFonts w:ascii="宋体" w:eastAsia="宋体" w:hint="eastAsia"/>
                    <w:spacing w:val="-3"/>
                    <w:sz w:val="16"/>
                  </w:rPr>
                  <w:t>核</w:t>
                </w:r>
                <w:r>
                  <w:rPr>
                    <w:rFonts w:ascii="宋体" w:eastAsia="宋体" w:hint="eastAsia"/>
                    <w:sz w:val="16"/>
                  </w:rPr>
                  <w:t>华创</w:t>
                </w:r>
                <w:r>
                  <w:rPr>
                    <w:rFonts w:ascii="宋体" w:eastAsia="宋体" w:hint="eastAsia"/>
                    <w:spacing w:val="-3"/>
                    <w:sz w:val="16"/>
                  </w:rPr>
                  <w:t>证</w:t>
                </w:r>
                <w:r>
                  <w:rPr>
                    <w:rFonts w:ascii="宋体" w:eastAsia="宋体" w:hint="eastAsia"/>
                    <w:sz w:val="16"/>
                  </w:rPr>
                  <w:t>券投</w:t>
                </w:r>
                <w:r>
                  <w:rPr>
                    <w:rFonts w:ascii="宋体" w:eastAsia="宋体" w:hint="eastAsia"/>
                    <w:spacing w:val="-3"/>
                    <w:sz w:val="16"/>
                  </w:rPr>
                  <w:t>资</w:t>
                </w:r>
                <w:r>
                  <w:rPr>
                    <w:rFonts w:ascii="宋体" w:eastAsia="宋体" w:hint="eastAsia"/>
                    <w:sz w:val="16"/>
                  </w:rPr>
                  <w:t>咨询</w:t>
                </w:r>
                <w:r>
                  <w:rPr>
                    <w:rFonts w:ascii="宋体" w:eastAsia="宋体" w:hint="eastAsia"/>
                    <w:spacing w:val="-3"/>
                    <w:sz w:val="16"/>
                  </w:rPr>
                  <w:t>业</w:t>
                </w:r>
                <w:r>
                  <w:rPr>
                    <w:rFonts w:ascii="宋体" w:eastAsia="宋体" w:hint="eastAsia"/>
                    <w:sz w:val="16"/>
                  </w:rPr>
                  <w:t>务资</w:t>
                </w:r>
                <w:r>
                  <w:rPr>
                    <w:rFonts w:ascii="宋体" w:eastAsia="宋体" w:hint="eastAsia"/>
                    <w:spacing w:val="-3"/>
                    <w:sz w:val="16"/>
                  </w:rPr>
                  <w:t>格</w:t>
                </w:r>
                <w:r>
                  <w:rPr>
                    <w:rFonts w:ascii="宋体" w:eastAsia="宋体" w:hint="eastAsia"/>
                    <w:sz w:val="16"/>
                  </w:rPr>
                  <w:t>批文</w:t>
                </w:r>
                <w:r>
                  <w:rPr>
                    <w:rFonts w:ascii="宋体" w:eastAsia="宋体" w:hint="eastAsia"/>
                    <w:spacing w:val="-3"/>
                    <w:sz w:val="16"/>
                  </w:rPr>
                  <w:t>号</w:t>
                </w:r>
                <w:r>
                  <w:rPr>
                    <w:rFonts w:ascii="宋体" w:eastAsia="宋体" w:hint="eastAsia"/>
                    <w:sz w:val="16"/>
                  </w:rPr>
                  <w:t>：证</w:t>
                </w:r>
                <w:r>
                  <w:rPr>
                    <w:rFonts w:ascii="宋体" w:eastAsia="宋体" w:hint="eastAsia"/>
                    <w:spacing w:val="-3"/>
                    <w:sz w:val="16"/>
                  </w:rPr>
                  <w:t>监</w:t>
                </w:r>
                <w:r>
                  <w:rPr>
                    <w:rFonts w:ascii="宋体" w:eastAsia="宋体" w:hint="eastAsia"/>
                    <w:sz w:val="16"/>
                  </w:rPr>
                  <w:t>许可（</w:t>
                </w:r>
                <w:r>
                  <w:rPr>
                    <w:rFonts w:ascii="Arial" w:eastAsia="Arial"/>
                    <w:sz w:val="16"/>
                  </w:rPr>
                  <w:t>2009</w:t>
                </w:r>
                <w:r>
                  <w:rPr>
                    <w:rFonts w:ascii="宋体" w:eastAsia="宋体" w:hint="eastAsia"/>
                    <w:sz w:val="16"/>
                  </w:rPr>
                  <w:t>）</w:t>
                </w:r>
                <w:r>
                  <w:rPr>
                    <w:rFonts w:ascii="Arial" w:eastAsia="Arial"/>
                    <w:sz w:val="16"/>
                  </w:rPr>
                  <w:t>1210</w:t>
                </w:r>
                <w:r>
                  <w:rPr>
                    <w:rFonts w:ascii="Arial" w:eastAsia="Arial"/>
                    <w:spacing w:val="6"/>
                    <w:sz w:val="16"/>
                  </w:rPr>
                  <w:t> </w:t>
                </w:r>
                <w:r>
                  <w:rPr>
                    <w:rFonts w:ascii="宋体" w:eastAsia="宋体" w:hint="eastAsia"/>
                    <w:sz w:val="16"/>
                  </w:rPr>
                  <w:t>号</w:t>
                  <w:tab/>
                  <w:t>未经许可</w:t>
                </w:r>
                <w:r>
                  <w:rPr>
                    <w:rFonts w:ascii="宋体" w:eastAsia="宋体" w:hint="eastAsia"/>
                    <w:spacing w:val="-3"/>
                    <w:sz w:val="16"/>
                  </w:rPr>
                  <w:t>，</w:t>
                </w:r>
                <w:r>
                  <w:rPr>
                    <w:rFonts w:ascii="宋体" w:eastAsia="宋体" w:hint="eastAsia"/>
                    <w:sz w:val="16"/>
                  </w:rPr>
                  <w:t>禁止</w:t>
                </w:r>
                <w:r>
                  <w:rPr>
                    <w:rFonts w:ascii="宋体" w:eastAsia="宋体" w:hint="eastAsia"/>
                    <w:spacing w:val="-3"/>
                    <w:sz w:val="16"/>
                  </w:rPr>
                  <w:t>转</w:t>
                </w:r>
                <w:r>
                  <w:rPr>
                    <w:rFonts w:ascii="宋体" w:eastAsia="宋体" w:hint="eastAsia"/>
                    <w:spacing w:val="-19"/>
                    <w:sz w:val="16"/>
                  </w:rPr>
                  <w:t>载</w:t>
                </w:r>
              </w:p>
            </w:txbxContent>
          </v:textbox>
          <w10:wrap type="none"/>
        </v:shape>
      </w:pict>
    </w:r>
    <w:r>
      <w:rPr/>
      <w:drawing>
        <wp:anchor distT="0" distB="0" distL="0" distR="0" allowOverlap="1" layoutInCell="1" locked="0" behindDoc="1" simplePos="0" relativeHeight="485313024">
          <wp:simplePos x="0" y="0"/>
          <wp:positionH relativeFrom="page">
            <wp:posOffset>282882</wp:posOffset>
          </wp:positionH>
          <wp:positionV relativeFrom="page">
            <wp:posOffset>6584767</wp:posOffset>
          </wp:positionV>
          <wp:extent cx="5390798" cy="113254"/>
          <wp:effectExtent l="0" t="0" r="0" b="0"/>
          <wp:wrapNone/>
          <wp:docPr id="137" name="image6.jpeg"/>
          <wp:cNvGraphicFramePr>
            <a:graphicFrameLocks noChangeAspect="1"/>
          </wp:cNvGraphicFramePr>
          <a:graphic>
            <a:graphicData uri="http://schemas.openxmlformats.org/drawingml/2006/picture">
              <pic:pic>
                <pic:nvPicPr>
                  <pic:cNvPr id="138" name="image6.jpeg"/>
                  <pic:cNvPicPr/>
                </pic:nvPicPr>
                <pic:blipFill>
                  <a:blip r:embed="rId1" cstate="print"/>
                  <a:stretch>
                    <a:fillRect/>
                  </a:stretch>
                </pic:blipFill>
                <pic:spPr>
                  <a:xfrm>
                    <a:off x="0" y="0"/>
                    <a:ext cx="5390798" cy="113254"/>
                  </a:xfrm>
                  <a:prstGeom prst="rect">
                    <a:avLst/>
                  </a:prstGeom>
                </pic:spPr>
              </pic:pic>
            </a:graphicData>
          </a:graphic>
        </wp:anchor>
      </w:drawing>
    </w:r>
    <w:r>
      <w:rPr/>
      <w:pict>
        <v:shape style="position:absolute;margin-left:470.809998pt;margin-top:520.368286pt;width:17.8pt;height:13.8pt;mso-position-horizontal-relative:page;mso-position-vertical-relative:page;z-index:-18002944" type="#_x0000_t202" filled="false" stroked="false">
          <v:textbox inset="0,0,0,0">
            <w:txbxContent>
              <w:p>
                <w:pPr>
                  <w:spacing w:before="14"/>
                  <w:ind w:left="60" w:right="0" w:firstLine="0"/>
                  <w:jc w:val="left"/>
                  <w:rPr>
                    <w:rFonts w:ascii="Arial"/>
                    <w:sz w:val="21"/>
                  </w:rPr>
                </w:pPr>
                <w:r>
                  <w:rPr/>
                  <w:fldChar w:fldCharType="begin"/>
                </w:r>
                <w:r>
                  <w:rPr>
                    <w:rFonts w:ascii="Arial"/>
                    <w:color w:val="888888"/>
                    <w:sz w:val="21"/>
                  </w:rPr>
                  <w:instrText> PAGE </w:instrText>
                </w:r>
                <w:r>
                  <w:rPr/>
                  <w:fldChar w:fldCharType="separate"/>
                </w:r>
                <w:r>
                  <w:rPr/>
                  <w:t>30</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73.709991pt;margin-top:520.368286pt;width:11.9pt;height:13.8pt;mso-position-horizontal-relative:page;mso-position-vertical-relative:page;z-index:-18062848" type="#_x0000_t202" filled="false" stroked="false">
          <v:textbox inset="0,0,0,0">
            <w:txbxContent>
              <w:p>
                <w:pPr>
                  <w:spacing w:before="14"/>
                  <w:ind w:left="60" w:right="0" w:firstLine="0"/>
                  <w:jc w:val="left"/>
                  <w:rPr>
                    <w:rFonts w:ascii="Arial"/>
                    <w:sz w:val="21"/>
                  </w:rPr>
                </w:pPr>
                <w:r>
                  <w:rPr/>
                  <w:fldChar w:fldCharType="begin"/>
                </w:r>
                <w:r>
                  <w:rPr>
                    <w:rFonts w:ascii="Arial"/>
                    <w:color w:val="888888"/>
                    <w:w w:val="100"/>
                    <w:sz w:val="21"/>
                  </w:rPr>
                  <w:instrText> PAGE </w:instrText>
                </w:r>
                <w:r>
                  <w:rPr/>
                  <w:fldChar w:fldCharType="separate"/>
                </w:r>
                <w:r>
                  <w:rPr/>
                  <w:t>5</w:t>
                </w:r>
                <w:r>
                  <w:rPr/>
                  <w:fldChar w:fldCharType="end"/>
                </w:r>
              </w:p>
            </w:txbxContent>
          </v:textbox>
          <w10:wrap type="none"/>
        </v:shape>
      </w:pict>
    </w:r>
    <w:r>
      <w:rPr/>
      <w:pict>
        <v:shape style="position:absolute;margin-left:19.927999pt;margin-top:521.665588pt;width:264.4pt;height:11pt;mso-position-horizontal-relative:page;mso-position-vertical-relative:page;z-index:-18062336" type="#_x0000_t202" filled="false" stroked="false">
          <v:textbox inset="0,0,0,0">
            <w:txbxContent>
              <w:p>
                <w:pPr>
                  <w:spacing w:before="5"/>
                  <w:ind w:left="20" w:right="0" w:firstLine="0"/>
                  <w:jc w:val="left"/>
                  <w:rPr>
                    <w:rFonts w:ascii="宋体" w:eastAsia="宋体" w:hint="eastAsia"/>
                    <w:sz w:val="16"/>
                  </w:rPr>
                </w:pPr>
                <w:r>
                  <w:rPr>
                    <w:rFonts w:ascii="宋体" w:eastAsia="宋体" w:hint="eastAsia"/>
                    <w:sz w:val="16"/>
                  </w:rPr>
                  <w:t>证监会审核华创证券投资咨询业务资格批文号：证监许可（</w:t>
                </w:r>
                <w:r>
                  <w:rPr>
                    <w:rFonts w:ascii="Arial" w:eastAsia="Arial"/>
                    <w:sz w:val="16"/>
                  </w:rPr>
                  <w:t>2009</w:t>
                </w:r>
                <w:r>
                  <w:rPr>
                    <w:rFonts w:ascii="宋体" w:eastAsia="宋体" w:hint="eastAsia"/>
                    <w:sz w:val="16"/>
                  </w:rPr>
                  <w:t>）</w:t>
                </w:r>
                <w:r>
                  <w:rPr>
                    <w:rFonts w:ascii="Arial" w:eastAsia="Arial"/>
                    <w:sz w:val="16"/>
                  </w:rPr>
                  <w:t>1210 </w:t>
                </w:r>
                <w:r>
                  <w:rPr>
                    <w:rFonts w:ascii="宋体" w:eastAsia="宋体" w:hint="eastAsia"/>
                    <w:sz w:val="16"/>
                  </w:rPr>
                  <w:t>号</w:t>
                </w:r>
              </w:p>
            </w:txbxContent>
          </v:textbox>
          <w10:wrap type="none"/>
        </v:shape>
      </w:pict>
    </w:r>
    <w:r>
      <w:rPr/>
      <w:pict>
        <v:shape style="position:absolute;margin-left:340.73999pt;margin-top:522.034607pt;width:74.350pt;height:10.050pt;mso-position-horizontal-relative:page;mso-position-vertical-relative:page;z-index:-18061824" type="#_x0000_t202" filled="false" stroked="false">
          <v:textbox inset="0,0,0,0">
            <w:txbxContent>
              <w:p>
                <w:pPr>
                  <w:spacing w:line="201" w:lineRule="exact" w:before="0"/>
                  <w:ind w:left="20" w:right="0" w:firstLine="0"/>
                  <w:jc w:val="left"/>
                  <w:rPr>
                    <w:rFonts w:ascii="宋体" w:eastAsia="宋体" w:hint="eastAsia"/>
                    <w:sz w:val="16"/>
                  </w:rPr>
                </w:pPr>
                <w:r>
                  <w:rPr>
                    <w:rFonts w:ascii="宋体" w:eastAsia="宋体" w:hint="eastAsia"/>
                    <w:sz w:val="16"/>
                  </w:rPr>
                  <w:t>未经许可，禁止转载</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75.709991pt;margin-top:520.368286pt;width:7.9pt;height:13.8pt;mso-position-horizontal-relative:page;mso-position-vertical-relative:page;z-index:-18059264" type="#_x0000_t202" filled="false" stroked="false">
          <v:textbox inset="0,0,0,0">
            <w:txbxContent>
              <w:p>
                <w:pPr>
                  <w:spacing w:before="14"/>
                  <w:ind w:left="20" w:right="0" w:firstLine="0"/>
                  <w:jc w:val="left"/>
                  <w:rPr>
                    <w:rFonts w:ascii="Arial"/>
                    <w:sz w:val="21"/>
                  </w:rPr>
                </w:pPr>
                <w:r>
                  <w:rPr>
                    <w:rFonts w:ascii="Arial"/>
                    <w:color w:val="888888"/>
                    <w:w w:val="100"/>
                    <w:sz w:val="21"/>
                  </w:rPr>
                  <w:t>8</w:t>
                </w:r>
              </w:p>
            </w:txbxContent>
          </v:textbox>
          <w10:wrap type="none"/>
        </v:shape>
      </w:pict>
    </w:r>
    <w:r>
      <w:rPr/>
      <w:pict>
        <v:shape style="position:absolute;margin-left:19.927999pt;margin-top:521.665588pt;width:264.4pt;height:11pt;mso-position-horizontal-relative:page;mso-position-vertical-relative:page;z-index:-18058752" type="#_x0000_t202" filled="false" stroked="false">
          <v:textbox inset="0,0,0,0">
            <w:txbxContent>
              <w:p>
                <w:pPr>
                  <w:spacing w:before="5"/>
                  <w:ind w:left="20" w:right="0" w:firstLine="0"/>
                  <w:jc w:val="left"/>
                  <w:rPr>
                    <w:rFonts w:ascii="宋体" w:eastAsia="宋体" w:hint="eastAsia"/>
                    <w:sz w:val="16"/>
                  </w:rPr>
                </w:pPr>
                <w:r>
                  <w:rPr>
                    <w:rFonts w:ascii="宋体" w:eastAsia="宋体" w:hint="eastAsia"/>
                    <w:sz w:val="16"/>
                  </w:rPr>
                  <w:t>证监会审核华创证券投资咨询业务资格批文号：证监许可（</w:t>
                </w:r>
                <w:r>
                  <w:rPr>
                    <w:rFonts w:ascii="Arial" w:eastAsia="Arial"/>
                    <w:sz w:val="16"/>
                  </w:rPr>
                  <w:t>2009</w:t>
                </w:r>
                <w:r>
                  <w:rPr>
                    <w:rFonts w:ascii="宋体" w:eastAsia="宋体" w:hint="eastAsia"/>
                    <w:sz w:val="16"/>
                  </w:rPr>
                  <w:t>）</w:t>
                </w:r>
                <w:r>
                  <w:rPr>
                    <w:rFonts w:ascii="Arial" w:eastAsia="Arial"/>
                    <w:sz w:val="16"/>
                  </w:rPr>
                  <w:t>1210 </w:t>
                </w:r>
                <w:r>
                  <w:rPr>
                    <w:rFonts w:ascii="宋体" w:eastAsia="宋体" w:hint="eastAsia"/>
                    <w:sz w:val="16"/>
                  </w:rPr>
                  <w:t>号</w:t>
                </w:r>
              </w:p>
            </w:txbxContent>
          </v:textbox>
          <w10:wrap type="none"/>
        </v:shape>
      </w:pict>
    </w:r>
    <w:r>
      <w:rPr/>
      <w:pict>
        <v:shape style="position:absolute;margin-left:340.73999pt;margin-top:522.034607pt;width:74.350pt;height:10.050pt;mso-position-horizontal-relative:page;mso-position-vertical-relative:page;z-index:-18058240" type="#_x0000_t202" filled="false" stroked="false">
          <v:textbox inset="0,0,0,0">
            <w:txbxContent>
              <w:p>
                <w:pPr>
                  <w:spacing w:line="201" w:lineRule="exact" w:before="0"/>
                  <w:ind w:left="20" w:right="0" w:firstLine="0"/>
                  <w:jc w:val="left"/>
                  <w:rPr>
                    <w:rFonts w:ascii="宋体" w:eastAsia="宋体" w:hint="eastAsia"/>
                    <w:sz w:val="16"/>
                  </w:rPr>
                </w:pPr>
                <w:r>
                  <w:rPr>
                    <w:rFonts w:ascii="宋体" w:eastAsia="宋体" w:hint="eastAsia"/>
                    <w:sz w:val="16"/>
                  </w:rPr>
                  <w:t>未经许可，禁止转载</w:t>
                </w:r>
              </w:p>
            </w:txbxContent>
          </v:textbox>
          <w10:wrap type="none"/>
        </v:shape>
      </w:pict>
    </w:r>
    <w:r>
      <w:rPr/>
      <w:pict>
        <v:shape style="position:absolute;margin-left:502.619995pt;margin-top:527.005066pt;width:281.75pt;height:13.9pt;mso-position-horizontal-relative:page;mso-position-vertical-relative:page;z-index:-18057728" type="#_x0000_t202" filled="false" stroked="false">
          <v:textbox inset="0,0,0,0">
            <w:txbxContent>
              <w:p>
                <w:pPr>
                  <w:spacing w:line="278" w:lineRule="exact" w:before="0"/>
                  <w:ind w:left="20" w:right="0" w:firstLine="0"/>
                  <w:jc w:val="left"/>
                  <w:rPr>
                    <w:sz w:val="18"/>
                  </w:rPr>
                </w:pPr>
                <w:r>
                  <w:rPr>
                    <w:color w:val="57585B"/>
                    <w:sz w:val="18"/>
                  </w:rPr>
                  <w:t>an</w:t>
                </w:r>
                <w:r>
                  <w:rPr>
                    <w:color w:val="57585B"/>
                    <w:spacing w:val="-8"/>
                    <w:sz w:val="18"/>
                  </w:rPr>
                  <w:t> </w:t>
                </w:r>
                <w:r>
                  <w:rPr>
                    <w:color w:val="57585B"/>
                    <w:sz w:val="18"/>
                  </w:rPr>
                  <w:t>updated</w:t>
                </w:r>
                <w:r>
                  <w:rPr>
                    <w:color w:val="57585B"/>
                    <w:spacing w:val="-10"/>
                    <w:sz w:val="18"/>
                  </w:rPr>
                  <w:t> </w:t>
                </w:r>
                <w:r>
                  <w:rPr>
                    <w:color w:val="57585B"/>
                    <w:sz w:val="18"/>
                  </w:rPr>
                  <w:t>hypothetical</w:t>
                </w:r>
                <w:r>
                  <w:rPr>
                    <w:color w:val="57585B"/>
                    <w:spacing w:val="-15"/>
                    <w:sz w:val="18"/>
                  </w:rPr>
                  <w:t> </w:t>
                </w:r>
                <w:r>
                  <w:rPr>
                    <w:color w:val="57585B"/>
                    <w:sz w:val="18"/>
                  </w:rPr>
                  <w:t>model</w:t>
                </w:r>
                <w:r>
                  <w:rPr>
                    <w:color w:val="57585B"/>
                    <w:spacing w:val="-11"/>
                    <w:sz w:val="18"/>
                  </w:rPr>
                  <w:t> </w:t>
                </w:r>
                <w:r>
                  <w:rPr>
                    <w:color w:val="57585B"/>
                    <w:sz w:val="18"/>
                  </w:rPr>
                  <w:t>of</w:t>
                </w:r>
                <w:r>
                  <w:rPr>
                    <w:color w:val="57585B"/>
                    <w:spacing w:val="-7"/>
                    <w:sz w:val="18"/>
                  </w:rPr>
                  <w:t> </w:t>
                </w:r>
                <w:r>
                  <w:rPr>
                    <w:color w:val="57585B"/>
                    <w:sz w:val="18"/>
                  </w:rPr>
                  <w:t>dynamic</w:t>
                </w:r>
                <w:r>
                  <w:rPr>
                    <w:color w:val="57585B"/>
                    <w:spacing w:val="-14"/>
                    <w:sz w:val="18"/>
                  </w:rPr>
                  <w:t> </w:t>
                </w:r>
                <w:r>
                  <w:rPr>
                    <w:color w:val="57585B"/>
                    <w:sz w:val="18"/>
                  </w:rPr>
                  <w:t>biomarkers</w:t>
                </w:r>
                <w:r>
                  <w:rPr>
                    <w:color w:val="57585B"/>
                    <w:spacing w:val="-2"/>
                    <w:sz w:val="18"/>
                  </w:rPr>
                  <w:t>，华创证券</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75.709991pt;margin-top:520.368286pt;width:7.9pt;height:13.8pt;mso-position-horizontal-relative:page;mso-position-vertical-relative:page;z-index:-18056192" type="#_x0000_t202" filled="false" stroked="false">
          <v:textbox inset="0,0,0,0">
            <w:txbxContent>
              <w:p>
                <w:pPr>
                  <w:spacing w:before="14"/>
                  <w:ind w:left="20" w:right="0" w:firstLine="0"/>
                  <w:jc w:val="left"/>
                  <w:rPr>
                    <w:rFonts w:ascii="Arial"/>
                    <w:sz w:val="21"/>
                  </w:rPr>
                </w:pPr>
                <w:r>
                  <w:rPr>
                    <w:rFonts w:ascii="Arial"/>
                    <w:color w:val="888888"/>
                    <w:w w:val="100"/>
                    <w:sz w:val="21"/>
                  </w:rPr>
                  <w:t>9</w:t>
                </w:r>
              </w:p>
            </w:txbxContent>
          </v:textbox>
          <w10:wrap type="none"/>
        </v:shape>
      </w:pict>
    </w:r>
    <w:r>
      <w:rPr/>
      <w:pict>
        <v:shape style="position:absolute;margin-left:19.927999pt;margin-top:521.665588pt;width:264.4pt;height:11pt;mso-position-horizontal-relative:page;mso-position-vertical-relative:page;z-index:-18055680" type="#_x0000_t202" filled="false" stroked="false">
          <v:textbox inset="0,0,0,0">
            <w:txbxContent>
              <w:p>
                <w:pPr>
                  <w:spacing w:before="5"/>
                  <w:ind w:left="20" w:right="0" w:firstLine="0"/>
                  <w:jc w:val="left"/>
                  <w:rPr>
                    <w:rFonts w:ascii="宋体" w:eastAsia="宋体" w:hint="eastAsia"/>
                    <w:sz w:val="16"/>
                  </w:rPr>
                </w:pPr>
                <w:r>
                  <w:rPr>
                    <w:rFonts w:ascii="宋体" w:eastAsia="宋体" w:hint="eastAsia"/>
                    <w:sz w:val="16"/>
                  </w:rPr>
                  <w:t>证监会审核华创证券投资咨询业务资格批文号：证监许可（</w:t>
                </w:r>
                <w:r>
                  <w:rPr>
                    <w:rFonts w:ascii="Arial" w:eastAsia="Arial"/>
                    <w:sz w:val="16"/>
                  </w:rPr>
                  <w:t>2009</w:t>
                </w:r>
                <w:r>
                  <w:rPr>
                    <w:rFonts w:ascii="宋体" w:eastAsia="宋体" w:hint="eastAsia"/>
                    <w:sz w:val="16"/>
                  </w:rPr>
                  <w:t>）</w:t>
                </w:r>
                <w:r>
                  <w:rPr>
                    <w:rFonts w:ascii="Arial" w:eastAsia="Arial"/>
                    <w:sz w:val="16"/>
                  </w:rPr>
                  <w:t>1210 </w:t>
                </w:r>
                <w:r>
                  <w:rPr>
                    <w:rFonts w:ascii="宋体" w:eastAsia="宋体" w:hint="eastAsia"/>
                    <w:sz w:val="16"/>
                  </w:rPr>
                  <w:t>号</w:t>
                </w:r>
              </w:p>
            </w:txbxContent>
          </v:textbox>
          <w10:wrap type="none"/>
        </v:shape>
      </w:pict>
    </w:r>
    <w:r>
      <w:rPr/>
      <w:pict>
        <v:shape style="position:absolute;margin-left:340.73999pt;margin-top:522.034607pt;width:74.350pt;height:10.050pt;mso-position-horizontal-relative:page;mso-position-vertical-relative:page;z-index:-18055168" type="#_x0000_t202" filled="false" stroked="false">
          <v:textbox inset="0,0,0,0">
            <w:txbxContent>
              <w:p>
                <w:pPr>
                  <w:spacing w:line="201" w:lineRule="exact" w:before="0"/>
                  <w:ind w:left="20" w:right="0" w:firstLine="0"/>
                  <w:jc w:val="left"/>
                  <w:rPr>
                    <w:rFonts w:ascii="宋体" w:eastAsia="宋体" w:hint="eastAsia"/>
                    <w:sz w:val="16"/>
                  </w:rPr>
                </w:pPr>
                <w:r>
                  <w:rPr>
                    <w:rFonts w:ascii="宋体" w:eastAsia="宋体" w:hint="eastAsia"/>
                    <w:sz w:val="16"/>
                  </w:rPr>
                  <w:t>未经许可，禁止转载</w:t>
                </w:r>
              </w:p>
            </w:txbxContent>
          </v:textbox>
          <w10:wrap type="none"/>
        </v:shape>
      </w:pict>
    </w:r>
    <w:r>
      <w:rPr/>
      <w:pict>
        <v:shape style="position:absolute;margin-left:501.079987pt;margin-top:522.733032pt;width:127.95pt;height:13.9pt;mso-position-horizontal-relative:page;mso-position-vertical-relative:page;z-index:-18054656" type="#_x0000_t202" filled="false" stroked="false">
          <v:textbox inset="0,0,0,0">
            <w:txbxContent>
              <w:p>
                <w:pPr>
                  <w:spacing w:line="278" w:lineRule="exact" w:before="0"/>
                  <w:ind w:left="20" w:right="0" w:firstLine="0"/>
                  <w:jc w:val="left"/>
                  <w:rPr>
                    <w:sz w:val="18"/>
                  </w:rPr>
                </w:pPr>
                <w:r>
                  <w:rPr>
                    <w:color w:val="57585B"/>
                    <w:sz w:val="18"/>
                  </w:rPr>
                  <w:t>数据来源：医药魔方，华创证券</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927999pt;margin-top:522.665588pt;width:393.2pt;height:9pt;mso-position-horizontal-relative:page;mso-position-vertical-relative:page;z-index:-18053120" type="#_x0000_t202" filled="false" stroked="false">
          <v:textbox inset="0,0,0,0">
            <w:txbxContent>
              <w:p>
                <w:pPr>
                  <w:tabs>
                    <w:tab w:pos="6416" w:val="left" w:leader="none"/>
                  </w:tabs>
                  <w:spacing w:line="180" w:lineRule="exact" w:before="0"/>
                  <w:ind w:left="0" w:right="0" w:firstLine="0"/>
                  <w:jc w:val="left"/>
                  <w:rPr>
                    <w:rFonts w:ascii="宋体" w:eastAsia="宋体" w:hint="eastAsia"/>
                    <w:sz w:val="16"/>
                  </w:rPr>
                </w:pPr>
                <w:r>
                  <w:rPr>
                    <w:rFonts w:ascii="宋体" w:eastAsia="宋体" w:hint="eastAsia"/>
                    <w:sz w:val="16"/>
                  </w:rPr>
                  <w:t>证监会审</w:t>
                </w:r>
                <w:r>
                  <w:rPr>
                    <w:rFonts w:ascii="宋体" w:eastAsia="宋体" w:hint="eastAsia"/>
                    <w:spacing w:val="-3"/>
                    <w:sz w:val="16"/>
                  </w:rPr>
                  <w:t>核</w:t>
                </w:r>
                <w:r>
                  <w:rPr>
                    <w:rFonts w:ascii="宋体" w:eastAsia="宋体" w:hint="eastAsia"/>
                    <w:sz w:val="16"/>
                  </w:rPr>
                  <w:t>华创</w:t>
                </w:r>
                <w:r>
                  <w:rPr>
                    <w:rFonts w:ascii="宋体" w:eastAsia="宋体" w:hint="eastAsia"/>
                    <w:spacing w:val="-3"/>
                    <w:sz w:val="16"/>
                  </w:rPr>
                  <w:t>证</w:t>
                </w:r>
                <w:r>
                  <w:rPr>
                    <w:rFonts w:ascii="宋体" w:eastAsia="宋体" w:hint="eastAsia"/>
                    <w:sz w:val="16"/>
                  </w:rPr>
                  <w:t>券投</w:t>
                </w:r>
                <w:r>
                  <w:rPr>
                    <w:rFonts w:ascii="宋体" w:eastAsia="宋体" w:hint="eastAsia"/>
                    <w:spacing w:val="-3"/>
                    <w:sz w:val="16"/>
                  </w:rPr>
                  <w:t>资</w:t>
                </w:r>
                <w:r>
                  <w:rPr>
                    <w:rFonts w:ascii="宋体" w:eastAsia="宋体" w:hint="eastAsia"/>
                    <w:sz w:val="16"/>
                  </w:rPr>
                  <w:t>咨询</w:t>
                </w:r>
                <w:r>
                  <w:rPr>
                    <w:rFonts w:ascii="宋体" w:eastAsia="宋体" w:hint="eastAsia"/>
                    <w:spacing w:val="-3"/>
                    <w:sz w:val="16"/>
                  </w:rPr>
                  <w:t>业</w:t>
                </w:r>
                <w:r>
                  <w:rPr>
                    <w:rFonts w:ascii="宋体" w:eastAsia="宋体" w:hint="eastAsia"/>
                    <w:sz w:val="16"/>
                  </w:rPr>
                  <w:t>务资</w:t>
                </w:r>
                <w:r>
                  <w:rPr>
                    <w:rFonts w:ascii="宋体" w:eastAsia="宋体" w:hint="eastAsia"/>
                    <w:spacing w:val="-3"/>
                    <w:sz w:val="16"/>
                  </w:rPr>
                  <w:t>格</w:t>
                </w:r>
                <w:r>
                  <w:rPr>
                    <w:rFonts w:ascii="宋体" w:eastAsia="宋体" w:hint="eastAsia"/>
                    <w:sz w:val="16"/>
                  </w:rPr>
                  <w:t>批文</w:t>
                </w:r>
                <w:r>
                  <w:rPr>
                    <w:rFonts w:ascii="宋体" w:eastAsia="宋体" w:hint="eastAsia"/>
                    <w:spacing w:val="-3"/>
                    <w:sz w:val="16"/>
                  </w:rPr>
                  <w:t>号</w:t>
                </w:r>
                <w:r>
                  <w:rPr>
                    <w:rFonts w:ascii="宋体" w:eastAsia="宋体" w:hint="eastAsia"/>
                    <w:sz w:val="16"/>
                  </w:rPr>
                  <w:t>：证</w:t>
                </w:r>
                <w:r>
                  <w:rPr>
                    <w:rFonts w:ascii="宋体" w:eastAsia="宋体" w:hint="eastAsia"/>
                    <w:spacing w:val="-3"/>
                    <w:sz w:val="16"/>
                  </w:rPr>
                  <w:t>监</w:t>
                </w:r>
                <w:r>
                  <w:rPr>
                    <w:rFonts w:ascii="宋体" w:eastAsia="宋体" w:hint="eastAsia"/>
                    <w:sz w:val="16"/>
                  </w:rPr>
                  <w:t>许可（</w:t>
                </w:r>
                <w:r>
                  <w:rPr>
                    <w:rFonts w:ascii="Arial" w:eastAsia="Arial"/>
                    <w:sz w:val="16"/>
                  </w:rPr>
                  <w:t>2009</w:t>
                </w:r>
                <w:r>
                  <w:rPr>
                    <w:rFonts w:ascii="宋体" w:eastAsia="宋体" w:hint="eastAsia"/>
                    <w:sz w:val="16"/>
                  </w:rPr>
                  <w:t>）</w:t>
                </w:r>
                <w:r>
                  <w:rPr>
                    <w:rFonts w:ascii="Arial" w:eastAsia="Arial"/>
                    <w:sz w:val="16"/>
                  </w:rPr>
                  <w:t>1210</w:t>
                </w:r>
                <w:r>
                  <w:rPr>
                    <w:rFonts w:ascii="Arial" w:eastAsia="Arial"/>
                    <w:spacing w:val="6"/>
                    <w:sz w:val="16"/>
                  </w:rPr>
                  <w:t> </w:t>
                </w:r>
                <w:r>
                  <w:rPr>
                    <w:rFonts w:ascii="宋体" w:eastAsia="宋体" w:hint="eastAsia"/>
                    <w:sz w:val="16"/>
                  </w:rPr>
                  <w:t>号</w:t>
                  <w:tab/>
                  <w:t>未经许可</w:t>
                </w:r>
                <w:r>
                  <w:rPr>
                    <w:rFonts w:ascii="宋体" w:eastAsia="宋体" w:hint="eastAsia"/>
                    <w:spacing w:val="-3"/>
                    <w:sz w:val="16"/>
                  </w:rPr>
                  <w:t>，</w:t>
                </w:r>
                <w:r>
                  <w:rPr>
                    <w:rFonts w:ascii="宋体" w:eastAsia="宋体" w:hint="eastAsia"/>
                    <w:sz w:val="16"/>
                  </w:rPr>
                  <w:t>禁止</w:t>
                </w:r>
                <w:r>
                  <w:rPr>
                    <w:rFonts w:ascii="宋体" w:eastAsia="宋体" w:hint="eastAsia"/>
                    <w:spacing w:val="-3"/>
                    <w:sz w:val="16"/>
                  </w:rPr>
                  <w:t>转</w:t>
                </w:r>
                <w:r>
                  <w:rPr>
                    <w:rFonts w:ascii="宋体" w:eastAsia="宋体" w:hint="eastAsia"/>
                    <w:spacing w:val="-19"/>
                    <w:sz w:val="16"/>
                  </w:rPr>
                  <w:t>载</w:t>
                </w:r>
              </w:p>
            </w:txbxContent>
          </v:textbox>
          <w10:wrap type="none"/>
        </v:shape>
      </w:pict>
    </w:r>
    <w:r>
      <w:rPr/>
      <w:drawing>
        <wp:anchor distT="0" distB="0" distL="0" distR="0" allowOverlap="1" layoutInCell="1" locked="0" behindDoc="1" simplePos="0" relativeHeight="485263872">
          <wp:simplePos x="0" y="0"/>
          <wp:positionH relativeFrom="page">
            <wp:posOffset>270600</wp:posOffset>
          </wp:positionH>
          <wp:positionV relativeFrom="page">
            <wp:posOffset>6592823</wp:posOffset>
          </wp:positionV>
          <wp:extent cx="5550114" cy="116465"/>
          <wp:effectExtent l="0" t="0" r="0" b="0"/>
          <wp:wrapNone/>
          <wp:docPr id="39" name="image12.jpeg"/>
          <wp:cNvGraphicFramePr>
            <a:graphicFrameLocks noChangeAspect="1"/>
          </wp:cNvGraphicFramePr>
          <a:graphic>
            <a:graphicData uri="http://schemas.openxmlformats.org/drawingml/2006/picture">
              <pic:pic>
                <pic:nvPicPr>
                  <pic:cNvPr id="40" name="image12.jpeg"/>
                  <pic:cNvPicPr/>
                </pic:nvPicPr>
                <pic:blipFill>
                  <a:blip r:embed="rId1" cstate="print"/>
                  <a:stretch>
                    <a:fillRect/>
                  </a:stretch>
                </pic:blipFill>
                <pic:spPr>
                  <a:xfrm>
                    <a:off x="0" y="0"/>
                    <a:ext cx="5550114" cy="116465"/>
                  </a:xfrm>
                  <a:prstGeom prst="rect">
                    <a:avLst/>
                  </a:prstGeom>
                </pic:spPr>
              </pic:pic>
            </a:graphicData>
          </a:graphic>
        </wp:anchor>
      </w:drawing>
    </w:r>
    <w:r>
      <w:rPr/>
      <w:pict>
        <v:shape style="position:absolute;margin-left:472.809998pt;margin-top:520.368286pt;width:13.8pt;height:13.8pt;mso-position-horizontal-relative:page;mso-position-vertical-relative:page;z-index:-18052096" type="#_x0000_t202" filled="false" stroked="false">
          <v:textbox inset="0,0,0,0">
            <w:txbxContent>
              <w:p>
                <w:pPr>
                  <w:spacing w:before="14"/>
                  <w:ind w:left="20" w:right="0" w:firstLine="0"/>
                  <w:jc w:val="left"/>
                  <w:rPr>
                    <w:rFonts w:ascii="Arial"/>
                    <w:sz w:val="21"/>
                  </w:rPr>
                </w:pPr>
                <w:r>
                  <w:rPr>
                    <w:rFonts w:ascii="Arial"/>
                    <w:color w:val="888888"/>
                    <w:sz w:val="21"/>
                  </w:rPr>
                  <w:t>10</w:t>
                </w:r>
              </w:p>
            </w:txbxContent>
          </v:textbox>
          <w10:wrap type="none"/>
        </v:shape>
      </w:pict>
    </w:r>
    <w:r>
      <w:rPr/>
      <w:pict>
        <v:shape style="position:absolute;margin-left:596.73999pt;margin-top:519.99707pt;width:181.7pt;height:13.9pt;mso-position-horizontal-relative:page;mso-position-vertical-relative:page;z-index:-18051584" type="#_x0000_t202" filled="false" stroked="false">
          <v:textbox inset="0,0,0,0">
            <w:txbxContent>
              <w:p>
                <w:pPr>
                  <w:spacing w:line="278" w:lineRule="exact" w:before="0"/>
                  <w:ind w:left="20" w:right="0" w:firstLine="0"/>
                  <w:jc w:val="left"/>
                  <w:rPr>
                    <w:sz w:val="18"/>
                  </w:rPr>
                </w:pPr>
                <w:r>
                  <w:rPr>
                    <w:color w:val="57585B"/>
                    <w:sz w:val="18"/>
                  </w:rPr>
                  <w:t>显像技术规范专家共识》，生物谷，华创证券</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927999pt;margin-top:522.665588pt;width:393.2pt;height:9pt;mso-position-horizontal-relative:page;mso-position-vertical-relative:page;z-index:-18050048" type="#_x0000_t202" filled="false" stroked="false">
          <v:textbox inset="0,0,0,0">
            <w:txbxContent>
              <w:p>
                <w:pPr>
                  <w:tabs>
                    <w:tab w:pos="6416" w:val="left" w:leader="none"/>
                  </w:tabs>
                  <w:spacing w:line="180" w:lineRule="exact" w:before="0"/>
                  <w:ind w:left="0" w:right="0" w:firstLine="0"/>
                  <w:jc w:val="left"/>
                  <w:rPr>
                    <w:rFonts w:ascii="宋体" w:eastAsia="宋体" w:hint="eastAsia"/>
                    <w:sz w:val="16"/>
                  </w:rPr>
                </w:pPr>
                <w:r>
                  <w:rPr>
                    <w:rFonts w:ascii="宋体" w:eastAsia="宋体" w:hint="eastAsia"/>
                    <w:sz w:val="16"/>
                  </w:rPr>
                  <w:t>证监会审</w:t>
                </w:r>
                <w:r>
                  <w:rPr>
                    <w:rFonts w:ascii="宋体" w:eastAsia="宋体" w:hint="eastAsia"/>
                    <w:spacing w:val="-3"/>
                    <w:sz w:val="16"/>
                  </w:rPr>
                  <w:t>核</w:t>
                </w:r>
                <w:r>
                  <w:rPr>
                    <w:rFonts w:ascii="宋体" w:eastAsia="宋体" w:hint="eastAsia"/>
                    <w:sz w:val="16"/>
                  </w:rPr>
                  <w:t>华创</w:t>
                </w:r>
                <w:r>
                  <w:rPr>
                    <w:rFonts w:ascii="宋体" w:eastAsia="宋体" w:hint="eastAsia"/>
                    <w:spacing w:val="-3"/>
                    <w:sz w:val="16"/>
                  </w:rPr>
                  <w:t>证</w:t>
                </w:r>
                <w:r>
                  <w:rPr>
                    <w:rFonts w:ascii="宋体" w:eastAsia="宋体" w:hint="eastAsia"/>
                    <w:sz w:val="16"/>
                  </w:rPr>
                  <w:t>券投</w:t>
                </w:r>
                <w:r>
                  <w:rPr>
                    <w:rFonts w:ascii="宋体" w:eastAsia="宋体" w:hint="eastAsia"/>
                    <w:spacing w:val="-3"/>
                    <w:sz w:val="16"/>
                  </w:rPr>
                  <w:t>资</w:t>
                </w:r>
                <w:r>
                  <w:rPr>
                    <w:rFonts w:ascii="宋体" w:eastAsia="宋体" w:hint="eastAsia"/>
                    <w:sz w:val="16"/>
                  </w:rPr>
                  <w:t>咨询</w:t>
                </w:r>
                <w:r>
                  <w:rPr>
                    <w:rFonts w:ascii="宋体" w:eastAsia="宋体" w:hint="eastAsia"/>
                    <w:spacing w:val="-3"/>
                    <w:sz w:val="16"/>
                  </w:rPr>
                  <w:t>业</w:t>
                </w:r>
                <w:r>
                  <w:rPr>
                    <w:rFonts w:ascii="宋体" w:eastAsia="宋体" w:hint="eastAsia"/>
                    <w:sz w:val="16"/>
                  </w:rPr>
                  <w:t>务资</w:t>
                </w:r>
                <w:r>
                  <w:rPr>
                    <w:rFonts w:ascii="宋体" w:eastAsia="宋体" w:hint="eastAsia"/>
                    <w:spacing w:val="-3"/>
                    <w:sz w:val="16"/>
                  </w:rPr>
                  <w:t>格</w:t>
                </w:r>
                <w:r>
                  <w:rPr>
                    <w:rFonts w:ascii="宋体" w:eastAsia="宋体" w:hint="eastAsia"/>
                    <w:sz w:val="16"/>
                  </w:rPr>
                  <w:t>批文</w:t>
                </w:r>
                <w:r>
                  <w:rPr>
                    <w:rFonts w:ascii="宋体" w:eastAsia="宋体" w:hint="eastAsia"/>
                    <w:spacing w:val="-3"/>
                    <w:sz w:val="16"/>
                  </w:rPr>
                  <w:t>号</w:t>
                </w:r>
                <w:r>
                  <w:rPr>
                    <w:rFonts w:ascii="宋体" w:eastAsia="宋体" w:hint="eastAsia"/>
                    <w:sz w:val="16"/>
                  </w:rPr>
                  <w:t>：证</w:t>
                </w:r>
                <w:r>
                  <w:rPr>
                    <w:rFonts w:ascii="宋体" w:eastAsia="宋体" w:hint="eastAsia"/>
                    <w:spacing w:val="-3"/>
                    <w:sz w:val="16"/>
                  </w:rPr>
                  <w:t>监</w:t>
                </w:r>
                <w:r>
                  <w:rPr>
                    <w:rFonts w:ascii="宋体" w:eastAsia="宋体" w:hint="eastAsia"/>
                    <w:sz w:val="16"/>
                  </w:rPr>
                  <w:t>许可（</w:t>
                </w:r>
                <w:r>
                  <w:rPr>
                    <w:rFonts w:ascii="Arial" w:eastAsia="Arial"/>
                    <w:sz w:val="16"/>
                  </w:rPr>
                  <w:t>2009</w:t>
                </w:r>
                <w:r>
                  <w:rPr>
                    <w:rFonts w:ascii="宋体" w:eastAsia="宋体" w:hint="eastAsia"/>
                    <w:sz w:val="16"/>
                  </w:rPr>
                  <w:t>）</w:t>
                </w:r>
                <w:r>
                  <w:rPr>
                    <w:rFonts w:ascii="Arial" w:eastAsia="Arial"/>
                    <w:sz w:val="16"/>
                  </w:rPr>
                  <w:t>1210</w:t>
                </w:r>
                <w:r>
                  <w:rPr>
                    <w:rFonts w:ascii="Arial" w:eastAsia="Arial"/>
                    <w:spacing w:val="6"/>
                    <w:sz w:val="16"/>
                  </w:rPr>
                  <w:t> </w:t>
                </w:r>
                <w:r>
                  <w:rPr>
                    <w:rFonts w:ascii="宋体" w:eastAsia="宋体" w:hint="eastAsia"/>
                    <w:sz w:val="16"/>
                  </w:rPr>
                  <w:t>号</w:t>
                  <w:tab/>
                  <w:t>未经许可</w:t>
                </w:r>
                <w:r>
                  <w:rPr>
                    <w:rFonts w:ascii="宋体" w:eastAsia="宋体" w:hint="eastAsia"/>
                    <w:spacing w:val="-3"/>
                    <w:sz w:val="16"/>
                  </w:rPr>
                  <w:t>，</w:t>
                </w:r>
                <w:r>
                  <w:rPr>
                    <w:rFonts w:ascii="宋体" w:eastAsia="宋体" w:hint="eastAsia"/>
                    <w:sz w:val="16"/>
                  </w:rPr>
                  <w:t>禁止</w:t>
                </w:r>
                <w:r>
                  <w:rPr>
                    <w:rFonts w:ascii="宋体" w:eastAsia="宋体" w:hint="eastAsia"/>
                    <w:spacing w:val="-3"/>
                    <w:sz w:val="16"/>
                  </w:rPr>
                  <w:t>转</w:t>
                </w:r>
                <w:r>
                  <w:rPr>
                    <w:rFonts w:ascii="宋体" w:eastAsia="宋体" w:hint="eastAsia"/>
                    <w:spacing w:val="-19"/>
                    <w:sz w:val="16"/>
                  </w:rPr>
                  <w:t>载</w:t>
                </w:r>
              </w:p>
            </w:txbxContent>
          </v:textbox>
          <w10:wrap type="none"/>
        </v:shape>
      </w:pict>
    </w:r>
    <w:r>
      <w:rPr/>
      <w:drawing>
        <wp:anchor distT="0" distB="0" distL="0" distR="0" allowOverlap="1" layoutInCell="1" locked="0" behindDoc="1" simplePos="0" relativeHeight="485266944">
          <wp:simplePos x="0" y="0"/>
          <wp:positionH relativeFrom="page">
            <wp:posOffset>270600</wp:posOffset>
          </wp:positionH>
          <wp:positionV relativeFrom="page">
            <wp:posOffset>6592823</wp:posOffset>
          </wp:positionV>
          <wp:extent cx="5550114" cy="116465"/>
          <wp:effectExtent l="0" t="0" r="0" b="0"/>
          <wp:wrapNone/>
          <wp:docPr id="45" name="image12.jpeg"/>
          <wp:cNvGraphicFramePr>
            <a:graphicFrameLocks noChangeAspect="1"/>
          </wp:cNvGraphicFramePr>
          <a:graphic>
            <a:graphicData uri="http://schemas.openxmlformats.org/drawingml/2006/picture">
              <pic:pic>
                <pic:nvPicPr>
                  <pic:cNvPr id="46" name="image12.jpeg"/>
                  <pic:cNvPicPr/>
                </pic:nvPicPr>
                <pic:blipFill>
                  <a:blip r:embed="rId1" cstate="print"/>
                  <a:stretch>
                    <a:fillRect/>
                  </a:stretch>
                </pic:blipFill>
                <pic:spPr>
                  <a:xfrm>
                    <a:off x="0" y="0"/>
                    <a:ext cx="5550114" cy="116465"/>
                  </a:xfrm>
                  <a:prstGeom prst="rect">
                    <a:avLst/>
                  </a:prstGeom>
                </pic:spPr>
              </pic:pic>
            </a:graphicData>
          </a:graphic>
        </wp:anchor>
      </w:drawing>
    </w:r>
    <w:r>
      <w:rPr/>
      <w:pict>
        <v:shape style="position:absolute;margin-left:472.809998pt;margin-top:520.368286pt;width:13.8pt;height:13.8pt;mso-position-horizontal-relative:page;mso-position-vertical-relative:page;z-index:-18049024" type="#_x0000_t202" filled="false" stroked="false">
          <v:textbox inset="0,0,0,0">
            <w:txbxContent>
              <w:p>
                <w:pPr>
                  <w:spacing w:before="14"/>
                  <w:ind w:left="20" w:right="0" w:firstLine="0"/>
                  <w:jc w:val="left"/>
                  <w:rPr>
                    <w:rFonts w:ascii="Arial"/>
                    <w:sz w:val="21"/>
                  </w:rPr>
                </w:pPr>
                <w:r>
                  <w:rPr>
                    <w:rFonts w:ascii="Arial"/>
                    <w:color w:val="888888"/>
                    <w:sz w:val="21"/>
                  </w:rPr>
                  <w:t>11</w:t>
                </w:r>
              </w:p>
            </w:txbxContent>
          </v:textbox>
          <w10:wrap type="none"/>
        </v:shape>
      </w:pict>
    </w:r>
    <w:r>
      <w:rPr/>
      <w:pict>
        <v:shape style="position:absolute;margin-left:561.219971pt;margin-top:524.605042pt;width:201pt;height:13.9pt;mso-position-horizontal-relative:page;mso-position-vertical-relative:page;z-index:-18048512" type="#_x0000_t202" filled="false" stroked="false">
          <v:textbox inset="0,0,0,0">
            <w:txbxContent>
              <w:p>
                <w:pPr>
                  <w:spacing w:line="278" w:lineRule="exact" w:before="0"/>
                  <w:ind w:left="20" w:right="0" w:firstLine="0"/>
                  <w:jc w:val="left"/>
                  <w:rPr>
                    <w:sz w:val="18"/>
                  </w:rPr>
                </w:pPr>
                <w:r>
                  <w:rPr>
                    <w:color w:val="57585B"/>
                    <w:sz w:val="18"/>
                  </w:rPr>
                  <w:t>Clinical Practice in 2021，</w:t>
                </w:r>
                <w:r>
                  <w:rPr>
                    <w:color w:val="57585B"/>
                    <w:spacing w:val="-3"/>
                    <w:sz w:val="18"/>
                  </w:rPr>
                  <w:t>头豹研究院，华创证券</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927999pt;margin-top:522.665588pt;width:393.2pt;height:9pt;mso-position-horizontal-relative:page;mso-position-vertical-relative:page;z-index:-18046976" type="#_x0000_t202" filled="false" stroked="false">
          <v:textbox inset="0,0,0,0">
            <w:txbxContent>
              <w:p>
                <w:pPr>
                  <w:tabs>
                    <w:tab w:pos="6416" w:val="left" w:leader="none"/>
                  </w:tabs>
                  <w:spacing w:line="180" w:lineRule="exact" w:before="0"/>
                  <w:ind w:left="0" w:right="0" w:firstLine="0"/>
                  <w:jc w:val="left"/>
                  <w:rPr>
                    <w:rFonts w:ascii="宋体" w:eastAsia="宋体" w:hint="eastAsia"/>
                    <w:sz w:val="16"/>
                  </w:rPr>
                </w:pPr>
                <w:r>
                  <w:rPr>
                    <w:rFonts w:ascii="宋体" w:eastAsia="宋体" w:hint="eastAsia"/>
                    <w:sz w:val="16"/>
                  </w:rPr>
                  <w:t>证监会审</w:t>
                </w:r>
                <w:r>
                  <w:rPr>
                    <w:rFonts w:ascii="宋体" w:eastAsia="宋体" w:hint="eastAsia"/>
                    <w:spacing w:val="-3"/>
                    <w:sz w:val="16"/>
                  </w:rPr>
                  <w:t>核</w:t>
                </w:r>
                <w:r>
                  <w:rPr>
                    <w:rFonts w:ascii="宋体" w:eastAsia="宋体" w:hint="eastAsia"/>
                    <w:sz w:val="16"/>
                  </w:rPr>
                  <w:t>华创</w:t>
                </w:r>
                <w:r>
                  <w:rPr>
                    <w:rFonts w:ascii="宋体" w:eastAsia="宋体" w:hint="eastAsia"/>
                    <w:spacing w:val="-3"/>
                    <w:sz w:val="16"/>
                  </w:rPr>
                  <w:t>证</w:t>
                </w:r>
                <w:r>
                  <w:rPr>
                    <w:rFonts w:ascii="宋体" w:eastAsia="宋体" w:hint="eastAsia"/>
                    <w:sz w:val="16"/>
                  </w:rPr>
                  <w:t>券投</w:t>
                </w:r>
                <w:r>
                  <w:rPr>
                    <w:rFonts w:ascii="宋体" w:eastAsia="宋体" w:hint="eastAsia"/>
                    <w:spacing w:val="-3"/>
                    <w:sz w:val="16"/>
                  </w:rPr>
                  <w:t>资</w:t>
                </w:r>
                <w:r>
                  <w:rPr>
                    <w:rFonts w:ascii="宋体" w:eastAsia="宋体" w:hint="eastAsia"/>
                    <w:sz w:val="16"/>
                  </w:rPr>
                  <w:t>咨询</w:t>
                </w:r>
                <w:r>
                  <w:rPr>
                    <w:rFonts w:ascii="宋体" w:eastAsia="宋体" w:hint="eastAsia"/>
                    <w:spacing w:val="-3"/>
                    <w:sz w:val="16"/>
                  </w:rPr>
                  <w:t>业</w:t>
                </w:r>
                <w:r>
                  <w:rPr>
                    <w:rFonts w:ascii="宋体" w:eastAsia="宋体" w:hint="eastAsia"/>
                    <w:sz w:val="16"/>
                  </w:rPr>
                  <w:t>务资</w:t>
                </w:r>
                <w:r>
                  <w:rPr>
                    <w:rFonts w:ascii="宋体" w:eastAsia="宋体" w:hint="eastAsia"/>
                    <w:spacing w:val="-3"/>
                    <w:sz w:val="16"/>
                  </w:rPr>
                  <w:t>格</w:t>
                </w:r>
                <w:r>
                  <w:rPr>
                    <w:rFonts w:ascii="宋体" w:eastAsia="宋体" w:hint="eastAsia"/>
                    <w:sz w:val="16"/>
                  </w:rPr>
                  <w:t>批文</w:t>
                </w:r>
                <w:r>
                  <w:rPr>
                    <w:rFonts w:ascii="宋体" w:eastAsia="宋体" w:hint="eastAsia"/>
                    <w:spacing w:val="-3"/>
                    <w:sz w:val="16"/>
                  </w:rPr>
                  <w:t>号</w:t>
                </w:r>
                <w:r>
                  <w:rPr>
                    <w:rFonts w:ascii="宋体" w:eastAsia="宋体" w:hint="eastAsia"/>
                    <w:sz w:val="16"/>
                  </w:rPr>
                  <w:t>：证</w:t>
                </w:r>
                <w:r>
                  <w:rPr>
                    <w:rFonts w:ascii="宋体" w:eastAsia="宋体" w:hint="eastAsia"/>
                    <w:spacing w:val="-3"/>
                    <w:sz w:val="16"/>
                  </w:rPr>
                  <w:t>监</w:t>
                </w:r>
                <w:r>
                  <w:rPr>
                    <w:rFonts w:ascii="宋体" w:eastAsia="宋体" w:hint="eastAsia"/>
                    <w:sz w:val="16"/>
                  </w:rPr>
                  <w:t>许可（</w:t>
                </w:r>
                <w:r>
                  <w:rPr>
                    <w:rFonts w:ascii="Arial" w:eastAsia="Arial"/>
                    <w:sz w:val="16"/>
                  </w:rPr>
                  <w:t>2009</w:t>
                </w:r>
                <w:r>
                  <w:rPr>
                    <w:rFonts w:ascii="宋体" w:eastAsia="宋体" w:hint="eastAsia"/>
                    <w:sz w:val="16"/>
                  </w:rPr>
                  <w:t>）</w:t>
                </w:r>
                <w:r>
                  <w:rPr>
                    <w:rFonts w:ascii="Arial" w:eastAsia="Arial"/>
                    <w:sz w:val="16"/>
                  </w:rPr>
                  <w:t>1210</w:t>
                </w:r>
                <w:r>
                  <w:rPr>
                    <w:rFonts w:ascii="Arial" w:eastAsia="Arial"/>
                    <w:spacing w:val="6"/>
                    <w:sz w:val="16"/>
                  </w:rPr>
                  <w:t> </w:t>
                </w:r>
                <w:r>
                  <w:rPr>
                    <w:rFonts w:ascii="宋体" w:eastAsia="宋体" w:hint="eastAsia"/>
                    <w:sz w:val="16"/>
                  </w:rPr>
                  <w:t>号</w:t>
                  <w:tab/>
                  <w:t>未经许可</w:t>
                </w:r>
                <w:r>
                  <w:rPr>
                    <w:rFonts w:ascii="宋体" w:eastAsia="宋体" w:hint="eastAsia"/>
                    <w:spacing w:val="-3"/>
                    <w:sz w:val="16"/>
                  </w:rPr>
                  <w:t>，</w:t>
                </w:r>
                <w:r>
                  <w:rPr>
                    <w:rFonts w:ascii="宋体" w:eastAsia="宋体" w:hint="eastAsia"/>
                    <w:sz w:val="16"/>
                  </w:rPr>
                  <w:t>禁止</w:t>
                </w:r>
                <w:r>
                  <w:rPr>
                    <w:rFonts w:ascii="宋体" w:eastAsia="宋体" w:hint="eastAsia"/>
                    <w:spacing w:val="-3"/>
                    <w:sz w:val="16"/>
                  </w:rPr>
                  <w:t>转</w:t>
                </w:r>
                <w:r>
                  <w:rPr>
                    <w:rFonts w:ascii="宋体" w:eastAsia="宋体" w:hint="eastAsia"/>
                    <w:spacing w:val="-19"/>
                    <w:sz w:val="16"/>
                  </w:rPr>
                  <w:t>载</w:t>
                </w:r>
              </w:p>
            </w:txbxContent>
          </v:textbox>
          <w10:wrap type="none"/>
        </v:shape>
      </w:pict>
    </w:r>
    <w:r>
      <w:rPr/>
      <w:drawing>
        <wp:anchor distT="0" distB="0" distL="0" distR="0" allowOverlap="1" layoutInCell="1" locked="0" behindDoc="1" simplePos="0" relativeHeight="485270016">
          <wp:simplePos x="0" y="0"/>
          <wp:positionH relativeFrom="page">
            <wp:posOffset>270600</wp:posOffset>
          </wp:positionH>
          <wp:positionV relativeFrom="page">
            <wp:posOffset>6592823</wp:posOffset>
          </wp:positionV>
          <wp:extent cx="5550114" cy="116465"/>
          <wp:effectExtent l="0" t="0" r="0" b="0"/>
          <wp:wrapNone/>
          <wp:docPr id="51" name="image12.jpeg"/>
          <wp:cNvGraphicFramePr>
            <a:graphicFrameLocks noChangeAspect="1"/>
          </wp:cNvGraphicFramePr>
          <a:graphic>
            <a:graphicData uri="http://schemas.openxmlformats.org/drawingml/2006/picture">
              <pic:pic>
                <pic:nvPicPr>
                  <pic:cNvPr id="52" name="image12.jpeg"/>
                  <pic:cNvPicPr/>
                </pic:nvPicPr>
                <pic:blipFill>
                  <a:blip r:embed="rId1" cstate="print"/>
                  <a:stretch>
                    <a:fillRect/>
                  </a:stretch>
                </pic:blipFill>
                <pic:spPr>
                  <a:xfrm>
                    <a:off x="0" y="0"/>
                    <a:ext cx="5550114" cy="116465"/>
                  </a:xfrm>
                  <a:prstGeom prst="rect">
                    <a:avLst/>
                  </a:prstGeom>
                </pic:spPr>
              </pic:pic>
            </a:graphicData>
          </a:graphic>
        </wp:anchor>
      </w:drawing>
    </w:r>
    <w:r>
      <w:rPr/>
      <w:pict>
        <v:shape style="position:absolute;margin-left:472.809998pt;margin-top:520.368286pt;width:13.8pt;height:13.8pt;mso-position-horizontal-relative:page;mso-position-vertical-relative:page;z-index:-18045952" type="#_x0000_t202" filled="false" stroked="false">
          <v:textbox inset="0,0,0,0">
            <w:txbxContent>
              <w:p>
                <w:pPr>
                  <w:spacing w:before="14"/>
                  <w:ind w:left="20" w:right="0" w:firstLine="0"/>
                  <w:jc w:val="left"/>
                  <w:rPr>
                    <w:rFonts w:ascii="Arial"/>
                    <w:sz w:val="21"/>
                  </w:rPr>
                </w:pPr>
                <w:r>
                  <w:rPr>
                    <w:rFonts w:ascii="Arial"/>
                    <w:color w:val="888888"/>
                    <w:sz w:val="21"/>
                  </w:rPr>
                  <w:t>12</w:t>
                </w:r>
              </w:p>
            </w:txbxContent>
          </v:textbox>
          <w10:wrap type="none"/>
        </v:shape>
      </w:pict>
    </w:r>
    <w:r>
      <w:rPr/>
      <w:pict>
        <v:shape style="position:absolute;margin-left:511.589996pt;margin-top:521.029053pt;width:230.65pt;height:13.9pt;mso-position-horizontal-relative:page;mso-position-vertical-relative:page;z-index:-18045440" type="#_x0000_t202" filled="false" stroked="false">
          <v:textbox inset="0,0,0,0">
            <w:txbxContent>
              <w:p>
                <w:pPr>
                  <w:spacing w:line="278" w:lineRule="exact" w:before="0"/>
                  <w:ind w:left="20" w:right="0" w:firstLine="0"/>
                  <w:jc w:val="left"/>
                  <w:rPr>
                    <w:sz w:val="18"/>
                  </w:rPr>
                </w:pPr>
                <w:r>
                  <w:rPr>
                    <w:color w:val="57585B"/>
                    <w:sz w:val="18"/>
                  </w:rPr>
                  <w:t>数据来源：丁香园，AAIC，公司公告，NMPA，华创证券</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252608">
          <wp:simplePos x="0" y="0"/>
          <wp:positionH relativeFrom="page">
            <wp:posOffset>10789953</wp:posOffset>
          </wp:positionH>
          <wp:positionV relativeFrom="page">
            <wp:posOffset>448437</wp:posOffset>
          </wp:positionV>
          <wp:extent cx="989015" cy="240220"/>
          <wp:effectExtent l="0" t="0" r="0" b="0"/>
          <wp:wrapNone/>
          <wp:docPr id="13" name="image1.jpeg"/>
          <wp:cNvGraphicFramePr>
            <a:graphicFrameLocks noChangeAspect="1"/>
          </wp:cNvGraphicFramePr>
          <a:graphic>
            <a:graphicData uri="http://schemas.openxmlformats.org/drawingml/2006/picture">
              <pic:pic>
                <pic:nvPicPr>
                  <pic:cNvPr id="14" name="image1.jpeg"/>
                  <pic:cNvPicPr/>
                </pic:nvPicPr>
                <pic:blipFill>
                  <a:blip r:embed="rId1" cstate="print"/>
                  <a:stretch>
                    <a:fillRect/>
                  </a:stretch>
                </pic:blipFill>
                <pic:spPr>
                  <a:xfrm>
                    <a:off x="0" y="0"/>
                    <a:ext cx="989015" cy="240220"/>
                  </a:xfrm>
                  <a:prstGeom prst="rect">
                    <a:avLst/>
                  </a:prstGeom>
                </pic:spPr>
              </pic:pic>
            </a:graphicData>
          </a:graphic>
        </wp:anchor>
      </w:drawing>
    </w:r>
    <w:r>
      <w:rPr/>
      <w:pict>
        <v:shape style="position:absolute;margin-left:46.832001pt;margin-top:22.540073pt;width:218pt;height:33.75pt;mso-position-horizontal-relative:page;mso-position-vertical-relative:page;z-index:-18063360" type="#_x0000_t202" filled="false" stroked="false">
          <v:textbox inset="0,0,0,0">
            <w:txbxContent>
              <w:p>
                <w:pPr>
                  <w:spacing w:line="674" w:lineRule="exact" w:before="0"/>
                  <w:ind w:left="20" w:right="0" w:firstLine="0"/>
                  <w:jc w:val="left"/>
                  <w:rPr>
                    <w:b/>
                    <w:sz w:val="48"/>
                  </w:rPr>
                </w:pPr>
                <w:r>
                  <w:rPr>
                    <w:b/>
                    <w:color w:val="0A4EA1"/>
                    <w:sz w:val="48"/>
                  </w:rPr>
                  <w:t>整体观点和投资主线</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277184">
          <wp:simplePos x="0" y="0"/>
          <wp:positionH relativeFrom="page">
            <wp:posOffset>10789953</wp:posOffset>
          </wp:positionH>
          <wp:positionV relativeFrom="page">
            <wp:posOffset>448437</wp:posOffset>
          </wp:positionV>
          <wp:extent cx="989015" cy="240220"/>
          <wp:effectExtent l="0" t="0" r="0" b="0"/>
          <wp:wrapNone/>
          <wp:docPr id="67" name="image1.jpeg"/>
          <wp:cNvGraphicFramePr>
            <a:graphicFrameLocks noChangeAspect="1"/>
          </wp:cNvGraphicFramePr>
          <a:graphic>
            <a:graphicData uri="http://schemas.openxmlformats.org/drawingml/2006/picture">
              <pic:pic>
                <pic:nvPicPr>
                  <pic:cNvPr id="68" name="image1.jpeg"/>
                  <pic:cNvPicPr/>
                </pic:nvPicPr>
                <pic:blipFill>
                  <a:blip r:embed="rId1" cstate="print"/>
                  <a:stretch>
                    <a:fillRect/>
                  </a:stretch>
                </pic:blipFill>
                <pic:spPr>
                  <a:xfrm>
                    <a:off x="0" y="0"/>
                    <a:ext cx="989015" cy="240220"/>
                  </a:xfrm>
                  <a:prstGeom prst="rect">
                    <a:avLst/>
                  </a:prstGeom>
                </pic:spPr>
              </pic:pic>
            </a:graphicData>
          </a:graphic>
        </wp:anchor>
      </w:drawing>
    </w:r>
    <w:r>
      <w:rPr/>
      <w:pict>
        <v:shape style="position:absolute;margin-left:46.832001pt;margin-top:22.540073pt;width:554pt;height:33.75pt;mso-position-horizontal-relative:page;mso-position-vertical-relative:page;z-index:-18038784" type="#_x0000_t202" filled="false" stroked="false">
          <v:textbox inset="0,0,0,0">
            <w:txbxContent>
              <w:p>
                <w:pPr>
                  <w:spacing w:line="674" w:lineRule="exact" w:before="0"/>
                  <w:ind w:left="20" w:right="0" w:firstLine="0"/>
                  <w:jc w:val="left"/>
                  <w:rPr>
                    <w:b/>
                    <w:sz w:val="48"/>
                  </w:rPr>
                </w:pPr>
                <w:r>
                  <w:rPr>
                    <w:b/>
                    <w:color w:val="0A4EA1"/>
                    <w:sz w:val="48"/>
                  </w:rPr>
                  <w:t>本周关注：中国阿尔兹海默症诊断与治疗产业链梳理</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280256">
          <wp:simplePos x="0" y="0"/>
          <wp:positionH relativeFrom="page">
            <wp:posOffset>10789953</wp:posOffset>
          </wp:positionH>
          <wp:positionV relativeFrom="page">
            <wp:posOffset>448437</wp:posOffset>
          </wp:positionV>
          <wp:extent cx="989015" cy="240220"/>
          <wp:effectExtent l="0" t="0" r="0" b="0"/>
          <wp:wrapNone/>
          <wp:docPr id="75" name="image1.jpeg"/>
          <wp:cNvGraphicFramePr>
            <a:graphicFrameLocks noChangeAspect="1"/>
          </wp:cNvGraphicFramePr>
          <a:graphic>
            <a:graphicData uri="http://schemas.openxmlformats.org/drawingml/2006/picture">
              <pic:pic>
                <pic:nvPicPr>
                  <pic:cNvPr id="76" name="image1.jpeg"/>
                  <pic:cNvPicPr/>
                </pic:nvPicPr>
                <pic:blipFill>
                  <a:blip r:embed="rId1" cstate="print"/>
                  <a:stretch>
                    <a:fillRect/>
                  </a:stretch>
                </pic:blipFill>
                <pic:spPr>
                  <a:xfrm>
                    <a:off x="0" y="0"/>
                    <a:ext cx="989015" cy="240220"/>
                  </a:xfrm>
                  <a:prstGeom prst="rect">
                    <a:avLst/>
                  </a:prstGeom>
                </pic:spPr>
              </pic:pic>
            </a:graphicData>
          </a:graphic>
        </wp:anchor>
      </w:drawing>
    </w:r>
    <w:r>
      <w:rPr/>
      <w:pict>
        <v:shape style="position:absolute;margin-left:46.832001pt;margin-top:22.540073pt;width:554pt;height:33.75pt;mso-position-horizontal-relative:page;mso-position-vertical-relative:page;z-index:-18035712" type="#_x0000_t202" filled="false" stroked="false">
          <v:textbox inset="0,0,0,0">
            <w:txbxContent>
              <w:p>
                <w:pPr>
                  <w:spacing w:line="674" w:lineRule="exact" w:before="0"/>
                  <w:ind w:left="20" w:right="0" w:firstLine="0"/>
                  <w:jc w:val="left"/>
                  <w:rPr>
                    <w:b/>
                    <w:sz w:val="48"/>
                  </w:rPr>
                </w:pPr>
                <w:r>
                  <w:rPr>
                    <w:b/>
                    <w:color w:val="0A4EA1"/>
                    <w:sz w:val="48"/>
                  </w:rPr>
                  <w:t>本周关注：中国阿尔兹海默症诊断与治疗产业链梳理</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283328">
          <wp:simplePos x="0" y="0"/>
          <wp:positionH relativeFrom="page">
            <wp:posOffset>10789953</wp:posOffset>
          </wp:positionH>
          <wp:positionV relativeFrom="page">
            <wp:posOffset>448437</wp:posOffset>
          </wp:positionV>
          <wp:extent cx="989015" cy="240220"/>
          <wp:effectExtent l="0" t="0" r="0" b="0"/>
          <wp:wrapNone/>
          <wp:docPr id="79" name="image1.jpeg"/>
          <wp:cNvGraphicFramePr>
            <a:graphicFrameLocks noChangeAspect="1"/>
          </wp:cNvGraphicFramePr>
          <a:graphic>
            <a:graphicData uri="http://schemas.openxmlformats.org/drawingml/2006/picture">
              <pic:pic>
                <pic:nvPicPr>
                  <pic:cNvPr id="80" name="image1.jpeg"/>
                  <pic:cNvPicPr/>
                </pic:nvPicPr>
                <pic:blipFill>
                  <a:blip r:embed="rId1" cstate="print"/>
                  <a:stretch>
                    <a:fillRect/>
                  </a:stretch>
                </pic:blipFill>
                <pic:spPr>
                  <a:xfrm>
                    <a:off x="0" y="0"/>
                    <a:ext cx="989015" cy="240220"/>
                  </a:xfrm>
                  <a:prstGeom prst="rect">
                    <a:avLst/>
                  </a:prstGeom>
                </pic:spPr>
              </pic:pic>
            </a:graphicData>
          </a:graphic>
        </wp:anchor>
      </w:drawing>
    </w:r>
    <w:r>
      <w:rPr/>
      <w:pict>
        <v:shape style="position:absolute;margin-left:46.832001pt;margin-top:22.420074pt;width:338pt;height:33.75pt;mso-position-horizontal-relative:page;mso-position-vertical-relative:page;z-index:-18032640" type="#_x0000_t202" filled="false" stroked="false">
          <v:textbox inset="0,0,0,0">
            <w:txbxContent>
              <w:p>
                <w:pPr>
                  <w:spacing w:line="674" w:lineRule="exact" w:before="0"/>
                  <w:ind w:left="20" w:right="0" w:firstLine="0"/>
                  <w:jc w:val="left"/>
                  <w:rPr>
                    <w:b/>
                    <w:sz w:val="48"/>
                  </w:rPr>
                </w:pPr>
                <w:r>
                  <w:rPr>
                    <w:b/>
                    <w:color w:val="0A4EA1"/>
                    <w:sz w:val="48"/>
                  </w:rPr>
                  <w:t>本周关注：阿尔兹海默症产业链</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285376">
          <wp:simplePos x="0" y="0"/>
          <wp:positionH relativeFrom="page">
            <wp:posOffset>10789953</wp:posOffset>
          </wp:positionH>
          <wp:positionV relativeFrom="page">
            <wp:posOffset>448437</wp:posOffset>
          </wp:positionV>
          <wp:extent cx="989015" cy="240220"/>
          <wp:effectExtent l="0" t="0" r="0" b="0"/>
          <wp:wrapNone/>
          <wp:docPr id="85" name="image1.jpeg"/>
          <wp:cNvGraphicFramePr>
            <a:graphicFrameLocks noChangeAspect="1"/>
          </wp:cNvGraphicFramePr>
          <a:graphic>
            <a:graphicData uri="http://schemas.openxmlformats.org/drawingml/2006/picture">
              <pic:pic>
                <pic:nvPicPr>
                  <pic:cNvPr id="86" name="image1.jpeg"/>
                  <pic:cNvPicPr/>
                </pic:nvPicPr>
                <pic:blipFill>
                  <a:blip r:embed="rId1" cstate="print"/>
                  <a:stretch>
                    <a:fillRect/>
                  </a:stretch>
                </pic:blipFill>
                <pic:spPr>
                  <a:xfrm>
                    <a:off x="0" y="0"/>
                    <a:ext cx="989015" cy="240220"/>
                  </a:xfrm>
                  <a:prstGeom prst="rect">
                    <a:avLst/>
                  </a:prstGeom>
                </pic:spPr>
              </pic:pic>
            </a:graphicData>
          </a:graphic>
        </wp:anchor>
      </w:drawing>
    </w:r>
    <w:r>
      <w:rPr/>
      <w:pict>
        <v:shape style="position:absolute;margin-left:46.832001pt;margin-top:22.540073pt;width:554pt;height:33.75pt;mso-position-horizontal-relative:page;mso-position-vertical-relative:page;z-index:-18030592" type="#_x0000_t202" filled="false" stroked="false">
          <v:textbox inset="0,0,0,0">
            <w:txbxContent>
              <w:p>
                <w:pPr>
                  <w:spacing w:line="674" w:lineRule="exact" w:before="0"/>
                  <w:ind w:left="20" w:right="0" w:firstLine="0"/>
                  <w:jc w:val="left"/>
                  <w:rPr>
                    <w:b/>
                    <w:sz w:val="48"/>
                  </w:rPr>
                </w:pPr>
                <w:r>
                  <w:rPr>
                    <w:b/>
                    <w:color w:val="0A4EA1"/>
                    <w:sz w:val="48"/>
                  </w:rPr>
                  <w:t>本周关注：中国阿尔兹海默症诊断与治疗产业链梳理</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288448">
          <wp:simplePos x="0" y="0"/>
          <wp:positionH relativeFrom="page">
            <wp:posOffset>10789953</wp:posOffset>
          </wp:positionH>
          <wp:positionV relativeFrom="page">
            <wp:posOffset>448437</wp:posOffset>
          </wp:positionV>
          <wp:extent cx="989015" cy="240220"/>
          <wp:effectExtent l="0" t="0" r="0" b="0"/>
          <wp:wrapNone/>
          <wp:docPr id="93" name="image1.jpeg"/>
          <wp:cNvGraphicFramePr>
            <a:graphicFrameLocks noChangeAspect="1"/>
          </wp:cNvGraphicFramePr>
          <a:graphic>
            <a:graphicData uri="http://schemas.openxmlformats.org/drawingml/2006/picture">
              <pic:pic>
                <pic:nvPicPr>
                  <pic:cNvPr id="94" name="image1.jpeg"/>
                  <pic:cNvPicPr/>
                </pic:nvPicPr>
                <pic:blipFill>
                  <a:blip r:embed="rId1" cstate="print"/>
                  <a:stretch>
                    <a:fillRect/>
                  </a:stretch>
                </pic:blipFill>
                <pic:spPr>
                  <a:xfrm>
                    <a:off x="0" y="0"/>
                    <a:ext cx="989015" cy="240220"/>
                  </a:xfrm>
                  <a:prstGeom prst="rect">
                    <a:avLst/>
                  </a:prstGeom>
                </pic:spPr>
              </pic:pic>
            </a:graphicData>
          </a:graphic>
        </wp:anchor>
      </w:drawing>
    </w:r>
    <w:r>
      <w:rPr/>
      <w:pict>
        <v:shape style="position:absolute;margin-left:46.832001pt;margin-top:22.540073pt;width:626.050pt;height:33.75pt;mso-position-horizontal-relative:page;mso-position-vertical-relative:page;z-index:-18027520" type="#_x0000_t202" filled="false" stroked="false">
          <v:textbox inset="0,0,0,0">
            <w:txbxContent>
              <w:p>
                <w:pPr>
                  <w:spacing w:line="674" w:lineRule="exact" w:before="0"/>
                  <w:ind w:left="20" w:right="0" w:firstLine="0"/>
                  <w:jc w:val="left"/>
                  <w:rPr>
                    <w:b/>
                    <w:sz w:val="48"/>
                  </w:rPr>
                </w:pPr>
                <w:r>
                  <w:rPr>
                    <w:b/>
                    <w:color w:val="0A4EA1"/>
                    <w:sz w:val="48"/>
                  </w:rPr>
                  <w:t>创新药：翰森制药</w:t>
                </w:r>
                <w:r>
                  <w:rPr>
                    <w:rFonts w:ascii="Arial" w:hAnsi="Arial" w:eastAsia="Arial"/>
                    <w:b/>
                    <w:color w:val="0A4EA1"/>
                    <w:sz w:val="48"/>
                  </w:rPr>
                  <w:t>——</w:t>
                </w:r>
                <w:r>
                  <w:rPr>
                    <w:b/>
                    <w:color w:val="0A4EA1"/>
                    <w:sz w:val="48"/>
                  </w:rPr>
                  <w:t>由仿到创转换完成，管线价值弹性大</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291008">
          <wp:simplePos x="0" y="0"/>
          <wp:positionH relativeFrom="page">
            <wp:posOffset>10789953</wp:posOffset>
          </wp:positionH>
          <wp:positionV relativeFrom="page">
            <wp:posOffset>448437</wp:posOffset>
          </wp:positionV>
          <wp:extent cx="989015" cy="240220"/>
          <wp:effectExtent l="0" t="0" r="0" b="0"/>
          <wp:wrapNone/>
          <wp:docPr id="97" name="image1.jpeg"/>
          <wp:cNvGraphicFramePr>
            <a:graphicFrameLocks noChangeAspect="1"/>
          </wp:cNvGraphicFramePr>
          <a:graphic>
            <a:graphicData uri="http://schemas.openxmlformats.org/drawingml/2006/picture">
              <pic:pic>
                <pic:nvPicPr>
                  <pic:cNvPr id="98" name="image1.jpeg"/>
                  <pic:cNvPicPr/>
                </pic:nvPicPr>
                <pic:blipFill>
                  <a:blip r:embed="rId1" cstate="print"/>
                  <a:stretch>
                    <a:fillRect/>
                  </a:stretch>
                </pic:blipFill>
                <pic:spPr>
                  <a:xfrm>
                    <a:off x="0" y="0"/>
                    <a:ext cx="989015" cy="240220"/>
                  </a:xfrm>
                  <a:prstGeom prst="rect">
                    <a:avLst/>
                  </a:prstGeom>
                </pic:spPr>
              </pic:pic>
            </a:graphicData>
          </a:graphic>
        </wp:anchor>
      </w:drawing>
    </w:r>
    <w:r>
      <w:rPr/>
      <w:pict>
        <v:shape style="position:absolute;margin-left:46.832001pt;margin-top:22.540073pt;width:570.050pt;height:33.75pt;mso-position-horizontal-relative:page;mso-position-vertical-relative:page;z-index:-18024960" type="#_x0000_t202" filled="false" stroked="false">
          <v:textbox inset="0,0,0,0">
            <w:txbxContent>
              <w:p>
                <w:pPr>
                  <w:spacing w:line="674" w:lineRule="exact" w:before="0"/>
                  <w:ind w:left="20" w:right="0" w:firstLine="0"/>
                  <w:jc w:val="left"/>
                  <w:rPr>
                    <w:b/>
                    <w:sz w:val="48"/>
                  </w:rPr>
                </w:pPr>
                <w:r>
                  <w:rPr>
                    <w:b/>
                    <w:color w:val="0A4EA1"/>
                    <w:sz w:val="48"/>
                  </w:rPr>
                  <w:t>医疗器械：高值耗材迎来新成长，</w:t>
                </w:r>
                <w:r>
                  <w:rPr>
                    <w:rFonts w:ascii="Arial" w:eastAsia="Arial"/>
                    <w:b/>
                    <w:color w:val="0A4EA1"/>
                    <w:sz w:val="48"/>
                  </w:rPr>
                  <w:t>IVD</w:t>
                </w:r>
                <w:r>
                  <w:rPr>
                    <w:b/>
                    <w:color w:val="0A4EA1"/>
                    <w:sz w:val="48"/>
                  </w:rPr>
                  <w:t>有望回归高增长</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294080">
          <wp:simplePos x="0" y="0"/>
          <wp:positionH relativeFrom="page">
            <wp:posOffset>10789953</wp:posOffset>
          </wp:positionH>
          <wp:positionV relativeFrom="page">
            <wp:posOffset>448437</wp:posOffset>
          </wp:positionV>
          <wp:extent cx="989015" cy="240220"/>
          <wp:effectExtent l="0" t="0" r="0" b="0"/>
          <wp:wrapNone/>
          <wp:docPr id="103" name="image1.jpeg"/>
          <wp:cNvGraphicFramePr>
            <a:graphicFrameLocks noChangeAspect="1"/>
          </wp:cNvGraphicFramePr>
          <a:graphic>
            <a:graphicData uri="http://schemas.openxmlformats.org/drawingml/2006/picture">
              <pic:pic>
                <pic:nvPicPr>
                  <pic:cNvPr id="104" name="image1.jpeg"/>
                  <pic:cNvPicPr/>
                </pic:nvPicPr>
                <pic:blipFill>
                  <a:blip r:embed="rId1" cstate="print"/>
                  <a:stretch>
                    <a:fillRect/>
                  </a:stretch>
                </pic:blipFill>
                <pic:spPr>
                  <a:xfrm>
                    <a:off x="0" y="0"/>
                    <a:ext cx="989015" cy="240220"/>
                  </a:xfrm>
                  <a:prstGeom prst="rect">
                    <a:avLst/>
                  </a:prstGeom>
                </pic:spPr>
              </pic:pic>
            </a:graphicData>
          </a:graphic>
        </wp:anchor>
      </w:drawing>
    </w:r>
    <w:r>
      <w:rPr/>
      <w:pict>
        <v:shape style="position:absolute;margin-left:46.832001pt;margin-top:22.540073pt;width:650pt;height:33.75pt;mso-position-horizontal-relative:page;mso-position-vertical-relative:page;z-index:-18021888" type="#_x0000_t202" filled="false" stroked="false">
          <v:textbox inset="0,0,0,0">
            <w:txbxContent>
              <w:p>
                <w:pPr>
                  <w:spacing w:line="674" w:lineRule="exact" w:before="0"/>
                  <w:ind w:left="20" w:right="0" w:firstLine="0"/>
                  <w:jc w:val="left"/>
                  <w:rPr>
                    <w:b/>
                    <w:sz w:val="48"/>
                  </w:rPr>
                </w:pPr>
                <w:r>
                  <w:rPr>
                    <w:b/>
                    <w:color w:val="0A4EA1"/>
                    <w:sz w:val="48"/>
                  </w:rPr>
                  <w:t>医疗器械：医疗设备国产替代加速，低值耗材估值性价比突出</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297152">
          <wp:simplePos x="0" y="0"/>
          <wp:positionH relativeFrom="page">
            <wp:posOffset>10789953</wp:posOffset>
          </wp:positionH>
          <wp:positionV relativeFrom="page">
            <wp:posOffset>448437</wp:posOffset>
          </wp:positionV>
          <wp:extent cx="989015" cy="240220"/>
          <wp:effectExtent l="0" t="0" r="0" b="0"/>
          <wp:wrapNone/>
          <wp:docPr id="109" name="image1.jpeg"/>
          <wp:cNvGraphicFramePr>
            <a:graphicFrameLocks noChangeAspect="1"/>
          </wp:cNvGraphicFramePr>
          <a:graphic>
            <a:graphicData uri="http://schemas.openxmlformats.org/drawingml/2006/picture">
              <pic:pic>
                <pic:nvPicPr>
                  <pic:cNvPr id="110" name="image1.jpeg"/>
                  <pic:cNvPicPr/>
                </pic:nvPicPr>
                <pic:blipFill>
                  <a:blip r:embed="rId1" cstate="print"/>
                  <a:stretch>
                    <a:fillRect/>
                  </a:stretch>
                </pic:blipFill>
                <pic:spPr>
                  <a:xfrm>
                    <a:off x="0" y="0"/>
                    <a:ext cx="989015" cy="240220"/>
                  </a:xfrm>
                  <a:prstGeom prst="rect">
                    <a:avLst/>
                  </a:prstGeom>
                </pic:spPr>
              </pic:pic>
            </a:graphicData>
          </a:graphic>
        </wp:anchor>
      </w:drawing>
    </w:r>
    <w:r>
      <w:rPr/>
      <w:pict>
        <v:shape style="position:absolute;margin-left:46.832001pt;margin-top:22.540073pt;width:482pt;height:33.75pt;mso-position-horizontal-relative:page;mso-position-vertical-relative:page;z-index:-18018816" type="#_x0000_t202" filled="false" stroked="false">
          <v:textbox inset="0,0,0,0">
            <w:txbxContent>
              <w:p>
                <w:pPr>
                  <w:spacing w:line="674" w:lineRule="exact" w:before="0"/>
                  <w:ind w:left="20" w:right="0" w:firstLine="0"/>
                  <w:jc w:val="left"/>
                  <w:rPr>
                    <w:b/>
                    <w:sz w:val="48"/>
                  </w:rPr>
                </w:pPr>
                <w:r>
                  <w:rPr>
                    <w:b/>
                    <w:color w:val="0A4EA1"/>
                    <w:sz w:val="48"/>
                  </w:rPr>
                  <w:t>医药消费：重点关注中药及医疗服务相关机会</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299712">
          <wp:simplePos x="0" y="0"/>
          <wp:positionH relativeFrom="page">
            <wp:posOffset>10789953</wp:posOffset>
          </wp:positionH>
          <wp:positionV relativeFrom="page">
            <wp:posOffset>448437</wp:posOffset>
          </wp:positionV>
          <wp:extent cx="989015" cy="240220"/>
          <wp:effectExtent l="0" t="0" r="0" b="0"/>
          <wp:wrapNone/>
          <wp:docPr id="113" name="image1.jpeg"/>
          <wp:cNvGraphicFramePr>
            <a:graphicFrameLocks noChangeAspect="1"/>
          </wp:cNvGraphicFramePr>
          <a:graphic>
            <a:graphicData uri="http://schemas.openxmlformats.org/drawingml/2006/picture">
              <pic:pic>
                <pic:nvPicPr>
                  <pic:cNvPr id="114" name="image1.jpeg"/>
                  <pic:cNvPicPr/>
                </pic:nvPicPr>
                <pic:blipFill>
                  <a:blip r:embed="rId1" cstate="print"/>
                  <a:stretch>
                    <a:fillRect/>
                  </a:stretch>
                </pic:blipFill>
                <pic:spPr>
                  <a:xfrm>
                    <a:off x="0" y="0"/>
                    <a:ext cx="989015" cy="240220"/>
                  </a:xfrm>
                  <a:prstGeom prst="rect">
                    <a:avLst/>
                  </a:prstGeom>
                </pic:spPr>
              </pic:pic>
            </a:graphicData>
          </a:graphic>
        </wp:anchor>
      </w:drawing>
    </w:r>
    <w:r>
      <w:rPr/>
      <w:pict>
        <v:shape style="position:absolute;margin-left:46.832001pt;margin-top:22.540073pt;width:434pt;height:33.75pt;mso-position-horizontal-relative:page;mso-position-vertical-relative:page;z-index:-18016256" type="#_x0000_t202" filled="false" stroked="false">
          <v:textbox inset="0,0,0,0">
            <w:txbxContent>
              <w:p>
                <w:pPr>
                  <w:spacing w:line="674" w:lineRule="exact" w:before="0"/>
                  <w:ind w:left="20" w:right="0" w:firstLine="0"/>
                  <w:jc w:val="left"/>
                  <w:rPr>
                    <w:b/>
                    <w:sz w:val="48"/>
                  </w:rPr>
                </w:pPr>
                <w:r>
                  <w:rPr>
                    <w:b/>
                    <w:color w:val="0A4EA1"/>
                    <w:sz w:val="48"/>
                  </w:rPr>
                  <w:t>医药工业：看好特色原料药行业困境反转</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302784">
          <wp:simplePos x="0" y="0"/>
          <wp:positionH relativeFrom="page">
            <wp:posOffset>10789953</wp:posOffset>
          </wp:positionH>
          <wp:positionV relativeFrom="page">
            <wp:posOffset>448437</wp:posOffset>
          </wp:positionV>
          <wp:extent cx="989015" cy="240220"/>
          <wp:effectExtent l="0" t="0" r="0" b="0"/>
          <wp:wrapNone/>
          <wp:docPr id="119" name="image1.jpeg"/>
          <wp:cNvGraphicFramePr>
            <a:graphicFrameLocks noChangeAspect="1"/>
          </wp:cNvGraphicFramePr>
          <a:graphic>
            <a:graphicData uri="http://schemas.openxmlformats.org/drawingml/2006/picture">
              <pic:pic>
                <pic:nvPicPr>
                  <pic:cNvPr id="120" name="image1.jpeg"/>
                  <pic:cNvPicPr/>
                </pic:nvPicPr>
                <pic:blipFill>
                  <a:blip r:embed="rId1" cstate="print"/>
                  <a:stretch>
                    <a:fillRect/>
                  </a:stretch>
                </pic:blipFill>
                <pic:spPr>
                  <a:xfrm>
                    <a:off x="0" y="0"/>
                    <a:ext cx="989015" cy="240220"/>
                  </a:xfrm>
                  <a:prstGeom prst="rect">
                    <a:avLst/>
                  </a:prstGeom>
                </pic:spPr>
              </pic:pic>
            </a:graphicData>
          </a:graphic>
        </wp:anchor>
      </w:drawing>
    </w:r>
    <w:r>
      <w:rPr/>
      <w:pict>
        <v:shape style="position:absolute;margin-left:46.832001pt;margin-top:22.540073pt;width:410.05pt;height:33.75pt;mso-position-horizontal-relative:page;mso-position-vertical-relative:page;z-index:-18013184" type="#_x0000_t202" filled="false" stroked="false">
          <v:textbox inset="0,0,0,0">
            <w:txbxContent>
              <w:p>
                <w:pPr>
                  <w:spacing w:line="674" w:lineRule="exact" w:before="0"/>
                  <w:ind w:left="20" w:right="0" w:firstLine="0"/>
                  <w:jc w:val="left"/>
                  <w:rPr>
                    <w:b/>
                    <w:sz w:val="48"/>
                  </w:rPr>
                </w:pPr>
                <w:r>
                  <w:rPr>
                    <w:b/>
                    <w:color w:val="0A4EA1"/>
                    <w:sz w:val="48"/>
                  </w:rPr>
                  <w:t>生命科学服务：进口替代有望持续推进</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255168">
          <wp:simplePos x="0" y="0"/>
          <wp:positionH relativeFrom="page">
            <wp:posOffset>10789953</wp:posOffset>
          </wp:positionH>
          <wp:positionV relativeFrom="page">
            <wp:posOffset>448437</wp:posOffset>
          </wp:positionV>
          <wp:extent cx="989015" cy="240220"/>
          <wp:effectExtent l="0" t="0" r="0" b="0"/>
          <wp:wrapNone/>
          <wp:docPr id="19" name="image1.jpeg"/>
          <wp:cNvGraphicFramePr>
            <a:graphicFrameLocks noChangeAspect="1"/>
          </wp:cNvGraphicFramePr>
          <a:graphic>
            <a:graphicData uri="http://schemas.openxmlformats.org/drawingml/2006/picture">
              <pic:pic>
                <pic:nvPicPr>
                  <pic:cNvPr id="20" name="image1.jpeg"/>
                  <pic:cNvPicPr/>
                </pic:nvPicPr>
                <pic:blipFill>
                  <a:blip r:embed="rId1" cstate="print"/>
                  <a:stretch>
                    <a:fillRect/>
                  </a:stretch>
                </pic:blipFill>
                <pic:spPr>
                  <a:xfrm>
                    <a:off x="0" y="0"/>
                    <a:ext cx="989015" cy="240220"/>
                  </a:xfrm>
                  <a:prstGeom prst="rect">
                    <a:avLst/>
                  </a:prstGeom>
                </pic:spPr>
              </pic:pic>
            </a:graphicData>
          </a:graphic>
        </wp:anchor>
      </w:drawing>
    </w:r>
    <w:r>
      <w:rPr/>
      <w:pict>
        <v:shape style="position:absolute;margin-left:46.832001pt;margin-top:22.540073pt;width:554pt;height:33.75pt;mso-position-horizontal-relative:page;mso-position-vertical-relative:page;z-index:-18060800" type="#_x0000_t202" filled="false" stroked="false">
          <v:textbox inset="0,0,0,0">
            <w:txbxContent>
              <w:p>
                <w:pPr>
                  <w:spacing w:line="674" w:lineRule="exact" w:before="0"/>
                  <w:ind w:left="20" w:right="0" w:firstLine="0"/>
                  <w:jc w:val="left"/>
                  <w:rPr>
                    <w:b/>
                    <w:sz w:val="48"/>
                  </w:rPr>
                </w:pPr>
                <w:r>
                  <w:rPr>
                    <w:b/>
                    <w:color w:val="0A4EA1"/>
                    <w:sz w:val="48"/>
                  </w:rPr>
                  <w:t>本周关注：中国阿尔兹海默症诊断与治疗产业链梳理</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305856">
          <wp:simplePos x="0" y="0"/>
          <wp:positionH relativeFrom="page">
            <wp:posOffset>10789953</wp:posOffset>
          </wp:positionH>
          <wp:positionV relativeFrom="page">
            <wp:posOffset>448437</wp:posOffset>
          </wp:positionV>
          <wp:extent cx="989015" cy="240220"/>
          <wp:effectExtent l="0" t="0" r="0" b="0"/>
          <wp:wrapNone/>
          <wp:docPr id="123" name="image1.jpeg"/>
          <wp:cNvGraphicFramePr>
            <a:graphicFrameLocks noChangeAspect="1"/>
          </wp:cNvGraphicFramePr>
          <a:graphic>
            <a:graphicData uri="http://schemas.openxmlformats.org/drawingml/2006/picture">
              <pic:pic>
                <pic:nvPicPr>
                  <pic:cNvPr id="124" name="image1.jpeg"/>
                  <pic:cNvPicPr/>
                </pic:nvPicPr>
                <pic:blipFill>
                  <a:blip r:embed="rId1" cstate="print"/>
                  <a:stretch>
                    <a:fillRect/>
                  </a:stretch>
                </pic:blipFill>
                <pic:spPr>
                  <a:xfrm>
                    <a:off x="0" y="0"/>
                    <a:ext cx="989015" cy="240220"/>
                  </a:xfrm>
                  <a:prstGeom prst="rect">
                    <a:avLst/>
                  </a:prstGeom>
                </pic:spPr>
              </pic:pic>
            </a:graphicData>
          </a:graphic>
        </wp:anchor>
      </w:drawing>
    </w:r>
    <w:r>
      <w:rPr/>
      <w:pict>
        <v:shape style="position:absolute;margin-left:46.832001pt;margin-top:22.540073pt;width:146pt;height:33.75pt;mso-position-horizontal-relative:page;mso-position-vertical-relative:page;z-index:-18010112" type="#_x0000_t202" filled="false" stroked="false">
          <v:textbox inset="0,0,0,0">
            <w:txbxContent>
              <w:p>
                <w:pPr>
                  <w:spacing w:line="674" w:lineRule="exact" w:before="0"/>
                  <w:ind w:left="20" w:right="0" w:firstLine="0"/>
                  <w:jc w:val="left"/>
                  <w:rPr>
                    <w:b/>
                    <w:sz w:val="48"/>
                  </w:rPr>
                </w:pPr>
                <w:r>
                  <w:rPr>
                    <w:b/>
                    <w:color w:val="0A4EA1"/>
                    <w:sz w:val="48"/>
                  </w:rPr>
                  <w:t>投资组合精选</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308928">
          <wp:simplePos x="0" y="0"/>
          <wp:positionH relativeFrom="page">
            <wp:posOffset>10789953</wp:posOffset>
          </wp:positionH>
          <wp:positionV relativeFrom="page">
            <wp:posOffset>448437</wp:posOffset>
          </wp:positionV>
          <wp:extent cx="989015" cy="240220"/>
          <wp:effectExtent l="0" t="0" r="0" b="0"/>
          <wp:wrapNone/>
          <wp:docPr id="129" name="image1.jpeg"/>
          <wp:cNvGraphicFramePr>
            <a:graphicFrameLocks noChangeAspect="1"/>
          </wp:cNvGraphicFramePr>
          <a:graphic>
            <a:graphicData uri="http://schemas.openxmlformats.org/drawingml/2006/picture">
              <pic:pic>
                <pic:nvPicPr>
                  <pic:cNvPr id="130" name="image1.jpeg"/>
                  <pic:cNvPicPr/>
                </pic:nvPicPr>
                <pic:blipFill>
                  <a:blip r:embed="rId1" cstate="print"/>
                  <a:stretch>
                    <a:fillRect/>
                  </a:stretch>
                </pic:blipFill>
                <pic:spPr>
                  <a:xfrm>
                    <a:off x="0" y="0"/>
                    <a:ext cx="989015" cy="240220"/>
                  </a:xfrm>
                  <a:prstGeom prst="rect">
                    <a:avLst/>
                  </a:prstGeom>
                </pic:spPr>
              </pic:pic>
            </a:graphicData>
          </a:graphic>
        </wp:anchor>
      </w:drawing>
    </w:r>
    <w:r>
      <w:rPr/>
      <w:pict>
        <v:shape style="position:absolute;margin-left:46.832001pt;margin-top:22.540073pt;width:98pt;height:33.75pt;mso-position-horizontal-relative:page;mso-position-vertical-relative:page;z-index:-18007040" type="#_x0000_t202" filled="false" stroked="false">
          <v:textbox inset="0,0,0,0">
            <w:txbxContent>
              <w:p>
                <w:pPr>
                  <w:spacing w:line="674" w:lineRule="exact" w:before="0"/>
                  <w:ind w:left="20" w:right="0" w:firstLine="0"/>
                  <w:jc w:val="left"/>
                  <w:rPr>
                    <w:b/>
                    <w:sz w:val="48"/>
                  </w:rPr>
                </w:pPr>
                <w:r>
                  <w:rPr>
                    <w:b/>
                    <w:color w:val="0A4EA1"/>
                    <w:sz w:val="48"/>
                  </w:rPr>
                  <w:t>行业热点</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311488">
          <wp:simplePos x="0" y="0"/>
          <wp:positionH relativeFrom="page">
            <wp:posOffset>10789953</wp:posOffset>
          </wp:positionH>
          <wp:positionV relativeFrom="page">
            <wp:posOffset>448437</wp:posOffset>
          </wp:positionV>
          <wp:extent cx="989015" cy="240220"/>
          <wp:effectExtent l="0" t="0" r="0" b="0"/>
          <wp:wrapNone/>
          <wp:docPr id="135" name="image1.jpeg"/>
          <wp:cNvGraphicFramePr>
            <a:graphicFrameLocks noChangeAspect="1"/>
          </wp:cNvGraphicFramePr>
          <a:graphic>
            <a:graphicData uri="http://schemas.openxmlformats.org/drawingml/2006/picture">
              <pic:pic>
                <pic:nvPicPr>
                  <pic:cNvPr id="136" name="image1.jpeg"/>
                  <pic:cNvPicPr/>
                </pic:nvPicPr>
                <pic:blipFill>
                  <a:blip r:embed="rId1" cstate="print"/>
                  <a:stretch>
                    <a:fillRect/>
                  </a:stretch>
                </pic:blipFill>
                <pic:spPr>
                  <a:xfrm>
                    <a:off x="0" y="0"/>
                    <a:ext cx="989015" cy="240220"/>
                  </a:xfrm>
                  <a:prstGeom prst="rect">
                    <a:avLst/>
                  </a:prstGeom>
                </pic:spPr>
              </pic:pic>
            </a:graphicData>
          </a:graphic>
        </wp:anchor>
      </w:drawing>
    </w:r>
    <w:r>
      <w:rPr/>
      <w:pict>
        <v:shape style="position:absolute;margin-left:46.832001pt;margin-top:22.540073pt;width:242pt;height:33.75pt;mso-position-horizontal-relative:page;mso-position-vertical-relative:page;z-index:-18004480" type="#_x0000_t202" filled="false" stroked="false">
          <v:textbox inset="0,0,0,0">
            <w:txbxContent>
              <w:p>
                <w:pPr>
                  <w:spacing w:line="674" w:lineRule="exact" w:before="0"/>
                  <w:ind w:left="20" w:right="0" w:firstLine="0"/>
                  <w:jc w:val="left"/>
                  <w:rPr>
                    <w:b/>
                    <w:sz w:val="48"/>
                  </w:rPr>
                </w:pPr>
                <w:r>
                  <w:rPr>
                    <w:b/>
                    <w:color w:val="0A4EA1"/>
                    <w:sz w:val="48"/>
                  </w:rPr>
                  <w:t>涨跌幅榜个股原因分析</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314048">
          <wp:simplePos x="0" y="0"/>
          <wp:positionH relativeFrom="page">
            <wp:posOffset>10789953</wp:posOffset>
          </wp:positionH>
          <wp:positionV relativeFrom="page">
            <wp:posOffset>448437</wp:posOffset>
          </wp:positionV>
          <wp:extent cx="989015" cy="240220"/>
          <wp:effectExtent l="0" t="0" r="0" b="0"/>
          <wp:wrapNone/>
          <wp:docPr id="141" name="image1.jpeg"/>
          <wp:cNvGraphicFramePr>
            <a:graphicFrameLocks noChangeAspect="1"/>
          </wp:cNvGraphicFramePr>
          <a:graphic>
            <a:graphicData uri="http://schemas.openxmlformats.org/drawingml/2006/picture">
              <pic:pic>
                <pic:nvPicPr>
                  <pic:cNvPr id="142" name="image1.jpeg"/>
                  <pic:cNvPicPr/>
                </pic:nvPicPr>
                <pic:blipFill>
                  <a:blip r:embed="rId1" cstate="print"/>
                  <a:stretch>
                    <a:fillRect/>
                  </a:stretch>
                </pic:blipFill>
                <pic:spPr>
                  <a:xfrm>
                    <a:off x="0" y="0"/>
                    <a:ext cx="989015" cy="240220"/>
                  </a:xfrm>
                  <a:prstGeom prst="rect">
                    <a:avLst/>
                  </a:prstGeom>
                </pic:spPr>
              </pic:pic>
            </a:graphicData>
          </a:graphic>
        </wp:anchor>
      </w:drawing>
    </w:r>
    <w:r>
      <w:rPr/>
      <w:pict>
        <v:shape style="position:absolute;margin-left:46.832001pt;margin-top:22.540073pt;width:98pt;height:33.75pt;mso-position-horizontal-relative:page;mso-position-vertical-relative:page;z-index:-18001920" type="#_x0000_t202" filled="false" stroked="false">
          <v:textbox inset="0,0,0,0">
            <w:txbxContent>
              <w:p>
                <w:pPr>
                  <w:spacing w:line="674" w:lineRule="exact" w:before="0"/>
                  <w:ind w:left="20" w:right="0" w:firstLine="0"/>
                  <w:jc w:val="left"/>
                  <w:rPr>
                    <w:b/>
                    <w:sz w:val="48"/>
                  </w:rPr>
                </w:pPr>
                <w:r>
                  <w:rPr>
                    <w:b/>
                    <w:color w:val="0A4EA1"/>
                    <w:sz w:val="48"/>
                  </w:rPr>
                  <w:t>风险提示</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315072">
          <wp:simplePos x="0" y="0"/>
          <wp:positionH relativeFrom="page">
            <wp:posOffset>10789953</wp:posOffset>
          </wp:positionH>
          <wp:positionV relativeFrom="page">
            <wp:posOffset>448437</wp:posOffset>
          </wp:positionV>
          <wp:extent cx="989015" cy="240220"/>
          <wp:effectExtent l="0" t="0" r="0" b="0"/>
          <wp:wrapNone/>
          <wp:docPr id="145" name="image1.jpeg"/>
          <wp:cNvGraphicFramePr>
            <a:graphicFrameLocks noChangeAspect="1"/>
          </wp:cNvGraphicFramePr>
          <a:graphic>
            <a:graphicData uri="http://schemas.openxmlformats.org/drawingml/2006/picture">
              <pic:pic>
                <pic:nvPicPr>
                  <pic:cNvPr id="146" name="image1.jpeg"/>
                  <pic:cNvPicPr/>
                </pic:nvPicPr>
                <pic:blipFill>
                  <a:blip r:embed="rId1" cstate="print"/>
                  <a:stretch>
                    <a:fillRect/>
                  </a:stretch>
                </pic:blipFill>
                <pic:spPr>
                  <a:xfrm>
                    <a:off x="0" y="0"/>
                    <a:ext cx="989015" cy="240220"/>
                  </a:xfrm>
                  <a:prstGeom prst="rect">
                    <a:avLst/>
                  </a:prstGeom>
                </pic:spPr>
              </pic:pic>
            </a:graphicData>
          </a:graphic>
        </wp:anchor>
      </w:drawing>
    </w:r>
    <w:r>
      <w:rPr/>
      <w:pict>
        <v:shape style="position:absolute;margin-left:46.832001pt;margin-top:22.540073pt;width:98pt;height:33.75pt;mso-position-horizontal-relative:page;mso-position-vertical-relative:page;z-index:-18000896" type="#_x0000_t202" filled="false" stroked="false">
          <v:textbox inset="0,0,0,0">
            <w:txbxContent>
              <w:p>
                <w:pPr>
                  <w:spacing w:line="674" w:lineRule="exact" w:before="0"/>
                  <w:ind w:left="20" w:right="0" w:firstLine="0"/>
                  <w:jc w:val="left"/>
                  <w:rPr>
                    <w:b/>
                    <w:sz w:val="48"/>
                  </w:rPr>
                </w:pPr>
                <w:r>
                  <w:rPr>
                    <w:b/>
                    <w:color w:val="0A4EA1"/>
                    <w:sz w:val="48"/>
                  </w:rPr>
                  <w:t>免责声明</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256192">
          <wp:simplePos x="0" y="0"/>
          <wp:positionH relativeFrom="page">
            <wp:posOffset>10789953</wp:posOffset>
          </wp:positionH>
          <wp:positionV relativeFrom="page">
            <wp:posOffset>448437</wp:posOffset>
          </wp:positionV>
          <wp:extent cx="989015" cy="240220"/>
          <wp:effectExtent l="0" t="0" r="0" b="0"/>
          <wp:wrapNone/>
          <wp:docPr id="23" name="image1.jpeg"/>
          <wp:cNvGraphicFramePr>
            <a:graphicFrameLocks noChangeAspect="1"/>
          </wp:cNvGraphicFramePr>
          <a:graphic>
            <a:graphicData uri="http://schemas.openxmlformats.org/drawingml/2006/picture">
              <pic:pic>
                <pic:nvPicPr>
                  <pic:cNvPr id="24" name="image1.jpeg"/>
                  <pic:cNvPicPr/>
                </pic:nvPicPr>
                <pic:blipFill>
                  <a:blip r:embed="rId1" cstate="print"/>
                  <a:stretch>
                    <a:fillRect/>
                  </a:stretch>
                </pic:blipFill>
                <pic:spPr>
                  <a:xfrm>
                    <a:off x="0" y="0"/>
                    <a:ext cx="989015" cy="240220"/>
                  </a:xfrm>
                  <a:prstGeom prst="rect">
                    <a:avLst/>
                  </a:prstGeom>
                </pic:spPr>
              </pic:pic>
            </a:graphicData>
          </a:graphic>
        </wp:anchor>
      </w:drawing>
    </w:r>
    <w:r>
      <w:rPr/>
      <w:pict>
        <v:shape style="position:absolute;margin-left:46.832001pt;margin-top:22.540073pt;width:554pt;height:33.75pt;mso-position-horizontal-relative:page;mso-position-vertical-relative:page;z-index:-18059776" type="#_x0000_t202" filled="false" stroked="false">
          <v:textbox inset="0,0,0,0">
            <w:txbxContent>
              <w:p>
                <w:pPr>
                  <w:spacing w:line="674" w:lineRule="exact" w:before="0"/>
                  <w:ind w:left="20" w:right="0" w:firstLine="0"/>
                  <w:jc w:val="left"/>
                  <w:rPr>
                    <w:b/>
                    <w:sz w:val="48"/>
                  </w:rPr>
                </w:pPr>
                <w:r>
                  <w:rPr>
                    <w:b/>
                    <w:color w:val="0A4EA1"/>
                    <w:sz w:val="48"/>
                  </w:rPr>
                  <w:t>本周关注：中国阿尔兹海默症诊断与治疗产业链梳理</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259264">
          <wp:simplePos x="0" y="0"/>
          <wp:positionH relativeFrom="page">
            <wp:posOffset>10789953</wp:posOffset>
          </wp:positionH>
          <wp:positionV relativeFrom="page">
            <wp:posOffset>448437</wp:posOffset>
          </wp:positionV>
          <wp:extent cx="989015" cy="240220"/>
          <wp:effectExtent l="0" t="0" r="0" b="0"/>
          <wp:wrapNone/>
          <wp:docPr id="31" name="image1.jpeg"/>
          <wp:cNvGraphicFramePr>
            <a:graphicFrameLocks noChangeAspect="1"/>
          </wp:cNvGraphicFramePr>
          <a:graphic>
            <a:graphicData uri="http://schemas.openxmlformats.org/drawingml/2006/picture">
              <pic:pic>
                <pic:nvPicPr>
                  <pic:cNvPr id="32" name="image1.jpeg"/>
                  <pic:cNvPicPr/>
                </pic:nvPicPr>
                <pic:blipFill>
                  <a:blip r:embed="rId1" cstate="print"/>
                  <a:stretch>
                    <a:fillRect/>
                  </a:stretch>
                </pic:blipFill>
                <pic:spPr>
                  <a:xfrm>
                    <a:off x="0" y="0"/>
                    <a:ext cx="989015" cy="240220"/>
                  </a:xfrm>
                  <a:prstGeom prst="rect">
                    <a:avLst/>
                  </a:prstGeom>
                </pic:spPr>
              </pic:pic>
            </a:graphicData>
          </a:graphic>
        </wp:anchor>
      </w:drawing>
    </w:r>
    <w:r>
      <w:rPr/>
      <w:pict>
        <v:shape style="position:absolute;margin-left:46.832001pt;margin-top:22.540073pt;width:554pt;height:33.75pt;mso-position-horizontal-relative:page;mso-position-vertical-relative:page;z-index:-18056704" type="#_x0000_t202" filled="false" stroked="false">
          <v:textbox inset="0,0,0,0">
            <w:txbxContent>
              <w:p>
                <w:pPr>
                  <w:spacing w:line="674" w:lineRule="exact" w:before="0"/>
                  <w:ind w:left="20" w:right="0" w:firstLine="0"/>
                  <w:jc w:val="left"/>
                  <w:rPr>
                    <w:b/>
                    <w:sz w:val="48"/>
                  </w:rPr>
                </w:pPr>
                <w:r>
                  <w:rPr>
                    <w:b/>
                    <w:color w:val="0A4EA1"/>
                    <w:sz w:val="48"/>
                  </w:rPr>
                  <w:t>本周关注：中国阿尔兹海默症诊断与治疗产业链梳理</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262336">
          <wp:simplePos x="0" y="0"/>
          <wp:positionH relativeFrom="page">
            <wp:posOffset>10789953</wp:posOffset>
          </wp:positionH>
          <wp:positionV relativeFrom="page">
            <wp:posOffset>448437</wp:posOffset>
          </wp:positionV>
          <wp:extent cx="989015" cy="240220"/>
          <wp:effectExtent l="0" t="0" r="0" b="0"/>
          <wp:wrapNone/>
          <wp:docPr id="37" name="image1.jpeg"/>
          <wp:cNvGraphicFramePr>
            <a:graphicFrameLocks noChangeAspect="1"/>
          </wp:cNvGraphicFramePr>
          <a:graphic>
            <a:graphicData uri="http://schemas.openxmlformats.org/drawingml/2006/picture">
              <pic:pic>
                <pic:nvPicPr>
                  <pic:cNvPr id="38" name="image1.jpeg"/>
                  <pic:cNvPicPr/>
                </pic:nvPicPr>
                <pic:blipFill>
                  <a:blip r:embed="rId1" cstate="print"/>
                  <a:stretch>
                    <a:fillRect/>
                  </a:stretch>
                </pic:blipFill>
                <pic:spPr>
                  <a:xfrm>
                    <a:off x="0" y="0"/>
                    <a:ext cx="989015" cy="240220"/>
                  </a:xfrm>
                  <a:prstGeom prst="rect">
                    <a:avLst/>
                  </a:prstGeom>
                </pic:spPr>
              </pic:pic>
            </a:graphicData>
          </a:graphic>
        </wp:anchor>
      </w:drawing>
    </w:r>
    <w:r>
      <w:rPr/>
      <w:pict>
        <v:shape style="position:absolute;margin-left:46.832001pt;margin-top:22.540073pt;width:554pt;height:33.75pt;mso-position-horizontal-relative:page;mso-position-vertical-relative:page;z-index:-18053632" type="#_x0000_t202" filled="false" stroked="false">
          <v:textbox inset="0,0,0,0">
            <w:txbxContent>
              <w:p>
                <w:pPr>
                  <w:spacing w:line="674" w:lineRule="exact" w:before="0"/>
                  <w:ind w:left="20" w:right="0" w:firstLine="0"/>
                  <w:jc w:val="left"/>
                  <w:rPr>
                    <w:b/>
                    <w:sz w:val="48"/>
                  </w:rPr>
                </w:pPr>
                <w:r>
                  <w:rPr>
                    <w:b/>
                    <w:color w:val="0A4EA1"/>
                    <w:sz w:val="48"/>
                  </w:rPr>
                  <w:t>本周关注：中国阿尔兹海默症诊断与治疗产业链梳理</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265408">
          <wp:simplePos x="0" y="0"/>
          <wp:positionH relativeFrom="page">
            <wp:posOffset>10789953</wp:posOffset>
          </wp:positionH>
          <wp:positionV relativeFrom="page">
            <wp:posOffset>448437</wp:posOffset>
          </wp:positionV>
          <wp:extent cx="989015" cy="240220"/>
          <wp:effectExtent l="0" t="0" r="0" b="0"/>
          <wp:wrapNone/>
          <wp:docPr id="43" name="image1.jpeg"/>
          <wp:cNvGraphicFramePr>
            <a:graphicFrameLocks noChangeAspect="1"/>
          </wp:cNvGraphicFramePr>
          <a:graphic>
            <a:graphicData uri="http://schemas.openxmlformats.org/drawingml/2006/picture">
              <pic:pic>
                <pic:nvPicPr>
                  <pic:cNvPr id="44" name="image1.jpeg"/>
                  <pic:cNvPicPr/>
                </pic:nvPicPr>
                <pic:blipFill>
                  <a:blip r:embed="rId1" cstate="print"/>
                  <a:stretch>
                    <a:fillRect/>
                  </a:stretch>
                </pic:blipFill>
                <pic:spPr>
                  <a:xfrm>
                    <a:off x="0" y="0"/>
                    <a:ext cx="989015" cy="240220"/>
                  </a:xfrm>
                  <a:prstGeom prst="rect">
                    <a:avLst/>
                  </a:prstGeom>
                </pic:spPr>
              </pic:pic>
            </a:graphicData>
          </a:graphic>
        </wp:anchor>
      </w:drawing>
    </w:r>
    <w:r>
      <w:rPr/>
      <w:pict>
        <v:shape style="position:absolute;margin-left:46.832001pt;margin-top:22.540073pt;width:554pt;height:33.75pt;mso-position-horizontal-relative:page;mso-position-vertical-relative:page;z-index:-18050560" type="#_x0000_t202" filled="false" stroked="false">
          <v:textbox inset="0,0,0,0">
            <w:txbxContent>
              <w:p>
                <w:pPr>
                  <w:spacing w:line="674" w:lineRule="exact" w:before="0"/>
                  <w:ind w:left="20" w:right="0" w:firstLine="0"/>
                  <w:jc w:val="left"/>
                  <w:rPr>
                    <w:b/>
                    <w:sz w:val="48"/>
                  </w:rPr>
                </w:pPr>
                <w:r>
                  <w:rPr>
                    <w:b/>
                    <w:color w:val="0A4EA1"/>
                    <w:sz w:val="48"/>
                  </w:rPr>
                  <w:t>本周关注：中国阿尔兹海默症诊断与治疗产业链梳理</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268480">
          <wp:simplePos x="0" y="0"/>
          <wp:positionH relativeFrom="page">
            <wp:posOffset>10789953</wp:posOffset>
          </wp:positionH>
          <wp:positionV relativeFrom="page">
            <wp:posOffset>448437</wp:posOffset>
          </wp:positionV>
          <wp:extent cx="989015" cy="240220"/>
          <wp:effectExtent l="0" t="0" r="0" b="0"/>
          <wp:wrapNone/>
          <wp:docPr id="49" name="image1.jpeg"/>
          <wp:cNvGraphicFramePr>
            <a:graphicFrameLocks noChangeAspect="1"/>
          </wp:cNvGraphicFramePr>
          <a:graphic>
            <a:graphicData uri="http://schemas.openxmlformats.org/drawingml/2006/picture">
              <pic:pic>
                <pic:nvPicPr>
                  <pic:cNvPr id="50" name="image1.jpeg"/>
                  <pic:cNvPicPr/>
                </pic:nvPicPr>
                <pic:blipFill>
                  <a:blip r:embed="rId1" cstate="print"/>
                  <a:stretch>
                    <a:fillRect/>
                  </a:stretch>
                </pic:blipFill>
                <pic:spPr>
                  <a:xfrm>
                    <a:off x="0" y="0"/>
                    <a:ext cx="989015" cy="240220"/>
                  </a:xfrm>
                  <a:prstGeom prst="rect">
                    <a:avLst/>
                  </a:prstGeom>
                </pic:spPr>
              </pic:pic>
            </a:graphicData>
          </a:graphic>
        </wp:anchor>
      </w:drawing>
    </w:r>
    <w:r>
      <w:rPr/>
      <w:pict>
        <v:shape style="position:absolute;margin-left:46.832001pt;margin-top:22.540073pt;width:554pt;height:33.75pt;mso-position-horizontal-relative:page;mso-position-vertical-relative:page;z-index:-18047488" type="#_x0000_t202" filled="false" stroked="false">
          <v:textbox inset="0,0,0,0">
            <w:txbxContent>
              <w:p>
                <w:pPr>
                  <w:spacing w:line="674" w:lineRule="exact" w:before="0"/>
                  <w:ind w:left="20" w:right="0" w:firstLine="0"/>
                  <w:jc w:val="left"/>
                  <w:rPr>
                    <w:b/>
                    <w:sz w:val="48"/>
                  </w:rPr>
                </w:pPr>
                <w:r>
                  <w:rPr>
                    <w:b/>
                    <w:color w:val="0A4EA1"/>
                    <w:sz w:val="48"/>
                  </w:rPr>
                  <w:t>本周关注：中国阿尔兹海默症诊断与治疗产业链梳理</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271552">
          <wp:simplePos x="0" y="0"/>
          <wp:positionH relativeFrom="page">
            <wp:posOffset>10789953</wp:posOffset>
          </wp:positionH>
          <wp:positionV relativeFrom="page">
            <wp:posOffset>448437</wp:posOffset>
          </wp:positionV>
          <wp:extent cx="989015" cy="240220"/>
          <wp:effectExtent l="0" t="0" r="0" b="0"/>
          <wp:wrapNone/>
          <wp:docPr id="55" name="image1.jpeg"/>
          <wp:cNvGraphicFramePr>
            <a:graphicFrameLocks noChangeAspect="1"/>
          </wp:cNvGraphicFramePr>
          <a:graphic>
            <a:graphicData uri="http://schemas.openxmlformats.org/drawingml/2006/picture">
              <pic:pic>
                <pic:nvPicPr>
                  <pic:cNvPr id="56" name="image1.jpeg"/>
                  <pic:cNvPicPr/>
                </pic:nvPicPr>
                <pic:blipFill>
                  <a:blip r:embed="rId1" cstate="print"/>
                  <a:stretch>
                    <a:fillRect/>
                  </a:stretch>
                </pic:blipFill>
                <pic:spPr>
                  <a:xfrm>
                    <a:off x="0" y="0"/>
                    <a:ext cx="989015" cy="240220"/>
                  </a:xfrm>
                  <a:prstGeom prst="rect">
                    <a:avLst/>
                  </a:prstGeom>
                </pic:spPr>
              </pic:pic>
            </a:graphicData>
          </a:graphic>
        </wp:anchor>
      </w:drawing>
    </w:r>
    <w:r>
      <w:rPr/>
      <w:pict>
        <v:shape style="position:absolute;margin-left:46.832001pt;margin-top:22.540073pt;width:554pt;height:33.75pt;mso-position-horizontal-relative:page;mso-position-vertical-relative:page;z-index:-18044416" type="#_x0000_t202" filled="false" stroked="false">
          <v:textbox inset="0,0,0,0">
            <w:txbxContent>
              <w:p>
                <w:pPr>
                  <w:spacing w:line="674" w:lineRule="exact" w:before="0"/>
                  <w:ind w:left="20" w:right="0" w:firstLine="0"/>
                  <w:jc w:val="left"/>
                  <w:rPr>
                    <w:b/>
                    <w:sz w:val="48"/>
                  </w:rPr>
                </w:pPr>
                <w:r>
                  <w:rPr>
                    <w:b/>
                    <w:color w:val="0A4EA1"/>
                    <w:sz w:val="48"/>
                  </w:rPr>
                  <w:t>本周关注：中国阿尔兹海默症诊断与治疗产业链梳理</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274624">
          <wp:simplePos x="0" y="0"/>
          <wp:positionH relativeFrom="page">
            <wp:posOffset>10789953</wp:posOffset>
          </wp:positionH>
          <wp:positionV relativeFrom="page">
            <wp:posOffset>448437</wp:posOffset>
          </wp:positionV>
          <wp:extent cx="989015" cy="240220"/>
          <wp:effectExtent l="0" t="0" r="0" b="0"/>
          <wp:wrapNone/>
          <wp:docPr id="59" name="image1.jpeg"/>
          <wp:cNvGraphicFramePr>
            <a:graphicFrameLocks noChangeAspect="1"/>
          </wp:cNvGraphicFramePr>
          <a:graphic>
            <a:graphicData uri="http://schemas.openxmlformats.org/drawingml/2006/picture">
              <pic:pic>
                <pic:nvPicPr>
                  <pic:cNvPr id="60" name="image1.jpeg"/>
                  <pic:cNvPicPr/>
                </pic:nvPicPr>
                <pic:blipFill>
                  <a:blip r:embed="rId1" cstate="print"/>
                  <a:stretch>
                    <a:fillRect/>
                  </a:stretch>
                </pic:blipFill>
                <pic:spPr>
                  <a:xfrm>
                    <a:off x="0" y="0"/>
                    <a:ext cx="989015" cy="240220"/>
                  </a:xfrm>
                  <a:prstGeom prst="rect">
                    <a:avLst/>
                  </a:prstGeom>
                </pic:spPr>
              </pic:pic>
            </a:graphicData>
          </a:graphic>
        </wp:anchor>
      </w:drawing>
    </w:r>
    <w:r>
      <w:rPr/>
      <w:pict>
        <v:shape style="position:absolute;margin-left:46.832001pt;margin-top:22.540073pt;width:554pt;height:33.75pt;mso-position-horizontal-relative:page;mso-position-vertical-relative:page;z-index:-18041344" type="#_x0000_t202" filled="false" stroked="false">
          <v:textbox inset="0,0,0,0">
            <w:txbxContent>
              <w:p>
                <w:pPr>
                  <w:spacing w:line="674" w:lineRule="exact" w:before="0"/>
                  <w:ind w:left="20" w:right="0" w:firstLine="0"/>
                  <w:jc w:val="left"/>
                  <w:rPr>
                    <w:b/>
                    <w:sz w:val="48"/>
                  </w:rPr>
                </w:pPr>
                <w:r>
                  <w:rPr>
                    <w:b/>
                    <w:color w:val="0A4EA1"/>
                    <w:sz w:val="48"/>
                  </w:rPr>
                  <w:t>本周关注：中国阿尔兹海默症诊断与治疗产业链梳理</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9">
    <w:multiLevelType w:val="hybridMultilevel"/>
    <w:lvl w:ilvl="0">
      <w:start w:val="1"/>
      <w:numFmt w:val="decimal"/>
      <w:lvlText w:val="%1）"/>
      <w:lvlJc w:val="left"/>
      <w:pPr>
        <w:ind w:left="1387" w:hanging="454"/>
        <w:jc w:val="left"/>
      </w:pPr>
      <w:rPr>
        <w:rFonts w:hint="default" w:ascii="微软雅黑" w:hAnsi="微软雅黑" w:eastAsia="微软雅黑" w:cs="微软雅黑"/>
        <w:color w:val="57585B"/>
        <w:spacing w:val="2"/>
        <w:w w:val="100"/>
        <w:sz w:val="26"/>
        <w:szCs w:val="26"/>
        <w:lang w:val="en-US" w:eastAsia="zh-CN" w:bidi="ar-SA"/>
      </w:rPr>
    </w:lvl>
    <w:lvl w:ilvl="1">
      <w:start w:val="0"/>
      <w:numFmt w:val="bullet"/>
      <w:lvlText w:val="•"/>
      <w:lvlJc w:val="left"/>
      <w:pPr>
        <w:ind w:left="3162" w:hanging="454"/>
      </w:pPr>
      <w:rPr>
        <w:rFonts w:hint="default"/>
        <w:lang w:val="en-US" w:eastAsia="zh-CN" w:bidi="ar-SA"/>
      </w:rPr>
    </w:lvl>
    <w:lvl w:ilvl="2">
      <w:start w:val="0"/>
      <w:numFmt w:val="bullet"/>
      <w:lvlText w:val="•"/>
      <w:lvlJc w:val="left"/>
      <w:pPr>
        <w:ind w:left="4944" w:hanging="454"/>
      </w:pPr>
      <w:rPr>
        <w:rFonts w:hint="default"/>
        <w:lang w:val="en-US" w:eastAsia="zh-CN" w:bidi="ar-SA"/>
      </w:rPr>
    </w:lvl>
    <w:lvl w:ilvl="3">
      <w:start w:val="0"/>
      <w:numFmt w:val="bullet"/>
      <w:lvlText w:val="•"/>
      <w:lvlJc w:val="left"/>
      <w:pPr>
        <w:ind w:left="6726" w:hanging="454"/>
      </w:pPr>
      <w:rPr>
        <w:rFonts w:hint="default"/>
        <w:lang w:val="en-US" w:eastAsia="zh-CN" w:bidi="ar-SA"/>
      </w:rPr>
    </w:lvl>
    <w:lvl w:ilvl="4">
      <w:start w:val="0"/>
      <w:numFmt w:val="bullet"/>
      <w:lvlText w:val="•"/>
      <w:lvlJc w:val="left"/>
      <w:pPr>
        <w:ind w:left="8508" w:hanging="454"/>
      </w:pPr>
      <w:rPr>
        <w:rFonts w:hint="default"/>
        <w:lang w:val="en-US" w:eastAsia="zh-CN" w:bidi="ar-SA"/>
      </w:rPr>
    </w:lvl>
    <w:lvl w:ilvl="5">
      <w:start w:val="0"/>
      <w:numFmt w:val="bullet"/>
      <w:lvlText w:val="•"/>
      <w:lvlJc w:val="left"/>
      <w:pPr>
        <w:ind w:left="10290" w:hanging="454"/>
      </w:pPr>
      <w:rPr>
        <w:rFonts w:hint="default"/>
        <w:lang w:val="en-US" w:eastAsia="zh-CN" w:bidi="ar-SA"/>
      </w:rPr>
    </w:lvl>
    <w:lvl w:ilvl="6">
      <w:start w:val="0"/>
      <w:numFmt w:val="bullet"/>
      <w:lvlText w:val="•"/>
      <w:lvlJc w:val="left"/>
      <w:pPr>
        <w:ind w:left="12072" w:hanging="454"/>
      </w:pPr>
      <w:rPr>
        <w:rFonts w:hint="default"/>
        <w:lang w:val="en-US" w:eastAsia="zh-CN" w:bidi="ar-SA"/>
      </w:rPr>
    </w:lvl>
    <w:lvl w:ilvl="7">
      <w:start w:val="0"/>
      <w:numFmt w:val="bullet"/>
      <w:lvlText w:val="•"/>
      <w:lvlJc w:val="left"/>
      <w:pPr>
        <w:ind w:left="13854" w:hanging="454"/>
      </w:pPr>
      <w:rPr>
        <w:rFonts w:hint="default"/>
        <w:lang w:val="en-US" w:eastAsia="zh-CN" w:bidi="ar-SA"/>
      </w:rPr>
    </w:lvl>
    <w:lvl w:ilvl="8">
      <w:start w:val="0"/>
      <w:numFmt w:val="bullet"/>
      <w:lvlText w:val="•"/>
      <w:lvlJc w:val="left"/>
      <w:pPr>
        <w:ind w:left="15636" w:hanging="454"/>
      </w:pPr>
      <w:rPr>
        <w:rFonts w:hint="default"/>
        <w:lang w:val="en-US" w:eastAsia="zh-CN" w:bidi="ar-SA"/>
      </w:rPr>
    </w:lvl>
  </w:abstractNum>
  <w:abstractNum w:abstractNumId="8">
    <w:multiLevelType w:val="hybridMultilevel"/>
    <w:lvl w:ilvl="0">
      <w:start w:val="0"/>
      <w:numFmt w:val="bullet"/>
      <w:lvlText w:val=""/>
      <w:lvlJc w:val="left"/>
      <w:pPr>
        <w:ind w:left="887" w:hanging="452"/>
      </w:pPr>
      <w:rPr>
        <w:rFonts w:hint="default" w:ascii="Wingdings" w:hAnsi="Wingdings" w:eastAsia="Wingdings" w:cs="Wingdings"/>
        <w:color w:val="0A4EA1"/>
        <w:w w:val="100"/>
        <w:sz w:val="22"/>
        <w:szCs w:val="22"/>
        <w:lang w:val="en-US" w:eastAsia="zh-CN" w:bidi="ar-SA"/>
      </w:rPr>
    </w:lvl>
    <w:lvl w:ilvl="1">
      <w:start w:val="0"/>
      <w:numFmt w:val="bullet"/>
      <w:lvlText w:val="•"/>
      <w:lvlJc w:val="left"/>
      <w:pPr>
        <w:ind w:left="1216" w:hanging="284"/>
      </w:pPr>
      <w:rPr>
        <w:rFonts w:hint="default" w:ascii="Arial" w:hAnsi="Arial" w:eastAsia="Arial" w:cs="Arial"/>
        <w:color w:val="57585B"/>
        <w:w w:val="100"/>
        <w:sz w:val="28"/>
        <w:szCs w:val="28"/>
        <w:lang w:val="en-US" w:eastAsia="zh-CN" w:bidi="ar-SA"/>
      </w:rPr>
    </w:lvl>
    <w:lvl w:ilvl="2">
      <w:start w:val="0"/>
      <w:numFmt w:val="bullet"/>
      <w:lvlText w:val="•"/>
      <w:lvlJc w:val="left"/>
      <w:pPr>
        <w:ind w:left="3217" w:hanging="284"/>
      </w:pPr>
      <w:rPr>
        <w:rFonts w:hint="default"/>
        <w:lang w:val="en-US" w:eastAsia="zh-CN" w:bidi="ar-SA"/>
      </w:rPr>
    </w:lvl>
    <w:lvl w:ilvl="3">
      <w:start w:val="0"/>
      <w:numFmt w:val="bullet"/>
      <w:lvlText w:val="•"/>
      <w:lvlJc w:val="left"/>
      <w:pPr>
        <w:ind w:left="5215" w:hanging="284"/>
      </w:pPr>
      <w:rPr>
        <w:rFonts w:hint="default"/>
        <w:lang w:val="en-US" w:eastAsia="zh-CN" w:bidi="ar-SA"/>
      </w:rPr>
    </w:lvl>
    <w:lvl w:ilvl="4">
      <w:start w:val="0"/>
      <w:numFmt w:val="bullet"/>
      <w:lvlText w:val="•"/>
      <w:lvlJc w:val="left"/>
      <w:pPr>
        <w:ind w:left="7213" w:hanging="284"/>
      </w:pPr>
      <w:rPr>
        <w:rFonts w:hint="default"/>
        <w:lang w:val="en-US" w:eastAsia="zh-CN" w:bidi="ar-SA"/>
      </w:rPr>
    </w:lvl>
    <w:lvl w:ilvl="5">
      <w:start w:val="0"/>
      <w:numFmt w:val="bullet"/>
      <w:lvlText w:val="•"/>
      <w:lvlJc w:val="left"/>
      <w:pPr>
        <w:ind w:left="9211" w:hanging="284"/>
      </w:pPr>
      <w:rPr>
        <w:rFonts w:hint="default"/>
        <w:lang w:val="en-US" w:eastAsia="zh-CN" w:bidi="ar-SA"/>
      </w:rPr>
    </w:lvl>
    <w:lvl w:ilvl="6">
      <w:start w:val="0"/>
      <w:numFmt w:val="bullet"/>
      <w:lvlText w:val="•"/>
      <w:lvlJc w:val="left"/>
      <w:pPr>
        <w:ind w:left="11208" w:hanging="284"/>
      </w:pPr>
      <w:rPr>
        <w:rFonts w:hint="default"/>
        <w:lang w:val="en-US" w:eastAsia="zh-CN" w:bidi="ar-SA"/>
      </w:rPr>
    </w:lvl>
    <w:lvl w:ilvl="7">
      <w:start w:val="0"/>
      <w:numFmt w:val="bullet"/>
      <w:lvlText w:val="•"/>
      <w:lvlJc w:val="left"/>
      <w:pPr>
        <w:ind w:left="13206" w:hanging="284"/>
      </w:pPr>
      <w:rPr>
        <w:rFonts w:hint="default"/>
        <w:lang w:val="en-US" w:eastAsia="zh-CN" w:bidi="ar-SA"/>
      </w:rPr>
    </w:lvl>
    <w:lvl w:ilvl="8">
      <w:start w:val="0"/>
      <w:numFmt w:val="bullet"/>
      <w:lvlText w:val="•"/>
      <w:lvlJc w:val="left"/>
      <w:pPr>
        <w:ind w:left="15204" w:hanging="284"/>
      </w:pPr>
      <w:rPr>
        <w:rFonts w:hint="default"/>
        <w:lang w:val="en-US" w:eastAsia="zh-CN" w:bidi="ar-SA"/>
      </w:rPr>
    </w:lvl>
  </w:abstractNum>
  <w:abstractNum w:abstractNumId="7">
    <w:multiLevelType w:val="hybridMultilevel"/>
    <w:lvl w:ilvl="0">
      <w:start w:val="0"/>
      <w:numFmt w:val="bullet"/>
      <w:lvlText w:val=""/>
      <w:lvlJc w:val="left"/>
      <w:pPr>
        <w:ind w:left="755" w:hanging="452"/>
      </w:pPr>
      <w:rPr>
        <w:rFonts w:hint="default" w:ascii="Wingdings" w:hAnsi="Wingdings" w:eastAsia="Wingdings" w:cs="Wingdings"/>
        <w:color w:val="0A4EA1"/>
        <w:w w:val="100"/>
        <w:sz w:val="22"/>
        <w:szCs w:val="22"/>
        <w:lang w:val="en-US" w:eastAsia="zh-CN" w:bidi="ar-SA"/>
      </w:rPr>
    </w:lvl>
    <w:lvl w:ilvl="1">
      <w:start w:val="0"/>
      <w:numFmt w:val="bullet"/>
      <w:lvlText w:val="•"/>
      <w:lvlJc w:val="left"/>
      <w:pPr>
        <w:ind w:left="1300" w:hanging="452"/>
      </w:pPr>
      <w:rPr>
        <w:rFonts w:hint="default" w:ascii="Arial" w:hAnsi="Arial" w:eastAsia="Arial" w:cs="Arial"/>
        <w:color w:val="57585B"/>
        <w:w w:val="100"/>
        <w:sz w:val="28"/>
        <w:szCs w:val="28"/>
        <w:lang w:val="en-US" w:eastAsia="zh-CN" w:bidi="ar-SA"/>
      </w:rPr>
    </w:lvl>
    <w:lvl w:ilvl="2">
      <w:start w:val="0"/>
      <w:numFmt w:val="bullet"/>
      <w:lvlText w:val="•"/>
      <w:lvlJc w:val="left"/>
      <w:pPr>
        <w:ind w:left="1216" w:hanging="284"/>
      </w:pPr>
      <w:rPr>
        <w:rFonts w:hint="default" w:ascii="Arial" w:hAnsi="Arial" w:eastAsia="Arial" w:cs="Arial"/>
        <w:color w:val="57585B"/>
        <w:w w:val="100"/>
        <w:sz w:val="28"/>
        <w:szCs w:val="28"/>
        <w:lang w:val="en-US" w:eastAsia="zh-CN" w:bidi="ar-SA"/>
      </w:rPr>
    </w:lvl>
    <w:lvl w:ilvl="3">
      <w:start w:val="0"/>
      <w:numFmt w:val="bullet"/>
      <w:lvlText w:val="•"/>
      <w:lvlJc w:val="left"/>
      <w:pPr>
        <w:ind w:left="2078" w:hanging="284"/>
      </w:pPr>
      <w:rPr>
        <w:rFonts w:hint="default"/>
        <w:lang w:val="en-US" w:eastAsia="zh-CN" w:bidi="ar-SA"/>
      </w:rPr>
    </w:lvl>
    <w:lvl w:ilvl="4">
      <w:start w:val="0"/>
      <w:numFmt w:val="bullet"/>
      <w:lvlText w:val="•"/>
      <w:lvlJc w:val="left"/>
      <w:pPr>
        <w:ind w:left="2856" w:hanging="284"/>
      </w:pPr>
      <w:rPr>
        <w:rFonts w:hint="default"/>
        <w:lang w:val="en-US" w:eastAsia="zh-CN" w:bidi="ar-SA"/>
      </w:rPr>
    </w:lvl>
    <w:lvl w:ilvl="5">
      <w:start w:val="0"/>
      <w:numFmt w:val="bullet"/>
      <w:lvlText w:val="•"/>
      <w:lvlJc w:val="left"/>
      <w:pPr>
        <w:ind w:left="3634" w:hanging="284"/>
      </w:pPr>
      <w:rPr>
        <w:rFonts w:hint="default"/>
        <w:lang w:val="en-US" w:eastAsia="zh-CN" w:bidi="ar-SA"/>
      </w:rPr>
    </w:lvl>
    <w:lvl w:ilvl="6">
      <w:start w:val="0"/>
      <w:numFmt w:val="bullet"/>
      <w:lvlText w:val="•"/>
      <w:lvlJc w:val="left"/>
      <w:pPr>
        <w:ind w:left="4412" w:hanging="284"/>
      </w:pPr>
      <w:rPr>
        <w:rFonts w:hint="default"/>
        <w:lang w:val="en-US" w:eastAsia="zh-CN" w:bidi="ar-SA"/>
      </w:rPr>
    </w:lvl>
    <w:lvl w:ilvl="7">
      <w:start w:val="0"/>
      <w:numFmt w:val="bullet"/>
      <w:lvlText w:val="•"/>
      <w:lvlJc w:val="left"/>
      <w:pPr>
        <w:ind w:left="5191" w:hanging="284"/>
      </w:pPr>
      <w:rPr>
        <w:rFonts w:hint="default"/>
        <w:lang w:val="en-US" w:eastAsia="zh-CN" w:bidi="ar-SA"/>
      </w:rPr>
    </w:lvl>
    <w:lvl w:ilvl="8">
      <w:start w:val="0"/>
      <w:numFmt w:val="bullet"/>
      <w:lvlText w:val="•"/>
      <w:lvlJc w:val="left"/>
      <w:pPr>
        <w:ind w:left="5969" w:hanging="284"/>
      </w:pPr>
      <w:rPr>
        <w:rFonts w:hint="default"/>
        <w:lang w:val="en-US" w:eastAsia="zh-CN" w:bidi="ar-SA"/>
      </w:rPr>
    </w:lvl>
  </w:abstractNum>
  <w:abstractNum w:abstractNumId="6">
    <w:multiLevelType w:val="hybridMultilevel"/>
    <w:lvl w:ilvl="0">
      <w:start w:val="0"/>
      <w:numFmt w:val="bullet"/>
      <w:lvlText w:val=""/>
      <w:lvlJc w:val="left"/>
      <w:pPr>
        <w:ind w:left="957" w:hanging="452"/>
      </w:pPr>
      <w:rPr>
        <w:rFonts w:hint="default" w:ascii="Wingdings" w:hAnsi="Wingdings" w:eastAsia="Wingdings" w:cs="Wingdings"/>
        <w:color w:val="0A4EA1"/>
        <w:w w:val="100"/>
        <w:sz w:val="22"/>
        <w:szCs w:val="22"/>
        <w:lang w:val="en-US" w:eastAsia="zh-CN" w:bidi="ar-SA"/>
      </w:rPr>
    </w:lvl>
    <w:lvl w:ilvl="1">
      <w:start w:val="0"/>
      <w:numFmt w:val="bullet"/>
      <w:lvlText w:val="•"/>
      <w:lvlJc w:val="left"/>
      <w:pPr>
        <w:ind w:left="1216" w:hanging="284"/>
      </w:pPr>
      <w:rPr>
        <w:rFonts w:hint="default" w:ascii="Arial" w:hAnsi="Arial" w:eastAsia="Arial" w:cs="Arial"/>
        <w:color w:val="57585B"/>
        <w:w w:val="100"/>
        <w:sz w:val="28"/>
        <w:szCs w:val="28"/>
        <w:lang w:val="en-US" w:eastAsia="zh-CN" w:bidi="ar-SA"/>
      </w:rPr>
    </w:lvl>
    <w:lvl w:ilvl="2">
      <w:start w:val="0"/>
      <w:numFmt w:val="bullet"/>
      <w:lvlText w:val="•"/>
      <w:lvlJc w:val="left"/>
      <w:pPr>
        <w:ind w:left="2377" w:hanging="284"/>
      </w:pPr>
      <w:rPr>
        <w:rFonts w:hint="default"/>
        <w:lang w:val="en-US" w:eastAsia="zh-CN" w:bidi="ar-SA"/>
      </w:rPr>
    </w:lvl>
    <w:lvl w:ilvl="3">
      <w:start w:val="0"/>
      <w:numFmt w:val="bullet"/>
      <w:lvlText w:val="•"/>
      <w:lvlJc w:val="left"/>
      <w:pPr>
        <w:ind w:left="3534" w:hanging="284"/>
      </w:pPr>
      <w:rPr>
        <w:rFonts w:hint="default"/>
        <w:lang w:val="en-US" w:eastAsia="zh-CN" w:bidi="ar-SA"/>
      </w:rPr>
    </w:lvl>
    <w:lvl w:ilvl="4">
      <w:start w:val="0"/>
      <w:numFmt w:val="bullet"/>
      <w:lvlText w:val="•"/>
      <w:lvlJc w:val="left"/>
      <w:pPr>
        <w:ind w:left="4691" w:hanging="284"/>
      </w:pPr>
      <w:rPr>
        <w:rFonts w:hint="default"/>
        <w:lang w:val="en-US" w:eastAsia="zh-CN" w:bidi="ar-SA"/>
      </w:rPr>
    </w:lvl>
    <w:lvl w:ilvl="5">
      <w:start w:val="0"/>
      <w:numFmt w:val="bullet"/>
      <w:lvlText w:val="•"/>
      <w:lvlJc w:val="left"/>
      <w:pPr>
        <w:ind w:left="5848" w:hanging="284"/>
      </w:pPr>
      <w:rPr>
        <w:rFonts w:hint="default"/>
        <w:lang w:val="en-US" w:eastAsia="zh-CN" w:bidi="ar-SA"/>
      </w:rPr>
    </w:lvl>
    <w:lvl w:ilvl="6">
      <w:start w:val="0"/>
      <w:numFmt w:val="bullet"/>
      <w:lvlText w:val="•"/>
      <w:lvlJc w:val="left"/>
      <w:pPr>
        <w:ind w:left="7005" w:hanging="284"/>
      </w:pPr>
      <w:rPr>
        <w:rFonts w:hint="default"/>
        <w:lang w:val="en-US" w:eastAsia="zh-CN" w:bidi="ar-SA"/>
      </w:rPr>
    </w:lvl>
    <w:lvl w:ilvl="7">
      <w:start w:val="0"/>
      <w:numFmt w:val="bullet"/>
      <w:lvlText w:val="•"/>
      <w:lvlJc w:val="left"/>
      <w:pPr>
        <w:ind w:left="8162" w:hanging="284"/>
      </w:pPr>
      <w:rPr>
        <w:rFonts w:hint="default"/>
        <w:lang w:val="en-US" w:eastAsia="zh-CN" w:bidi="ar-SA"/>
      </w:rPr>
    </w:lvl>
    <w:lvl w:ilvl="8">
      <w:start w:val="0"/>
      <w:numFmt w:val="bullet"/>
      <w:lvlText w:val="•"/>
      <w:lvlJc w:val="left"/>
      <w:pPr>
        <w:ind w:left="9319" w:hanging="284"/>
      </w:pPr>
      <w:rPr>
        <w:rFonts w:hint="default"/>
        <w:lang w:val="en-US" w:eastAsia="zh-CN" w:bidi="ar-SA"/>
      </w:rPr>
    </w:lvl>
  </w:abstractNum>
  <w:abstractNum w:abstractNumId="5">
    <w:multiLevelType w:val="hybridMultilevel"/>
    <w:lvl w:ilvl="0">
      <w:start w:val="0"/>
      <w:numFmt w:val="bullet"/>
      <w:lvlText w:val=""/>
      <w:lvlJc w:val="left"/>
      <w:pPr>
        <w:ind w:left="748" w:hanging="452"/>
      </w:pPr>
      <w:rPr>
        <w:rFonts w:hint="default" w:ascii="Wingdings" w:hAnsi="Wingdings" w:eastAsia="Wingdings" w:cs="Wingdings"/>
        <w:color w:val="0A4EA1"/>
        <w:w w:val="100"/>
        <w:sz w:val="22"/>
        <w:szCs w:val="22"/>
        <w:lang w:val="en-US" w:eastAsia="zh-CN" w:bidi="ar-SA"/>
      </w:rPr>
    </w:lvl>
    <w:lvl w:ilvl="1">
      <w:start w:val="0"/>
      <w:numFmt w:val="bullet"/>
      <w:lvlText w:val=""/>
      <w:lvlJc w:val="left"/>
      <w:pPr>
        <w:ind w:left="876" w:hanging="452"/>
      </w:pPr>
      <w:rPr>
        <w:rFonts w:hint="default" w:ascii="Wingdings" w:hAnsi="Wingdings" w:eastAsia="Wingdings" w:cs="Wingdings"/>
        <w:color w:val="0A4EA1"/>
        <w:w w:val="100"/>
        <w:sz w:val="22"/>
        <w:szCs w:val="22"/>
        <w:lang w:val="en-US" w:eastAsia="zh-CN" w:bidi="ar-SA"/>
      </w:rPr>
    </w:lvl>
    <w:lvl w:ilvl="2">
      <w:start w:val="0"/>
      <w:numFmt w:val="bullet"/>
      <w:lvlText w:val="•"/>
      <w:lvlJc w:val="left"/>
      <w:pPr>
        <w:ind w:left="460" w:hanging="452"/>
      </w:pPr>
      <w:rPr>
        <w:rFonts w:hint="default"/>
        <w:lang w:val="en-US" w:eastAsia="zh-CN" w:bidi="ar-SA"/>
      </w:rPr>
    </w:lvl>
    <w:lvl w:ilvl="3">
      <w:start w:val="0"/>
      <w:numFmt w:val="bullet"/>
      <w:lvlText w:val="•"/>
      <w:lvlJc w:val="left"/>
      <w:pPr>
        <w:ind w:left="40" w:hanging="452"/>
      </w:pPr>
      <w:rPr>
        <w:rFonts w:hint="default"/>
        <w:lang w:val="en-US" w:eastAsia="zh-CN" w:bidi="ar-SA"/>
      </w:rPr>
    </w:lvl>
    <w:lvl w:ilvl="4">
      <w:start w:val="0"/>
      <w:numFmt w:val="bullet"/>
      <w:lvlText w:val="•"/>
      <w:lvlJc w:val="left"/>
      <w:pPr>
        <w:ind w:left="-380" w:hanging="452"/>
      </w:pPr>
      <w:rPr>
        <w:rFonts w:hint="default"/>
        <w:lang w:val="en-US" w:eastAsia="zh-CN" w:bidi="ar-SA"/>
      </w:rPr>
    </w:lvl>
    <w:lvl w:ilvl="5">
      <w:start w:val="0"/>
      <w:numFmt w:val="bullet"/>
      <w:lvlText w:val="•"/>
      <w:lvlJc w:val="left"/>
      <w:pPr>
        <w:ind w:left="-800" w:hanging="452"/>
      </w:pPr>
      <w:rPr>
        <w:rFonts w:hint="default"/>
        <w:lang w:val="en-US" w:eastAsia="zh-CN" w:bidi="ar-SA"/>
      </w:rPr>
    </w:lvl>
    <w:lvl w:ilvl="6">
      <w:start w:val="0"/>
      <w:numFmt w:val="bullet"/>
      <w:lvlText w:val="•"/>
      <w:lvlJc w:val="left"/>
      <w:pPr>
        <w:ind w:left="-1220" w:hanging="452"/>
      </w:pPr>
      <w:rPr>
        <w:rFonts w:hint="default"/>
        <w:lang w:val="en-US" w:eastAsia="zh-CN" w:bidi="ar-SA"/>
      </w:rPr>
    </w:lvl>
    <w:lvl w:ilvl="7">
      <w:start w:val="0"/>
      <w:numFmt w:val="bullet"/>
      <w:lvlText w:val="•"/>
      <w:lvlJc w:val="left"/>
      <w:pPr>
        <w:ind w:left="-1640" w:hanging="452"/>
      </w:pPr>
      <w:rPr>
        <w:rFonts w:hint="default"/>
        <w:lang w:val="en-US" w:eastAsia="zh-CN" w:bidi="ar-SA"/>
      </w:rPr>
    </w:lvl>
    <w:lvl w:ilvl="8">
      <w:start w:val="0"/>
      <w:numFmt w:val="bullet"/>
      <w:lvlText w:val="•"/>
      <w:lvlJc w:val="left"/>
      <w:pPr>
        <w:ind w:left="-2060" w:hanging="452"/>
      </w:pPr>
      <w:rPr>
        <w:rFonts w:hint="default"/>
        <w:lang w:val="en-US" w:eastAsia="zh-CN" w:bidi="ar-SA"/>
      </w:rPr>
    </w:lvl>
  </w:abstractNum>
  <w:abstractNum w:abstractNumId="4">
    <w:multiLevelType w:val="hybridMultilevel"/>
    <w:lvl w:ilvl="0">
      <w:start w:val="0"/>
      <w:numFmt w:val="bullet"/>
      <w:lvlText w:val=""/>
      <w:lvlJc w:val="left"/>
      <w:pPr>
        <w:ind w:left="821" w:hanging="452"/>
      </w:pPr>
      <w:rPr>
        <w:rFonts w:hint="default" w:ascii="Wingdings" w:hAnsi="Wingdings" w:eastAsia="Wingdings" w:cs="Wingdings"/>
        <w:color w:val="0A4EA1"/>
        <w:w w:val="100"/>
        <w:sz w:val="22"/>
        <w:szCs w:val="22"/>
        <w:lang w:val="en-US" w:eastAsia="zh-CN" w:bidi="ar-SA"/>
      </w:rPr>
    </w:lvl>
    <w:lvl w:ilvl="1">
      <w:start w:val="0"/>
      <w:numFmt w:val="bullet"/>
      <w:lvlText w:val="•"/>
      <w:lvlJc w:val="left"/>
      <w:pPr>
        <w:ind w:left="1216" w:hanging="284"/>
      </w:pPr>
      <w:rPr>
        <w:rFonts w:hint="default" w:ascii="Arial" w:hAnsi="Arial" w:eastAsia="Arial" w:cs="Arial"/>
        <w:color w:val="57585B"/>
        <w:w w:val="100"/>
        <w:sz w:val="28"/>
        <w:szCs w:val="28"/>
        <w:lang w:val="en-US" w:eastAsia="zh-CN" w:bidi="ar-SA"/>
      </w:rPr>
    </w:lvl>
    <w:lvl w:ilvl="2">
      <w:start w:val="0"/>
      <w:numFmt w:val="bullet"/>
      <w:lvlText w:val="•"/>
      <w:lvlJc w:val="left"/>
      <w:pPr>
        <w:ind w:left="3217" w:hanging="284"/>
      </w:pPr>
      <w:rPr>
        <w:rFonts w:hint="default"/>
        <w:lang w:val="en-US" w:eastAsia="zh-CN" w:bidi="ar-SA"/>
      </w:rPr>
    </w:lvl>
    <w:lvl w:ilvl="3">
      <w:start w:val="0"/>
      <w:numFmt w:val="bullet"/>
      <w:lvlText w:val="•"/>
      <w:lvlJc w:val="left"/>
      <w:pPr>
        <w:ind w:left="5215" w:hanging="284"/>
      </w:pPr>
      <w:rPr>
        <w:rFonts w:hint="default"/>
        <w:lang w:val="en-US" w:eastAsia="zh-CN" w:bidi="ar-SA"/>
      </w:rPr>
    </w:lvl>
    <w:lvl w:ilvl="4">
      <w:start w:val="0"/>
      <w:numFmt w:val="bullet"/>
      <w:lvlText w:val="•"/>
      <w:lvlJc w:val="left"/>
      <w:pPr>
        <w:ind w:left="7213" w:hanging="284"/>
      </w:pPr>
      <w:rPr>
        <w:rFonts w:hint="default"/>
        <w:lang w:val="en-US" w:eastAsia="zh-CN" w:bidi="ar-SA"/>
      </w:rPr>
    </w:lvl>
    <w:lvl w:ilvl="5">
      <w:start w:val="0"/>
      <w:numFmt w:val="bullet"/>
      <w:lvlText w:val="•"/>
      <w:lvlJc w:val="left"/>
      <w:pPr>
        <w:ind w:left="9211" w:hanging="284"/>
      </w:pPr>
      <w:rPr>
        <w:rFonts w:hint="default"/>
        <w:lang w:val="en-US" w:eastAsia="zh-CN" w:bidi="ar-SA"/>
      </w:rPr>
    </w:lvl>
    <w:lvl w:ilvl="6">
      <w:start w:val="0"/>
      <w:numFmt w:val="bullet"/>
      <w:lvlText w:val="•"/>
      <w:lvlJc w:val="left"/>
      <w:pPr>
        <w:ind w:left="11208" w:hanging="284"/>
      </w:pPr>
      <w:rPr>
        <w:rFonts w:hint="default"/>
        <w:lang w:val="en-US" w:eastAsia="zh-CN" w:bidi="ar-SA"/>
      </w:rPr>
    </w:lvl>
    <w:lvl w:ilvl="7">
      <w:start w:val="0"/>
      <w:numFmt w:val="bullet"/>
      <w:lvlText w:val="•"/>
      <w:lvlJc w:val="left"/>
      <w:pPr>
        <w:ind w:left="13206" w:hanging="284"/>
      </w:pPr>
      <w:rPr>
        <w:rFonts w:hint="default"/>
        <w:lang w:val="en-US" w:eastAsia="zh-CN" w:bidi="ar-SA"/>
      </w:rPr>
    </w:lvl>
    <w:lvl w:ilvl="8">
      <w:start w:val="0"/>
      <w:numFmt w:val="bullet"/>
      <w:lvlText w:val="•"/>
      <w:lvlJc w:val="left"/>
      <w:pPr>
        <w:ind w:left="15204" w:hanging="284"/>
      </w:pPr>
      <w:rPr>
        <w:rFonts w:hint="default"/>
        <w:lang w:val="en-US" w:eastAsia="zh-CN" w:bidi="ar-SA"/>
      </w:rPr>
    </w:lvl>
  </w:abstractNum>
  <w:abstractNum w:abstractNumId="3">
    <w:multiLevelType w:val="hybridMultilevel"/>
    <w:lvl w:ilvl="0">
      <w:start w:val="0"/>
      <w:numFmt w:val="bullet"/>
      <w:lvlText w:val="•"/>
      <w:lvlJc w:val="left"/>
      <w:pPr>
        <w:ind w:left="1300" w:hanging="452"/>
      </w:pPr>
      <w:rPr>
        <w:rFonts w:hint="default" w:ascii="Arial" w:hAnsi="Arial" w:eastAsia="Arial" w:cs="Arial"/>
        <w:color w:val="57585B"/>
        <w:w w:val="100"/>
        <w:sz w:val="28"/>
        <w:szCs w:val="28"/>
        <w:lang w:val="en-US" w:eastAsia="zh-CN" w:bidi="ar-SA"/>
      </w:rPr>
    </w:lvl>
    <w:lvl w:ilvl="1">
      <w:start w:val="0"/>
      <w:numFmt w:val="bullet"/>
      <w:lvlText w:val="•"/>
      <w:lvlJc w:val="left"/>
      <w:pPr>
        <w:ind w:left="3090" w:hanging="452"/>
      </w:pPr>
      <w:rPr>
        <w:rFonts w:hint="default"/>
        <w:lang w:val="en-US" w:eastAsia="zh-CN" w:bidi="ar-SA"/>
      </w:rPr>
    </w:lvl>
    <w:lvl w:ilvl="2">
      <w:start w:val="0"/>
      <w:numFmt w:val="bullet"/>
      <w:lvlText w:val="•"/>
      <w:lvlJc w:val="left"/>
      <w:pPr>
        <w:ind w:left="4880" w:hanging="452"/>
      </w:pPr>
      <w:rPr>
        <w:rFonts w:hint="default"/>
        <w:lang w:val="en-US" w:eastAsia="zh-CN" w:bidi="ar-SA"/>
      </w:rPr>
    </w:lvl>
    <w:lvl w:ilvl="3">
      <w:start w:val="0"/>
      <w:numFmt w:val="bullet"/>
      <w:lvlText w:val="•"/>
      <w:lvlJc w:val="left"/>
      <w:pPr>
        <w:ind w:left="6670" w:hanging="452"/>
      </w:pPr>
      <w:rPr>
        <w:rFonts w:hint="default"/>
        <w:lang w:val="en-US" w:eastAsia="zh-CN" w:bidi="ar-SA"/>
      </w:rPr>
    </w:lvl>
    <w:lvl w:ilvl="4">
      <w:start w:val="0"/>
      <w:numFmt w:val="bullet"/>
      <w:lvlText w:val="•"/>
      <w:lvlJc w:val="left"/>
      <w:pPr>
        <w:ind w:left="8460" w:hanging="452"/>
      </w:pPr>
      <w:rPr>
        <w:rFonts w:hint="default"/>
        <w:lang w:val="en-US" w:eastAsia="zh-CN" w:bidi="ar-SA"/>
      </w:rPr>
    </w:lvl>
    <w:lvl w:ilvl="5">
      <w:start w:val="0"/>
      <w:numFmt w:val="bullet"/>
      <w:lvlText w:val="•"/>
      <w:lvlJc w:val="left"/>
      <w:pPr>
        <w:ind w:left="10250" w:hanging="452"/>
      </w:pPr>
      <w:rPr>
        <w:rFonts w:hint="default"/>
        <w:lang w:val="en-US" w:eastAsia="zh-CN" w:bidi="ar-SA"/>
      </w:rPr>
    </w:lvl>
    <w:lvl w:ilvl="6">
      <w:start w:val="0"/>
      <w:numFmt w:val="bullet"/>
      <w:lvlText w:val="•"/>
      <w:lvlJc w:val="left"/>
      <w:pPr>
        <w:ind w:left="12040" w:hanging="452"/>
      </w:pPr>
      <w:rPr>
        <w:rFonts w:hint="default"/>
        <w:lang w:val="en-US" w:eastAsia="zh-CN" w:bidi="ar-SA"/>
      </w:rPr>
    </w:lvl>
    <w:lvl w:ilvl="7">
      <w:start w:val="0"/>
      <w:numFmt w:val="bullet"/>
      <w:lvlText w:val="•"/>
      <w:lvlJc w:val="left"/>
      <w:pPr>
        <w:ind w:left="13830" w:hanging="452"/>
      </w:pPr>
      <w:rPr>
        <w:rFonts w:hint="default"/>
        <w:lang w:val="en-US" w:eastAsia="zh-CN" w:bidi="ar-SA"/>
      </w:rPr>
    </w:lvl>
    <w:lvl w:ilvl="8">
      <w:start w:val="0"/>
      <w:numFmt w:val="bullet"/>
      <w:lvlText w:val="•"/>
      <w:lvlJc w:val="left"/>
      <w:pPr>
        <w:ind w:left="15620" w:hanging="452"/>
      </w:pPr>
      <w:rPr>
        <w:rFonts w:hint="default"/>
        <w:lang w:val="en-US" w:eastAsia="zh-CN" w:bidi="ar-SA"/>
      </w:rPr>
    </w:lvl>
  </w:abstractNum>
  <w:abstractNum w:abstractNumId="2">
    <w:multiLevelType w:val="hybridMultilevel"/>
    <w:lvl w:ilvl="0">
      <w:start w:val="0"/>
      <w:numFmt w:val="bullet"/>
      <w:lvlText w:val=""/>
      <w:lvlJc w:val="left"/>
      <w:pPr>
        <w:ind w:left="595" w:hanging="452"/>
      </w:pPr>
      <w:rPr>
        <w:rFonts w:hint="default" w:ascii="Wingdings" w:hAnsi="Wingdings" w:eastAsia="Wingdings" w:cs="Wingdings"/>
        <w:color w:val="0A4EA1"/>
        <w:w w:val="100"/>
        <w:sz w:val="22"/>
        <w:szCs w:val="22"/>
        <w:lang w:val="en-US" w:eastAsia="zh-CN" w:bidi="ar-SA"/>
      </w:rPr>
    </w:lvl>
    <w:lvl w:ilvl="1">
      <w:start w:val="0"/>
      <w:numFmt w:val="bullet"/>
      <w:lvlText w:val="•"/>
      <w:lvlJc w:val="left"/>
      <w:pPr>
        <w:ind w:left="1384" w:hanging="452"/>
      </w:pPr>
      <w:rPr>
        <w:rFonts w:hint="default" w:ascii="Arial" w:hAnsi="Arial" w:eastAsia="Arial" w:cs="Arial"/>
        <w:color w:val="57585B"/>
        <w:w w:val="100"/>
        <w:sz w:val="28"/>
        <w:szCs w:val="28"/>
        <w:lang w:val="en-US" w:eastAsia="zh-CN" w:bidi="ar-SA"/>
      </w:rPr>
    </w:lvl>
    <w:lvl w:ilvl="2">
      <w:start w:val="0"/>
      <w:numFmt w:val="bullet"/>
      <w:lvlText w:val=""/>
      <w:lvlJc w:val="left"/>
      <w:pPr>
        <w:ind w:left="1989" w:hanging="452"/>
      </w:pPr>
      <w:rPr>
        <w:rFonts w:hint="default" w:ascii="Wingdings" w:hAnsi="Wingdings" w:eastAsia="Wingdings" w:cs="Wingdings"/>
        <w:color w:val="0A4EA1"/>
        <w:w w:val="100"/>
        <w:sz w:val="22"/>
        <w:szCs w:val="22"/>
        <w:lang w:val="en-US" w:eastAsia="zh-CN" w:bidi="ar-SA"/>
      </w:rPr>
    </w:lvl>
    <w:lvl w:ilvl="3">
      <w:start w:val="0"/>
      <w:numFmt w:val="bullet"/>
      <w:lvlText w:val="•"/>
      <w:lvlJc w:val="left"/>
      <w:pPr>
        <w:ind w:left="1860" w:hanging="452"/>
      </w:pPr>
      <w:rPr>
        <w:rFonts w:hint="default"/>
        <w:lang w:val="en-US" w:eastAsia="zh-CN" w:bidi="ar-SA"/>
      </w:rPr>
    </w:lvl>
    <w:lvl w:ilvl="4">
      <w:start w:val="0"/>
      <w:numFmt w:val="bullet"/>
      <w:lvlText w:val="•"/>
      <w:lvlJc w:val="left"/>
      <w:pPr>
        <w:ind w:left="1980" w:hanging="452"/>
      </w:pPr>
      <w:rPr>
        <w:rFonts w:hint="default"/>
        <w:lang w:val="en-US" w:eastAsia="zh-CN" w:bidi="ar-SA"/>
      </w:rPr>
    </w:lvl>
    <w:lvl w:ilvl="5">
      <w:start w:val="0"/>
      <w:numFmt w:val="bullet"/>
      <w:lvlText w:val="•"/>
      <w:lvlJc w:val="left"/>
      <w:pPr>
        <w:ind w:left="4850" w:hanging="452"/>
      </w:pPr>
      <w:rPr>
        <w:rFonts w:hint="default"/>
        <w:lang w:val="en-US" w:eastAsia="zh-CN" w:bidi="ar-SA"/>
      </w:rPr>
    </w:lvl>
    <w:lvl w:ilvl="6">
      <w:start w:val="0"/>
      <w:numFmt w:val="bullet"/>
      <w:lvlText w:val="•"/>
      <w:lvlJc w:val="left"/>
      <w:pPr>
        <w:ind w:left="7720" w:hanging="452"/>
      </w:pPr>
      <w:rPr>
        <w:rFonts w:hint="default"/>
        <w:lang w:val="en-US" w:eastAsia="zh-CN" w:bidi="ar-SA"/>
      </w:rPr>
    </w:lvl>
    <w:lvl w:ilvl="7">
      <w:start w:val="0"/>
      <w:numFmt w:val="bullet"/>
      <w:lvlText w:val="•"/>
      <w:lvlJc w:val="left"/>
      <w:pPr>
        <w:ind w:left="10590" w:hanging="452"/>
      </w:pPr>
      <w:rPr>
        <w:rFonts w:hint="default"/>
        <w:lang w:val="en-US" w:eastAsia="zh-CN" w:bidi="ar-SA"/>
      </w:rPr>
    </w:lvl>
    <w:lvl w:ilvl="8">
      <w:start w:val="0"/>
      <w:numFmt w:val="bullet"/>
      <w:lvlText w:val="•"/>
      <w:lvlJc w:val="left"/>
      <w:pPr>
        <w:ind w:left="13460" w:hanging="452"/>
      </w:pPr>
      <w:rPr>
        <w:rFonts w:hint="default"/>
        <w:lang w:val="en-US" w:eastAsia="zh-CN" w:bidi="ar-SA"/>
      </w:rPr>
    </w:lvl>
  </w:abstractNum>
  <w:abstractNum w:abstractNumId="1">
    <w:multiLevelType w:val="hybridMultilevel"/>
    <w:lvl w:ilvl="0">
      <w:start w:val="0"/>
      <w:numFmt w:val="bullet"/>
      <w:lvlText w:val=""/>
      <w:lvlJc w:val="left"/>
      <w:pPr>
        <w:ind w:left="921" w:hanging="452"/>
      </w:pPr>
      <w:rPr>
        <w:rFonts w:hint="default" w:ascii="Wingdings" w:hAnsi="Wingdings" w:eastAsia="Wingdings" w:cs="Wingdings"/>
        <w:color w:val="0A4EA1"/>
        <w:w w:val="100"/>
        <w:sz w:val="22"/>
        <w:szCs w:val="22"/>
        <w:lang w:val="en-US" w:eastAsia="zh-CN" w:bidi="ar-SA"/>
      </w:rPr>
    </w:lvl>
    <w:lvl w:ilvl="1">
      <w:start w:val="0"/>
      <w:numFmt w:val="bullet"/>
      <w:lvlText w:val=""/>
      <w:lvlJc w:val="left"/>
      <w:pPr>
        <w:ind w:left="1209" w:hanging="452"/>
      </w:pPr>
      <w:rPr>
        <w:rFonts w:hint="default" w:ascii="Wingdings" w:hAnsi="Wingdings" w:eastAsia="Wingdings" w:cs="Wingdings"/>
        <w:color w:val="0A4EA1"/>
        <w:w w:val="100"/>
        <w:sz w:val="22"/>
        <w:szCs w:val="22"/>
        <w:lang w:val="en-US" w:eastAsia="zh-CN" w:bidi="ar-SA"/>
      </w:rPr>
    </w:lvl>
    <w:lvl w:ilvl="2">
      <w:start w:val="0"/>
      <w:numFmt w:val="bullet"/>
      <w:lvlText w:val="•"/>
      <w:lvlJc w:val="left"/>
      <w:pPr>
        <w:ind w:left="1216" w:hanging="284"/>
      </w:pPr>
      <w:rPr>
        <w:rFonts w:hint="default" w:ascii="Arial" w:hAnsi="Arial" w:eastAsia="Arial" w:cs="Arial"/>
        <w:color w:val="57585B"/>
        <w:w w:val="100"/>
        <w:sz w:val="28"/>
        <w:szCs w:val="28"/>
        <w:lang w:val="en-US" w:eastAsia="zh-CN" w:bidi="ar-SA"/>
      </w:rPr>
    </w:lvl>
    <w:lvl w:ilvl="3">
      <w:start w:val="0"/>
      <w:numFmt w:val="bullet"/>
      <w:lvlText w:val=""/>
      <w:lvlJc w:val="left"/>
      <w:pPr>
        <w:ind w:left="1523" w:hanging="452"/>
      </w:pPr>
      <w:rPr>
        <w:rFonts w:hint="default" w:ascii="Wingdings" w:hAnsi="Wingdings" w:eastAsia="Wingdings" w:cs="Wingdings"/>
        <w:color w:val="0A4EA1"/>
        <w:w w:val="100"/>
        <w:sz w:val="22"/>
        <w:szCs w:val="22"/>
        <w:lang w:val="en-US" w:eastAsia="zh-CN" w:bidi="ar-SA"/>
      </w:rPr>
    </w:lvl>
    <w:lvl w:ilvl="4">
      <w:start w:val="0"/>
      <w:numFmt w:val="bullet"/>
      <w:lvlText w:val="•"/>
      <w:lvlJc w:val="left"/>
      <w:pPr>
        <w:ind w:left="496" w:hanging="452"/>
      </w:pPr>
      <w:rPr>
        <w:rFonts w:hint="default"/>
        <w:lang w:val="en-US" w:eastAsia="zh-CN" w:bidi="ar-SA"/>
      </w:rPr>
    </w:lvl>
    <w:lvl w:ilvl="5">
      <w:start w:val="0"/>
      <w:numFmt w:val="bullet"/>
      <w:lvlText w:val="•"/>
      <w:lvlJc w:val="left"/>
      <w:pPr>
        <w:ind w:left="-527" w:hanging="452"/>
      </w:pPr>
      <w:rPr>
        <w:rFonts w:hint="default"/>
        <w:lang w:val="en-US" w:eastAsia="zh-CN" w:bidi="ar-SA"/>
      </w:rPr>
    </w:lvl>
    <w:lvl w:ilvl="6">
      <w:start w:val="0"/>
      <w:numFmt w:val="bullet"/>
      <w:lvlText w:val="•"/>
      <w:lvlJc w:val="left"/>
      <w:pPr>
        <w:ind w:left="-1551" w:hanging="452"/>
      </w:pPr>
      <w:rPr>
        <w:rFonts w:hint="default"/>
        <w:lang w:val="en-US" w:eastAsia="zh-CN" w:bidi="ar-SA"/>
      </w:rPr>
    </w:lvl>
    <w:lvl w:ilvl="7">
      <w:start w:val="0"/>
      <w:numFmt w:val="bullet"/>
      <w:lvlText w:val="•"/>
      <w:lvlJc w:val="left"/>
      <w:pPr>
        <w:ind w:left="-2574" w:hanging="452"/>
      </w:pPr>
      <w:rPr>
        <w:rFonts w:hint="default"/>
        <w:lang w:val="en-US" w:eastAsia="zh-CN" w:bidi="ar-SA"/>
      </w:rPr>
    </w:lvl>
    <w:lvl w:ilvl="8">
      <w:start w:val="0"/>
      <w:numFmt w:val="bullet"/>
      <w:lvlText w:val="•"/>
      <w:lvlJc w:val="left"/>
      <w:pPr>
        <w:ind w:left="-3598" w:hanging="452"/>
      </w:pPr>
      <w:rPr>
        <w:rFonts w:hint="default"/>
        <w:lang w:val="en-US" w:eastAsia="zh-CN" w:bidi="ar-SA"/>
      </w:rPr>
    </w:lvl>
  </w:abstractNum>
  <w:abstractNum w:abstractNumId="0">
    <w:multiLevelType w:val="hybridMultilevel"/>
    <w:lvl w:ilvl="0">
      <w:start w:val="0"/>
      <w:numFmt w:val="bullet"/>
      <w:lvlText w:val="•"/>
      <w:lvlJc w:val="left"/>
      <w:pPr>
        <w:ind w:left="1216" w:hanging="284"/>
      </w:pPr>
      <w:rPr>
        <w:rFonts w:hint="default" w:ascii="Arial" w:hAnsi="Arial" w:eastAsia="Arial" w:cs="Arial"/>
        <w:color w:val="57585B"/>
        <w:w w:val="100"/>
        <w:sz w:val="28"/>
        <w:szCs w:val="28"/>
        <w:lang w:val="en-US" w:eastAsia="zh-CN" w:bidi="ar-SA"/>
      </w:rPr>
    </w:lvl>
    <w:lvl w:ilvl="1">
      <w:start w:val="0"/>
      <w:numFmt w:val="bullet"/>
      <w:lvlText w:val="•"/>
      <w:lvlJc w:val="left"/>
      <w:pPr>
        <w:ind w:left="3018" w:hanging="284"/>
      </w:pPr>
      <w:rPr>
        <w:rFonts w:hint="default"/>
        <w:lang w:val="en-US" w:eastAsia="zh-CN" w:bidi="ar-SA"/>
      </w:rPr>
    </w:lvl>
    <w:lvl w:ilvl="2">
      <w:start w:val="0"/>
      <w:numFmt w:val="bullet"/>
      <w:lvlText w:val="•"/>
      <w:lvlJc w:val="left"/>
      <w:pPr>
        <w:ind w:left="4816" w:hanging="284"/>
      </w:pPr>
      <w:rPr>
        <w:rFonts w:hint="default"/>
        <w:lang w:val="en-US" w:eastAsia="zh-CN" w:bidi="ar-SA"/>
      </w:rPr>
    </w:lvl>
    <w:lvl w:ilvl="3">
      <w:start w:val="0"/>
      <w:numFmt w:val="bullet"/>
      <w:lvlText w:val="•"/>
      <w:lvlJc w:val="left"/>
      <w:pPr>
        <w:ind w:left="6614" w:hanging="284"/>
      </w:pPr>
      <w:rPr>
        <w:rFonts w:hint="default"/>
        <w:lang w:val="en-US" w:eastAsia="zh-CN" w:bidi="ar-SA"/>
      </w:rPr>
    </w:lvl>
    <w:lvl w:ilvl="4">
      <w:start w:val="0"/>
      <w:numFmt w:val="bullet"/>
      <w:lvlText w:val="•"/>
      <w:lvlJc w:val="left"/>
      <w:pPr>
        <w:ind w:left="8412" w:hanging="284"/>
      </w:pPr>
      <w:rPr>
        <w:rFonts w:hint="default"/>
        <w:lang w:val="en-US" w:eastAsia="zh-CN" w:bidi="ar-SA"/>
      </w:rPr>
    </w:lvl>
    <w:lvl w:ilvl="5">
      <w:start w:val="0"/>
      <w:numFmt w:val="bullet"/>
      <w:lvlText w:val="•"/>
      <w:lvlJc w:val="left"/>
      <w:pPr>
        <w:ind w:left="10210" w:hanging="284"/>
      </w:pPr>
      <w:rPr>
        <w:rFonts w:hint="default"/>
        <w:lang w:val="en-US" w:eastAsia="zh-CN" w:bidi="ar-SA"/>
      </w:rPr>
    </w:lvl>
    <w:lvl w:ilvl="6">
      <w:start w:val="0"/>
      <w:numFmt w:val="bullet"/>
      <w:lvlText w:val="•"/>
      <w:lvlJc w:val="left"/>
      <w:pPr>
        <w:ind w:left="12008" w:hanging="284"/>
      </w:pPr>
      <w:rPr>
        <w:rFonts w:hint="default"/>
        <w:lang w:val="en-US" w:eastAsia="zh-CN" w:bidi="ar-SA"/>
      </w:rPr>
    </w:lvl>
    <w:lvl w:ilvl="7">
      <w:start w:val="0"/>
      <w:numFmt w:val="bullet"/>
      <w:lvlText w:val="•"/>
      <w:lvlJc w:val="left"/>
      <w:pPr>
        <w:ind w:left="13806" w:hanging="284"/>
      </w:pPr>
      <w:rPr>
        <w:rFonts w:hint="default"/>
        <w:lang w:val="en-US" w:eastAsia="zh-CN" w:bidi="ar-SA"/>
      </w:rPr>
    </w:lvl>
    <w:lvl w:ilvl="8">
      <w:start w:val="0"/>
      <w:numFmt w:val="bullet"/>
      <w:lvlText w:val="•"/>
      <w:lvlJc w:val="left"/>
      <w:pPr>
        <w:ind w:left="15604" w:hanging="284"/>
      </w:pPr>
      <w:rPr>
        <w:rFonts w:hint="default"/>
        <w:lang w:val="en-US" w:eastAsia="zh-CN" w:bidi="ar-SA"/>
      </w:rPr>
    </w:lvl>
  </w:abstract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微软雅黑" w:hAnsi="微软雅黑" w:eastAsia="微软雅黑" w:cs="微软雅黑"/>
      <w:lang w:val="en-US" w:eastAsia="zh-CN" w:bidi="ar-SA"/>
    </w:rPr>
  </w:style>
  <w:style w:styleId="BodyText" w:type="paragraph">
    <w:name w:val="Body Text"/>
    <w:basedOn w:val="Normal"/>
    <w:uiPriority w:val="1"/>
    <w:qFormat/>
    <w:pPr/>
    <w:rPr>
      <w:rFonts w:ascii="微软雅黑" w:hAnsi="微软雅黑" w:eastAsia="微软雅黑" w:cs="微软雅黑"/>
      <w:sz w:val="28"/>
      <w:szCs w:val="28"/>
      <w:lang w:val="en-US" w:eastAsia="zh-CN" w:bidi="ar-SA"/>
    </w:rPr>
  </w:style>
  <w:style w:styleId="Heading1" w:type="paragraph">
    <w:name w:val="Heading 1"/>
    <w:basedOn w:val="Normal"/>
    <w:uiPriority w:val="1"/>
    <w:qFormat/>
    <w:pPr>
      <w:spacing w:line="985" w:lineRule="exact"/>
      <w:ind w:left="1557"/>
      <w:outlineLvl w:val="1"/>
    </w:pPr>
    <w:rPr>
      <w:rFonts w:ascii="微软雅黑" w:hAnsi="微软雅黑" w:eastAsia="微软雅黑" w:cs="微软雅黑"/>
      <w:b/>
      <w:bCs/>
      <w:sz w:val="56"/>
      <w:szCs w:val="56"/>
      <w:lang w:val="en-US" w:eastAsia="zh-CN" w:bidi="ar-SA"/>
    </w:rPr>
  </w:style>
  <w:style w:styleId="Heading2" w:type="paragraph">
    <w:name w:val="Heading 2"/>
    <w:basedOn w:val="Normal"/>
    <w:uiPriority w:val="1"/>
    <w:qFormat/>
    <w:pPr>
      <w:spacing w:before="6"/>
      <w:ind w:left="563"/>
      <w:outlineLvl w:val="2"/>
    </w:pPr>
    <w:rPr>
      <w:rFonts w:ascii="微软雅黑" w:hAnsi="微软雅黑" w:eastAsia="微软雅黑" w:cs="微软雅黑"/>
      <w:sz w:val="36"/>
      <w:szCs w:val="36"/>
      <w:lang w:val="en-US" w:eastAsia="zh-CN" w:bidi="ar-SA"/>
    </w:rPr>
  </w:style>
  <w:style w:styleId="Heading3" w:type="paragraph">
    <w:name w:val="Heading 3"/>
    <w:basedOn w:val="Normal"/>
    <w:uiPriority w:val="1"/>
    <w:qFormat/>
    <w:pPr>
      <w:spacing w:before="33"/>
      <w:ind w:left="956"/>
      <w:outlineLvl w:val="3"/>
    </w:pPr>
    <w:rPr>
      <w:rFonts w:ascii="微软雅黑" w:hAnsi="微软雅黑" w:eastAsia="微软雅黑" w:cs="微软雅黑"/>
      <w:b/>
      <w:bCs/>
      <w:sz w:val="28"/>
      <w:szCs w:val="28"/>
      <w:lang w:val="en-US" w:eastAsia="zh-CN" w:bidi="ar-SA"/>
    </w:rPr>
  </w:style>
  <w:style w:styleId="Title" w:type="paragraph">
    <w:name w:val="Title"/>
    <w:basedOn w:val="Normal"/>
    <w:uiPriority w:val="1"/>
    <w:qFormat/>
    <w:pPr>
      <w:spacing w:before="559"/>
      <w:ind w:left="1094"/>
    </w:pPr>
    <w:rPr>
      <w:rFonts w:ascii="微软雅黑" w:hAnsi="微软雅黑" w:eastAsia="微软雅黑" w:cs="微软雅黑"/>
      <w:b/>
      <w:bCs/>
      <w:sz w:val="72"/>
      <w:szCs w:val="72"/>
      <w:lang w:val="en-US" w:eastAsia="zh-CN" w:bidi="ar-SA"/>
    </w:rPr>
  </w:style>
  <w:style w:styleId="ListParagraph" w:type="paragraph">
    <w:name w:val="List Paragraph"/>
    <w:basedOn w:val="Normal"/>
    <w:uiPriority w:val="1"/>
    <w:qFormat/>
    <w:pPr>
      <w:ind w:left="1216" w:hanging="284"/>
      <w:jc w:val="both"/>
    </w:pPr>
    <w:rPr>
      <w:rFonts w:ascii="微软雅黑" w:hAnsi="微软雅黑" w:eastAsia="微软雅黑" w:cs="微软雅黑"/>
      <w:lang w:val="en-US" w:eastAsia="zh-CN" w:bidi="ar-SA"/>
    </w:rPr>
  </w:style>
  <w:style w:styleId="TableParagraph" w:type="paragraph">
    <w:name w:val="Table Paragraph"/>
    <w:basedOn w:val="Normal"/>
    <w:uiPriority w:val="1"/>
    <w:qFormat/>
    <w:pPr>
      <w:spacing w:line="148" w:lineRule="exact"/>
      <w:jc w:val="center"/>
    </w:pPr>
    <w:rPr>
      <w:rFonts w:ascii="微软雅黑" w:hAnsi="微软雅黑" w:eastAsia="微软雅黑" w:cs="微软雅黑"/>
      <w:lang w:val="en-US" w:eastAsia="zh-CN"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mailto:zhengchen@hcyjs.com" TargetMode="External"/><Relationship Id="rId8" Type="http://schemas.openxmlformats.org/officeDocument/2006/relationships/hyperlink" Target="mailto:liuhao@hcyjs.com" TargetMode="External"/><Relationship Id="rId9" Type="http://schemas.openxmlformats.org/officeDocument/2006/relationships/hyperlink" Target="mailto:lichanjuan@hcyjs.com" TargetMode="External"/><Relationship Id="rId10" Type="http://schemas.openxmlformats.org/officeDocument/2006/relationships/hyperlink" Target="mailto:huangzhijun@hcyjs.com" TargetMode="External"/><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footer" Target="footer1.xml"/><Relationship Id="rId14" Type="http://schemas.openxmlformats.org/officeDocument/2006/relationships/image" Target="media/image5.png"/><Relationship Id="rId15" Type="http://schemas.openxmlformats.org/officeDocument/2006/relationships/image" Target="media/image6.jpeg"/><Relationship Id="rId16" Type="http://schemas.openxmlformats.org/officeDocument/2006/relationships/footer" Target="footer2.xml"/><Relationship Id="rId17" Type="http://schemas.openxmlformats.org/officeDocument/2006/relationships/header" Target="header1.xml"/><Relationship Id="rId18" Type="http://schemas.openxmlformats.org/officeDocument/2006/relationships/footer" Target="footer3.xml"/><Relationship Id="rId19" Type="http://schemas.openxmlformats.org/officeDocument/2006/relationships/header" Target="header2.xml"/><Relationship Id="rId20" Type="http://schemas.openxmlformats.org/officeDocument/2006/relationships/footer" Target="footer4.xml"/><Relationship Id="rId21" Type="http://schemas.openxmlformats.org/officeDocument/2006/relationships/image" Target="media/image7.jpeg"/><Relationship Id="rId22" Type="http://schemas.openxmlformats.org/officeDocument/2006/relationships/header" Target="header3.xml"/><Relationship Id="rId23" Type="http://schemas.openxmlformats.org/officeDocument/2006/relationships/footer" Target="footer5.xml"/><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header" Target="header4.xml"/><Relationship Id="rId27" Type="http://schemas.openxmlformats.org/officeDocument/2006/relationships/footer" Target="footer6.xml"/><Relationship Id="rId28" Type="http://schemas.openxmlformats.org/officeDocument/2006/relationships/image" Target="media/image10.jpeg"/><Relationship Id="rId29" Type="http://schemas.openxmlformats.org/officeDocument/2006/relationships/image" Target="media/image11.jpeg"/><Relationship Id="rId30" Type="http://schemas.openxmlformats.org/officeDocument/2006/relationships/header" Target="header5.xml"/><Relationship Id="rId31" Type="http://schemas.openxmlformats.org/officeDocument/2006/relationships/footer" Target="footer7.xml"/><Relationship Id="rId32" Type="http://schemas.openxmlformats.org/officeDocument/2006/relationships/header" Target="header6.xml"/><Relationship Id="rId33" Type="http://schemas.openxmlformats.org/officeDocument/2006/relationships/footer" Target="footer8.xml"/><Relationship Id="rId34" Type="http://schemas.openxmlformats.org/officeDocument/2006/relationships/header" Target="header7.xml"/><Relationship Id="rId35" Type="http://schemas.openxmlformats.org/officeDocument/2006/relationships/footer" Target="footer9.xml"/><Relationship Id="rId36" Type="http://schemas.openxmlformats.org/officeDocument/2006/relationships/image" Target="media/image13.jpeg"/><Relationship Id="rId37" Type="http://schemas.openxmlformats.org/officeDocument/2006/relationships/header" Target="header8.xml"/><Relationship Id="rId38" Type="http://schemas.openxmlformats.org/officeDocument/2006/relationships/footer" Target="footer10.xml"/><Relationship Id="rId39" Type="http://schemas.openxmlformats.org/officeDocument/2006/relationships/header" Target="header9.xml"/><Relationship Id="rId40" Type="http://schemas.openxmlformats.org/officeDocument/2006/relationships/footer" Target="footer11.xml"/><Relationship Id="rId41" Type="http://schemas.openxmlformats.org/officeDocument/2006/relationships/image" Target="media/image14.jpeg"/><Relationship Id="rId42" Type="http://schemas.openxmlformats.org/officeDocument/2006/relationships/image" Target="media/image15.jpeg"/><Relationship Id="rId43" Type="http://schemas.openxmlformats.org/officeDocument/2006/relationships/header" Target="header10.xml"/><Relationship Id="rId44" Type="http://schemas.openxmlformats.org/officeDocument/2006/relationships/footer" Target="footer12.xml"/><Relationship Id="rId45" Type="http://schemas.openxmlformats.org/officeDocument/2006/relationships/image" Target="media/image16.jpeg"/><Relationship Id="rId46" Type="http://schemas.openxmlformats.org/officeDocument/2006/relationships/image" Target="media/image17.jpeg"/><Relationship Id="rId47" Type="http://schemas.openxmlformats.org/officeDocument/2006/relationships/header" Target="header11.xml"/><Relationship Id="rId48" Type="http://schemas.openxmlformats.org/officeDocument/2006/relationships/footer" Target="footer13.xml"/><Relationship Id="rId49" Type="http://schemas.openxmlformats.org/officeDocument/2006/relationships/header" Target="header12.xml"/><Relationship Id="rId50" Type="http://schemas.openxmlformats.org/officeDocument/2006/relationships/footer" Target="footer14.xml"/><Relationship Id="rId51" Type="http://schemas.openxmlformats.org/officeDocument/2006/relationships/image" Target="media/image12.jpeg"/><Relationship Id="rId52" Type="http://schemas.openxmlformats.org/officeDocument/2006/relationships/header" Target="header13.xml"/><Relationship Id="rId53" Type="http://schemas.openxmlformats.org/officeDocument/2006/relationships/footer" Target="footer15.xml"/><Relationship Id="rId54" Type="http://schemas.openxmlformats.org/officeDocument/2006/relationships/header" Target="header14.xml"/><Relationship Id="rId55" Type="http://schemas.openxmlformats.org/officeDocument/2006/relationships/footer" Target="footer16.xml"/><Relationship Id="rId56" Type="http://schemas.openxmlformats.org/officeDocument/2006/relationships/header" Target="header15.xml"/><Relationship Id="rId57" Type="http://schemas.openxmlformats.org/officeDocument/2006/relationships/footer" Target="footer17.xml"/><Relationship Id="rId58" Type="http://schemas.openxmlformats.org/officeDocument/2006/relationships/header" Target="header16.xml"/><Relationship Id="rId59" Type="http://schemas.openxmlformats.org/officeDocument/2006/relationships/footer" Target="footer18.xml"/><Relationship Id="rId60" Type="http://schemas.openxmlformats.org/officeDocument/2006/relationships/header" Target="header17.xml"/><Relationship Id="rId61" Type="http://schemas.openxmlformats.org/officeDocument/2006/relationships/footer" Target="footer19.xml"/><Relationship Id="rId62" Type="http://schemas.openxmlformats.org/officeDocument/2006/relationships/header" Target="header18.xml"/><Relationship Id="rId63" Type="http://schemas.openxmlformats.org/officeDocument/2006/relationships/footer" Target="footer20.xml"/><Relationship Id="rId64" Type="http://schemas.openxmlformats.org/officeDocument/2006/relationships/image" Target="media/image19.jpeg"/><Relationship Id="rId65" Type="http://schemas.openxmlformats.org/officeDocument/2006/relationships/header" Target="header19.xml"/><Relationship Id="rId66" Type="http://schemas.openxmlformats.org/officeDocument/2006/relationships/footer" Target="footer21.xml"/><Relationship Id="rId67" Type="http://schemas.openxmlformats.org/officeDocument/2006/relationships/header" Target="header20.xml"/><Relationship Id="rId68" Type="http://schemas.openxmlformats.org/officeDocument/2006/relationships/footer" Target="footer22.xml"/><Relationship Id="rId69" Type="http://schemas.openxmlformats.org/officeDocument/2006/relationships/header" Target="header21.xml"/><Relationship Id="rId70" Type="http://schemas.openxmlformats.org/officeDocument/2006/relationships/footer" Target="footer23.xml"/><Relationship Id="rId71" Type="http://schemas.openxmlformats.org/officeDocument/2006/relationships/header" Target="header22.xml"/><Relationship Id="rId72" Type="http://schemas.openxmlformats.org/officeDocument/2006/relationships/footer" Target="footer24.xml"/><Relationship Id="rId73" Type="http://schemas.openxmlformats.org/officeDocument/2006/relationships/header" Target="header23.xml"/><Relationship Id="rId74" Type="http://schemas.openxmlformats.org/officeDocument/2006/relationships/footer" Target="footer25.xml"/><Relationship Id="rId75" Type="http://schemas.openxmlformats.org/officeDocument/2006/relationships/header" Target="header24.xml"/><Relationship Id="rId76" Type="http://schemas.openxmlformats.org/officeDocument/2006/relationships/footer" Target="footer26.xml"/><Relationship Id="rId77" Type="http://schemas.openxmlformats.org/officeDocument/2006/relationships/image" Target="media/image18.jpeg"/><Relationship Id="rId78" Type="http://schemas.openxmlformats.org/officeDocument/2006/relationships/header" Target="header25.xml"/><Relationship Id="rId79" Type="http://schemas.openxmlformats.org/officeDocument/2006/relationships/footer" Target="footer27.xml"/><Relationship Id="rId80" Type="http://schemas.openxmlformats.org/officeDocument/2006/relationships/numbering" Target="numbering.xml"/></Relationships>

</file>

<file path=word/_rels/footer17.xml.rels><?xml version="1.0" encoding="UTF-8" standalone="yes"?>
<Relationships xmlns="http://schemas.openxmlformats.org/package/2006/relationships"><Relationship Id="rId1" Type="http://schemas.openxmlformats.org/officeDocument/2006/relationships/image" Target="media/image18.jpeg"/></Relationships>

</file>

<file path=word/_rels/footer18.xml.rels><?xml version="1.0" encoding="UTF-8" standalone="yes"?>
<Relationships xmlns="http://schemas.openxmlformats.org/package/2006/relationships"><Relationship Id="rId1" Type="http://schemas.openxmlformats.org/officeDocument/2006/relationships/image" Target="media/image18.jpeg"/></Relationships>

</file>

<file path=word/_rels/footer24.xml.rels><?xml version="1.0" encoding="UTF-8" standalone="yes"?>
<Relationships xmlns="http://schemas.openxmlformats.org/package/2006/relationships"><Relationship Id="rId1" Type="http://schemas.openxmlformats.org/officeDocument/2006/relationships/image" Target="media/image6.jpeg"/></Relationships>

</file>

<file path=word/_rels/footer25.xml.rels><?xml version="1.0" encoding="UTF-8" standalone="yes"?>
<Relationships xmlns="http://schemas.openxmlformats.org/package/2006/relationships"><Relationship Id="rId1" Type="http://schemas.openxmlformats.org/officeDocument/2006/relationships/image" Target="media/image6.jpeg"/></Relationships>

</file>

<file path=word/_rels/footer7.xml.rels><?xml version="1.0" encoding="UTF-8" standalone="yes"?>
<Relationships xmlns="http://schemas.openxmlformats.org/package/2006/relationships"><Relationship Id="rId1" Type="http://schemas.openxmlformats.org/officeDocument/2006/relationships/image" Target="media/image12.jpeg"/></Relationships>

</file>

<file path=word/_rels/footer8.xml.rels><?xml version="1.0" encoding="UTF-8" standalone="yes"?>
<Relationships xmlns="http://schemas.openxmlformats.org/package/2006/relationships"><Relationship Id="rId1" Type="http://schemas.openxmlformats.org/officeDocument/2006/relationships/image" Target="media/image12.jpeg"/></Relationships>

</file>

<file path=word/_rels/footer9.xml.rels><?xml version="1.0" encoding="UTF-8" standalone="yes"?>
<Relationships xmlns="http://schemas.openxmlformats.org/package/2006/relationships"><Relationship Id="rId1"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10.xml.rels><?xml version="1.0" encoding="UTF-8" standalone="yes"?>
<Relationships xmlns="http://schemas.openxmlformats.org/package/2006/relationships"><Relationship Id="rId1" Type="http://schemas.openxmlformats.org/officeDocument/2006/relationships/image" Target="media/image1.jpeg"/></Relationships>

</file>

<file path=word/_rels/header11.xml.rels><?xml version="1.0" encoding="UTF-8" standalone="yes"?>
<Relationships xmlns="http://schemas.openxmlformats.org/package/2006/relationships"><Relationship Id="rId1" Type="http://schemas.openxmlformats.org/officeDocument/2006/relationships/image" Target="media/image1.jpeg"/></Relationships>

</file>

<file path=word/_rels/header12.xml.rels><?xml version="1.0" encoding="UTF-8" standalone="yes"?>
<Relationships xmlns="http://schemas.openxmlformats.org/package/2006/relationships"><Relationship Id="rId1" Type="http://schemas.openxmlformats.org/officeDocument/2006/relationships/image" Target="media/image1.jpeg"/></Relationships>

</file>

<file path=word/_rels/header13.xml.rels><?xml version="1.0" encoding="UTF-8" standalone="yes"?>
<Relationships xmlns="http://schemas.openxmlformats.org/package/2006/relationships"><Relationship Id="rId1" Type="http://schemas.openxmlformats.org/officeDocument/2006/relationships/image" Target="media/image1.jpeg"/></Relationships>

</file>

<file path=word/_rels/header14.xml.rels><?xml version="1.0" encoding="UTF-8" standalone="yes"?>
<Relationships xmlns="http://schemas.openxmlformats.org/package/2006/relationships"><Relationship Id="rId1" Type="http://schemas.openxmlformats.org/officeDocument/2006/relationships/image" Target="media/image1.jpeg"/></Relationships>

</file>

<file path=word/_rels/header15.xml.rels><?xml version="1.0" encoding="UTF-8" standalone="yes"?>
<Relationships xmlns="http://schemas.openxmlformats.org/package/2006/relationships"><Relationship Id="rId1" Type="http://schemas.openxmlformats.org/officeDocument/2006/relationships/image" Target="media/image1.jpeg"/></Relationships>

</file>

<file path=word/_rels/header16.xml.rels><?xml version="1.0" encoding="UTF-8" standalone="yes"?>
<Relationships xmlns="http://schemas.openxmlformats.org/package/2006/relationships"><Relationship Id="rId1" Type="http://schemas.openxmlformats.org/officeDocument/2006/relationships/image" Target="media/image1.jpeg"/></Relationships>

</file>

<file path=word/_rels/header17.xml.rels><?xml version="1.0" encoding="UTF-8" standalone="yes"?>
<Relationships xmlns="http://schemas.openxmlformats.org/package/2006/relationships"><Relationship Id="rId1" Type="http://schemas.openxmlformats.org/officeDocument/2006/relationships/image" Target="media/image1.jpeg"/></Relationships>

</file>

<file path=word/_rels/header18.xml.rels><?xml version="1.0" encoding="UTF-8" standalone="yes"?>
<Relationships xmlns="http://schemas.openxmlformats.org/package/2006/relationships"><Relationship Id="rId1" Type="http://schemas.openxmlformats.org/officeDocument/2006/relationships/image" Target="media/image1.jpeg"/></Relationships>

</file>

<file path=word/_rels/header19.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20.xml.rels><?xml version="1.0" encoding="UTF-8" standalone="yes"?>
<Relationships xmlns="http://schemas.openxmlformats.org/package/2006/relationships"><Relationship Id="rId1" Type="http://schemas.openxmlformats.org/officeDocument/2006/relationships/image" Target="media/image1.jpeg"/></Relationships>

</file>

<file path=word/_rels/header22.xml.rels><?xml version="1.0" encoding="UTF-8" standalone="yes"?>
<Relationships xmlns="http://schemas.openxmlformats.org/package/2006/relationships"><Relationship Id="rId1" Type="http://schemas.openxmlformats.org/officeDocument/2006/relationships/image" Target="media/image1.jpeg"/></Relationships>

</file>

<file path=word/_rels/header23.xml.rels><?xml version="1.0" encoding="UTF-8" standalone="yes"?>
<Relationships xmlns="http://schemas.openxmlformats.org/package/2006/relationships"><Relationship Id="rId1" Type="http://schemas.openxmlformats.org/officeDocument/2006/relationships/image" Target="media/image1.jpeg"/></Relationships>

</file>

<file path=word/_rels/header24.xml.rels><?xml version="1.0" encoding="UTF-8" standalone="yes"?>
<Relationships xmlns="http://schemas.openxmlformats.org/package/2006/relationships"><Relationship Id="rId1" Type="http://schemas.openxmlformats.org/officeDocument/2006/relationships/image" Target="media/image1.jpeg"/></Relationships>

</file>

<file path=word/_rels/header25.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_rels/header9.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6489</dc:creator>
  <dc:title>PowerPoint 演示文稿</dc:title>
  <dcterms:created xsi:type="dcterms:W3CDTF">2023-10-29T07:01:02Z</dcterms:created>
  <dcterms:modified xsi:type="dcterms:W3CDTF">2023-10-29T07:01:02Z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2023-10-28T00:00:00Z</vt:filetime>
  </property>
  <property fmtid="{D5CDD505-2E9C-101B-9397-08002B2CF9AE}" pid="3" name="Creator">
    <vt:lpwstr>Microsoft® PowerPoint® 2013</vt:lpwstr>
  </property>
  <property fmtid="{D5CDD505-2E9C-101B-9397-08002B2CF9AE}" pid="4" name="LastSaved">
    <vt:filetime>2023-10-29T00:00:00Z</vt:filetime>
  </property>
</Properties>
</file>