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Default Extension="jpeg" ContentType="image/jpeg"/>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3"/>
        <w:spacing w:before="22"/>
        <w:ind w:left="195"/>
        <w:jc w:val="left"/>
      </w:pPr>
      <w:r>
        <w:rPr/>
        <w:pict>
          <v:group style="position:absolute;margin-left:411.839996pt;margin-top:10.920169pt;width:157.450pt;height:83.8pt;mso-position-horizontal-relative:page;mso-position-vertical-relative:paragraph;z-index:15729152" coordorigin="8237,218" coordsize="3149,1676">
            <v:rect style="position:absolute;left:8240;top:1332;width:3146;height:562" filled="true" fillcolor="#c00000" stroked="false">
              <v:fill type="solid"/>
            </v:rect>
            <v:shape style="position:absolute;left:8236;top:218;width:2693;height:1109" type="#_x0000_t75" stroked="false">
              <v:imagedata r:id="rId6" o:title=""/>
            </v:shape>
            <w10:wrap type="none"/>
          </v:group>
        </w:pict>
      </w:r>
      <w:r>
        <w:rPr>
          <w:rFonts w:ascii="Arial" w:eastAsia="Arial"/>
        </w:rPr>
        <w:t>2022 </w:t>
      </w:r>
      <w:r>
        <w:rPr/>
        <w:t>年 </w:t>
      </w:r>
      <w:r>
        <w:rPr>
          <w:rFonts w:ascii="Arial" w:eastAsia="Arial"/>
        </w:rPr>
        <w:t>9 </w:t>
      </w:r>
      <w:r>
        <w:rPr/>
        <w:t>月 </w:t>
      </w:r>
      <w:r>
        <w:rPr>
          <w:rFonts w:ascii="Arial" w:eastAsia="Arial"/>
        </w:rPr>
        <w:t>28 </w:t>
      </w:r>
      <w:r>
        <w:rPr/>
        <w:t>日</w:t>
      </w:r>
    </w:p>
    <w:p>
      <w:pPr>
        <w:spacing w:before="173"/>
        <w:ind w:left="195" w:right="0" w:firstLine="0"/>
        <w:jc w:val="left"/>
        <w:rPr>
          <w:rFonts w:ascii="Microsoft JhengHei UI" w:eastAsia="Microsoft JhengHei UI" w:hint="eastAsia"/>
          <w:b/>
          <w:sz w:val="20"/>
        </w:rPr>
      </w:pPr>
      <w:r>
        <w:rPr>
          <w:rFonts w:ascii="Microsoft JhengHei UI" w:eastAsia="Microsoft JhengHei UI" w:hint="eastAsia"/>
          <w:b/>
          <w:sz w:val="20"/>
        </w:rPr>
        <w:t>招银国际环球市场 </w:t>
      </w:r>
      <w:r>
        <w:rPr>
          <w:rFonts w:ascii="Arial" w:eastAsia="Arial"/>
          <w:b/>
          <w:sz w:val="20"/>
        </w:rPr>
        <w:t>| </w:t>
      </w:r>
      <w:r>
        <w:rPr>
          <w:rFonts w:ascii="Microsoft JhengHei UI" w:eastAsia="Microsoft JhengHei UI" w:hint="eastAsia"/>
          <w:b/>
          <w:sz w:val="20"/>
        </w:rPr>
        <w:t>睿智投资 </w:t>
      </w:r>
      <w:r>
        <w:rPr>
          <w:rFonts w:ascii="Arial" w:eastAsia="Arial"/>
          <w:b/>
          <w:sz w:val="20"/>
        </w:rPr>
        <w:t>| </w:t>
      </w:r>
      <w:r>
        <w:rPr>
          <w:rFonts w:ascii="Microsoft JhengHei UI" w:eastAsia="Microsoft JhengHei UI" w:hint="eastAsia"/>
          <w:b/>
          <w:sz w:val="20"/>
        </w:rPr>
        <w:t>行业研究</w:t>
      </w:r>
    </w:p>
    <w:p>
      <w:pPr>
        <w:pStyle w:val="BodyText"/>
        <w:spacing w:before="4"/>
        <w:ind w:left="0"/>
        <w:rPr>
          <w:rFonts w:ascii="Microsoft JhengHei UI"/>
          <w:b/>
          <w:sz w:val="17"/>
        </w:rPr>
      </w:pPr>
    </w:p>
    <w:p>
      <w:pPr>
        <w:pStyle w:val="Title"/>
        <w:rPr>
          <w:rFonts w:ascii="Microsoft JhengHei UI" w:eastAsia="Microsoft JhengHei UI" w:hint="eastAsia"/>
        </w:rPr>
      </w:pPr>
      <w:r>
        <w:rPr/>
        <w:pict>
          <v:group style="position:absolute;margin-left:41.784pt;margin-top:34.086452pt;width:360.15pt;height:549.050pt;mso-position-horizontal-relative:page;mso-position-vertical-relative:paragraph;z-index:-19985920" coordorigin="836,682" coordsize="7203,10981">
            <v:rect style="position:absolute;left:835;top:681;width:7194;height:678" filled="true" fillcolor="#ffffff" stroked="false">
              <v:fill type="solid"/>
            </v:rect>
            <v:shape style="position:absolute;left:835;top:1359;width:7203;height:10304" coordorigin="836,1359" coordsize="7203,10304" path="m8019,1359l836,1359,836,1378,8019,1378,8019,1359xm8039,1359l8019,1359,8019,1378,8019,11072,8019,11663,8039,11663,8039,11072,8039,1378,8039,1359xe" filled="true" fillcolor="#808080" stroked="false">
              <v:path arrowok="t"/>
              <v:fill type="solid"/>
            </v:shape>
            <w10:wrap type="none"/>
          </v:group>
        </w:pict>
      </w:r>
      <w:r>
        <w:rPr>
          <w:color w:val="C00000"/>
        </w:rPr>
        <w:t>CAR-T </w:t>
      </w:r>
      <w:r>
        <w:rPr>
          <w:rFonts w:ascii="Microsoft JhengHei UI" w:eastAsia="Microsoft JhengHei UI" w:hint="eastAsia"/>
          <w:color w:val="C00000"/>
        </w:rPr>
        <w:t>细胞治疗行业</w:t>
      </w:r>
    </w:p>
    <w:p>
      <w:pPr>
        <w:spacing w:line="469" w:lineRule="exact" w:before="0"/>
        <w:ind w:left="195" w:right="0" w:firstLine="0"/>
        <w:jc w:val="left"/>
        <w:rPr>
          <w:rFonts w:ascii="Microsoft JhengHei UI" w:eastAsia="Microsoft JhengHei UI" w:hint="eastAsia"/>
          <w:b/>
          <w:sz w:val="30"/>
        </w:rPr>
      </w:pPr>
      <w:r>
        <w:rPr>
          <w:rFonts w:ascii="Microsoft JhengHei UI" w:eastAsia="Microsoft JhengHei UI" w:hint="eastAsia"/>
          <w:b/>
          <w:sz w:val="30"/>
        </w:rPr>
        <w:t>血液瘤突破早线治疗，期待实体瘤突破和商业化腾飞</w:t>
      </w:r>
    </w:p>
    <w:p>
      <w:pPr>
        <w:pStyle w:val="BodyText"/>
        <w:spacing w:before="15"/>
        <w:ind w:left="0"/>
        <w:rPr>
          <w:rFonts w:ascii="Microsoft JhengHei UI"/>
          <w:b/>
          <w:sz w:val="14"/>
        </w:rPr>
      </w:pPr>
    </w:p>
    <w:p>
      <w:pPr>
        <w:spacing w:after="0"/>
        <w:rPr>
          <w:rFonts w:ascii="Microsoft JhengHei UI"/>
          <w:sz w:val="14"/>
        </w:rPr>
        <w:sectPr>
          <w:footerReference w:type="default" r:id="rId5"/>
          <w:type w:val="continuous"/>
          <w:pgSz w:w="11910" w:h="16840"/>
          <w:pgMar w:footer="291" w:top="300" w:bottom="480" w:left="640" w:right="300"/>
        </w:sectPr>
      </w:pPr>
    </w:p>
    <w:p>
      <w:pPr>
        <w:pStyle w:val="BodyText"/>
        <w:spacing w:line="249" w:lineRule="auto" w:before="99"/>
        <w:ind w:left="195" w:right="38"/>
        <w:jc w:val="both"/>
      </w:pPr>
      <w:r>
        <w:rPr>
          <w:rFonts w:ascii="Arial" w:eastAsia="Arial"/>
        </w:rPr>
        <w:t>2022 </w:t>
      </w:r>
      <w:r>
        <w:rPr/>
        <w:t>年以来，</w:t>
      </w:r>
      <w:r>
        <w:rPr>
          <w:rFonts w:ascii="Arial" w:eastAsia="Arial"/>
        </w:rPr>
        <w:t>CAR-T </w:t>
      </w:r>
      <w:r>
        <w:rPr/>
        <w:t>行业已经在血液瘤前线治疗、实体瘤治疗、同种异体治疗等多维度迎来突破，国产</w:t>
      </w:r>
      <w:r>
        <w:rPr>
          <w:rFonts w:ascii="Arial" w:eastAsia="Arial"/>
        </w:rPr>
        <w:t>CAR-T </w:t>
      </w:r>
      <w:r>
        <w:rPr/>
        <w:t>产品也成功出海：</w:t>
      </w:r>
      <w:r>
        <w:rPr>
          <w:rFonts w:ascii="Arial" w:eastAsia="Arial"/>
        </w:rPr>
        <w:t>1) </w:t>
      </w:r>
      <w:r>
        <w:rPr/>
        <w:t>传奇生物的</w:t>
      </w:r>
      <w:r>
        <w:rPr>
          <w:rFonts w:ascii="Arial" w:eastAsia="Arial"/>
        </w:rPr>
        <w:t>Cilta-cel </w:t>
      </w:r>
      <w:r>
        <w:rPr/>
        <w:t>凭借接近</w:t>
      </w:r>
      <w:r>
        <w:rPr>
          <w:rFonts w:ascii="Arial" w:eastAsia="Arial"/>
        </w:rPr>
        <w:t>100%</w:t>
      </w:r>
      <w:r>
        <w:rPr/>
        <w:t>的</w:t>
      </w:r>
      <w:r>
        <w:rPr>
          <w:rFonts w:ascii="Arial" w:eastAsia="Arial"/>
        </w:rPr>
        <w:t>ORR </w:t>
      </w:r>
      <w:r>
        <w:rPr/>
        <w:t>和优异的长期有效性数据，成为首款成功出海的血液瘤</w:t>
      </w:r>
      <w:r>
        <w:rPr>
          <w:rFonts w:ascii="Arial" w:eastAsia="Arial"/>
        </w:rPr>
        <w:t>CAR- T</w:t>
      </w:r>
      <w:r>
        <w:rPr/>
        <w:t>；</w:t>
      </w:r>
      <w:r>
        <w:rPr>
          <w:rFonts w:ascii="Arial" w:eastAsia="Arial"/>
        </w:rPr>
        <w:t>2) Gilead </w:t>
      </w:r>
      <w:r>
        <w:rPr/>
        <w:t>和 </w:t>
      </w:r>
      <w:r>
        <w:rPr>
          <w:rFonts w:ascii="Arial" w:eastAsia="Arial"/>
        </w:rPr>
        <w:t>BMS </w:t>
      </w:r>
      <w:r>
        <w:rPr/>
        <w:t>的 </w:t>
      </w:r>
      <w:r>
        <w:rPr>
          <w:rFonts w:ascii="Arial" w:eastAsia="Arial"/>
        </w:rPr>
        <w:t>CD19 CAR-T </w:t>
      </w:r>
      <w:r>
        <w:rPr/>
        <w:t>先后获批 </w:t>
      </w:r>
      <w:r>
        <w:rPr>
          <w:rFonts w:ascii="Arial" w:eastAsia="Arial"/>
        </w:rPr>
        <w:t>2L LBCL </w:t>
      </w:r>
      <w:r>
        <w:rPr/>
        <w:t>适应症，潜在患者人群显著扩大；</w:t>
      </w:r>
      <w:r>
        <w:rPr>
          <w:rFonts w:ascii="Arial" w:eastAsia="Arial"/>
        </w:rPr>
        <w:t>3) </w:t>
      </w:r>
      <w:r>
        <w:rPr/>
        <w:t>科济药业的潜在全球</w:t>
      </w:r>
      <w:r>
        <w:rPr>
          <w:rFonts w:ascii="Arial" w:eastAsia="Arial"/>
        </w:rPr>
        <w:t>First-in-class </w:t>
      </w:r>
      <w:r>
        <w:rPr/>
        <w:t>的 </w:t>
      </w:r>
      <w:r>
        <w:rPr>
          <w:rFonts w:ascii="Arial" w:eastAsia="Arial"/>
        </w:rPr>
        <w:t>Claudin18.2 CAR-T </w:t>
      </w:r>
      <w:r>
        <w:rPr/>
        <w:t>进入确证性</w:t>
      </w:r>
      <w:r>
        <w:rPr>
          <w:rFonts w:ascii="Arial" w:eastAsia="Arial"/>
        </w:rPr>
        <w:t>II </w:t>
      </w:r>
      <w:r>
        <w:rPr/>
        <w:t>期临床，接受</w:t>
      </w:r>
      <w:r>
        <w:rPr>
          <w:rFonts w:ascii="Arial" w:eastAsia="Arial"/>
        </w:rPr>
        <w:t>CT041 </w:t>
      </w:r>
      <w:r>
        <w:rPr/>
        <w:t>治疗的患者出现</w:t>
      </w:r>
      <w:r>
        <w:rPr>
          <w:rFonts w:ascii="Arial" w:eastAsia="Arial"/>
        </w:rPr>
        <w:t>CR</w:t>
      </w:r>
      <w:r>
        <w:rPr/>
        <w:t>；</w:t>
      </w:r>
      <w:r>
        <w:rPr>
          <w:rFonts w:ascii="Arial" w:eastAsia="Arial"/>
        </w:rPr>
        <w:t>4) Caribou </w:t>
      </w:r>
      <w:r>
        <w:rPr/>
        <w:t>和 </w:t>
      </w:r>
      <w:r>
        <w:rPr>
          <w:rFonts w:ascii="Arial" w:eastAsia="Arial"/>
        </w:rPr>
        <w:t>Precision </w:t>
      </w:r>
      <w:r>
        <w:rPr/>
        <w:t>的通用型</w:t>
      </w:r>
      <w:r>
        <w:rPr>
          <w:rFonts w:ascii="Arial" w:eastAsia="Arial"/>
        </w:rPr>
        <w:t>CAR-T </w:t>
      </w:r>
      <w:r>
        <w:rPr/>
        <w:t>疗法均展现了超高的</w:t>
      </w:r>
      <w:r>
        <w:rPr>
          <w:rFonts w:ascii="Arial" w:eastAsia="Arial"/>
        </w:rPr>
        <w:t>ORR</w:t>
      </w:r>
      <w:r>
        <w:rPr/>
        <w:t>，长期药效值得期待。随着研发、生产和支付体系的完善及出海的推进，国内</w:t>
      </w:r>
      <w:r>
        <w:rPr>
          <w:rFonts w:ascii="Arial" w:eastAsia="Arial"/>
        </w:rPr>
        <w:t>CAR-T </w:t>
      </w:r>
      <w:r>
        <w:rPr/>
        <w:t>企业有望迎来加速发展期。</w:t>
      </w:r>
    </w:p>
    <w:p>
      <w:pPr>
        <w:pStyle w:val="ListParagraph"/>
        <w:numPr>
          <w:ilvl w:val="0"/>
          <w:numId w:val="1"/>
        </w:numPr>
        <w:tabs>
          <w:tab w:pos="551" w:val="left" w:leader="none"/>
        </w:tabs>
        <w:spacing w:line="244" w:lineRule="auto" w:before="19" w:after="0"/>
        <w:ind w:left="550" w:right="38" w:hanging="356"/>
        <w:jc w:val="both"/>
        <w:rPr>
          <w:sz w:val="20"/>
        </w:rPr>
      </w:pPr>
      <w:r>
        <w:rPr>
          <w:rFonts w:ascii="Microsoft JhengHei UI" w:hAnsi="Microsoft JhengHei UI" w:eastAsia="Microsoft JhengHei UI" w:hint="eastAsia"/>
          <w:b/>
          <w:spacing w:val="-5"/>
          <w:sz w:val="20"/>
        </w:rPr>
        <w:t>血液瘤前线治疗顺利推进，潜在患者显著扩大。</w:t>
      </w:r>
      <w:r>
        <w:rPr>
          <w:spacing w:val="-1"/>
          <w:sz w:val="20"/>
        </w:rPr>
        <w:t>自 </w:t>
      </w:r>
      <w:r>
        <w:rPr>
          <w:rFonts w:ascii="Arial" w:hAnsi="Arial" w:eastAsia="Arial"/>
          <w:spacing w:val="-3"/>
          <w:sz w:val="20"/>
        </w:rPr>
        <w:t>2017</w:t>
      </w:r>
      <w:r>
        <w:rPr>
          <w:rFonts w:ascii="Arial" w:hAnsi="Arial" w:eastAsia="Arial"/>
          <w:spacing w:val="-13"/>
          <w:sz w:val="20"/>
        </w:rPr>
        <w:t> </w:t>
      </w:r>
      <w:r>
        <w:rPr>
          <w:spacing w:val="12"/>
          <w:sz w:val="20"/>
        </w:rPr>
        <w:t>年两款</w:t>
      </w:r>
      <w:r>
        <w:rPr>
          <w:rFonts w:ascii="Arial" w:hAnsi="Arial" w:eastAsia="Arial"/>
          <w:sz w:val="20"/>
        </w:rPr>
        <w:t>CD19</w:t>
      </w:r>
      <w:r>
        <w:rPr>
          <w:rFonts w:ascii="Arial" w:hAnsi="Arial" w:eastAsia="Arial"/>
          <w:spacing w:val="-1"/>
          <w:sz w:val="20"/>
        </w:rPr>
        <w:t> </w:t>
      </w:r>
      <w:r>
        <w:rPr>
          <w:rFonts w:ascii="Arial" w:hAnsi="Arial" w:eastAsia="Arial"/>
          <w:sz w:val="20"/>
        </w:rPr>
        <w:t>CAR- T </w:t>
      </w:r>
      <w:r>
        <w:rPr>
          <w:spacing w:val="-1"/>
          <w:sz w:val="20"/>
        </w:rPr>
        <w:t>获批用于治疗 </w:t>
      </w:r>
      <w:r>
        <w:rPr>
          <w:rFonts w:ascii="Arial" w:hAnsi="Arial" w:eastAsia="Arial"/>
          <w:sz w:val="20"/>
        </w:rPr>
        <w:t>3L</w:t>
      </w:r>
      <w:r>
        <w:rPr>
          <w:rFonts w:ascii="Arial" w:hAnsi="Arial" w:eastAsia="Arial"/>
          <w:spacing w:val="16"/>
          <w:sz w:val="20"/>
        </w:rPr>
        <w:t>+ </w:t>
      </w:r>
      <w:r>
        <w:rPr>
          <w:rFonts w:ascii="Arial" w:hAnsi="Arial" w:eastAsia="Arial"/>
          <w:sz w:val="20"/>
        </w:rPr>
        <w:t>r/r</w:t>
      </w:r>
      <w:r>
        <w:rPr>
          <w:rFonts w:ascii="Arial" w:hAnsi="Arial" w:eastAsia="Arial"/>
          <w:spacing w:val="34"/>
          <w:sz w:val="20"/>
        </w:rPr>
        <w:t> </w:t>
      </w:r>
      <w:r>
        <w:rPr>
          <w:rFonts w:ascii="Arial" w:hAnsi="Arial" w:eastAsia="Arial"/>
          <w:sz w:val="20"/>
        </w:rPr>
        <w:t>LBCL</w:t>
      </w:r>
      <w:r>
        <w:rPr>
          <w:rFonts w:ascii="Arial" w:hAnsi="Arial" w:eastAsia="Arial"/>
          <w:spacing w:val="-2"/>
          <w:sz w:val="20"/>
        </w:rPr>
        <w:t> </w:t>
      </w:r>
      <w:r>
        <w:rPr>
          <w:spacing w:val="-4"/>
          <w:sz w:val="20"/>
        </w:rPr>
        <w:t>以来，目前全球已有两款 </w:t>
      </w:r>
      <w:r>
        <w:rPr>
          <w:rFonts w:ascii="Arial" w:hAnsi="Arial" w:eastAsia="Arial"/>
          <w:sz w:val="20"/>
        </w:rPr>
        <w:t>CD19</w:t>
      </w:r>
      <w:r>
        <w:rPr>
          <w:rFonts w:ascii="Arial" w:hAnsi="Arial" w:eastAsia="Arial"/>
          <w:spacing w:val="32"/>
          <w:sz w:val="20"/>
        </w:rPr>
        <w:t> </w:t>
      </w:r>
      <w:r>
        <w:rPr>
          <w:rFonts w:ascii="Arial" w:hAnsi="Arial" w:eastAsia="Arial"/>
          <w:sz w:val="20"/>
        </w:rPr>
        <w:t>CAR-T</w:t>
      </w:r>
      <w:r>
        <w:rPr>
          <w:rFonts w:ascii="Arial" w:hAnsi="Arial" w:eastAsia="Arial"/>
          <w:spacing w:val="-3"/>
          <w:sz w:val="20"/>
        </w:rPr>
        <w:t> </w:t>
      </w:r>
      <w:r>
        <w:rPr>
          <w:sz w:val="20"/>
        </w:rPr>
        <w:t>产品</w:t>
      </w:r>
      <w:r>
        <w:rPr>
          <w:spacing w:val="-3"/>
          <w:sz w:val="20"/>
        </w:rPr>
        <w:t>将治疗适应症前移至 </w:t>
      </w:r>
      <w:r>
        <w:rPr>
          <w:rFonts w:ascii="Arial" w:hAnsi="Arial" w:eastAsia="Arial"/>
          <w:sz w:val="20"/>
        </w:rPr>
        <w:t>2L</w:t>
      </w:r>
      <w:r>
        <w:rPr>
          <w:rFonts w:ascii="Arial" w:hAnsi="Arial" w:eastAsia="Arial"/>
          <w:spacing w:val="27"/>
          <w:sz w:val="20"/>
        </w:rPr>
        <w:t> </w:t>
      </w:r>
      <w:r>
        <w:rPr>
          <w:rFonts w:ascii="Arial" w:hAnsi="Arial" w:eastAsia="Arial"/>
          <w:sz w:val="20"/>
        </w:rPr>
        <w:t>LBCL</w:t>
      </w:r>
      <w:r>
        <w:rPr>
          <w:spacing w:val="-3"/>
          <w:sz w:val="20"/>
        </w:rPr>
        <w:t>。已获批的两款 </w:t>
      </w:r>
      <w:r>
        <w:rPr>
          <w:rFonts w:ascii="Arial" w:hAnsi="Arial" w:eastAsia="Arial"/>
          <w:sz w:val="20"/>
        </w:rPr>
        <w:t>BCMA</w:t>
      </w:r>
      <w:r>
        <w:rPr>
          <w:rFonts w:ascii="Arial" w:hAnsi="Arial" w:eastAsia="Arial"/>
          <w:spacing w:val="23"/>
          <w:sz w:val="20"/>
        </w:rPr>
        <w:t> </w:t>
      </w:r>
      <w:r>
        <w:rPr>
          <w:rFonts w:ascii="Arial" w:hAnsi="Arial" w:eastAsia="Arial"/>
          <w:sz w:val="20"/>
        </w:rPr>
        <w:t>CAR-T</w:t>
      </w:r>
      <w:r>
        <w:rPr>
          <w:rFonts w:ascii="Arial" w:hAnsi="Arial" w:eastAsia="Arial"/>
          <w:spacing w:val="-7"/>
          <w:sz w:val="20"/>
        </w:rPr>
        <w:t> </w:t>
      </w:r>
      <w:r>
        <w:rPr>
          <w:spacing w:val="-3"/>
          <w:sz w:val="20"/>
        </w:rPr>
        <w:t>也已经在积极</w:t>
      </w:r>
      <w:r>
        <w:rPr>
          <w:spacing w:val="-5"/>
          <w:sz w:val="20"/>
        </w:rPr>
        <w:t>布局多发性骨髓瘤前线适应症的临床试验。我们预计 </w:t>
      </w:r>
      <w:r>
        <w:rPr>
          <w:rFonts w:ascii="Arial" w:hAnsi="Arial" w:eastAsia="Arial"/>
          <w:sz w:val="20"/>
        </w:rPr>
        <w:t>CAR-T</w:t>
      </w:r>
      <w:r>
        <w:rPr>
          <w:rFonts w:ascii="Arial" w:hAnsi="Arial" w:eastAsia="Arial"/>
          <w:spacing w:val="50"/>
          <w:sz w:val="20"/>
        </w:rPr>
        <w:t> </w:t>
      </w:r>
      <w:r>
        <w:rPr>
          <w:spacing w:val="-2"/>
          <w:sz w:val="20"/>
        </w:rPr>
        <w:t>将在早线血液</w:t>
      </w:r>
      <w:r>
        <w:rPr>
          <w:spacing w:val="-5"/>
          <w:sz w:val="20"/>
        </w:rPr>
        <w:t>瘤患者中更好的彰显“治愈”潜力。</w:t>
      </w:r>
    </w:p>
    <w:p>
      <w:pPr>
        <w:pStyle w:val="ListParagraph"/>
        <w:numPr>
          <w:ilvl w:val="0"/>
          <w:numId w:val="1"/>
        </w:numPr>
        <w:tabs>
          <w:tab w:pos="551" w:val="left" w:leader="none"/>
        </w:tabs>
        <w:spacing w:line="311" w:lineRule="exact" w:before="0" w:after="0"/>
        <w:ind w:left="550" w:right="0" w:hanging="356"/>
        <w:jc w:val="left"/>
        <w:rPr>
          <w:sz w:val="20"/>
        </w:rPr>
      </w:pPr>
      <w:r>
        <w:rPr>
          <w:rFonts w:ascii="Arial" w:hAnsi="Arial" w:eastAsia="Arial"/>
          <w:b/>
          <w:spacing w:val="-3"/>
          <w:sz w:val="20"/>
        </w:rPr>
        <w:t>CAR-T</w:t>
      </w:r>
      <w:r>
        <w:rPr>
          <w:rFonts w:ascii="Arial" w:hAnsi="Arial" w:eastAsia="Arial"/>
          <w:b/>
          <w:spacing w:val="11"/>
          <w:sz w:val="20"/>
        </w:rPr>
        <w:t> </w:t>
      </w:r>
      <w:r>
        <w:rPr>
          <w:rFonts w:ascii="Microsoft JhengHei UI" w:hAnsi="Microsoft JhengHei UI" w:eastAsia="Microsoft JhengHei UI" w:hint="eastAsia"/>
          <w:b/>
          <w:spacing w:val="4"/>
          <w:sz w:val="20"/>
        </w:rPr>
        <w:t>安全性持续改善，门诊治疗值得期待。</w:t>
      </w:r>
      <w:r>
        <w:rPr>
          <w:rFonts w:ascii="Arial" w:hAnsi="Arial" w:eastAsia="Arial"/>
          <w:sz w:val="20"/>
        </w:rPr>
        <w:t>CAR-T</w:t>
      </w:r>
      <w:r>
        <w:rPr>
          <w:rFonts w:ascii="Arial" w:hAnsi="Arial" w:eastAsia="Arial"/>
          <w:spacing w:val="52"/>
          <w:sz w:val="20"/>
        </w:rPr>
        <w:t> </w:t>
      </w:r>
      <w:r>
        <w:rPr>
          <w:spacing w:val="3"/>
          <w:sz w:val="20"/>
        </w:rPr>
        <w:t>的主要不良反应为</w:t>
      </w:r>
    </w:p>
    <w:p>
      <w:pPr>
        <w:pStyle w:val="BodyText"/>
        <w:spacing w:line="249" w:lineRule="auto"/>
        <w:ind w:left="550" w:right="38"/>
        <w:jc w:val="both"/>
      </w:pPr>
      <w:r>
        <w:rPr>
          <w:rFonts w:ascii="Arial" w:eastAsia="Arial"/>
        </w:rPr>
        <w:t>CRS</w:t>
      </w:r>
      <w:r>
        <w:rPr>
          <w:rFonts w:ascii="Arial" w:eastAsia="Arial"/>
          <w:spacing w:val="37"/>
        </w:rPr>
        <w:t> </w:t>
      </w:r>
      <w:r>
        <w:rPr>
          <w:spacing w:val="25"/>
        </w:rPr>
        <w:t>和 </w:t>
      </w:r>
      <w:r>
        <w:rPr>
          <w:rFonts w:ascii="Arial" w:eastAsia="Arial"/>
        </w:rPr>
        <w:t>ICANS</w:t>
      </w:r>
      <w:r>
        <w:rPr>
          <w:spacing w:val="11"/>
        </w:rPr>
        <w:t>，随着 </w:t>
      </w:r>
      <w:r>
        <w:rPr>
          <w:rFonts w:ascii="Arial" w:eastAsia="Arial"/>
        </w:rPr>
        <w:t>CAR-T</w:t>
      </w:r>
      <w:r>
        <w:rPr>
          <w:rFonts w:ascii="Arial" w:eastAsia="Arial"/>
          <w:spacing w:val="38"/>
        </w:rPr>
        <w:t> </w:t>
      </w:r>
      <w:r>
        <w:rPr>
          <w:spacing w:val="-5"/>
        </w:rPr>
        <w:t>产品设计逐步精进，近期上市或临床阶段的</w:t>
      </w:r>
      <w:r>
        <w:rPr>
          <w:rFonts w:ascii="Arial" w:eastAsia="Arial"/>
          <w:spacing w:val="-5"/>
        </w:rPr>
        <w:t>CAR-T</w:t>
      </w:r>
      <w:r>
        <w:rPr>
          <w:rFonts w:ascii="Arial" w:eastAsia="Arial"/>
          <w:spacing w:val="41"/>
        </w:rPr>
        <w:t> </w:t>
      </w:r>
      <w:r>
        <w:rPr/>
        <w:t>产品的安全性上已经实现大幅改善。以 </w:t>
      </w:r>
      <w:r>
        <w:rPr>
          <w:rFonts w:ascii="Arial" w:eastAsia="Arial"/>
        </w:rPr>
        <w:t>BCMA</w:t>
      </w:r>
      <w:r>
        <w:rPr>
          <w:rFonts w:ascii="Arial" w:eastAsia="Arial"/>
          <w:spacing w:val="34"/>
        </w:rPr>
        <w:t> </w:t>
      </w:r>
      <w:r>
        <w:rPr>
          <w:rFonts w:ascii="Arial" w:eastAsia="Arial"/>
        </w:rPr>
        <w:t>CAR-T</w:t>
      </w:r>
      <w:r>
        <w:rPr>
          <w:rFonts w:ascii="Arial" w:eastAsia="Arial"/>
          <w:spacing w:val="40"/>
        </w:rPr>
        <w:t> </w:t>
      </w:r>
      <w:r>
        <w:rPr/>
        <w:t>产品为例， </w:t>
      </w:r>
      <w:r>
        <w:rPr>
          <w:rFonts w:ascii="Arial" w:eastAsia="Arial"/>
        </w:rPr>
        <w:t>CT103A</w:t>
      </w:r>
      <w:r>
        <w:rPr>
          <w:rFonts w:ascii="Arial" w:eastAsia="Arial"/>
          <w:spacing w:val="-13"/>
        </w:rPr>
        <w:t> </w:t>
      </w:r>
      <w:r>
        <w:rPr>
          <w:spacing w:val="48"/>
        </w:rPr>
        <w:t>和</w:t>
      </w:r>
      <w:r>
        <w:rPr>
          <w:rFonts w:ascii="Arial" w:eastAsia="Arial"/>
        </w:rPr>
        <w:t>CT053</w:t>
      </w:r>
      <w:r>
        <w:rPr>
          <w:rFonts w:ascii="Arial" w:eastAsia="Arial"/>
          <w:spacing w:val="-14"/>
        </w:rPr>
        <w:t> </w:t>
      </w:r>
      <w:r>
        <w:rPr>
          <w:spacing w:val="8"/>
        </w:rPr>
        <w:t>的三级以上</w:t>
      </w:r>
      <w:r>
        <w:rPr>
          <w:rFonts w:ascii="Arial" w:eastAsia="Arial"/>
        </w:rPr>
        <w:t>CRS</w:t>
      </w:r>
      <w:r>
        <w:rPr>
          <w:rFonts w:ascii="Arial" w:eastAsia="Arial"/>
          <w:spacing w:val="-13"/>
        </w:rPr>
        <w:t> </w:t>
      </w:r>
      <w:r>
        <w:rPr>
          <w:spacing w:val="43"/>
        </w:rPr>
        <w:t>和</w:t>
      </w:r>
      <w:r>
        <w:rPr>
          <w:rFonts w:ascii="Arial" w:eastAsia="Arial"/>
        </w:rPr>
        <w:t>ICANS</w:t>
      </w:r>
      <w:r>
        <w:rPr>
          <w:rFonts w:ascii="Arial" w:eastAsia="Arial"/>
          <w:spacing w:val="-12"/>
        </w:rPr>
        <w:t> </w:t>
      </w:r>
      <w:r>
        <w:rPr>
          <w:spacing w:val="-3"/>
        </w:rPr>
        <w:t>发生率均为 </w:t>
      </w:r>
      <w:r>
        <w:rPr>
          <w:rFonts w:ascii="Arial" w:eastAsia="Arial"/>
        </w:rPr>
        <w:t>0%</w:t>
      </w:r>
      <w:r>
        <w:rPr>
          <w:spacing w:val="-3"/>
        </w:rPr>
        <w:t>。科济药业已</w:t>
      </w:r>
      <w:r>
        <w:rPr>
          <w:spacing w:val="4"/>
        </w:rPr>
        <w:t>经在 </w:t>
      </w:r>
      <w:r>
        <w:rPr>
          <w:rFonts w:ascii="Arial" w:eastAsia="Arial"/>
        </w:rPr>
        <w:t>CT053</w:t>
      </w:r>
      <w:r>
        <w:rPr>
          <w:rFonts w:ascii="Arial" w:eastAsia="Arial"/>
          <w:spacing w:val="3"/>
        </w:rPr>
        <w:t> </w:t>
      </w:r>
      <w:r>
        <w:rPr/>
        <w:t>的美国注册 </w:t>
      </w:r>
      <w:r>
        <w:rPr>
          <w:rFonts w:ascii="Arial" w:eastAsia="Arial"/>
        </w:rPr>
        <w:t>II</w:t>
      </w:r>
      <w:r>
        <w:rPr>
          <w:rFonts w:ascii="Arial" w:eastAsia="Arial"/>
          <w:spacing w:val="6"/>
        </w:rPr>
        <w:t> </w:t>
      </w:r>
      <w:r>
        <w:rPr>
          <w:spacing w:val="3"/>
        </w:rPr>
        <w:t>期研究 </w:t>
      </w:r>
      <w:r>
        <w:rPr>
          <w:rFonts w:ascii="Arial" w:eastAsia="Arial"/>
        </w:rPr>
        <w:t>LUMMICAR-2</w:t>
      </w:r>
      <w:r>
        <w:rPr>
          <w:rFonts w:ascii="Arial" w:eastAsia="Arial"/>
          <w:spacing w:val="3"/>
        </w:rPr>
        <w:t> </w:t>
      </w:r>
      <w:r>
        <w:rPr>
          <w:spacing w:val="3"/>
        </w:rPr>
        <w:t>中纳入 </w:t>
      </w:r>
      <w:r>
        <w:rPr>
          <w:rFonts w:ascii="Arial" w:eastAsia="Arial"/>
        </w:rPr>
        <w:t>out-patient</w:t>
      </w:r>
      <w:r>
        <w:rPr>
          <w:rFonts w:ascii="Arial" w:eastAsia="Arial"/>
          <w:spacing w:val="1"/>
        </w:rPr>
        <w:t> </w:t>
      </w:r>
      <w:r>
        <w:rPr/>
        <w:t>治疗， </w:t>
      </w:r>
      <w:r>
        <w:rPr>
          <w:spacing w:val="-5"/>
        </w:rPr>
        <w:t>如果成功，将能大幅降低总治疗成本。</w:t>
      </w:r>
    </w:p>
    <w:p>
      <w:pPr>
        <w:pStyle w:val="ListParagraph"/>
        <w:numPr>
          <w:ilvl w:val="0"/>
          <w:numId w:val="1"/>
        </w:numPr>
        <w:tabs>
          <w:tab w:pos="551" w:val="left" w:leader="none"/>
        </w:tabs>
        <w:spacing w:line="307" w:lineRule="exact" w:before="0" w:after="0"/>
        <w:ind w:left="550" w:right="0" w:hanging="356"/>
        <w:jc w:val="left"/>
        <w:rPr>
          <w:sz w:val="20"/>
        </w:rPr>
      </w:pPr>
      <w:r>
        <w:rPr>
          <w:rFonts w:ascii="Microsoft JhengHei UI" w:hAnsi="Microsoft JhengHei UI" w:eastAsia="Microsoft JhengHei UI" w:hint="eastAsia"/>
          <w:b/>
          <w:spacing w:val="14"/>
          <w:sz w:val="20"/>
        </w:rPr>
        <w:t>实体瘤</w:t>
      </w:r>
      <w:r>
        <w:rPr>
          <w:rFonts w:ascii="Arial" w:hAnsi="Arial" w:eastAsia="Arial"/>
          <w:b/>
          <w:spacing w:val="-4"/>
          <w:sz w:val="20"/>
        </w:rPr>
        <w:t>CAR-T</w:t>
      </w:r>
      <w:r>
        <w:rPr>
          <w:rFonts w:ascii="Arial" w:hAnsi="Arial" w:eastAsia="Arial"/>
          <w:b/>
          <w:sz w:val="20"/>
        </w:rPr>
        <w:t> </w:t>
      </w:r>
      <w:r>
        <w:rPr>
          <w:rFonts w:ascii="Microsoft JhengHei UI" w:hAnsi="Microsoft JhengHei UI" w:eastAsia="Microsoft JhengHei UI" w:hint="eastAsia"/>
          <w:b/>
          <w:spacing w:val="-3"/>
          <w:sz w:val="20"/>
        </w:rPr>
        <w:t>多靶点在研，已经显示疗效信号。</w:t>
      </w:r>
      <w:r>
        <w:rPr>
          <w:spacing w:val="-2"/>
          <w:sz w:val="20"/>
        </w:rPr>
        <w:t>过往 </w:t>
      </w:r>
      <w:r>
        <w:rPr>
          <w:rFonts w:ascii="Arial" w:hAnsi="Arial" w:eastAsia="Arial"/>
          <w:sz w:val="20"/>
        </w:rPr>
        <w:t>CAR-T</w:t>
      </w:r>
      <w:r>
        <w:rPr>
          <w:rFonts w:ascii="Arial" w:hAnsi="Arial" w:eastAsia="Arial"/>
          <w:spacing w:val="-6"/>
          <w:sz w:val="20"/>
        </w:rPr>
        <w:t> </w:t>
      </w:r>
      <w:r>
        <w:rPr>
          <w:spacing w:val="-3"/>
          <w:sz w:val="20"/>
        </w:rPr>
        <w:t>被认为难以突</w:t>
      </w:r>
    </w:p>
    <w:p>
      <w:pPr>
        <w:pStyle w:val="BodyText"/>
        <w:spacing w:line="249" w:lineRule="auto"/>
        <w:ind w:left="550" w:right="38"/>
        <w:jc w:val="both"/>
      </w:pPr>
      <w:r>
        <w:rPr/>
        <w:t>破实体瘤肿瘤微环境。近期，随着科济药业 </w:t>
      </w:r>
      <w:r>
        <w:rPr>
          <w:rFonts w:ascii="Arial" w:hAnsi="Arial" w:eastAsia="Arial"/>
        </w:rPr>
        <w:t>CT041</w:t>
      </w:r>
      <w:r>
        <w:rPr/>
        <w:t>（</w:t>
      </w:r>
      <w:r>
        <w:rPr>
          <w:rFonts w:ascii="Arial" w:hAnsi="Arial" w:eastAsia="Arial"/>
        </w:rPr>
        <w:t>CLDN18.2 CAR-T</w:t>
      </w:r>
      <w:r>
        <w:rPr/>
        <w:t>） </w:t>
      </w:r>
      <w:r>
        <w:rPr>
          <w:spacing w:val="1"/>
        </w:rPr>
        <w:t>的早期临床显示“合适的 </w:t>
      </w:r>
      <w:r>
        <w:rPr>
          <w:rFonts w:ascii="Arial" w:hAnsi="Arial" w:eastAsia="Arial"/>
        </w:rPr>
        <w:t>TAA</w:t>
      </w:r>
      <w:r>
        <w:rPr>
          <w:rFonts w:ascii="Arial" w:hAnsi="Arial" w:eastAsia="Arial"/>
          <w:spacing w:val="51"/>
        </w:rPr>
        <w:t> </w:t>
      </w:r>
      <w:r>
        <w:rPr>
          <w:spacing w:val="2"/>
        </w:rPr>
        <w:t>选择</w:t>
      </w:r>
      <w:r>
        <w:rPr>
          <w:rFonts w:ascii="Arial" w:hAnsi="Arial" w:eastAsia="Arial"/>
        </w:rPr>
        <w:t>+</w:t>
      </w:r>
      <w:r>
        <w:rPr/>
        <w:t>升级清淋方案”有机会实现良好的疗</w:t>
      </w:r>
      <w:r>
        <w:rPr>
          <w:spacing w:val="-4"/>
        </w:rPr>
        <w:t>效。目前全球已经有多个针对实体瘤 </w:t>
      </w:r>
      <w:r>
        <w:rPr>
          <w:rFonts w:ascii="Arial" w:hAnsi="Arial" w:eastAsia="Arial"/>
        </w:rPr>
        <w:t>CAR-T </w:t>
      </w:r>
      <w:r>
        <w:rPr>
          <w:spacing w:val="-5"/>
        </w:rPr>
        <w:t>的产品进入临床阶段，靶点涵盖 </w:t>
      </w:r>
      <w:r>
        <w:rPr>
          <w:rFonts w:ascii="Arial" w:hAnsi="Arial" w:eastAsia="Arial"/>
        </w:rPr>
        <w:t>CLDN18.2</w:t>
      </w:r>
      <w:r>
        <w:rPr/>
        <w:t>、</w:t>
      </w:r>
      <w:r>
        <w:rPr>
          <w:rFonts w:ascii="Arial" w:hAnsi="Arial" w:eastAsia="Arial"/>
        </w:rPr>
        <w:t>MSLN</w:t>
      </w:r>
      <w:r>
        <w:rPr/>
        <w:t>、</w:t>
      </w:r>
      <w:r>
        <w:rPr>
          <w:rFonts w:ascii="Arial" w:hAnsi="Arial" w:eastAsia="Arial"/>
        </w:rPr>
        <w:t>GPC3</w:t>
      </w:r>
      <w:r>
        <w:rPr/>
        <w:t>、</w:t>
      </w:r>
      <w:r>
        <w:rPr>
          <w:rFonts w:ascii="Arial" w:hAnsi="Arial" w:eastAsia="Arial"/>
        </w:rPr>
        <w:t>B7-H3 </w:t>
      </w:r>
      <w:r>
        <w:rPr>
          <w:spacing w:val="-5"/>
        </w:rPr>
        <w:t>等。</w:t>
      </w:r>
    </w:p>
    <w:p>
      <w:pPr>
        <w:pStyle w:val="ListParagraph"/>
        <w:numPr>
          <w:ilvl w:val="0"/>
          <w:numId w:val="1"/>
        </w:numPr>
        <w:tabs>
          <w:tab w:pos="551" w:val="left" w:leader="none"/>
        </w:tabs>
        <w:spacing w:line="308" w:lineRule="exact" w:before="0" w:after="0"/>
        <w:ind w:left="550" w:right="0" w:hanging="356"/>
        <w:jc w:val="left"/>
        <w:rPr>
          <w:sz w:val="20"/>
        </w:rPr>
      </w:pPr>
      <w:r>
        <w:rPr>
          <w:rFonts w:ascii="Microsoft JhengHei UI" w:hAnsi="Microsoft JhengHei UI" w:eastAsia="Microsoft JhengHei UI" w:hint="eastAsia"/>
          <w:b/>
          <w:sz w:val="20"/>
        </w:rPr>
        <w:t>生产难题逐步攻克，支付手段创新迭代。</w:t>
      </w:r>
      <w:r>
        <w:rPr>
          <w:rFonts w:ascii="Arial" w:hAnsi="Arial" w:eastAsia="Arial"/>
          <w:sz w:val="20"/>
        </w:rPr>
        <w:t>CAR-T</w:t>
      </w:r>
      <w:r>
        <w:rPr>
          <w:rFonts w:ascii="Arial" w:hAnsi="Arial" w:eastAsia="Arial"/>
          <w:spacing w:val="55"/>
          <w:sz w:val="20"/>
        </w:rPr>
        <w:t> </w:t>
      </w:r>
      <w:r>
        <w:rPr>
          <w:sz w:val="20"/>
        </w:rPr>
        <w:t>产品制备复杂，生产成本</w:t>
      </w:r>
    </w:p>
    <w:p>
      <w:pPr>
        <w:pStyle w:val="BodyText"/>
        <w:spacing w:line="249" w:lineRule="auto"/>
        <w:ind w:left="550" w:right="38"/>
        <w:jc w:val="both"/>
      </w:pPr>
      <w:r>
        <w:rPr>
          <w:spacing w:val="-1"/>
        </w:rPr>
        <w:t>高昂。国内已上市两款 </w:t>
      </w:r>
      <w:r>
        <w:rPr>
          <w:rFonts w:ascii="Arial" w:eastAsia="Arial"/>
        </w:rPr>
        <w:t>CAR-T </w:t>
      </w:r>
      <w:r>
        <w:rPr/>
        <w:t>产品的终端价格在 </w:t>
      </w:r>
      <w:r>
        <w:rPr>
          <w:rFonts w:ascii="Arial" w:eastAsia="Arial"/>
        </w:rPr>
        <w:t>120 </w:t>
      </w:r>
      <w:r>
        <w:rPr>
          <w:spacing w:val="-3"/>
        </w:rPr>
        <w:t>万元以上。为了降低</w:t>
      </w:r>
      <w:r>
        <w:rPr/>
        <w:t>成本，国内 </w:t>
      </w:r>
      <w:r>
        <w:rPr>
          <w:rFonts w:ascii="Arial" w:eastAsia="Arial"/>
        </w:rPr>
        <w:t>CAR-T</w:t>
      </w:r>
      <w:r>
        <w:rPr>
          <w:rFonts w:ascii="Arial" w:eastAsia="Arial"/>
          <w:spacing w:val="53"/>
        </w:rPr>
        <w:t> </w:t>
      </w:r>
      <w:r>
        <w:rPr>
          <w:spacing w:val="-5"/>
        </w:rPr>
        <w:t>企业正在积极进行原料自产或国产化替代的尝试，其中科济药业已经实现了慢病毒的自主生产。支付方面，国内两款 </w:t>
      </w:r>
      <w:r>
        <w:rPr>
          <w:rFonts w:ascii="Arial" w:eastAsia="Arial"/>
        </w:rPr>
        <w:t>CAR-T </w:t>
      </w:r>
      <w:r>
        <w:rPr>
          <w:spacing w:val="-7"/>
        </w:rPr>
        <w:t>产品</w:t>
      </w:r>
      <w:r>
        <w:rPr>
          <w:spacing w:val="-3"/>
        </w:rPr>
        <w:t>上市以来，商保</w:t>
      </w:r>
      <w:r>
        <w:rPr>
          <w:rFonts w:ascii="Arial" w:eastAsia="Arial"/>
        </w:rPr>
        <w:t>/</w:t>
      </w:r>
      <w:r>
        <w:rPr>
          <w:spacing w:val="-5"/>
        </w:rPr>
        <w:t>惠民保等医疗保险的覆盖逐渐完善。</w:t>
      </w:r>
    </w:p>
    <w:p>
      <w:pPr>
        <w:pStyle w:val="ListParagraph"/>
        <w:numPr>
          <w:ilvl w:val="0"/>
          <w:numId w:val="1"/>
        </w:numPr>
        <w:tabs>
          <w:tab w:pos="551" w:val="left" w:leader="none"/>
        </w:tabs>
        <w:spacing w:line="252" w:lineRule="auto" w:before="0" w:after="0"/>
        <w:ind w:left="550" w:right="43" w:hanging="356"/>
        <w:jc w:val="both"/>
        <w:rPr>
          <w:sz w:val="20"/>
        </w:rPr>
      </w:pPr>
      <w:r>
        <w:rPr>
          <w:spacing w:val="-6"/>
          <w:sz w:val="20"/>
        </w:rPr>
        <w:t>考虑到实体瘤患者群体显著大于血液瘤，且缺乏有效的后线治疗手段，建议</w:t>
      </w:r>
      <w:r>
        <w:rPr>
          <w:spacing w:val="-3"/>
          <w:sz w:val="20"/>
        </w:rPr>
        <w:t>关注临床进度领先且产品具备疗效优势的科济药业 </w:t>
      </w:r>
      <w:r>
        <w:rPr>
          <w:rFonts w:ascii="Arial" w:hAnsi="Arial" w:eastAsia="Arial"/>
          <w:spacing w:val="-3"/>
          <w:sz w:val="20"/>
        </w:rPr>
        <w:t>(2171</w:t>
      </w:r>
      <w:r>
        <w:rPr>
          <w:rFonts w:ascii="Arial" w:hAnsi="Arial" w:eastAsia="Arial"/>
          <w:spacing w:val="43"/>
          <w:sz w:val="20"/>
        </w:rPr>
        <w:t> </w:t>
      </w:r>
      <w:r>
        <w:rPr>
          <w:rFonts w:ascii="Arial" w:hAnsi="Arial" w:eastAsia="Arial"/>
          <w:sz w:val="20"/>
        </w:rPr>
        <w:t>HK)</w:t>
      </w:r>
      <w:r>
        <w:rPr>
          <w:spacing w:val="-5"/>
          <w:sz w:val="20"/>
        </w:rPr>
        <w:t>。建议关注在血液瘤领域具备先发优势和成功出海经验的传奇生物 </w:t>
      </w:r>
      <w:r>
        <w:rPr>
          <w:rFonts w:ascii="Arial" w:hAnsi="Arial" w:eastAsia="Arial"/>
          <w:sz w:val="20"/>
        </w:rPr>
        <w:t>(LEGN</w:t>
      </w:r>
      <w:r>
        <w:rPr>
          <w:rFonts w:ascii="Arial" w:hAnsi="Arial" w:eastAsia="Arial"/>
          <w:spacing w:val="4"/>
          <w:sz w:val="20"/>
        </w:rPr>
        <w:t> </w:t>
      </w:r>
      <w:r>
        <w:rPr>
          <w:rFonts w:ascii="Arial" w:hAnsi="Arial" w:eastAsia="Arial"/>
          <w:spacing w:val="-3"/>
          <w:sz w:val="20"/>
        </w:rPr>
        <w:t>US)</w:t>
      </w:r>
      <w:r>
        <w:rPr>
          <w:sz w:val="20"/>
        </w:rPr>
        <w:t>。</w:t>
      </w:r>
    </w:p>
    <w:p>
      <w:pPr>
        <w:pStyle w:val="Heading3"/>
        <w:spacing w:before="44"/>
        <w:ind w:left="195"/>
        <w:jc w:val="left"/>
      </w:pPr>
      <w:r>
        <w:rPr>
          <w:b w:val="0"/>
        </w:rPr>
        <w:br w:type="column"/>
      </w:r>
      <w:r>
        <w:rPr/>
        <w:t>中国 医药 行业</w:t>
      </w:r>
    </w:p>
    <w:p>
      <w:pPr>
        <w:pStyle w:val="BodyText"/>
        <w:spacing w:before="13" w:after="1"/>
        <w:ind w:left="0"/>
        <w:rPr>
          <w:rFonts w:ascii="Microsoft JhengHei UI"/>
          <w:b/>
          <w:sz w:val="15"/>
        </w:rPr>
      </w:pPr>
    </w:p>
    <w:tbl>
      <w:tblPr>
        <w:tblW w:w="0" w:type="auto"/>
        <w:jc w:val="left"/>
        <w:tblInd w:w="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7"/>
      </w:tblGrid>
      <w:tr>
        <w:trPr>
          <w:trHeight w:val="251" w:hRule="atLeast"/>
        </w:trPr>
        <w:tc>
          <w:tcPr>
            <w:tcW w:w="1987" w:type="dxa"/>
          </w:tcPr>
          <w:p>
            <w:pPr>
              <w:pStyle w:val="TableParagraph"/>
              <w:spacing w:line="231" w:lineRule="exact"/>
              <w:ind w:left="200"/>
              <w:rPr>
                <w:b/>
                <w:sz w:val="18"/>
              </w:rPr>
            </w:pPr>
            <w:r>
              <w:rPr>
                <w:rFonts w:ascii="Microsoft JhengHei UI" w:eastAsia="Microsoft JhengHei UI" w:hint="eastAsia"/>
                <w:b/>
                <w:sz w:val="18"/>
              </w:rPr>
              <w:t>武 煜</w:t>
            </w:r>
            <w:r>
              <w:rPr>
                <w:b/>
                <w:sz w:val="18"/>
              </w:rPr>
              <w:t>, CFA</w:t>
            </w:r>
          </w:p>
        </w:tc>
      </w:tr>
      <w:tr>
        <w:trPr>
          <w:trHeight w:val="225" w:hRule="atLeast"/>
        </w:trPr>
        <w:tc>
          <w:tcPr>
            <w:tcW w:w="1987" w:type="dxa"/>
          </w:tcPr>
          <w:p>
            <w:pPr>
              <w:pStyle w:val="TableParagraph"/>
              <w:spacing w:line="196" w:lineRule="exact" w:before="10"/>
              <w:ind w:left="200"/>
              <w:rPr>
                <w:sz w:val="18"/>
              </w:rPr>
            </w:pPr>
            <w:r>
              <w:rPr>
                <w:sz w:val="18"/>
              </w:rPr>
              <w:t>(852) 3900 0842</w:t>
            </w:r>
          </w:p>
        </w:tc>
      </w:tr>
      <w:tr>
        <w:trPr>
          <w:trHeight w:val="212" w:hRule="atLeast"/>
        </w:trPr>
        <w:tc>
          <w:tcPr>
            <w:tcW w:w="1987" w:type="dxa"/>
          </w:tcPr>
          <w:p>
            <w:pPr>
              <w:pStyle w:val="TableParagraph"/>
              <w:spacing w:line="187" w:lineRule="exact" w:before="4"/>
              <w:ind w:left="200"/>
              <w:rPr>
                <w:sz w:val="18"/>
              </w:rPr>
            </w:pPr>
            <w:hyperlink r:id="rId7">
              <w:r>
                <w:rPr>
                  <w:sz w:val="18"/>
                </w:rPr>
                <w:t>jillwu@cmbi.com.hk</w:t>
              </w:r>
            </w:hyperlink>
          </w:p>
        </w:tc>
      </w:tr>
    </w:tbl>
    <w:p>
      <w:pPr>
        <w:spacing w:after="0" w:line="187" w:lineRule="exact"/>
        <w:rPr>
          <w:sz w:val="18"/>
        </w:rPr>
        <w:sectPr>
          <w:type w:val="continuous"/>
          <w:pgSz w:w="11910" w:h="16840"/>
          <w:pgMar w:top="300" w:bottom="480" w:left="640" w:right="300"/>
          <w:cols w:num="2" w:equalWidth="0">
            <w:col w:w="7204" w:space="316"/>
            <w:col w:w="3450"/>
          </w:cols>
        </w:sectPr>
      </w:pPr>
    </w:p>
    <w:p>
      <w:pPr>
        <w:pStyle w:val="BodyText"/>
        <w:spacing w:before="15"/>
        <w:ind w:left="0"/>
        <w:rPr>
          <w:rFonts w:ascii="Microsoft JhengHei UI"/>
          <w:b/>
          <w:sz w:val="7"/>
        </w:rPr>
      </w:pPr>
    </w:p>
    <w:p>
      <w:pPr>
        <w:spacing w:before="45"/>
        <w:ind w:left="195" w:right="0" w:firstLine="0"/>
        <w:jc w:val="left"/>
        <w:rPr>
          <w:rFonts w:ascii="Microsoft JhengHei UI" w:eastAsia="Microsoft JhengHei UI" w:hint="eastAsia"/>
          <w:b/>
          <w:sz w:val="20"/>
        </w:rPr>
      </w:pPr>
      <w:r>
        <w:rPr/>
        <w:pict>
          <v:rect style="position:absolute;margin-left:400.970001pt;margin-top:22.396189pt;width:.95999pt;height:72.264pt;mso-position-horizontal-relative:page;mso-position-vertical-relative:paragraph;z-index:15730176" filled="true" fillcolor="#808080" stroked="false">
            <v:fill type="solid"/>
            <w10:wrap type="none"/>
          </v:rect>
        </w:pict>
      </w:r>
      <w:r>
        <w:rPr>
          <w:rFonts w:ascii="Arial" w:eastAsia="Arial"/>
          <w:b/>
          <w:sz w:val="20"/>
        </w:rPr>
        <w:t>CAR-T </w:t>
      </w:r>
      <w:r>
        <w:rPr>
          <w:rFonts w:ascii="Microsoft JhengHei UI" w:eastAsia="Microsoft JhengHei UI" w:hint="eastAsia"/>
          <w:b/>
          <w:sz w:val="20"/>
        </w:rPr>
        <w:t>行业重点公司估值表</w:t>
      </w:r>
    </w:p>
    <w:p>
      <w:pPr>
        <w:pStyle w:val="BodyText"/>
        <w:ind w:left="0"/>
        <w:rPr>
          <w:rFonts w:ascii="Microsoft JhengHei UI"/>
          <w:b/>
          <w:sz w:val="4"/>
        </w:rPr>
      </w:pPr>
    </w:p>
    <w:tbl>
      <w:tblPr>
        <w:tblW w:w="0" w:type="auto"/>
        <w:jc w:val="left"/>
        <w:tblInd w:w="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9"/>
        <w:gridCol w:w="1037"/>
        <w:gridCol w:w="1107"/>
        <w:gridCol w:w="1082"/>
        <w:gridCol w:w="1021"/>
        <w:gridCol w:w="1023"/>
        <w:gridCol w:w="887"/>
        <w:gridCol w:w="219"/>
      </w:tblGrid>
      <w:tr>
        <w:trPr>
          <w:trHeight w:val="378" w:hRule="atLeast"/>
        </w:trPr>
        <w:tc>
          <w:tcPr>
            <w:tcW w:w="819" w:type="dxa"/>
            <w:shd w:val="clear" w:color="auto" w:fill="C00000"/>
          </w:tcPr>
          <w:p>
            <w:pPr>
              <w:pStyle w:val="TableParagraph"/>
              <w:spacing w:line="240" w:lineRule="exact" w:before="118"/>
              <w:rPr>
                <w:rFonts w:ascii="Microsoft JhengHei UI" w:eastAsia="Microsoft JhengHei UI" w:hint="eastAsia"/>
                <w:b/>
                <w:sz w:val="16"/>
              </w:rPr>
            </w:pPr>
            <w:r>
              <w:rPr>
                <w:rFonts w:ascii="Microsoft JhengHei UI" w:eastAsia="Microsoft JhengHei UI" w:hint="eastAsia"/>
                <w:b/>
                <w:color w:val="FFFFFF"/>
                <w:sz w:val="16"/>
              </w:rPr>
              <w:t>公司</w:t>
            </w:r>
          </w:p>
        </w:tc>
        <w:tc>
          <w:tcPr>
            <w:tcW w:w="1037" w:type="dxa"/>
            <w:shd w:val="clear" w:color="auto" w:fill="C00000"/>
          </w:tcPr>
          <w:p>
            <w:pPr>
              <w:pStyle w:val="TableParagraph"/>
              <w:spacing w:line="240" w:lineRule="exact" w:before="118"/>
              <w:ind w:left="184"/>
              <w:rPr>
                <w:rFonts w:ascii="Microsoft JhengHei UI" w:eastAsia="Microsoft JhengHei UI" w:hint="eastAsia"/>
                <w:b/>
                <w:sz w:val="16"/>
              </w:rPr>
            </w:pPr>
            <w:r>
              <w:rPr>
                <w:rFonts w:ascii="Microsoft JhengHei UI" w:eastAsia="Microsoft JhengHei UI" w:hint="eastAsia"/>
                <w:b/>
                <w:color w:val="FFFFFF"/>
                <w:sz w:val="16"/>
              </w:rPr>
              <w:t>代码</w:t>
            </w:r>
          </w:p>
        </w:tc>
        <w:tc>
          <w:tcPr>
            <w:tcW w:w="1107" w:type="dxa"/>
            <w:vMerge w:val="restart"/>
            <w:shd w:val="clear" w:color="auto" w:fill="C00000"/>
          </w:tcPr>
          <w:p>
            <w:pPr>
              <w:pStyle w:val="TableParagraph"/>
              <w:spacing w:line="260" w:lineRule="exact" w:before="3"/>
              <w:ind w:left="211" w:right="104"/>
              <w:jc w:val="center"/>
              <w:rPr>
                <w:rFonts w:ascii="Microsoft JhengHei UI" w:eastAsia="Microsoft JhengHei UI" w:hint="eastAsia"/>
                <w:b/>
                <w:sz w:val="16"/>
              </w:rPr>
            </w:pPr>
            <w:r>
              <w:rPr>
                <w:rFonts w:ascii="Microsoft JhengHei UI" w:eastAsia="Microsoft JhengHei UI" w:hint="eastAsia"/>
                <w:b/>
                <w:color w:val="FFFFFF"/>
                <w:sz w:val="16"/>
              </w:rPr>
              <w:t>市值</w:t>
            </w:r>
          </w:p>
          <w:p>
            <w:pPr>
              <w:pStyle w:val="TableParagraph"/>
              <w:spacing w:line="260" w:lineRule="exact"/>
              <w:ind w:left="216" w:right="104"/>
              <w:jc w:val="center"/>
              <w:rPr>
                <w:b/>
                <w:sz w:val="16"/>
              </w:rPr>
            </w:pPr>
            <w:r>
              <w:rPr>
                <w:b/>
                <w:color w:val="FFFFFF"/>
                <w:sz w:val="16"/>
              </w:rPr>
              <w:t>(</w:t>
            </w:r>
            <w:r>
              <w:rPr>
                <w:rFonts w:ascii="Microsoft JhengHei UI" w:eastAsia="Microsoft JhengHei UI" w:hint="eastAsia"/>
                <w:b/>
                <w:color w:val="FFFFFF"/>
                <w:sz w:val="16"/>
              </w:rPr>
              <w:t>百万美元</w:t>
            </w:r>
            <w:r>
              <w:rPr>
                <w:b/>
                <w:color w:val="FFFFFF"/>
                <w:sz w:val="16"/>
              </w:rPr>
              <w:t>)</w:t>
            </w:r>
          </w:p>
        </w:tc>
        <w:tc>
          <w:tcPr>
            <w:tcW w:w="2103" w:type="dxa"/>
            <w:gridSpan w:val="2"/>
            <w:shd w:val="clear" w:color="auto" w:fill="C00000"/>
          </w:tcPr>
          <w:p>
            <w:pPr>
              <w:pStyle w:val="TableParagraph"/>
              <w:spacing w:line="264" w:lineRule="exact"/>
              <w:ind w:left="71"/>
              <w:rPr>
                <w:b/>
                <w:sz w:val="16"/>
              </w:rPr>
            </w:pPr>
            <w:r>
              <w:rPr>
                <w:rFonts w:ascii="Microsoft JhengHei UI" w:eastAsia="Microsoft JhengHei UI" w:hint="eastAsia"/>
                <w:b/>
                <w:color w:val="FFFFFF"/>
                <w:sz w:val="16"/>
              </w:rPr>
              <w:t>一致预期净利润 </w:t>
            </w:r>
            <w:r>
              <w:rPr>
                <w:b/>
                <w:color w:val="FFFFFF"/>
                <w:sz w:val="16"/>
              </w:rPr>
              <w:t>(</w:t>
            </w:r>
            <w:r>
              <w:rPr>
                <w:rFonts w:ascii="Microsoft JhengHei UI" w:eastAsia="Microsoft JhengHei UI" w:hint="eastAsia"/>
                <w:b/>
                <w:color w:val="FFFFFF"/>
                <w:sz w:val="16"/>
              </w:rPr>
              <w:t>百万元</w:t>
            </w:r>
            <w:r>
              <w:rPr>
                <w:b/>
                <w:color w:val="FFFFFF"/>
                <w:sz w:val="16"/>
              </w:rPr>
              <w:t>)</w:t>
            </w:r>
          </w:p>
        </w:tc>
        <w:tc>
          <w:tcPr>
            <w:tcW w:w="1910" w:type="dxa"/>
            <w:gridSpan w:val="2"/>
            <w:shd w:val="clear" w:color="auto" w:fill="C00000"/>
          </w:tcPr>
          <w:p>
            <w:pPr>
              <w:pStyle w:val="TableParagraph"/>
              <w:spacing w:line="264" w:lineRule="exact"/>
              <w:ind w:left="307"/>
              <w:rPr>
                <w:b/>
                <w:sz w:val="16"/>
              </w:rPr>
            </w:pPr>
            <w:r>
              <w:rPr>
                <w:rFonts w:ascii="Microsoft JhengHei UI" w:eastAsia="Microsoft JhengHei UI" w:hint="eastAsia"/>
                <w:b/>
                <w:color w:val="FFFFFF"/>
                <w:sz w:val="16"/>
              </w:rPr>
              <w:t>一致预期 </w:t>
            </w:r>
            <w:r>
              <w:rPr>
                <w:b/>
                <w:color w:val="FFFFFF"/>
                <w:sz w:val="16"/>
              </w:rPr>
              <w:t>PS (X)</w:t>
            </w:r>
          </w:p>
        </w:tc>
        <w:tc>
          <w:tcPr>
            <w:tcW w:w="219" w:type="dxa"/>
          </w:tcPr>
          <w:p>
            <w:pPr>
              <w:pStyle w:val="TableParagraph"/>
              <w:rPr>
                <w:rFonts w:ascii="Times New Roman"/>
                <w:sz w:val="18"/>
              </w:rPr>
            </w:pPr>
          </w:p>
        </w:tc>
      </w:tr>
      <w:tr>
        <w:trPr>
          <w:trHeight w:val="183" w:hRule="atLeast"/>
        </w:trPr>
        <w:tc>
          <w:tcPr>
            <w:tcW w:w="819" w:type="dxa"/>
            <w:shd w:val="clear" w:color="auto" w:fill="C00000"/>
          </w:tcPr>
          <w:p>
            <w:pPr>
              <w:pStyle w:val="TableParagraph"/>
              <w:rPr>
                <w:rFonts w:ascii="Times New Roman"/>
                <w:sz w:val="12"/>
              </w:rPr>
            </w:pPr>
          </w:p>
        </w:tc>
        <w:tc>
          <w:tcPr>
            <w:tcW w:w="1037" w:type="dxa"/>
            <w:shd w:val="clear" w:color="auto" w:fill="C00000"/>
          </w:tcPr>
          <w:p>
            <w:pPr>
              <w:pStyle w:val="TableParagraph"/>
              <w:rPr>
                <w:rFonts w:ascii="Times New Roman"/>
                <w:sz w:val="12"/>
              </w:rPr>
            </w:pPr>
          </w:p>
        </w:tc>
        <w:tc>
          <w:tcPr>
            <w:tcW w:w="1107" w:type="dxa"/>
            <w:vMerge/>
            <w:tcBorders>
              <w:top w:val="nil"/>
            </w:tcBorders>
            <w:shd w:val="clear" w:color="auto" w:fill="C00000"/>
          </w:tcPr>
          <w:p>
            <w:pPr>
              <w:rPr>
                <w:sz w:val="2"/>
                <w:szCs w:val="2"/>
              </w:rPr>
            </w:pPr>
          </w:p>
        </w:tc>
        <w:tc>
          <w:tcPr>
            <w:tcW w:w="1082" w:type="dxa"/>
            <w:shd w:val="clear" w:color="auto" w:fill="C00000"/>
          </w:tcPr>
          <w:p>
            <w:pPr>
              <w:pStyle w:val="TableParagraph"/>
              <w:spacing w:line="164" w:lineRule="exact"/>
              <w:ind w:left="191"/>
              <w:rPr>
                <w:b/>
                <w:sz w:val="16"/>
              </w:rPr>
            </w:pPr>
            <w:r>
              <w:rPr>
                <w:b/>
                <w:color w:val="FFFFFF"/>
                <w:sz w:val="16"/>
              </w:rPr>
              <w:t>FY22E</w:t>
            </w:r>
          </w:p>
        </w:tc>
        <w:tc>
          <w:tcPr>
            <w:tcW w:w="1021" w:type="dxa"/>
            <w:shd w:val="clear" w:color="auto" w:fill="C00000"/>
          </w:tcPr>
          <w:p>
            <w:pPr>
              <w:pStyle w:val="TableParagraph"/>
              <w:spacing w:line="164" w:lineRule="exact"/>
              <w:ind w:left="132"/>
              <w:rPr>
                <w:b/>
                <w:sz w:val="16"/>
              </w:rPr>
            </w:pPr>
            <w:r>
              <w:rPr>
                <w:b/>
                <w:color w:val="FFFFFF"/>
                <w:sz w:val="16"/>
              </w:rPr>
              <w:t>FY23E</w:t>
            </w:r>
          </w:p>
        </w:tc>
        <w:tc>
          <w:tcPr>
            <w:tcW w:w="1023" w:type="dxa"/>
            <w:shd w:val="clear" w:color="auto" w:fill="C00000"/>
          </w:tcPr>
          <w:p>
            <w:pPr>
              <w:pStyle w:val="TableParagraph"/>
              <w:spacing w:line="164" w:lineRule="exact"/>
              <w:ind w:left="129"/>
              <w:rPr>
                <w:b/>
                <w:sz w:val="16"/>
              </w:rPr>
            </w:pPr>
            <w:r>
              <w:rPr>
                <w:b/>
                <w:color w:val="FFFFFF"/>
                <w:sz w:val="16"/>
              </w:rPr>
              <w:t>FY22E</w:t>
            </w:r>
          </w:p>
        </w:tc>
        <w:tc>
          <w:tcPr>
            <w:tcW w:w="887" w:type="dxa"/>
            <w:shd w:val="clear" w:color="auto" w:fill="C00000"/>
          </w:tcPr>
          <w:p>
            <w:pPr>
              <w:pStyle w:val="TableParagraph"/>
              <w:spacing w:line="164" w:lineRule="exact"/>
              <w:ind w:left="129"/>
              <w:rPr>
                <w:b/>
                <w:sz w:val="16"/>
              </w:rPr>
            </w:pPr>
            <w:r>
              <w:rPr>
                <w:b/>
                <w:color w:val="FFFFFF"/>
                <w:sz w:val="16"/>
              </w:rPr>
              <w:t>FY23E</w:t>
            </w:r>
          </w:p>
        </w:tc>
        <w:tc>
          <w:tcPr>
            <w:tcW w:w="219" w:type="dxa"/>
          </w:tcPr>
          <w:p>
            <w:pPr>
              <w:pStyle w:val="TableParagraph"/>
              <w:rPr>
                <w:rFonts w:ascii="Times New Roman"/>
                <w:sz w:val="12"/>
              </w:rPr>
            </w:pPr>
          </w:p>
        </w:tc>
      </w:tr>
      <w:tr>
        <w:trPr>
          <w:trHeight w:val="308" w:hRule="atLeast"/>
        </w:trPr>
        <w:tc>
          <w:tcPr>
            <w:tcW w:w="819" w:type="dxa"/>
          </w:tcPr>
          <w:p>
            <w:pPr>
              <w:pStyle w:val="TableParagraph"/>
              <w:spacing w:before="51"/>
              <w:rPr>
                <w:rFonts w:ascii="PMingLiU" w:eastAsia="PMingLiU" w:hint="eastAsia"/>
                <w:sz w:val="16"/>
              </w:rPr>
            </w:pPr>
            <w:r>
              <w:rPr>
                <w:rFonts w:ascii="PMingLiU" w:eastAsia="PMingLiU" w:hint="eastAsia"/>
                <w:sz w:val="16"/>
              </w:rPr>
              <w:t>科济药业</w:t>
            </w:r>
          </w:p>
        </w:tc>
        <w:tc>
          <w:tcPr>
            <w:tcW w:w="1037" w:type="dxa"/>
          </w:tcPr>
          <w:p>
            <w:pPr>
              <w:pStyle w:val="TableParagraph"/>
              <w:spacing w:before="99"/>
              <w:ind w:left="184"/>
              <w:rPr>
                <w:sz w:val="16"/>
              </w:rPr>
            </w:pPr>
            <w:r>
              <w:rPr>
                <w:sz w:val="16"/>
              </w:rPr>
              <w:t>2171 HK</w:t>
            </w:r>
          </w:p>
        </w:tc>
        <w:tc>
          <w:tcPr>
            <w:tcW w:w="1107" w:type="dxa"/>
          </w:tcPr>
          <w:p>
            <w:pPr>
              <w:pStyle w:val="TableParagraph"/>
              <w:spacing w:before="99"/>
              <w:ind w:right="73"/>
              <w:jc w:val="right"/>
              <w:rPr>
                <w:sz w:val="16"/>
              </w:rPr>
            </w:pPr>
            <w:r>
              <w:rPr>
                <w:sz w:val="16"/>
              </w:rPr>
              <w:t>1,029</w:t>
            </w:r>
          </w:p>
        </w:tc>
        <w:tc>
          <w:tcPr>
            <w:tcW w:w="1082" w:type="dxa"/>
          </w:tcPr>
          <w:p>
            <w:pPr>
              <w:pStyle w:val="TableParagraph"/>
              <w:spacing w:before="99"/>
              <w:ind w:right="132"/>
              <w:jc w:val="right"/>
              <w:rPr>
                <w:sz w:val="16"/>
              </w:rPr>
            </w:pPr>
            <w:r>
              <w:rPr>
                <w:sz w:val="16"/>
              </w:rPr>
              <w:t>-779</w:t>
            </w:r>
          </w:p>
        </w:tc>
        <w:tc>
          <w:tcPr>
            <w:tcW w:w="1021" w:type="dxa"/>
          </w:tcPr>
          <w:p>
            <w:pPr>
              <w:pStyle w:val="TableParagraph"/>
              <w:spacing w:before="99"/>
              <w:ind w:right="131"/>
              <w:jc w:val="right"/>
              <w:rPr>
                <w:sz w:val="16"/>
              </w:rPr>
            </w:pPr>
            <w:r>
              <w:rPr>
                <w:sz w:val="16"/>
              </w:rPr>
              <w:t>-873</w:t>
            </w:r>
          </w:p>
        </w:tc>
        <w:tc>
          <w:tcPr>
            <w:tcW w:w="1023" w:type="dxa"/>
          </w:tcPr>
          <w:p>
            <w:pPr>
              <w:pStyle w:val="TableParagraph"/>
              <w:spacing w:before="51"/>
              <w:ind w:right="131"/>
              <w:jc w:val="right"/>
              <w:rPr>
                <w:sz w:val="16"/>
              </w:rPr>
            </w:pPr>
            <w:r>
              <w:rPr>
                <w:sz w:val="16"/>
              </w:rPr>
              <w:t>388</w:t>
            </w:r>
          </w:p>
        </w:tc>
        <w:tc>
          <w:tcPr>
            <w:tcW w:w="887" w:type="dxa"/>
          </w:tcPr>
          <w:p>
            <w:pPr>
              <w:pStyle w:val="TableParagraph"/>
              <w:spacing w:before="51"/>
              <w:ind w:right="-15"/>
              <w:jc w:val="right"/>
              <w:rPr>
                <w:sz w:val="16"/>
              </w:rPr>
            </w:pPr>
            <w:r>
              <w:rPr>
                <w:sz w:val="16"/>
              </w:rPr>
              <w:t>106</w:t>
            </w:r>
          </w:p>
        </w:tc>
        <w:tc>
          <w:tcPr>
            <w:tcW w:w="219" w:type="dxa"/>
          </w:tcPr>
          <w:p>
            <w:pPr>
              <w:pStyle w:val="TableParagraph"/>
              <w:rPr>
                <w:rFonts w:ascii="Times New Roman"/>
                <w:sz w:val="18"/>
              </w:rPr>
            </w:pPr>
          </w:p>
        </w:tc>
      </w:tr>
      <w:tr>
        <w:trPr>
          <w:trHeight w:val="283" w:hRule="atLeast"/>
        </w:trPr>
        <w:tc>
          <w:tcPr>
            <w:tcW w:w="819" w:type="dxa"/>
          </w:tcPr>
          <w:p>
            <w:pPr>
              <w:pStyle w:val="TableParagraph"/>
              <w:spacing w:before="21"/>
              <w:rPr>
                <w:rFonts w:ascii="PMingLiU" w:eastAsia="PMingLiU" w:hint="eastAsia"/>
                <w:sz w:val="16"/>
              </w:rPr>
            </w:pPr>
            <w:r>
              <w:rPr>
                <w:rFonts w:ascii="PMingLiU" w:eastAsia="PMingLiU" w:hint="eastAsia"/>
                <w:sz w:val="16"/>
              </w:rPr>
              <w:t>传奇生物</w:t>
            </w:r>
          </w:p>
        </w:tc>
        <w:tc>
          <w:tcPr>
            <w:tcW w:w="1037" w:type="dxa"/>
          </w:tcPr>
          <w:p>
            <w:pPr>
              <w:pStyle w:val="TableParagraph"/>
              <w:spacing w:before="74"/>
              <w:ind w:left="184"/>
              <w:rPr>
                <w:sz w:val="16"/>
              </w:rPr>
            </w:pPr>
            <w:r>
              <w:rPr>
                <w:sz w:val="16"/>
              </w:rPr>
              <w:t>LEGN O</w:t>
            </w:r>
          </w:p>
        </w:tc>
        <w:tc>
          <w:tcPr>
            <w:tcW w:w="1107" w:type="dxa"/>
          </w:tcPr>
          <w:p>
            <w:pPr>
              <w:pStyle w:val="TableParagraph"/>
              <w:spacing w:before="74"/>
              <w:ind w:right="73"/>
              <w:jc w:val="right"/>
              <w:rPr>
                <w:sz w:val="16"/>
              </w:rPr>
            </w:pPr>
            <w:r>
              <w:rPr>
                <w:sz w:val="16"/>
              </w:rPr>
              <w:t>6,293</w:t>
            </w:r>
          </w:p>
        </w:tc>
        <w:tc>
          <w:tcPr>
            <w:tcW w:w="1082" w:type="dxa"/>
          </w:tcPr>
          <w:p>
            <w:pPr>
              <w:pStyle w:val="TableParagraph"/>
              <w:spacing w:before="74"/>
              <w:ind w:right="132"/>
              <w:jc w:val="right"/>
              <w:rPr>
                <w:sz w:val="16"/>
              </w:rPr>
            </w:pPr>
            <w:r>
              <w:rPr>
                <w:sz w:val="16"/>
              </w:rPr>
              <w:t>-2,227</w:t>
            </w:r>
          </w:p>
        </w:tc>
        <w:tc>
          <w:tcPr>
            <w:tcW w:w="1021" w:type="dxa"/>
          </w:tcPr>
          <w:p>
            <w:pPr>
              <w:pStyle w:val="TableParagraph"/>
              <w:spacing w:before="74"/>
              <w:ind w:right="131"/>
              <w:jc w:val="right"/>
              <w:rPr>
                <w:sz w:val="16"/>
              </w:rPr>
            </w:pPr>
            <w:r>
              <w:rPr>
                <w:sz w:val="16"/>
              </w:rPr>
              <w:t>-1,838</w:t>
            </w:r>
          </w:p>
        </w:tc>
        <w:tc>
          <w:tcPr>
            <w:tcW w:w="1023" w:type="dxa"/>
          </w:tcPr>
          <w:p>
            <w:pPr>
              <w:pStyle w:val="TableParagraph"/>
              <w:spacing w:before="21"/>
              <w:ind w:right="132"/>
              <w:jc w:val="right"/>
              <w:rPr>
                <w:sz w:val="16"/>
              </w:rPr>
            </w:pPr>
            <w:r>
              <w:rPr>
                <w:sz w:val="16"/>
              </w:rPr>
              <w:t>36</w:t>
            </w:r>
          </w:p>
        </w:tc>
        <w:tc>
          <w:tcPr>
            <w:tcW w:w="887" w:type="dxa"/>
          </w:tcPr>
          <w:p>
            <w:pPr>
              <w:pStyle w:val="TableParagraph"/>
              <w:spacing w:before="21"/>
              <w:ind w:right="-15"/>
              <w:jc w:val="right"/>
              <w:rPr>
                <w:sz w:val="16"/>
              </w:rPr>
            </w:pPr>
            <w:r>
              <w:rPr>
                <w:sz w:val="16"/>
              </w:rPr>
              <w:t>26</w:t>
            </w:r>
          </w:p>
        </w:tc>
        <w:tc>
          <w:tcPr>
            <w:tcW w:w="219" w:type="dxa"/>
          </w:tcPr>
          <w:p>
            <w:pPr>
              <w:pStyle w:val="TableParagraph"/>
              <w:rPr>
                <w:rFonts w:ascii="Times New Roman"/>
                <w:sz w:val="18"/>
              </w:rPr>
            </w:pPr>
          </w:p>
        </w:tc>
      </w:tr>
      <w:tr>
        <w:trPr>
          <w:trHeight w:val="257" w:hRule="atLeast"/>
        </w:trPr>
        <w:tc>
          <w:tcPr>
            <w:tcW w:w="819" w:type="dxa"/>
            <w:tcBorders>
              <w:bottom w:val="single" w:sz="4" w:space="0" w:color="000000"/>
            </w:tcBorders>
          </w:tcPr>
          <w:p>
            <w:pPr>
              <w:pStyle w:val="TableParagraph"/>
              <w:spacing w:line="217" w:lineRule="exact" w:before="21"/>
              <w:rPr>
                <w:rFonts w:ascii="PMingLiU" w:eastAsia="PMingLiU" w:hint="eastAsia"/>
                <w:sz w:val="16"/>
              </w:rPr>
            </w:pPr>
            <w:r>
              <w:rPr>
                <w:rFonts w:ascii="PMingLiU" w:eastAsia="PMingLiU" w:hint="eastAsia"/>
                <w:sz w:val="16"/>
              </w:rPr>
              <w:t>药明巨诺</w:t>
            </w:r>
          </w:p>
        </w:tc>
        <w:tc>
          <w:tcPr>
            <w:tcW w:w="1037" w:type="dxa"/>
            <w:tcBorders>
              <w:bottom w:val="single" w:sz="4" w:space="0" w:color="000000"/>
            </w:tcBorders>
          </w:tcPr>
          <w:p>
            <w:pPr>
              <w:pStyle w:val="TableParagraph"/>
              <w:spacing w:line="168" w:lineRule="exact" w:before="69"/>
              <w:ind w:left="184"/>
              <w:rPr>
                <w:sz w:val="16"/>
              </w:rPr>
            </w:pPr>
            <w:r>
              <w:rPr>
                <w:sz w:val="16"/>
              </w:rPr>
              <w:t>2126 HK</w:t>
            </w:r>
          </w:p>
        </w:tc>
        <w:tc>
          <w:tcPr>
            <w:tcW w:w="1107" w:type="dxa"/>
            <w:tcBorders>
              <w:bottom w:val="single" w:sz="4" w:space="0" w:color="000000"/>
            </w:tcBorders>
          </w:tcPr>
          <w:p>
            <w:pPr>
              <w:pStyle w:val="TableParagraph"/>
              <w:spacing w:line="168" w:lineRule="exact" w:before="69"/>
              <w:ind w:right="70"/>
              <w:jc w:val="right"/>
              <w:rPr>
                <w:sz w:val="16"/>
              </w:rPr>
            </w:pPr>
            <w:r>
              <w:rPr>
                <w:sz w:val="16"/>
              </w:rPr>
              <w:t>198</w:t>
            </w:r>
          </w:p>
        </w:tc>
        <w:tc>
          <w:tcPr>
            <w:tcW w:w="1082" w:type="dxa"/>
            <w:tcBorders>
              <w:bottom w:val="single" w:sz="4" w:space="0" w:color="000000"/>
            </w:tcBorders>
          </w:tcPr>
          <w:p>
            <w:pPr>
              <w:pStyle w:val="TableParagraph"/>
              <w:spacing w:line="168" w:lineRule="exact" w:before="69"/>
              <w:ind w:right="132"/>
              <w:jc w:val="right"/>
              <w:rPr>
                <w:sz w:val="16"/>
              </w:rPr>
            </w:pPr>
            <w:r>
              <w:rPr>
                <w:sz w:val="16"/>
              </w:rPr>
              <w:t>-854</w:t>
            </w:r>
          </w:p>
        </w:tc>
        <w:tc>
          <w:tcPr>
            <w:tcW w:w="1021" w:type="dxa"/>
            <w:tcBorders>
              <w:bottom w:val="single" w:sz="4" w:space="0" w:color="000000"/>
            </w:tcBorders>
          </w:tcPr>
          <w:p>
            <w:pPr>
              <w:pStyle w:val="TableParagraph"/>
              <w:spacing w:line="168" w:lineRule="exact" w:before="69"/>
              <w:ind w:right="131"/>
              <w:jc w:val="right"/>
              <w:rPr>
                <w:sz w:val="16"/>
              </w:rPr>
            </w:pPr>
            <w:r>
              <w:rPr>
                <w:sz w:val="16"/>
              </w:rPr>
              <w:t>-769</w:t>
            </w:r>
          </w:p>
        </w:tc>
        <w:tc>
          <w:tcPr>
            <w:tcW w:w="1023" w:type="dxa"/>
            <w:tcBorders>
              <w:bottom w:val="single" w:sz="4" w:space="0" w:color="000000"/>
            </w:tcBorders>
          </w:tcPr>
          <w:p>
            <w:pPr>
              <w:pStyle w:val="TableParagraph"/>
              <w:spacing w:before="21"/>
              <w:ind w:right="131"/>
              <w:jc w:val="right"/>
              <w:rPr>
                <w:sz w:val="16"/>
              </w:rPr>
            </w:pPr>
            <w:r>
              <w:rPr>
                <w:w w:val="98"/>
                <w:sz w:val="16"/>
              </w:rPr>
              <w:t>7</w:t>
            </w:r>
          </w:p>
        </w:tc>
        <w:tc>
          <w:tcPr>
            <w:tcW w:w="887" w:type="dxa"/>
            <w:tcBorders>
              <w:bottom w:val="single" w:sz="4" w:space="0" w:color="000000"/>
            </w:tcBorders>
          </w:tcPr>
          <w:p>
            <w:pPr>
              <w:pStyle w:val="TableParagraph"/>
              <w:spacing w:before="21"/>
              <w:ind w:right="-15"/>
              <w:jc w:val="right"/>
              <w:rPr>
                <w:sz w:val="16"/>
              </w:rPr>
            </w:pPr>
            <w:r>
              <w:rPr>
                <w:w w:val="98"/>
                <w:sz w:val="16"/>
              </w:rPr>
              <w:t>2</w:t>
            </w:r>
          </w:p>
        </w:tc>
        <w:tc>
          <w:tcPr>
            <w:tcW w:w="219" w:type="dxa"/>
          </w:tcPr>
          <w:p>
            <w:pPr>
              <w:pStyle w:val="TableParagraph"/>
              <w:rPr>
                <w:rFonts w:ascii="Times New Roman"/>
                <w:sz w:val="18"/>
              </w:rPr>
            </w:pPr>
          </w:p>
        </w:tc>
      </w:tr>
    </w:tbl>
    <w:p>
      <w:pPr>
        <w:spacing w:before="0"/>
        <w:ind w:left="195" w:right="0" w:firstLine="0"/>
        <w:jc w:val="left"/>
        <w:rPr>
          <w:sz w:val="16"/>
        </w:rPr>
      </w:pPr>
      <w:r>
        <w:rPr>
          <w:sz w:val="16"/>
        </w:rPr>
        <w:t>资料来源：公司、彭博及招银国际环球市场预测</w:t>
      </w:r>
    </w:p>
    <w:p>
      <w:pPr>
        <w:pStyle w:val="BodyText"/>
        <w:ind w:left="0"/>
      </w:pPr>
    </w:p>
    <w:p>
      <w:pPr>
        <w:pStyle w:val="BodyText"/>
        <w:ind w:left="0"/>
      </w:pPr>
    </w:p>
    <w:p>
      <w:pPr>
        <w:pStyle w:val="BodyText"/>
        <w:ind w:left="0"/>
      </w:pPr>
    </w:p>
    <w:p>
      <w:pPr>
        <w:pStyle w:val="BodyText"/>
        <w:spacing w:before="7"/>
        <w:ind w:left="0"/>
        <w:rPr>
          <w:sz w:val="22"/>
        </w:rPr>
      </w:pPr>
      <w:r>
        <w:rPr/>
        <w:pict>
          <v:shape style="position:absolute;margin-left:42.504002pt;margin-top:17.68281pt;width:527.5pt;height:1.45pt;mso-position-horizontal-relative:page;mso-position-vertical-relative:paragraph;z-index:-15728640;mso-wrap-distance-left:0;mso-wrap-distance-right:0" coordorigin="850,354" coordsize="10550,29" path="m11400,354l7486,354,7457,354,850,354,850,382,7457,382,7486,382,11400,382,11400,354xe" filled="true" fillcolor="#938953" stroked="false">
            <v:path arrowok="t"/>
            <v:fill type="solid"/>
            <w10:wrap type="topAndBottom"/>
          </v:shape>
        </w:pict>
      </w:r>
    </w:p>
    <w:p>
      <w:pPr>
        <w:tabs>
          <w:tab w:pos="10756" w:val="right" w:leader="none"/>
        </w:tabs>
        <w:spacing w:line="166" w:lineRule="exact" w:before="0"/>
        <w:ind w:left="320" w:right="0" w:firstLine="0"/>
        <w:jc w:val="left"/>
        <w:rPr>
          <w:rFonts w:ascii="Arial" w:eastAsia="Arial"/>
          <w:sz w:val="16"/>
        </w:rPr>
      </w:pPr>
      <w:r>
        <w:rPr>
          <w:position w:val="1"/>
          <w:sz w:val="14"/>
        </w:rPr>
        <w:t>敬请参阅尾页之免</w:t>
      </w:r>
      <w:r>
        <w:rPr>
          <w:spacing w:val="4"/>
          <w:position w:val="1"/>
          <w:sz w:val="14"/>
        </w:rPr>
        <w:t>责</w:t>
      </w:r>
      <w:r>
        <w:rPr>
          <w:position w:val="1"/>
          <w:sz w:val="14"/>
        </w:rPr>
        <w:t>声明</w:t>
      </w:r>
      <w:r>
        <w:rPr>
          <w:rFonts w:ascii="Times New Roman" w:eastAsia="Times New Roman"/>
          <w:position w:val="1"/>
          <w:sz w:val="14"/>
        </w:rPr>
        <w:tab/>
      </w:r>
      <w:r>
        <w:rPr>
          <w:rFonts w:ascii="Arial" w:eastAsia="Arial"/>
          <w:sz w:val="16"/>
        </w:rPr>
        <w:t>1</w:t>
      </w:r>
    </w:p>
    <w:p>
      <w:pPr>
        <w:spacing w:after="0" w:line="166" w:lineRule="exact"/>
        <w:jc w:val="left"/>
        <w:rPr>
          <w:rFonts w:ascii="Arial" w:eastAsia="Arial"/>
          <w:sz w:val="16"/>
        </w:rPr>
        <w:sectPr>
          <w:type w:val="continuous"/>
          <w:pgSz w:w="11910" w:h="16840"/>
          <w:pgMar w:top="300" w:bottom="480" w:left="640" w:right="300"/>
        </w:sectPr>
      </w:pPr>
    </w:p>
    <w:sdt>
      <w:sdtPr>
        <w:docPartObj>
          <w:docPartGallery w:val="Table of Contents"/>
          <w:docPartUnique/>
        </w:docPartObj>
      </w:sdtPr>
      <w:sdtEndPr/>
      <w:sdtContent>
        <w:p>
          <w:pPr>
            <w:pStyle w:val="TOC1"/>
          </w:pPr>
          <w:r>
            <w:rPr>
              <w:color w:val="C00000"/>
            </w:rPr>
            <w:t>目录</w:t>
          </w:r>
        </w:p>
        <w:p>
          <w:pPr>
            <w:pStyle w:val="TOC2"/>
            <w:tabs>
              <w:tab w:pos="7379" w:val="left" w:leader="dot"/>
            </w:tabs>
            <w:spacing w:before="886"/>
            <w:rPr>
              <w:rFonts w:ascii="Arial" w:eastAsia="Arial"/>
            </w:rPr>
          </w:pPr>
          <w:hyperlink w:history="true" w:anchor="_bookmark0">
            <w:r>
              <w:rPr>
                <w:color w:val="C00000"/>
              </w:rPr>
              <w:t>细胞与基</w:t>
            </w:r>
            <w:r>
              <w:rPr>
                <w:color w:val="C00000"/>
                <w:spacing w:val="-5"/>
              </w:rPr>
              <w:t>因</w:t>
            </w:r>
            <w:r>
              <w:rPr>
                <w:color w:val="C00000"/>
              </w:rPr>
              <w:t>治疗</w:t>
            </w:r>
            <w:r>
              <w:rPr>
                <w:color w:val="C00000"/>
                <w:spacing w:val="-5"/>
              </w:rPr>
              <w:t>优</w:t>
            </w:r>
            <w:r>
              <w:rPr>
                <w:color w:val="C00000"/>
              </w:rPr>
              <w:t>势显</w:t>
            </w:r>
            <w:r>
              <w:rPr>
                <w:color w:val="C00000"/>
                <w:spacing w:val="-5"/>
              </w:rPr>
              <w:t>著</w:t>
            </w:r>
            <w:r>
              <w:rPr>
                <w:color w:val="C00000"/>
              </w:rPr>
              <w:t>，其</w:t>
            </w:r>
            <w:r>
              <w:rPr>
                <w:color w:val="C00000"/>
                <w:spacing w:val="49"/>
              </w:rPr>
              <w:t>中</w:t>
            </w:r>
            <w:r>
              <w:rPr>
                <w:rFonts w:ascii="Arial" w:eastAsia="Arial"/>
                <w:color w:val="C00000"/>
              </w:rPr>
              <w:t>CAR-T</w:t>
            </w:r>
            <w:r>
              <w:rPr>
                <w:rFonts w:ascii="Arial" w:eastAsia="Arial"/>
                <w:color w:val="C00000"/>
                <w:spacing w:val="-1"/>
              </w:rPr>
              <w:t> </w:t>
            </w:r>
            <w:r>
              <w:rPr>
                <w:color w:val="C00000"/>
              </w:rPr>
              <w:t>疗法发</w:t>
            </w:r>
            <w:r>
              <w:rPr>
                <w:color w:val="C00000"/>
                <w:spacing w:val="-5"/>
              </w:rPr>
              <w:t>力</w:t>
            </w:r>
            <w:r>
              <w:rPr>
                <w:color w:val="C00000"/>
              </w:rPr>
              <w:t>最早</w:t>
            </w:r>
            <w:r>
              <w:rPr>
                <w:rFonts w:ascii="Times New Roman" w:eastAsia="Times New Roman"/>
                <w:color w:val="C00000"/>
              </w:rPr>
              <w:tab/>
            </w:r>
            <w:r>
              <w:rPr>
                <w:rFonts w:ascii="Arial" w:eastAsia="Arial"/>
                <w:color w:val="C00000"/>
              </w:rPr>
              <w:t>3</w:t>
            </w:r>
          </w:hyperlink>
        </w:p>
        <w:p>
          <w:pPr>
            <w:pStyle w:val="TOC2"/>
            <w:tabs>
              <w:tab w:pos="7379" w:val="left" w:leader="dot"/>
            </w:tabs>
            <w:rPr>
              <w:rFonts w:ascii="Arial" w:eastAsia="Arial"/>
            </w:rPr>
          </w:pPr>
          <w:hyperlink w:history="true" w:anchor="_bookmark1">
            <w:r>
              <w:rPr>
                <w:color w:val="C00000"/>
              </w:rPr>
              <w:t>技术篇：模</w:t>
            </w:r>
            <w:r>
              <w:rPr>
                <w:color w:val="C00000"/>
                <w:spacing w:val="43"/>
              </w:rPr>
              <w:t>拟</w:t>
            </w:r>
            <w:r>
              <w:rPr>
                <w:rFonts w:ascii="Arial" w:eastAsia="Arial"/>
                <w:color w:val="C00000"/>
              </w:rPr>
              <w:t>TCR</w:t>
            </w:r>
            <w:r>
              <w:rPr>
                <w:rFonts w:ascii="Arial" w:eastAsia="Arial"/>
                <w:color w:val="C00000"/>
                <w:spacing w:val="-9"/>
              </w:rPr>
              <w:t> </w:t>
            </w:r>
            <w:r>
              <w:rPr>
                <w:color w:val="C00000"/>
              </w:rPr>
              <w:t>作用机制</w:t>
            </w:r>
            <w:r>
              <w:rPr>
                <w:color w:val="C00000"/>
                <w:spacing w:val="-3"/>
              </w:rPr>
              <w:t>，</w:t>
            </w:r>
            <w:r>
              <w:rPr>
                <w:rFonts w:ascii="Arial" w:eastAsia="Arial"/>
                <w:color w:val="C00000"/>
                <w:spacing w:val="-3"/>
              </w:rPr>
              <w:t>CAR</w:t>
            </w:r>
            <w:r>
              <w:rPr>
                <w:rFonts w:ascii="Arial" w:eastAsia="Arial"/>
                <w:color w:val="C00000"/>
                <w:spacing w:val="-2"/>
              </w:rPr>
              <w:t> </w:t>
            </w:r>
            <w:r>
              <w:rPr>
                <w:color w:val="C00000"/>
              </w:rPr>
              <w:t>协</w:t>
            </w:r>
            <w:r>
              <w:rPr>
                <w:color w:val="C00000"/>
                <w:spacing w:val="48"/>
              </w:rPr>
              <w:t>助</w:t>
            </w:r>
            <w:r>
              <w:rPr>
                <w:rFonts w:ascii="Arial" w:eastAsia="Arial"/>
                <w:color w:val="C00000"/>
              </w:rPr>
              <w:t>T </w:t>
            </w:r>
            <w:r>
              <w:rPr>
                <w:color w:val="C00000"/>
              </w:rPr>
              <w:t>细</w:t>
            </w:r>
            <w:r>
              <w:rPr>
                <w:color w:val="C00000"/>
                <w:spacing w:val="-5"/>
              </w:rPr>
              <w:t>胞</w:t>
            </w:r>
            <w:r>
              <w:rPr>
                <w:color w:val="C00000"/>
              </w:rPr>
              <w:t>完成</w:t>
            </w:r>
            <w:r>
              <w:rPr>
                <w:color w:val="C00000"/>
                <w:spacing w:val="-5"/>
              </w:rPr>
              <w:t>抗</w:t>
            </w:r>
            <w:r>
              <w:rPr>
                <w:color w:val="C00000"/>
              </w:rPr>
              <w:t>原识别</w:t>
            </w:r>
            <w:r>
              <w:rPr>
                <w:rFonts w:ascii="Times New Roman" w:eastAsia="Times New Roman"/>
                <w:color w:val="C00000"/>
              </w:rPr>
              <w:tab/>
            </w:r>
            <w:r>
              <w:rPr>
                <w:rFonts w:ascii="Arial" w:eastAsia="Arial"/>
                <w:color w:val="C00000"/>
              </w:rPr>
              <w:t>5</w:t>
            </w:r>
          </w:hyperlink>
        </w:p>
        <w:p>
          <w:pPr>
            <w:pStyle w:val="TOC3"/>
            <w:tabs>
              <w:tab w:pos="8027" w:val="left" w:leader="dot"/>
            </w:tabs>
            <w:rPr>
              <w:rFonts w:ascii="Arial" w:eastAsia="Arial"/>
              <w:b w:val="0"/>
            </w:rPr>
          </w:pPr>
          <w:hyperlink w:history="true" w:anchor="_bookmark2">
            <w:r>
              <w:rPr/>
              <w:t>克服</w:t>
            </w:r>
            <w:r>
              <w:rPr>
                <w:spacing w:val="6"/>
              </w:rPr>
              <w:t> </w:t>
            </w:r>
            <w:r>
              <w:rPr>
                <w:rFonts w:ascii="Arial" w:eastAsia="Arial"/>
              </w:rPr>
              <w:t>MHC</w:t>
            </w:r>
            <w:r>
              <w:rPr>
                <w:rFonts w:ascii="Arial" w:eastAsia="Arial"/>
                <w:spacing w:val="-11"/>
              </w:rPr>
              <w:t> </w:t>
            </w:r>
            <w:r>
              <w:rPr/>
              <w:t>限制</w:t>
            </w:r>
            <w:r>
              <w:rPr>
                <w:spacing w:val="-3"/>
              </w:rPr>
              <w:t>，</w:t>
            </w:r>
            <w:r>
              <w:rPr>
                <w:rFonts w:ascii="Arial" w:eastAsia="Arial"/>
                <w:spacing w:val="-3"/>
              </w:rPr>
              <w:t>CAR</w:t>
            </w:r>
            <w:r>
              <w:rPr>
                <w:rFonts w:ascii="Arial" w:eastAsia="Arial"/>
                <w:spacing w:val="-5"/>
              </w:rPr>
              <w:t> </w:t>
            </w:r>
            <w:r>
              <w:rPr/>
              <w:t>构造协</w:t>
            </w:r>
            <w:r>
              <w:rPr>
                <w:spacing w:val="48"/>
              </w:rPr>
              <w:t>助</w:t>
            </w:r>
            <w:r>
              <w:rPr>
                <w:rFonts w:ascii="Arial" w:eastAsia="Arial"/>
              </w:rPr>
              <w:t>T</w:t>
            </w:r>
            <w:r>
              <w:rPr>
                <w:rFonts w:ascii="Arial" w:eastAsia="Arial"/>
                <w:spacing w:val="-7"/>
              </w:rPr>
              <w:t> </w:t>
            </w:r>
            <w:r>
              <w:rPr/>
              <w:t>细胞</w:t>
            </w:r>
            <w:r>
              <w:rPr>
                <w:spacing w:val="-5"/>
              </w:rPr>
              <w:t>激</w:t>
            </w:r>
            <w:r>
              <w:rPr/>
              <w:t>活</w:t>
            </w:r>
            <w:r>
              <w:rPr>
                <w:rFonts w:ascii="Times New Roman" w:eastAsia="Times New Roman"/>
              </w:rPr>
              <w:tab/>
            </w:r>
            <w:r>
              <w:rPr>
                <w:rFonts w:ascii="Arial" w:eastAsia="Arial"/>
                <w:b w:val="0"/>
              </w:rPr>
              <w:t>5</w:t>
            </w:r>
          </w:hyperlink>
        </w:p>
        <w:p>
          <w:pPr>
            <w:pStyle w:val="TOC3"/>
            <w:tabs>
              <w:tab w:pos="8027" w:val="left" w:leader="dot"/>
            </w:tabs>
            <w:spacing w:before="33"/>
            <w:rPr>
              <w:rFonts w:ascii="Arial" w:eastAsia="Arial"/>
              <w:b w:val="0"/>
            </w:rPr>
          </w:pPr>
          <w:hyperlink w:history="true" w:anchor="_bookmark3">
            <w:r>
              <w:rPr/>
              <w:t>构造精巧</w:t>
            </w:r>
            <w:r>
              <w:rPr>
                <w:spacing w:val="-5"/>
              </w:rPr>
              <w:t>机</w:t>
            </w:r>
            <w:r>
              <w:rPr/>
              <w:t>制明</w:t>
            </w:r>
            <w:r>
              <w:rPr>
                <w:spacing w:val="-5"/>
              </w:rPr>
              <w:t>确</w:t>
            </w:r>
            <w:r>
              <w:rPr/>
              <w:t>，</w:t>
            </w:r>
            <w:r>
              <w:rPr>
                <w:rFonts w:ascii="Arial" w:eastAsia="Arial"/>
              </w:rPr>
              <w:t>CAR-T</w:t>
            </w:r>
            <w:r>
              <w:rPr>
                <w:rFonts w:ascii="Arial" w:eastAsia="Arial"/>
                <w:spacing w:val="-2"/>
              </w:rPr>
              <w:t> </w:t>
            </w:r>
            <w:r>
              <w:rPr/>
              <w:t>已历经</w:t>
            </w:r>
            <w:r>
              <w:rPr>
                <w:spacing w:val="-5"/>
              </w:rPr>
              <w:t>若</w:t>
            </w:r>
            <w:r>
              <w:rPr/>
              <w:t>干迭代</w:t>
            </w:r>
            <w:r>
              <w:rPr>
                <w:rFonts w:ascii="Times New Roman" w:eastAsia="Times New Roman"/>
              </w:rPr>
              <w:tab/>
            </w:r>
            <w:r>
              <w:rPr>
                <w:rFonts w:ascii="Arial" w:eastAsia="Arial"/>
                <w:b w:val="0"/>
              </w:rPr>
              <w:t>6</w:t>
            </w:r>
          </w:hyperlink>
        </w:p>
        <w:p>
          <w:pPr>
            <w:pStyle w:val="TOC3"/>
            <w:tabs>
              <w:tab w:pos="8027" w:val="left" w:leader="dot"/>
            </w:tabs>
            <w:rPr>
              <w:rFonts w:ascii="Arial" w:eastAsia="Arial"/>
              <w:b w:val="0"/>
            </w:rPr>
          </w:pPr>
          <w:hyperlink w:history="true" w:anchor="_bookmark4">
            <w:r>
              <w:rPr/>
              <w:t>从技术角</w:t>
            </w:r>
            <w:r>
              <w:rPr>
                <w:spacing w:val="-5"/>
              </w:rPr>
              <w:t>度</w:t>
            </w:r>
            <w:r>
              <w:rPr/>
              <w:t>看产</w:t>
            </w:r>
            <w:r>
              <w:rPr>
                <w:spacing w:val="-5"/>
              </w:rPr>
              <w:t>品</w:t>
            </w:r>
            <w:r>
              <w:rPr/>
              <w:t>，元</w:t>
            </w:r>
            <w:r>
              <w:rPr>
                <w:spacing w:val="-5"/>
              </w:rPr>
              <w:t>件</w:t>
            </w:r>
            <w:r>
              <w:rPr/>
              <w:t>选择或</w:t>
            </w:r>
            <w:r>
              <w:rPr>
                <w:spacing w:val="-5"/>
              </w:rPr>
              <w:t>影</w:t>
            </w:r>
            <w:r>
              <w:rPr/>
              <w:t>响产</w:t>
            </w:r>
            <w:r>
              <w:rPr>
                <w:spacing w:val="-5"/>
              </w:rPr>
              <w:t>品</w:t>
            </w:r>
            <w:r>
              <w:rPr/>
              <w:t>力</w:t>
            </w:r>
            <w:r>
              <w:rPr>
                <w:rFonts w:ascii="Times New Roman" w:eastAsia="Times New Roman"/>
              </w:rPr>
              <w:tab/>
            </w:r>
            <w:r>
              <w:rPr>
                <w:rFonts w:ascii="Arial" w:eastAsia="Arial"/>
                <w:b w:val="0"/>
              </w:rPr>
              <w:t>8</w:t>
            </w:r>
          </w:hyperlink>
        </w:p>
        <w:p>
          <w:pPr>
            <w:pStyle w:val="TOC2"/>
            <w:tabs>
              <w:tab w:pos="7268" w:val="left" w:leader="dot"/>
            </w:tabs>
            <w:rPr>
              <w:rFonts w:ascii="Arial" w:eastAsia="Arial"/>
            </w:rPr>
          </w:pPr>
          <w:hyperlink w:history="true" w:anchor="_bookmark5">
            <w:r>
              <w:rPr>
                <w:color w:val="C00000"/>
              </w:rPr>
              <w:t>市场篇</w:t>
            </w:r>
            <w:r>
              <w:rPr>
                <w:color w:val="C00000"/>
                <w:spacing w:val="-3"/>
              </w:rPr>
              <w:t>：</w:t>
            </w:r>
            <w:r>
              <w:rPr>
                <w:rFonts w:ascii="Arial" w:eastAsia="Arial"/>
                <w:color w:val="C00000"/>
                <w:spacing w:val="-3"/>
              </w:rPr>
              <w:t>CAR-T</w:t>
            </w:r>
            <w:r>
              <w:rPr>
                <w:rFonts w:ascii="Arial" w:eastAsia="Arial"/>
                <w:color w:val="C00000"/>
              </w:rPr>
              <w:t> </w:t>
            </w:r>
            <w:r>
              <w:rPr>
                <w:color w:val="C00000"/>
              </w:rPr>
              <w:t>用于血液瘤</w:t>
            </w:r>
            <w:r>
              <w:rPr>
                <w:color w:val="C00000"/>
                <w:spacing w:val="-5"/>
              </w:rPr>
              <w:t>疗</w:t>
            </w:r>
            <w:r>
              <w:rPr>
                <w:color w:val="C00000"/>
              </w:rPr>
              <w:t>效优异</w:t>
            </w:r>
            <w:r>
              <w:rPr>
                <w:rFonts w:ascii="Times New Roman" w:eastAsia="Times New Roman"/>
                <w:color w:val="C00000"/>
              </w:rPr>
              <w:tab/>
            </w:r>
            <w:r>
              <w:rPr>
                <w:rFonts w:ascii="Arial" w:eastAsia="Arial"/>
                <w:color w:val="C00000"/>
              </w:rPr>
              <w:t>10</w:t>
            </w:r>
          </w:hyperlink>
        </w:p>
        <w:p>
          <w:pPr>
            <w:pStyle w:val="TOC3"/>
            <w:tabs>
              <w:tab w:pos="7916" w:val="left" w:leader="dot"/>
            </w:tabs>
            <w:rPr>
              <w:rFonts w:ascii="Arial" w:eastAsia="Arial"/>
              <w:b w:val="0"/>
            </w:rPr>
          </w:pPr>
          <w:hyperlink w:history="true" w:anchor="_bookmark6">
            <w:r>
              <w:rPr/>
              <w:t>中美血液</w:t>
            </w:r>
            <w:r>
              <w:rPr>
                <w:spacing w:val="-5"/>
              </w:rPr>
              <w:t>瘤</w:t>
            </w:r>
            <w:r>
              <w:rPr/>
              <w:t>预后</w:t>
            </w:r>
            <w:r>
              <w:rPr>
                <w:spacing w:val="-5"/>
              </w:rPr>
              <w:t>差</w:t>
            </w:r>
            <w:r>
              <w:rPr/>
              <w:t>异大</w:t>
            </w:r>
            <w:r>
              <w:rPr>
                <w:spacing w:val="-5"/>
              </w:rPr>
              <w:t>，</w:t>
            </w:r>
            <w:r>
              <w:rPr/>
              <w:t>创新疗</w:t>
            </w:r>
            <w:r>
              <w:rPr>
                <w:spacing w:val="-5"/>
              </w:rPr>
              <w:t>法</w:t>
            </w:r>
            <w:r>
              <w:rPr/>
              <w:t>可改</w:t>
            </w:r>
            <w:r>
              <w:rPr>
                <w:spacing w:val="-5"/>
              </w:rPr>
              <w:t>善</w:t>
            </w:r>
            <w:r>
              <w:rPr/>
              <w:t>生存</w:t>
            </w:r>
            <w:r>
              <w:rPr>
                <w:spacing w:val="-5"/>
              </w:rPr>
              <w:t>时</w:t>
            </w:r>
            <w:r>
              <w:rPr/>
              <w:t>长</w:t>
            </w:r>
            <w:r>
              <w:rPr>
                <w:rFonts w:ascii="Times New Roman" w:eastAsia="Times New Roman"/>
              </w:rPr>
              <w:tab/>
            </w:r>
            <w:r>
              <w:rPr>
                <w:rFonts w:ascii="Arial" w:eastAsia="Arial"/>
                <w:b w:val="0"/>
              </w:rPr>
              <w:t>10</w:t>
            </w:r>
          </w:hyperlink>
        </w:p>
        <w:p>
          <w:pPr>
            <w:pStyle w:val="TOC3"/>
            <w:tabs>
              <w:tab w:pos="7916" w:val="left" w:leader="dot"/>
            </w:tabs>
            <w:spacing w:before="33"/>
            <w:rPr>
              <w:rFonts w:ascii="Arial" w:eastAsia="Arial"/>
              <w:b w:val="0"/>
            </w:rPr>
          </w:pPr>
          <w:hyperlink w:history="true" w:anchor="_bookmark7">
            <w:r>
              <w:rPr/>
              <w:t>后线市场</w:t>
            </w:r>
            <w:r>
              <w:rPr>
                <w:spacing w:val="-5"/>
              </w:rPr>
              <w:t>稳</w:t>
            </w:r>
            <w:r>
              <w:rPr/>
              <w:t>步增</w:t>
            </w:r>
            <w:r>
              <w:rPr>
                <w:spacing w:val="-5"/>
              </w:rPr>
              <w:t>长</w:t>
            </w:r>
            <w:r>
              <w:rPr/>
              <w:t>，</w:t>
            </w:r>
            <w:r>
              <w:rPr>
                <w:rFonts w:ascii="Arial" w:eastAsia="Arial"/>
              </w:rPr>
              <w:t>CAR-T</w:t>
            </w:r>
            <w:r>
              <w:rPr>
                <w:rFonts w:ascii="Arial" w:eastAsia="Arial"/>
                <w:spacing w:val="-2"/>
              </w:rPr>
              <w:t> </w:t>
            </w:r>
            <w:r>
              <w:rPr/>
              <w:t>疗法向</w:t>
            </w:r>
            <w:r>
              <w:rPr>
                <w:spacing w:val="-5"/>
              </w:rPr>
              <w:t>前</w:t>
            </w:r>
            <w:r>
              <w:rPr/>
              <w:t>线迈进</w:t>
            </w:r>
            <w:r>
              <w:rPr>
                <w:rFonts w:ascii="Times New Roman" w:eastAsia="Times New Roman"/>
              </w:rPr>
              <w:tab/>
            </w:r>
            <w:r>
              <w:rPr>
                <w:rFonts w:ascii="Arial" w:eastAsia="Arial"/>
                <w:b w:val="0"/>
              </w:rPr>
              <w:t>10</w:t>
            </w:r>
          </w:hyperlink>
        </w:p>
        <w:p>
          <w:pPr>
            <w:pStyle w:val="TOC3"/>
            <w:tabs>
              <w:tab w:pos="7916" w:val="left" w:leader="dot"/>
            </w:tabs>
            <w:rPr>
              <w:rFonts w:ascii="Arial" w:eastAsia="Arial"/>
              <w:b w:val="0"/>
            </w:rPr>
          </w:pPr>
          <w:hyperlink w:history="true" w:anchor="_bookmark8">
            <w:r>
              <w:rPr/>
              <w:t>靶点选择</w:t>
            </w:r>
            <w:r>
              <w:rPr>
                <w:spacing w:val="-5"/>
              </w:rPr>
              <w:t>决</w:t>
            </w:r>
            <w:r>
              <w:rPr/>
              <w:t>定市</w:t>
            </w:r>
            <w:r>
              <w:rPr>
                <w:spacing w:val="-5"/>
              </w:rPr>
              <w:t>场</w:t>
            </w:r>
            <w:r>
              <w:rPr/>
              <w:t>规模</w:t>
            </w:r>
            <w:r>
              <w:rPr>
                <w:rFonts w:ascii="Times New Roman" w:eastAsia="Times New Roman"/>
              </w:rPr>
              <w:tab/>
            </w:r>
            <w:r>
              <w:rPr>
                <w:rFonts w:ascii="Arial" w:eastAsia="Arial"/>
                <w:b w:val="0"/>
              </w:rPr>
              <w:t>12</w:t>
            </w:r>
          </w:hyperlink>
        </w:p>
        <w:p>
          <w:pPr>
            <w:pStyle w:val="TOC2"/>
            <w:tabs>
              <w:tab w:pos="7268" w:val="left" w:leader="dot"/>
            </w:tabs>
            <w:rPr>
              <w:rFonts w:ascii="Arial" w:eastAsia="Arial"/>
            </w:rPr>
          </w:pPr>
          <w:hyperlink w:history="true" w:anchor="_bookmark9">
            <w:r>
              <w:rPr>
                <w:color w:val="C00000"/>
              </w:rPr>
              <w:t>血液瘤篇：</w:t>
            </w:r>
            <w:r>
              <w:rPr>
                <w:color w:val="C00000"/>
                <w:spacing w:val="10"/>
              </w:rPr>
              <w:t> </w:t>
            </w:r>
            <w:r>
              <w:rPr>
                <w:rFonts w:ascii="Arial" w:eastAsia="Arial"/>
                <w:color w:val="C00000"/>
                <w:spacing w:val="-3"/>
              </w:rPr>
              <w:t>CAR-T</w:t>
            </w:r>
            <w:r>
              <w:rPr>
                <w:rFonts w:ascii="Arial" w:eastAsia="Arial"/>
                <w:color w:val="C00000"/>
                <w:spacing w:val="1"/>
              </w:rPr>
              <w:t> </w:t>
            </w:r>
            <w:r>
              <w:rPr>
                <w:color w:val="C00000"/>
              </w:rPr>
              <w:t>治疗</w:t>
            </w:r>
            <w:r>
              <w:rPr>
                <w:color w:val="C00000"/>
                <w:spacing w:val="-5"/>
              </w:rPr>
              <w:t>优</w:t>
            </w:r>
            <w:r>
              <w:rPr>
                <w:color w:val="C00000"/>
              </w:rPr>
              <w:t>势明显</w:t>
            </w:r>
            <w:r>
              <w:rPr>
                <w:color w:val="C00000"/>
                <w:spacing w:val="-5"/>
              </w:rPr>
              <w:t>，</w:t>
            </w:r>
            <w:r>
              <w:rPr>
                <w:color w:val="C00000"/>
              </w:rPr>
              <w:t>适应</w:t>
            </w:r>
            <w:r>
              <w:rPr>
                <w:color w:val="C00000"/>
                <w:spacing w:val="-5"/>
              </w:rPr>
              <w:t>症</w:t>
            </w:r>
            <w:r>
              <w:rPr>
                <w:color w:val="C00000"/>
              </w:rPr>
              <w:t>持续</w:t>
            </w:r>
            <w:r>
              <w:rPr>
                <w:color w:val="C00000"/>
                <w:spacing w:val="-5"/>
              </w:rPr>
              <w:t>拓</w:t>
            </w:r>
            <w:r>
              <w:rPr>
                <w:color w:val="C00000"/>
              </w:rPr>
              <w:t>展</w:t>
            </w:r>
            <w:r>
              <w:rPr>
                <w:rFonts w:ascii="Times New Roman" w:eastAsia="Times New Roman"/>
                <w:color w:val="C00000"/>
              </w:rPr>
              <w:tab/>
            </w:r>
            <w:r>
              <w:rPr>
                <w:rFonts w:ascii="Arial" w:eastAsia="Arial"/>
                <w:color w:val="C00000"/>
              </w:rPr>
              <w:t>16</w:t>
            </w:r>
          </w:hyperlink>
        </w:p>
        <w:p>
          <w:pPr>
            <w:pStyle w:val="TOC3"/>
            <w:tabs>
              <w:tab w:pos="7916" w:val="left" w:leader="dot"/>
            </w:tabs>
            <w:rPr>
              <w:rFonts w:ascii="Arial" w:eastAsia="Arial"/>
              <w:b w:val="0"/>
            </w:rPr>
          </w:pPr>
          <w:hyperlink w:history="true" w:anchor="_bookmark10">
            <w:r>
              <w:rPr>
                <w:rFonts w:ascii="Arial" w:eastAsia="Arial"/>
              </w:rPr>
              <w:t>CD19</w:t>
            </w:r>
            <w:r>
              <w:rPr>
                <w:rFonts w:ascii="Arial" w:eastAsia="Arial"/>
                <w:spacing w:val="2"/>
              </w:rPr>
              <w:t> </w:t>
            </w:r>
            <w:r>
              <w:rPr>
                <w:rFonts w:ascii="Arial" w:eastAsia="Arial"/>
              </w:rPr>
              <w:t>CAR-T</w:t>
            </w:r>
            <w:r>
              <w:rPr>
                <w:rFonts w:ascii="Arial" w:eastAsia="Arial"/>
                <w:spacing w:val="-4"/>
              </w:rPr>
              <w:t> </w:t>
            </w:r>
            <w:r>
              <w:rPr/>
              <w:t>后线治疗</w:t>
            </w:r>
            <w:r>
              <w:rPr>
                <w:spacing w:val="6"/>
              </w:rPr>
              <w:t> </w:t>
            </w:r>
            <w:r>
              <w:rPr>
                <w:rFonts w:ascii="Arial" w:eastAsia="Arial"/>
              </w:rPr>
              <w:t>r/r</w:t>
            </w:r>
            <w:r>
              <w:rPr>
                <w:rFonts w:ascii="Arial" w:eastAsia="Arial"/>
                <w:spacing w:val="-3"/>
              </w:rPr>
              <w:t> </w:t>
            </w:r>
            <w:r>
              <w:rPr>
                <w:rFonts w:ascii="Arial" w:eastAsia="Arial"/>
              </w:rPr>
              <w:t>LBCL</w:t>
            </w:r>
            <w:r>
              <w:rPr>
                <w:rFonts w:ascii="Arial" w:eastAsia="Arial"/>
                <w:spacing w:val="-8"/>
              </w:rPr>
              <w:t> </w:t>
            </w:r>
            <w:r>
              <w:rPr/>
              <w:t>疗效优势显著</w:t>
            </w:r>
            <w:r>
              <w:rPr>
                <w:spacing w:val="5"/>
              </w:rPr>
              <w:t> </w:t>
            </w:r>
            <w:r>
              <w:rPr/>
              <w:t>，</w:t>
            </w:r>
            <w:r>
              <w:rPr>
                <w:spacing w:val="-5"/>
              </w:rPr>
              <w:t>长期</w:t>
            </w:r>
            <w:r>
              <w:rPr/>
              <w:t>随访现治</w:t>
            </w:r>
            <w:r>
              <w:rPr>
                <w:spacing w:val="-5"/>
              </w:rPr>
              <w:t>愈</w:t>
            </w:r>
            <w:r>
              <w:rPr/>
              <w:t>潜力</w:t>
            </w:r>
            <w:r>
              <w:rPr>
                <w:rFonts w:ascii="Times New Roman" w:eastAsia="Times New Roman"/>
              </w:rPr>
              <w:tab/>
            </w:r>
            <w:r>
              <w:rPr>
                <w:rFonts w:ascii="Arial" w:eastAsia="Arial"/>
                <w:b w:val="0"/>
              </w:rPr>
              <w:t>16</w:t>
            </w:r>
          </w:hyperlink>
        </w:p>
        <w:p>
          <w:pPr>
            <w:pStyle w:val="TOC3"/>
            <w:tabs>
              <w:tab w:pos="7916" w:val="left" w:leader="dot"/>
            </w:tabs>
            <w:spacing w:before="34"/>
            <w:rPr>
              <w:rFonts w:ascii="Arial" w:eastAsia="Arial"/>
              <w:b w:val="0"/>
            </w:rPr>
          </w:pPr>
          <w:hyperlink w:history="true" w:anchor="_bookmark11">
            <w:r>
              <w:rPr>
                <w:rFonts w:ascii="Arial" w:eastAsia="Arial"/>
              </w:rPr>
              <w:t>Yescarta</w:t>
            </w:r>
            <w:r>
              <w:rPr>
                <w:rFonts w:ascii="Arial" w:eastAsia="Arial"/>
                <w:spacing w:val="-6"/>
              </w:rPr>
              <w:t> </w:t>
            </w:r>
            <w:r>
              <w:rPr/>
              <w:t>首个获</w:t>
            </w:r>
            <w:r>
              <w:rPr>
                <w:spacing w:val="48"/>
              </w:rPr>
              <w:t>批</w:t>
            </w:r>
            <w:r>
              <w:rPr>
                <w:rFonts w:ascii="Arial" w:eastAsia="Arial"/>
              </w:rPr>
              <w:t>LBCL</w:t>
            </w:r>
            <w:r>
              <w:rPr>
                <w:rFonts w:ascii="Arial" w:eastAsia="Arial"/>
                <w:spacing w:val="-7"/>
              </w:rPr>
              <w:t> </w:t>
            </w:r>
            <w:r>
              <w:rPr/>
              <w:t>前线治</w:t>
            </w:r>
            <w:r>
              <w:rPr>
                <w:spacing w:val="-5"/>
              </w:rPr>
              <w:t>疗</w:t>
            </w:r>
            <w:r>
              <w:rPr/>
              <w:t>，</w:t>
            </w:r>
            <w:r>
              <w:rPr>
                <w:rFonts w:ascii="Arial" w:eastAsia="Arial"/>
              </w:rPr>
              <w:t>Kymriah</w:t>
            </w:r>
            <w:r>
              <w:rPr>
                <w:rFonts w:ascii="Arial" w:eastAsia="Arial"/>
                <w:spacing w:val="-8"/>
              </w:rPr>
              <w:t> </w:t>
            </w:r>
            <w:r>
              <w:rPr/>
              <w:t>面临</w:t>
            </w:r>
            <w:r>
              <w:rPr>
                <w:spacing w:val="-5"/>
              </w:rPr>
              <w:t>生</w:t>
            </w:r>
            <w:r>
              <w:rPr/>
              <w:t>产环节挑战</w:t>
            </w:r>
            <w:r>
              <w:rPr>
                <w:rFonts w:ascii="Times New Roman" w:eastAsia="Times New Roman"/>
              </w:rPr>
              <w:tab/>
            </w:r>
            <w:r>
              <w:rPr>
                <w:rFonts w:ascii="Arial" w:eastAsia="Arial"/>
                <w:b w:val="0"/>
              </w:rPr>
              <w:t>19</w:t>
            </w:r>
          </w:hyperlink>
        </w:p>
        <w:p>
          <w:pPr>
            <w:pStyle w:val="TOC3"/>
            <w:tabs>
              <w:tab w:pos="7916" w:val="left" w:leader="dot"/>
            </w:tabs>
            <w:spacing w:before="37"/>
            <w:rPr>
              <w:rFonts w:ascii="Arial" w:eastAsia="Arial"/>
              <w:b w:val="0"/>
            </w:rPr>
          </w:pPr>
          <w:hyperlink w:history="true" w:anchor="_bookmark12">
            <w:r>
              <w:rPr>
                <w:rFonts w:ascii="Arial" w:eastAsia="Arial"/>
              </w:rPr>
              <w:t>CD19</w:t>
            </w:r>
            <w:r>
              <w:rPr>
                <w:rFonts w:ascii="Arial" w:eastAsia="Arial"/>
                <w:spacing w:val="2"/>
              </w:rPr>
              <w:t> </w:t>
            </w:r>
            <w:r>
              <w:rPr>
                <w:rFonts w:ascii="Arial" w:eastAsia="Arial"/>
              </w:rPr>
              <w:t>CAR-T</w:t>
            </w:r>
            <w:r>
              <w:rPr>
                <w:rFonts w:ascii="Arial" w:eastAsia="Arial"/>
                <w:spacing w:val="-4"/>
              </w:rPr>
              <w:t> </w:t>
            </w:r>
            <w:r>
              <w:rPr/>
              <w:t>对于</w:t>
            </w:r>
            <w:r>
              <w:rPr>
                <w:spacing w:val="4"/>
              </w:rPr>
              <w:t> </w:t>
            </w:r>
            <w:r>
              <w:rPr>
                <w:rFonts w:ascii="Arial" w:eastAsia="Arial"/>
              </w:rPr>
              <w:t>NHL/ B-ALL</w:t>
            </w:r>
            <w:r>
              <w:rPr>
                <w:rFonts w:ascii="Arial" w:eastAsia="Arial"/>
                <w:spacing w:val="-9"/>
              </w:rPr>
              <w:t> </w:t>
            </w:r>
            <w:r>
              <w:rPr/>
              <w:t>广泛有效</w:t>
            </w:r>
            <w:r>
              <w:rPr>
                <w:spacing w:val="-5"/>
              </w:rPr>
              <w:t>，</w:t>
            </w:r>
            <w:r>
              <w:rPr/>
              <w:t>进一</w:t>
            </w:r>
            <w:r>
              <w:rPr>
                <w:spacing w:val="-5"/>
              </w:rPr>
              <w:t>步</w:t>
            </w:r>
            <w:r>
              <w:rPr/>
              <w:t>拓</w:t>
            </w:r>
            <w:r>
              <w:rPr>
                <w:spacing w:val="-5"/>
              </w:rPr>
              <w:t>展</w:t>
            </w:r>
            <w:r>
              <w:rPr/>
              <w:t>适应症版图</w:t>
            </w:r>
            <w:r>
              <w:rPr>
                <w:rFonts w:ascii="Times New Roman" w:eastAsia="Times New Roman"/>
              </w:rPr>
              <w:tab/>
            </w:r>
            <w:r>
              <w:rPr>
                <w:rFonts w:ascii="Arial" w:eastAsia="Arial"/>
                <w:b w:val="0"/>
              </w:rPr>
              <w:t>22</w:t>
            </w:r>
          </w:hyperlink>
        </w:p>
        <w:p>
          <w:pPr>
            <w:pStyle w:val="TOC3"/>
            <w:tabs>
              <w:tab w:pos="7916" w:val="left" w:leader="dot"/>
            </w:tabs>
            <w:spacing w:before="34"/>
            <w:rPr>
              <w:rFonts w:ascii="Arial" w:eastAsia="Arial"/>
              <w:b w:val="0"/>
            </w:rPr>
          </w:pPr>
          <w:hyperlink w:history="true" w:anchor="_bookmark13">
            <w:r>
              <w:rPr/>
              <w:t>成立合资</w:t>
            </w:r>
            <w:r>
              <w:rPr>
                <w:spacing w:val="-5"/>
              </w:rPr>
              <w:t>公</w:t>
            </w:r>
            <w:r>
              <w:rPr/>
              <w:t>司进</w:t>
            </w:r>
            <w:r>
              <w:rPr>
                <w:spacing w:val="-5"/>
              </w:rPr>
              <w:t>行</w:t>
            </w:r>
            <w:r>
              <w:rPr/>
              <w:t>技术</w:t>
            </w:r>
            <w:r>
              <w:rPr>
                <w:spacing w:val="-5"/>
              </w:rPr>
              <w:t>落</w:t>
            </w:r>
            <w:r>
              <w:rPr/>
              <w:t>地，国</w:t>
            </w:r>
            <w:r>
              <w:rPr>
                <w:spacing w:val="-5"/>
              </w:rPr>
              <w:t>内</w:t>
            </w:r>
            <w:r>
              <w:rPr/>
              <w:t>已有两</w:t>
            </w:r>
            <w:r>
              <w:rPr>
                <w:spacing w:val="49"/>
              </w:rPr>
              <w:t>款</w:t>
            </w:r>
            <w:r>
              <w:rPr>
                <w:rFonts w:ascii="Arial" w:eastAsia="Arial"/>
              </w:rPr>
              <w:t>CD19</w:t>
            </w:r>
            <w:r>
              <w:rPr>
                <w:rFonts w:ascii="Arial" w:eastAsia="Arial"/>
                <w:spacing w:val="7"/>
              </w:rPr>
              <w:t> </w:t>
            </w:r>
            <w:r>
              <w:rPr>
                <w:rFonts w:ascii="Arial" w:eastAsia="Arial"/>
                <w:spacing w:val="-3"/>
              </w:rPr>
              <w:t>CAR-T</w:t>
            </w:r>
            <w:r>
              <w:rPr>
                <w:rFonts w:ascii="Arial" w:eastAsia="Arial"/>
                <w:spacing w:val="1"/>
              </w:rPr>
              <w:t> </w:t>
            </w:r>
            <w:r>
              <w:rPr/>
              <w:t>获批上市</w:t>
            </w:r>
            <w:r>
              <w:rPr>
                <w:rFonts w:ascii="Times New Roman" w:eastAsia="Times New Roman"/>
              </w:rPr>
              <w:tab/>
            </w:r>
            <w:r>
              <w:rPr>
                <w:rFonts w:ascii="Arial" w:eastAsia="Arial"/>
                <w:b w:val="0"/>
              </w:rPr>
              <w:t>24</w:t>
            </w:r>
          </w:hyperlink>
        </w:p>
        <w:p>
          <w:pPr>
            <w:pStyle w:val="TOC3"/>
            <w:tabs>
              <w:tab w:pos="7916" w:val="left" w:leader="dot"/>
            </w:tabs>
            <w:spacing w:before="37"/>
            <w:rPr>
              <w:rFonts w:ascii="Arial" w:eastAsia="Arial"/>
              <w:b w:val="0"/>
            </w:rPr>
          </w:pPr>
          <w:hyperlink w:history="true" w:anchor="_bookmark14">
            <w:r>
              <w:rPr>
                <w:rFonts w:ascii="Arial" w:eastAsia="Arial"/>
              </w:rPr>
              <w:t>BCMA</w:t>
            </w:r>
            <w:r>
              <w:rPr>
                <w:rFonts w:ascii="Arial" w:eastAsia="Arial"/>
                <w:spacing w:val="-1"/>
              </w:rPr>
              <w:t> </w:t>
            </w:r>
            <w:r>
              <w:rPr>
                <w:rFonts w:ascii="Arial" w:eastAsia="Arial"/>
              </w:rPr>
              <w:t>CAR-T</w:t>
            </w:r>
            <w:r>
              <w:rPr>
                <w:rFonts w:ascii="Arial" w:eastAsia="Arial"/>
                <w:spacing w:val="-2"/>
              </w:rPr>
              <w:t> </w:t>
            </w:r>
            <w:r>
              <w:rPr/>
              <w:t>角逐后线</w:t>
            </w:r>
            <w:r>
              <w:rPr>
                <w:spacing w:val="-5"/>
              </w:rPr>
              <w:t>多</w:t>
            </w:r>
            <w:r>
              <w:rPr/>
              <w:t>发性</w:t>
            </w:r>
            <w:r>
              <w:rPr>
                <w:spacing w:val="-5"/>
              </w:rPr>
              <w:t>骨</w:t>
            </w:r>
            <w:r>
              <w:rPr/>
              <w:t>髓瘤治</w:t>
            </w:r>
            <w:r>
              <w:rPr>
                <w:spacing w:val="-5"/>
              </w:rPr>
              <w:t>疗</w:t>
            </w:r>
            <w:r>
              <w:rPr/>
              <w:t>市场</w:t>
            </w:r>
            <w:r>
              <w:rPr>
                <w:rFonts w:ascii="Times New Roman" w:eastAsia="Times New Roman"/>
              </w:rPr>
              <w:tab/>
            </w:r>
            <w:r>
              <w:rPr>
                <w:rFonts w:ascii="Arial" w:eastAsia="Arial"/>
                <w:b w:val="0"/>
              </w:rPr>
              <w:t>25</w:t>
            </w:r>
          </w:hyperlink>
        </w:p>
        <w:p>
          <w:pPr>
            <w:pStyle w:val="TOC2"/>
            <w:tabs>
              <w:tab w:pos="7268" w:val="left" w:leader="dot"/>
            </w:tabs>
            <w:spacing w:before="34"/>
            <w:rPr>
              <w:rFonts w:ascii="Arial" w:eastAsia="Arial"/>
            </w:rPr>
          </w:pPr>
          <w:hyperlink w:history="true" w:anchor="_bookmark15">
            <w:r>
              <w:rPr>
                <w:color w:val="C00000"/>
              </w:rPr>
              <w:t>实体瘤篇</w:t>
            </w:r>
            <w:r>
              <w:rPr>
                <w:color w:val="C00000"/>
                <w:spacing w:val="-5"/>
              </w:rPr>
              <w:t>：</w:t>
            </w:r>
            <w:r>
              <w:rPr>
                <w:color w:val="C00000"/>
              </w:rPr>
              <w:t>寻找</w:t>
            </w:r>
            <w:r>
              <w:rPr>
                <w:color w:val="C00000"/>
                <w:spacing w:val="-5"/>
              </w:rPr>
              <w:t>理</w:t>
            </w:r>
            <w:r>
              <w:rPr>
                <w:color w:val="C00000"/>
              </w:rPr>
              <w:t>想靶</w:t>
            </w:r>
            <w:r>
              <w:rPr>
                <w:color w:val="C00000"/>
                <w:spacing w:val="-5"/>
              </w:rPr>
              <w:t>抗</w:t>
            </w:r>
            <w:r>
              <w:rPr>
                <w:color w:val="C00000"/>
              </w:rPr>
              <w:t>原，</w:t>
            </w:r>
            <w:r>
              <w:rPr>
                <w:rFonts w:ascii="Arial" w:eastAsia="Arial"/>
                <w:color w:val="C00000"/>
              </w:rPr>
              <w:t>CAR-T </w:t>
            </w:r>
            <w:r>
              <w:rPr>
                <w:color w:val="C00000"/>
              </w:rPr>
              <w:t>积极</w:t>
            </w:r>
            <w:r>
              <w:rPr>
                <w:color w:val="C00000"/>
                <w:spacing w:val="-5"/>
              </w:rPr>
              <w:t>探</w:t>
            </w:r>
            <w:r>
              <w:rPr>
                <w:color w:val="C00000"/>
              </w:rPr>
              <w:t>索实体</w:t>
            </w:r>
            <w:r>
              <w:rPr>
                <w:color w:val="C00000"/>
                <w:spacing w:val="-5"/>
              </w:rPr>
              <w:t>瘤适</w:t>
            </w:r>
            <w:r>
              <w:rPr>
                <w:color w:val="C00000"/>
              </w:rPr>
              <w:t>应症</w:t>
            </w:r>
            <w:r>
              <w:rPr>
                <w:rFonts w:ascii="Times New Roman" w:eastAsia="Times New Roman"/>
                <w:color w:val="C00000"/>
              </w:rPr>
              <w:tab/>
            </w:r>
            <w:r>
              <w:rPr>
                <w:rFonts w:ascii="Arial" w:eastAsia="Arial"/>
                <w:color w:val="C00000"/>
              </w:rPr>
              <w:t>32</w:t>
            </w:r>
          </w:hyperlink>
        </w:p>
        <w:p>
          <w:pPr>
            <w:pStyle w:val="TOC3"/>
            <w:tabs>
              <w:tab w:pos="7916" w:val="left" w:leader="dot"/>
            </w:tabs>
            <w:rPr>
              <w:rFonts w:ascii="Arial" w:eastAsia="Arial"/>
              <w:b w:val="0"/>
            </w:rPr>
          </w:pPr>
          <w:hyperlink w:history="true" w:anchor="_bookmark16">
            <w:r>
              <w:rPr/>
              <w:t>道阻且难</w:t>
            </w:r>
            <w:r>
              <w:rPr>
                <w:spacing w:val="-3"/>
              </w:rPr>
              <w:t>，</w:t>
            </w:r>
            <w:r>
              <w:rPr>
                <w:rFonts w:ascii="Arial" w:eastAsia="Arial"/>
                <w:spacing w:val="-3"/>
              </w:rPr>
              <w:t>CAR-T</w:t>
            </w:r>
            <w:r>
              <w:rPr>
                <w:rFonts w:ascii="Arial" w:eastAsia="Arial"/>
                <w:spacing w:val="2"/>
              </w:rPr>
              <w:t> </w:t>
            </w:r>
            <w:r>
              <w:rPr/>
              <w:t>用于实体</w:t>
            </w:r>
            <w:r>
              <w:rPr>
                <w:spacing w:val="-5"/>
              </w:rPr>
              <w:t>瘤</w:t>
            </w:r>
            <w:r>
              <w:rPr/>
              <w:t>治疗</w:t>
            </w:r>
            <w:r>
              <w:rPr>
                <w:spacing w:val="-5"/>
              </w:rPr>
              <w:t>需</w:t>
            </w:r>
            <w:r>
              <w:rPr/>
              <w:t>要克</w:t>
            </w:r>
            <w:r>
              <w:rPr>
                <w:spacing w:val="-5"/>
              </w:rPr>
              <w:t>服</w:t>
            </w:r>
            <w:r>
              <w:rPr/>
              <w:t>若干难题</w:t>
            </w:r>
            <w:r>
              <w:rPr>
                <w:rFonts w:ascii="Times New Roman" w:eastAsia="Times New Roman"/>
              </w:rPr>
              <w:tab/>
            </w:r>
            <w:r>
              <w:rPr>
                <w:rFonts w:ascii="Arial" w:eastAsia="Arial"/>
                <w:b w:val="0"/>
              </w:rPr>
              <w:t>32</w:t>
            </w:r>
          </w:hyperlink>
        </w:p>
        <w:p>
          <w:pPr>
            <w:pStyle w:val="TOC3"/>
            <w:tabs>
              <w:tab w:pos="7916" w:val="left" w:leader="dot"/>
            </w:tabs>
            <w:spacing w:before="33"/>
            <w:rPr>
              <w:rFonts w:ascii="Arial" w:eastAsia="Arial"/>
              <w:b w:val="0"/>
            </w:rPr>
          </w:pPr>
          <w:hyperlink w:history="true" w:anchor="_bookmark17">
            <w:r>
              <w:rPr/>
              <w:t>高潜力实</w:t>
            </w:r>
            <w:r>
              <w:rPr>
                <w:spacing w:val="-5"/>
              </w:rPr>
              <w:t>体</w:t>
            </w:r>
            <w:r>
              <w:rPr/>
              <w:t>瘤靶</w:t>
            </w:r>
            <w:r>
              <w:rPr>
                <w:spacing w:val="-5"/>
              </w:rPr>
              <w:t>点</w:t>
            </w:r>
            <w:r>
              <w:rPr/>
              <w:t>浮出</w:t>
            </w:r>
            <w:r>
              <w:rPr>
                <w:spacing w:val="-5"/>
              </w:rPr>
              <w:t>水</w:t>
            </w:r>
            <w:r>
              <w:rPr/>
              <w:t>面</w:t>
            </w:r>
            <w:r>
              <w:rPr>
                <w:rFonts w:ascii="Times New Roman" w:eastAsia="Times New Roman"/>
              </w:rPr>
              <w:tab/>
            </w:r>
            <w:r>
              <w:rPr>
                <w:rFonts w:ascii="Arial" w:eastAsia="Arial"/>
                <w:b w:val="0"/>
              </w:rPr>
              <w:t>33</w:t>
            </w:r>
          </w:hyperlink>
        </w:p>
        <w:p>
          <w:pPr>
            <w:pStyle w:val="TOC3"/>
            <w:tabs>
              <w:tab w:pos="7916" w:val="left" w:leader="dot"/>
            </w:tabs>
            <w:rPr>
              <w:rFonts w:ascii="Arial" w:eastAsia="Arial"/>
              <w:b w:val="0"/>
            </w:rPr>
          </w:pPr>
          <w:hyperlink w:history="true" w:anchor="_bookmark18">
            <w:r>
              <w:rPr>
                <w:rFonts w:ascii="Arial" w:eastAsia="Arial"/>
              </w:rPr>
              <w:t>CLDN</w:t>
            </w:r>
            <w:r>
              <w:rPr>
                <w:rFonts w:ascii="Arial" w:eastAsia="Arial"/>
                <w:spacing w:val="6"/>
              </w:rPr>
              <w:t> </w:t>
            </w:r>
            <w:r>
              <w:rPr>
                <w:rFonts w:ascii="Arial" w:eastAsia="Arial"/>
              </w:rPr>
              <w:t>18.2</w:t>
            </w:r>
            <w:r>
              <w:rPr>
                <w:rFonts w:ascii="Arial" w:eastAsia="Arial"/>
                <w:spacing w:val="-9"/>
              </w:rPr>
              <w:t> </w:t>
            </w:r>
            <w:r>
              <w:rPr/>
              <w:t>靶点极具潜</w:t>
            </w:r>
            <w:r>
              <w:rPr>
                <w:spacing w:val="-5"/>
              </w:rPr>
              <w:t>力</w:t>
            </w:r>
            <w:r>
              <w:rPr/>
              <w:t>，有</w:t>
            </w:r>
            <w:r>
              <w:rPr>
                <w:spacing w:val="-5"/>
              </w:rPr>
              <w:t>望</w:t>
            </w:r>
            <w:r>
              <w:rPr/>
              <w:t>率先</w:t>
            </w:r>
            <w:r>
              <w:rPr>
                <w:spacing w:val="-5"/>
              </w:rPr>
              <w:t>突</w:t>
            </w:r>
            <w:r>
              <w:rPr/>
              <w:t>破胃癌</w:t>
            </w:r>
            <w:r>
              <w:rPr>
                <w:spacing w:val="-5"/>
              </w:rPr>
              <w:t>适</w:t>
            </w:r>
            <w:r>
              <w:rPr/>
              <w:t>应症</w:t>
            </w:r>
            <w:r>
              <w:rPr>
                <w:rFonts w:ascii="Times New Roman" w:eastAsia="Times New Roman"/>
              </w:rPr>
              <w:tab/>
            </w:r>
            <w:r>
              <w:rPr>
                <w:rFonts w:ascii="Arial" w:eastAsia="Arial"/>
                <w:b w:val="0"/>
              </w:rPr>
              <w:t>34</w:t>
            </w:r>
          </w:hyperlink>
        </w:p>
        <w:p>
          <w:pPr>
            <w:pStyle w:val="TOC3"/>
            <w:tabs>
              <w:tab w:pos="7916" w:val="left" w:leader="dot"/>
            </w:tabs>
            <w:spacing w:before="33"/>
            <w:rPr>
              <w:rFonts w:ascii="Arial" w:eastAsia="Arial"/>
              <w:b w:val="0"/>
            </w:rPr>
          </w:pPr>
          <w:hyperlink w:history="true" w:anchor="_bookmark19">
            <w:r>
              <w:rPr/>
              <w:t>力争攻破</w:t>
            </w:r>
            <w:r>
              <w:rPr>
                <w:spacing w:val="-5"/>
              </w:rPr>
              <w:t>肝</w:t>
            </w:r>
            <w:r>
              <w:rPr/>
              <w:t>癌适</w:t>
            </w:r>
            <w:r>
              <w:rPr>
                <w:spacing w:val="-5"/>
              </w:rPr>
              <w:t>应</w:t>
            </w:r>
            <w:r>
              <w:rPr/>
              <w:t>症，</w:t>
            </w:r>
            <w:r>
              <w:rPr>
                <w:rFonts w:ascii="Arial" w:eastAsia="Arial"/>
              </w:rPr>
              <w:t>GPC3</w:t>
            </w:r>
            <w:r>
              <w:rPr>
                <w:rFonts w:ascii="Arial" w:eastAsia="Arial"/>
                <w:spacing w:val="-11"/>
              </w:rPr>
              <w:t> </w:t>
            </w:r>
            <w:r>
              <w:rPr/>
              <w:t>靶点研发火热</w:t>
            </w:r>
            <w:r>
              <w:rPr>
                <w:rFonts w:ascii="Times New Roman" w:eastAsia="Times New Roman"/>
              </w:rPr>
              <w:tab/>
            </w:r>
            <w:r>
              <w:rPr>
                <w:rFonts w:ascii="Arial" w:eastAsia="Arial"/>
                <w:b w:val="0"/>
              </w:rPr>
              <w:t>36</w:t>
            </w:r>
          </w:hyperlink>
        </w:p>
        <w:p>
          <w:pPr>
            <w:pStyle w:val="TOC3"/>
            <w:tabs>
              <w:tab w:pos="7916" w:val="left" w:leader="dot"/>
            </w:tabs>
            <w:rPr>
              <w:rFonts w:ascii="Arial" w:eastAsia="Arial"/>
              <w:b w:val="0"/>
            </w:rPr>
          </w:pPr>
          <w:hyperlink w:history="true" w:anchor="_bookmark20">
            <w:r>
              <w:rPr>
                <w:rFonts w:ascii="Arial" w:eastAsia="Arial"/>
              </w:rPr>
              <w:t>MSLN</w:t>
            </w:r>
            <w:r>
              <w:rPr>
                <w:rFonts w:ascii="Arial" w:eastAsia="Arial"/>
                <w:spacing w:val="-9"/>
              </w:rPr>
              <w:t> </w:t>
            </w:r>
            <w:r>
              <w:rPr/>
              <w:t>靶点具有</w:t>
            </w:r>
            <w:r>
              <w:rPr>
                <w:spacing w:val="-5"/>
              </w:rPr>
              <w:t>广</w:t>
            </w:r>
            <w:r>
              <w:rPr/>
              <w:t>谱性</w:t>
            </w:r>
            <w:r>
              <w:rPr>
                <w:spacing w:val="-5"/>
              </w:rPr>
              <w:t>，</w:t>
            </w:r>
            <w:r>
              <w:rPr/>
              <w:t>对多</w:t>
            </w:r>
            <w:r>
              <w:rPr>
                <w:spacing w:val="-5"/>
              </w:rPr>
              <w:t>种</w:t>
            </w:r>
            <w:r>
              <w:rPr/>
              <w:t>癌症有效</w:t>
            </w:r>
            <w:r>
              <w:rPr>
                <w:rFonts w:ascii="Times New Roman" w:eastAsia="Times New Roman"/>
              </w:rPr>
              <w:tab/>
            </w:r>
            <w:r>
              <w:rPr>
                <w:rFonts w:ascii="Arial" w:eastAsia="Arial"/>
                <w:b w:val="0"/>
              </w:rPr>
              <w:t>39</w:t>
            </w:r>
          </w:hyperlink>
        </w:p>
        <w:p>
          <w:pPr>
            <w:pStyle w:val="TOC2"/>
            <w:tabs>
              <w:tab w:pos="7268" w:val="left" w:leader="dot"/>
            </w:tabs>
            <w:rPr>
              <w:rFonts w:ascii="Arial" w:eastAsia="Arial"/>
            </w:rPr>
          </w:pPr>
          <w:hyperlink w:history="true" w:anchor="_bookmark21">
            <w:r>
              <w:rPr>
                <w:color w:val="C00000"/>
              </w:rPr>
              <w:t>技术前瞻</w:t>
            </w:r>
            <w:r>
              <w:rPr>
                <w:color w:val="C00000"/>
                <w:spacing w:val="-5"/>
              </w:rPr>
              <w:t>篇</w:t>
            </w:r>
            <w:r>
              <w:rPr>
                <w:color w:val="C00000"/>
              </w:rPr>
              <w:t>：有</w:t>
            </w:r>
            <w:r>
              <w:rPr>
                <w:color w:val="C00000"/>
                <w:spacing w:val="-5"/>
              </w:rPr>
              <w:t>望</w:t>
            </w:r>
            <w:r>
              <w:rPr>
                <w:color w:val="C00000"/>
              </w:rPr>
              <w:t>解决</w:t>
            </w:r>
            <w:r>
              <w:rPr>
                <w:color w:val="C00000"/>
                <w:spacing w:val="-5"/>
              </w:rPr>
              <w:t>核</w:t>
            </w:r>
            <w:r>
              <w:rPr>
                <w:color w:val="C00000"/>
              </w:rPr>
              <w:t>心难题</w:t>
            </w:r>
            <w:r>
              <w:rPr>
                <w:color w:val="C00000"/>
                <w:spacing w:val="-5"/>
              </w:rPr>
              <w:t>，</w:t>
            </w:r>
            <w:r>
              <w:rPr>
                <w:color w:val="C00000"/>
              </w:rPr>
              <w:t>异</w:t>
            </w:r>
            <w:r>
              <w:rPr>
                <w:color w:val="C00000"/>
                <w:spacing w:val="49"/>
              </w:rPr>
              <w:t>体</w:t>
            </w:r>
            <w:r>
              <w:rPr>
                <w:rFonts w:ascii="Arial" w:eastAsia="Arial"/>
                <w:color w:val="C00000"/>
                <w:spacing w:val="-3"/>
              </w:rPr>
              <w:t>CAR-T</w:t>
            </w:r>
            <w:r>
              <w:rPr>
                <w:rFonts w:ascii="Arial" w:eastAsia="Arial"/>
                <w:color w:val="C00000"/>
                <w:spacing w:val="3"/>
              </w:rPr>
              <w:t> </w:t>
            </w:r>
            <w:r>
              <w:rPr>
                <w:color w:val="C00000"/>
              </w:rPr>
              <w:t>百花</w:t>
            </w:r>
            <w:r>
              <w:rPr>
                <w:color w:val="C00000"/>
                <w:spacing w:val="-5"/>
              </w:rPr>
              <w:t>齐</w:t>
            </w:r>
            <w:r>
              <w:rPr>
                <w:color w:val="C00000"/>
              </w:rPr>
              <w:t>放</w:t>
            </w:r>
            <w:r>
              <w:rPr>
                <w:rFonts w:ascii="Times New Roman" w:eastAsia="Times New Roman"/>
                <w:color w:val="C00000"/>
              </w:rPr>
              <w:tab/>
            </w:r>
            <w:r>
              <w:rPr>
                <w:rFonts w:ascii="Arial" w:eastAsia="Arial"/>
                <w:color w:val="C00000"/>
              </w:rPr>
              <w:t>41</w:t>
            </w:r>
          </w:hyperlink>
        </w:p>
        <w:p>
          <w:pPr>
            <w:pStyle w:val="TOC3"/>
            <w:tabs>
              <w:tab w:pos="7916" w:val="left" w:leader="dot"/>
            </w:tabs>
            <w:rPr>
              <w:rFonts w:ascii="Arial" w:eastAsia="Arial"/>
              <w:b w:val="0"/>
            </w:rPr>
          </w:pPr>
          <w:hyperlink w:history="true" w:anchor="_bookmark22">
            <w:r>
              <w:rPr/>
              <w:t>自体</w:t>
            </w:r>
            <w:r>
              <w:rPr>
                <w:spacing w:val="7"/>
              </w:rPr>
              <w:t> </w:t>
            </w:r>
            <w:r>
              <w:rPr>
                <w:rFonts w:ascii="Arial" w:eastAsia="Arial"/>
                <w:spacing w:val="-3"/>
              </w:rPr>
              <w:t>CAR-T</w:t>
            </w:r>
            <w:r>
              <w:rPr>
                <w:rFonts w:ascii="Arial" w:eastAsia="Arial"/>
              </w:rPr>
              <w:t> </w:t>
            </w:r>
            <w:r>
              <w:rPr/>
              <w:t>疗效虽佳，</w:t>
            </w:r>
            <w:r>
              <w:rPr>
                <w:spacing w:val="-5"/>
              </w:rPr>
              <w:t>但</w:t>
            </w:r>
            <w:r>
              <w:rPr/>
              <w:t>仍有</w:t>
            </w:r>
            <w:r>
              <w:rPr>
                <w:spacing w:val="-5"/>
              </w:rPr>
              <w:t>较</w:t>
            </w:r>
            <w:r>
              <w:rPr/>
              <w:t>大改</w:t>
            </w:r>
            <w:r>
              <w:rPr>
                <w:spacing w:val="-5"/>
              </w:rPr>
              <w:t>进</w:t>
            </w:r>
            <w:r>
              <w:rPr/>
              <w:t>空间</w:t>
            </w:r>
            <w:r>
              <w:rPr>
                <w:rFonts w:ascii="Times New Roman" w:eastAsia="Times New Roman"/>
              </w:rPr>
              <w:tab/>
            </w:r>
            <w:r>
              <w:rPr>
                <w:rFonts w:ascii="Arial" w:eastAsia="Arial"/>
                <w:b w:val="0"/>
              </w:rPr>
              <w:t>41</w:t>
            </w:r>
          </w:hyperlink>
        </w:p>
        <w:p>
          <w:pPr>
            <w:pStyle w:val="TOC3"/>
            <w:tabs>
              <w:tab w:pos="7916" w:val="left" w:leader="dot"/>
            </w:tabs>
            <w:spacing w:before="33"/>
            <w:rPr>
              <w:rFonts w:ascii="Arial" w:hAnsi="Arial" w:eastAsia="Arial"/>
              <w:b w:val="0"/>
            </w:rPr>
          </w:pPr>
          <w:hyperlink w:history="true" w:anchor="_bookmark23">
            <w:r>
              <w:rPr>
                <w:rFonts w:ascii="Arial" w:hAnsi="Arial" w:eastAsia="Arial"/>
              </w:rPr>
              <w:t>“</w:t>
            </w:r>
            <w:r>
              <w:rPr/>
              <w:t>通用型</w:t>
            </w:r>
            <w:r>
              <w:rPr>
                <w:rFonts w:ascii="Arial" w:hAnsi="Arial" w:eastAsia="Arial"/>
                <w:spacing w:val="-3"/>
              </w:rPr>
              <w:t>”CAR-T</w:t>
            </w:r>
            <w:r>
              <w:rPr>
                <w:rFonts w:ascii="Arial" w:hAnsi="Arial" w:eastAsia="Arial"/>
                <w:spacing w:val="1"/>
              </w:rPr>
              <w:t> </w:t>
            </w:r>
            <w:r>
              <w:rPr/>
              <w:t>需要克服免</w:t>
            </w:r>
            <w:r>
              <w:rPr>
                <w:spacing w:val="-5"/>
              </w:rPr>
              <w:t>疫</w:t>
            </w:r>
            <w:r>
              <w:rPr/>
              <w:t>排斥</w:t>
            </w:r>
            <w:r>
              <w:rPr>
                <w:spacing w:val="-5"/>
              </w:rPr>
              <w:t>，</w:t>
            </w:r>
            <w:r>
              <w:rPr/>
              <w:t>基因</w:t>
            </w:r>
            <w:r>
              <w:rPr>
                <w:spacing w:val="-5"/>
              </w:rPr>
              <w:t>编</w:t>
            </w:r>
            <w:r>
              <w:rPr/>
              <w:t>辑是</w:t>
            </w:r>
            <w:r>
              <w:rPr>
                <w:spacing w:val="12"/>
              </w:rPr>
              <w:t> </w:t>
            </w:r>
            <w:r>
              <w:rPr>
                <w:rFonts w:ascii="Arial" w:hAnsi="Arial" w:eastAsia="Arial"/>
                <w:spacing w:val="-3"/>
              </w:rPr>
              <w:t>UCAR-T</w:t>
            </w:r>
            <w:r>
              <w:rPr>
                <w:rFonts w:ascii="Arial" w:hAnsi="Arial" w:eastAsia="Arial"/>
                <w:spacing w:val="2"/>
              </w:rPr>
              <w:t> </w:t>
            </w:r>
            <w:r>
              <w:rPr/>
              <w:t>的关键技术</w:t>
            </w:r>
            <w:r>
              <w:rPr>
                <w:rFonts w:ascii="Times New Roman" w:hAnsi="Times New Roman" w:eastAsia="Times New Roman"/>
              </w:rPr>
              <w:tab/>
            </w:r>
            <w:r>
              <w:rPr>
                <w:rFonts w:ascii="Arial" w:hAnsi="Arial" w:eastAsia="Arial"/>
                <w:b w:val="0"/>
              </w:rPr>
              <w:t>41</w:t>
            </w:r>
          </w:hyperlink>
        </w:p>
        <w:p>
          <w:pPr>
            <w:pStyle w:val="TOC3"/>
            <w:tabs>
              <w:tab w:pos="7916" w:val="left" w:leader="dot"/>
            </w:tabs>
            <w:rPr>
              <w:rFonts w:ascii="Arial" w:eastAsia="Arial"/>
              <w:b w:val="0"/>
            </w:rPr>
          </w:pPr>
          <w:hyperlink w:history="true" w:anchor="_bookmark24">
            <w:r>
              <w:rPr/>
              <w:t>多家公司</w:t>
            </w:r>
            <w:r>
              <w:rPr>
                <w:spacing w:val="-5"/>
              </w:rPr>
              <w:t>积</w:t>
            </w:r>
            <w:r>
              <w:rPr/>
              <w:t>极布</w:t>
            </w:r>
            <w:r>
              <w:rPr>
                <w:spacing w:val="-5"/>
              </w:rPr>
              <w:t>局</w:t>
            </w:r>
            <w:r>
              <w:rPr/>
              <w:t>通用</w:t>
            </w:r>
            <w:r>
              <w:rPr>
                <w:spacing w:val="49"/>
              </w:rPr>
              <w:t>型</w:t>
            </w:r>
            <w:r>
              <w:rPr>
                <w:rFonts w:ascii="Arial" w:eastAsia="Arial"/>
              </w:rPr>
              <w:t>CAR-T</w:t>
            </w:r>
            <w:r>
              <w:rPr/>
              <w:t>，临床</w:t>
            </w:r>
            <w:r>
              <w:rPr>
                <w:spacing w:val="-5"/>
              </w:rPr>
              <w:t>进</w:t>
            </w:r>
            <w:r>
              <w:rPr/>
              <w:t>展尚</w:t>
            </w:r>
            <w:r>
              <w:rPr>
                <w:spacing w:val="-5"/>
              </w:rPr>
              <w:t>在</w:t>
            </w:r>
            <w:r>
              <w:rPr/>
              <w:t>早期</w:t>
            </w:r>
            <w:r>
              <w:rPr>
                <w:rFonts w:ascii="Times New Roman" w:eastAsia="Times New Roman"/>
              </w:rPr>
              <w:tab/>
            </w:r>
            <w:r>
              <w:rPr>
                <w:rFonts w:ascii="Arial" w:eastAsia="Arial"/>
                <w:b w:val="0"/>
              </w:rPr>
              <w:t>42</w:t>
            </w:r>
          </w:hyperlink>
        </w:p>
        <w:p>
          <w:pPr>
            <w:pStyle w:val="TOC2"/>
            <w:tabs>
              <w:tab w:pos="7268" w:val="left" w:leader="dot"/>
            </w:tabs>
            <w:rPr>
              <w:rFonts w:ascii="Arial" w:eastAsia="Arial"/>
            </w:rPr>
          </w:pPr>
          <w:hyperlink w:history="true" w:anchor="_bookmark25">
            <w:r>
              <w:rPr>
                <w:color w:val="C00000"/>
              </w:rPr>
              <w:t>生产篇：</w:t>
            </w:r>
            <w:r>
              <w:rPr>
                <w:color w:val="C00000"/>
                <w:spacing w:val="-5"/>
              </w:rPr>
              <w:t>制</w:t>
            </w:r>
            <w:r>
              <w:rPr>
                <w:color w:val="C00000"/>
              </w:rPr>
              <w:t>造工</w:t>
            </w:r>
            <w:r>
              <w:rPr>
                <w:color w:val="C00000"/>
                <w:spacing w:val="-5"/>
              </w:rPr>
              <w:t>艺</w:t>
            </w:r>
            <w:r>
              <w:rPr>
                <w:color w:val="C00000"/>
              </w:rPr>
              <w:t>复杂</w:t>
            </w:r>
            <w:r>
              <w:rPr>
                <w:color w:val="C00000"/>
                <w:spacing w:val="-5"/>
              </w:rPr>
              <w:t>，</w:t>
            </w:r>
            <w:r>
              <w:rPr>
                <w:color w:val="C00000"/>
              </w:rPr>
              <w:t>生产成</w:t>
            </w:r>
            <w:r>
              <w:rPr>
                <w:color w:val="C00000"/>
                <w:spacing w:val="-5"/>
              </w:rPr>
              <w:t>本</w:t>
            </w:r>
            <w:r>
              <w:rPr>
                <w:color w:val="C00000"/>
              </w:rPr>
              <w:t>逐步</w:t>
            </w:r>
            <w:r>
              <w:rPr>
                <w:color w:val="C00000"/>
                <w:spacing w:val="-5"/>
              </w:rPr>
              <w:t>下</w:t>
            </w:r>
            <w:r>
              <w:rPr>
                <w:color w:val="C00000"/>
              </w:rPr>
              <w:t>降</w:t>
            </w:r>
            <w:r>
              <w:rPr>
                <w:rFonts w:ascii="Times New Roman" w:eastAsia="Times New Roman"/>
                <w:color w:val="C00000"/>
              </w:rPr>
              <w:tab/>
            </w:r>
            <w:r>
              <w:rPr>
                <w:rFonts w:ascii="Arial" w:eastAsia="Arial"/>
                <w:color w:val="C00000"/>
              </w:rPr>
              <w:t>48</w:t>
            </w:r>
          </w:hyperlink>
        </w:p>
        <w:p>
          <w:pPr>
            <w:pStyle w:val="TOC3"/>
            <w:tabs>
              <w:tab w:pos="7916" w:val="left" w:leader="dot"/>
            </w:tabs>
            <w:rPr>
              <w:rFonts w:ascii="Arial" w:eastAsia="Arial"/>
              <w:b w:val="0"/>
            </w:rPr>
          </w:pPr>
          <w:hyperlink w:history="true" w:anchor="_bookmark26">
            <w:r>
              <w:rPr/>
              <w:t>生产流程</w:t>
            </w:r>
            <w:r>
              <w:rPr>
                <w:spacing w:val="-5"/>
              </w:rPr>
              <w:t>标</w:t>
            </w:r>
            <w:r>
              <w:rPr/>
              <w:t>准化</w:t>
            </w:r>
            <w:r>
              <w:rPr>
                <w:spacing w:val="-5"/>
              </w:rPr>
              <w:t>程</w:t>
            </w:r>
            <w:r>
              <w:rPr/>
              <w:t>度低</w:t>
            </w:r>
            <w:r>
              <w:rPr>
                <w:spacing w:val="-5"/>
              </w:rPr>
              <w:t>，</w:t>
            </w:r>
            <w:r>
              <w:rPr/>
              <w:t>低产量</w:t>
            </w:r>
            <w:r>
              <w:rPr>
                <w:spacing w:val="-5"/>
              </w:rPr>
              <w:t>导</w:t>
            </w:r>
            <w:r>
              <w:rPr/>
              <w:t>致高</w:t>
            </w:r>
            <w:r>
              <w:rPr>
                <w:spacing w:val="-5"/>
              </w:rPr>
              <w:t>成</w:t>
            </w:r>
            <w:r>
              <w:rPr/>
              <w:t>本</w:t>
            </w:r>
            <w:r>
              <w:rPr>
                <w:rFonts w:ascii="Times New Roman" w:eastAsia="Times New Roman"/>
              </w:rPr>
              <w:tab/>
            </w:r>
            <w:r>
              <w:rPr>
                <w:rFonts w:ascii="Arial" w:eastAsia="Arial"/>
                <w:b w:val="0"/>
              </w:rPr>
              <w:t>48</w:t>
            </w:r>
          </w:hyperlink>
        </w:p>
        <w:p>
          <w:pPr>
            <w:pStyle w:val="TOC3"/>
            <w:tabs>
              <w:tab w:pos="7916" w:val="left" w:leader="dot"/>
            </w:tabs>
            <w:spacing w:before="34"/>
            <w:rPr>
              <w:rFonts w:ascii="Arial" w:eastAsia="Arial"/>
              <w:b w:val="0"/>
            </w:rPr>
          </w:pPr>
          <w:hyperlink w:history="true" w:anchor="_bookmark27">
            <w:r>
              <w:rPr/>
              <w:t>短期成本</w:t>
            </w:r>
            <w:r>
              <w:rPr>
                <w:spacing w:val="-5"/>
              </w:rPr>
              <w:t>下</w:t>
            </w:r>
            <w:r>
              <w:rPr/>
              <w:t>降困</w:t>
            </w:r>
            <w:r>
              <w:rPr>
                <w:spacing w:val="-5"/>
              </w:rPr>
              <w:t>难</w:t>
            </w:r>
            <w:r>
              <w:rPr/>
              <w:t>，后</w:t>
            </w:r>
            <w:r>
              <w:rPr>
                <w:spacing w:val="-5"/>
              </w:rPr>
              <w:t>续</w:t>
            </w:r>
            <w:r>
              <w:rPr/>
              <w:t>放量将</w:t>
            </w:r>
            <w:r>
              <w:rPr>
                <w:spacing w:val="-5"/>
              </w:rPr>
              <w:t>改</w:t>
            </w:r>
            <w:r>
              <w:rPr/>
              <w:t>善局面</w:t>
            </w:r>
            <w:r>
              <w:rPr>
                <w:rFonts w:ascii="Times New Roman" w:eastAsia="Times New Roman"/>
              </w:rPr>
              <w:tab/>
            </w:r>
            <w:r>
              <w:rPr>
                <w:rFonts w:ascii="Arial" w:eastAsia="Arial"/>
                <w:b w:val="0"/>
              </w:rPr>
              <w:t>50</w:t>
            </w:r>
          </w:hyperlink>
        </w:p>
        <w:p>
          <w:pPr>
            <w:pStyle w:val="TOC2"/>
            <w:tabs>
              <w:tab w:pos="7268" w:val="left" w:leader="dot"/>
            </w:tabs>
            <w:spacing w:before="38"/>
            <w:rPr>
              <w:rFonts w:ascii="Arial" w:eastAsia="Arial"/>
            </w:rPr>
          </w:pPr>
          <w:hyperlink w:history="true" w:anchor="_bookmark28">
            <w:r>
              <w:rPr>
                <w:color w:val="C00000"/>
              </w:rPr>
              <w:t>支付篇：</w:t>
            </w:r>
            <w:r>
              <w:rPr>
                <w:color w:val="C00000"/>
                <w:spacing w:val="-5"/>
              </w:rPr>
              <w:t>支</w:t>
            </w:r>
            <w:r>
              <w:rPr>
                <w:color w:val="C00000"/>
              </w:rPr>
              <w:t>付体</w:t>
            </w:r>
            <w:r>
              <w:rPr>
                <w:color w:val="C00000"/>
                <w:spacing w:val="-5"/>
              </w:rPr>
              <w:t>系</w:t>
            </w:r>
            <w:r>
              <w:rPr>
                <w:color w:val="C00000"/>
              </w:rPr>
              <w:t>多元</w:t>
            </w:r>
            <w:r>
              <w:rPr>
                <w:color w:val="C00000"/>
                <w:spacing w:val="-5"/>
              </w:rPr>
              <w:t>化</w:t>
            </w:r>
            <w:r>
              <w:rPr>
                <w:color w:val="C00000"/>
              </w:rPr>
              <w:t>，</w:t>
            </w:r>
            <w:r>
              <w:rPr>
                <w:rFonts w:ascii="Arial" w:eastAsia="Arial"/>
                <w:color w:val="C00000"/>
              </w:rPr>
              <w:t>CAR-T</w:t>
            </w:r>
            <w:r>
              <w:rPr>
                <w:rFonts w:ascii="Arial" w:eastAsia="Arial"/>
                <w:color w:val="C00000"/>
                <w:spacing w:val="-1"/>
              </w:rPr>
              <w:t> </w:t>
            </w:r>
            <w:r>
              <w:rPr>
                <w:color w:val="C00000"/>
              </w:rPr>
              <w:t>可及性</w:t>
            </w:r>
            <w:r>
              <w:rPr>
                <w:color w:val="C00000"/>
                <w:spacing w:val="-5"/>
              </w:rPr>
              <w:t>逐</w:t>
            </w:r>
            <w:r>
              <w:rPr>
                <w:color w:val="C00000"/>
              </w:rPr>
              <w:t>步改善</w:t>
            </w:r>
            <w:r>
              <w:rPr>
                <w:rFonts w:ascii="Times New Roman" w:eastAsia="Times New Roman"/>
                <w:color w:val="C00000"/>
              </w:rPr>
              <w:tab/>
            </w:r>
            <w:r>
              <w:rPr>
                <w:rFonts w:ascii="Arial" w:eastAsia="Arial"/>
                <w:color w:val="C00000"/>
              </w:rPr>
              <w:t>52</w:t>
            </w:r>
          </w:hyperlink>
        </w:p>
        <w:p>
          <w:pPr>
            <w:pStyle w:val="TOC3"/>
            <w:tabs>
              <w:tab w:pos="7916" w:val="left" w:leader="dot"/>
            </w:tabs>
            <w:spacing w:before="33"/>
            <w:rPr>
              <w:rFonts w:ascii="Arial" w:eastAsia="Arial"/>
              <w:b w:val="0"/>
            </w:rPr>
          </w:pPr>
          <w:hyperlink w:history="true" w:anchor="_bookmark29">
            <w:r>
              <w:rPr/>
              <w:t>探索多层</w:t>
            </w:r>
            <w:r>
              <w:rPr>
                <w:spacing w:val="-5"/>
              </w:rPr>
              <w:t>级</w:t>
            </w:r>
            <w:r>
              <w:rPr/>
              <w:t>支付</w:t>
            </w:r>
            <w:r>
              <w:rPr>
                <w:spacing w:val="-5"/>
              </w:rPr>
              <w:t>方</w:t>
            </w:r>
            <w:r>
              <w:rPr/>
              <w:t>式，提</w:t>
            </w:r>
            <w:r>
              <w:rPr>
                <w:spacing w:val="49"/>
              </w:rPr>
              <w:t>升</w:t>
            </w:r>
            <w:r>
              <w:rPr>
                <w:rFonts w:ascii="Arial" w:eastAsia="Arial"/>
                <w:spacing w:val="-4"/>
              </w:rPr>
              <w:t>CAR-T</w:t>
            </w:r>
            <w:r>
              <w:rPr>
                <w:rFonts w:ascii="Arial" w:eastAsia="Arial"/>
                <w:spacing w:val="1"/>
              </w:rPr>
              <w:t> </w:t>
            </w:r>
            <w:r>
              <w:rPr/>
              <w:t>可及性</w:t>
            </w:r>
            <w:r>
              <w:rPr>
                <w:rFonts w:ascii="Times New Roman" w:eastAsia="Times New Roman"/>
              </w:rPr>
              <w:tab/>
            </w:r>
            <w:r>
              <w:rPr>
                <w:rFonts w:ascii="Arial" w:eastAsia="Arial"/>
                <w:b w:val="0"/>
              </w:rPr>
              <w:t>52</w:t>
            </w:r>
          </w:hyperlink>
        </w:p>
        <w:p>
          <w:pPr>
            <w:pStyle w:val="TOC2"/>
            <w:tabs>
              <w:tab w:pos="7268" w:val="left" w:leader="dot"/>
            </w:tabs>
            <w:spacing w:before="37"/>
            <w:rPr>
              <w:rFonts w:ascii="Arial" w:eastAsia="Arial"/>
            </w:rPr>
          </w:pPr>
          <w:hyperlink w:history="true" w:anchor="_bookmark30">
            <w:r>
              <w:rPr>
                <w:color w:val="C00000"/>
              </w:rPr>
              <w:t>总结篇</w:t>
            </w:r>
            <w:r>
              <w:rPr>
                <w:color w:val="C00000"/>
                <w:spacing w:val="-3"/>
              </w:rPr>
              <w:t>：</w:t>
            </w:r>
            <w:r>
              <w:rPr>
                <w:rFonts w:ascii="Arial" w:eastAsia="Arial"/>
                <w:color w:val="C00000"/>
                <w:spacing w:val="-3"/>
              </w:rPr>
              <w:t>CAR-T</w:t>
            </w:r>
            <w:r>
              <w:rPr>
                <w:rFonts w:ascii="Arial" w:eastAsia="Arial"/>
                <w:color w:val="C00000"/>
                <w:spacing w:val="3"/>
              </w:rPr>
              <w:t> </w:t>
            </w:r>
            <w:r>
              <w:rPr>
                <w:color w:val="C00000"/>
              </w:rPr>
              <w:t>应用前景光</w:t>
            </w:r>
            <w:r>
              <w:rPr>
                <w:color w:val="C00000"/>
                <w:spacing w:val="-5"/>
              </w:rPr>
              <w:t>明</w:t>
            </w:r>
            <w:r>
              <w:rPr>
                <w:color w:val="C00000"/>
              </w:rPr>
              <w:t>，国</w:t>
            </w:r>
            <w:r>
              <w:rPr>
                <w:color w:val="C00000"/>
                <w:spacing w:val="-5"/>
              </w:rPr>
              <w:t>内</w:t>
            </w:r>
            <w:r>
              <w:rPr>
                <w:color w:val="C00000"/>
              </w:rPr>
              <w:t>企业</w:t>
            </w:r>
            <w:r>
              <w:rPr>
                <w:color w:val="C00000"/>
                <w:spacing w:val="-5"/>
              </w:rPr>
              <w:t>进</w:t>
            </w:r>
            <w:r>
              <w:rPr>
                <w:color w:val="C00000"/>
              </w:rPr>
              <w:t>军全球</w:t>
            </w:r>
            <w:r>
              <w:rPr>
                <w:color w:val="C00000"/>
                <w:spacing w:val="-5"/>
              </w:rPr>
              <w:t>市</w:t>
            </w:r>
            <w:r>
              <w:rPr>
                <w:color w:val="C00000"/>
              </w:rPr>
              <w:t>场</w:t>
            </w:r>
            <w:r>
              <w:rPr>
                <w:rFonts w:ascii="Times New Roman" w:eastAsia="Times New Roman"/>
                <w:color w:val="C00000"/>
              </w:rPr>
              <w:tab/>
            </w:r>
            <w:r>
              <w:rPr>
                <w:rFonts w:ascii="Arial" w:eastAsia="Arial"/>
                <w:color w:val="C00000"/>
              </w:rPr>
              <w:t>57</w:t>
            </w:r>
          </w:hyperlink>
        </w:p>
      </w:sdtContent>
    </w:sdt>
    <w:p>
      <w:pPr>
        <w:spacing w:after="0"/>
        <w:rPr>
          <w:rFonts w:ascii="Arial" w:eastAsia="Arial"/>
        </w:rPr>
        <w:sectPr>
          <w:headerReference w:type="default" r:id="rId8"/>
          <w:footerReference w:type="default" r:id="rId9"/>
          <w:pgSz w:w="11910" w:h="16840"/>
          <w:pgMar w:header="682" w:footer="358" w:top="1380" w:bottom="540" w:left="640" w:right="300"/>
          <w:pgNumType w:start="2"/>
        </w:sectPr>
      </w:pPr>
    </w:p>
    <w:p>
      <w:pPr>
        <w:pStyle w:val="Heading1"/>
        <w:spacing w:before="196"/>
        <w:jc w:val="both"/>
      </w:pPr>
      <w:bookmarkStart w:name="_bookmark0" w:id="1"/>
      <w:bookmarkEnd w:id="1"/>
      <w:r>
        <w:rPr>
          <w:b w:val="0"/>
        </w:rPr>
      </w:r>
      <w:r>
        <w:rPr>
          <w:color w:val="C00000"/>
        </w:rPr>
        <w:t>细胞与基因治疗优势显著，其中 </w:t>
      </w:r>
      <w:r>
        <w:rPr>
          <w:rFonts w:ascii="Arial" w:eastAsia="Arial"/>
          <w:color w:val="C00000"/>
        </w:rPr>
        <w:t>CAR-T </w:t>
      </w:r>
      <w:r>
        <w:rPr>
          <w:color w:val="C00000"/>
        </w:rPr>
        <w:t>疗法发力最早</w:t>
      </w:r>
    </w:p>
    <w:p>
      <w:pPr>
        <w:pStyle w:val="BodyText"/>
        <w:spacing w:line="288" w:lineRule="auto" w:before="167"/>
        <w:ind w:right="2814"/>
        <w:jc w:val="both"/>
      </w:pPr>
      <w:r>
        <w:rPr>
          <w:spacing w:val="-1"/>
        </w:rPr>
        <w:t>细胞与基因治疗 </w:t>
      </w:r>
      <w:r>
        <w:rPr>
          <w:rFonts w:ascii="Arial" w:hAnsi="Arial" w:eastAsia="Arial"/>
        </w:rPr>
        <w:t>(CGT</w:t>
      </w:r>
      <w:r>
        <w:rPr>
          <w:rFonts w:ascii="Arial" w:hAnsi="Arial" w:eastAsia="Arial"/>
          <w:spacing w:val="26"/>
        </w:rPr>
        <w:t>) </w:t>
      </w:r>
      <w:r>
        <w:rPr>
          <w:spacing w:val="-6"/>
        </w:rPr>
        <w:t>包括细胞治疗和基因治疗，为包括肿瘤在内的难治性疾病提供了新</w:t>
      </w:r>
      <w:r>
        <w:rPr/>
        <w:t>的选择。不同于传统小分子药物和抗体药物需要长期给药，细胞治疗通过体外改造，直接生产</w:t>
      </w:r>
      <w:r>
        <w:rPr>
          <w:rFonts w:ascii="Arial" w:hAnsi="Arial" w:eastAsia="Arial"/>
        </w:rPr>
        <w:t>“living-drug”</w:t>
      </w:r>
      <w:r>
        <w:rPr>
          <w:spacing w:val="-5"/>
        </w:rPr>
        <w:t>，单次静脉注射即可实现长期稳定的治疗效果，治疗优势显著。</w:t>
      </w:r>
      <w:r>
        <w:rPr>
          <w:rFonts w:ascii="Arial" w:hAnsi="Arial" w:eastAsia="Arial"/>
        </w:rPr>
        <w:t>CAR-T </w:t>
      </w:r>
      <w:r>
        <w:rPr/>
        <w:t>疗</w:t>
      </w:r>
      <w:r>
        <w:rPr>
          <w:spacing w:val="12"/>
        </w:rPr>
        <w:t>法是当前</w:t>
      </w:r>
      <w:r>
        <w:rPr>
          <w:rFonts w:ascii="Arial" w:hAnsi="Arial" w:eastAsia="Arial"/>
          <w:spacing w:val="-2"/>
        </w:rPr>
        <w:t>CGT </w:t>
      </w:r>
      <w:r>
        <w:rPr>
          <w:spacing w:val="-5"/>
        </w:rPr>
        <w:t>在恶性肿瘤领域的主要应用，目前已经在血液瘤的治疗中取得较大成效。</w:t>
      </w:r>
    </w:p>
    <w:p>
      <w:pPr>
        <w:pStyle w:val="BodyText"/>
        <w:spacing w:line="288" w:lineRule="auto" w:before="117"/>
        <w:ind w:right="2809"/>
        <w:jc w:val="both"/>
      </w:pPr>
      <w:r>
        <w:rPr>
          <w:rFonts w:ascii="Arial" w:eastAsia="Arial"/>
        </w:rPr>
        <w:t>2017 </w:t>
      </w:r>
      <w:r>
        <w:rPr/>
        <w:t>年，随着 </w:t>
      </w:r>
      <w:r>
        <w:rPr>
          <w:rFonts w:ascii="Arial" w:eastAsia="Arial"/>
        </w:rPr>
        <w:t>FDA </w:t>
      </w:r>
      <w:r>
        <w:rPr>
          <w:spacing w:val="-4"/>
        </w:rPr>
        <w:t>批准了首批两款靶向 </w:t>
      </w:r>
      <w:r>
        <w:rPr>
          <w:rFonts w:ascii="Arial" w:eastAsia="Arial"/>
        </w:rPr>
        <w:t>CD19 </w:t>
      </w:r>
      <w:r>
        <w:rPr>
          <w:spacing w:val="1"/>
        </w:rPr>
        <w:t>的 </w:t>
      </w:r>
      <w:r>
        <w:rPr>
          <w:rFonts w:ascii="Arial" w:eastAsia="Arial"/>
        </w:rPr>
        <w:t>CAR-T </w:t>
      </w:r>
      <w:r>
        <w:rPr>
          <w:spacing w:val="-2"/>
        </w:rPr>
        <w:t>疗法，</w:t>
      </w:r>
      <w:r>
        <w:rPr>
          <w:rFonts w:ascii="Arial" w:eastAsia="Arial"/>
        </w:rPr>
        <w:t>Kymriah </w:t>
      </w:r>
      <w:r>
        <w:rPr>
          <w:spacing w:val="1"/>
        </w:rPr>
        <w:t>和 </w:t>
      </w:r>
      <w:r>
        <w:rPr>
          <w:rFonts w:ascii="Arial" w:eastAsia="Arial"/>
        </w:rPr>
        <w:t>Yescarta</w:t>
      </w:r>
      <w:r>
        <w:rPr/>
        <w:t>，全</w:t>
      </w:r>
      <w:r>
        <w:rPr>
          <w:spacing w:val="9"/>
        </w:rPr>
        <w:t>球 </w:t>
      </w:r>
      <w:r>
        <w:rPr>
          <w:rFonts w:ascii="Arial" w:eastAsia="Arial"/>
        </w:rPr>
        <w:t>CAR-T </w:t>
      </w:r>
      <w:r>
        <w:rPr>
          <w:spacing w:val="-4"/>
        </w:rPr>
        <w:t>市场开始快速发展。截至目前，全球共有七款 </w:t>
      </w:r>
      <w:r>
        <w:rPr>
          <w:rFonts w:ascii="Arial" w:eastAsia="Arial"/>
        </w:rPr>
        <w:t>CAR-T </w:t>
      </w:r>
      <w:r>
        <w:rPr>
          <w:spacing w:val="-2"/>
        </w:rPr>
        <w:t>细胞治疗药物获批上市 ， </w:t>
      </w:r>
      <w:r>
        <w:rPr>
          <w:spacing w:val="10"/>
        </w:rPr>
        <w:t>其中 </w:t>
      </w:r>
      <w:r>
        <w:rPr>
          <w:rFonts w:ascii="Arial" w:eastAsia="Arial"/>
        </w:rPr>
        <w:t>FDA </w:t>
      </w:r>
      <w:r>
        <w:rPr>
          <w:spacing w:val="-3"/>
        </w:rPr>
        <w:t>批准六款，</w:t>
      </w:r>
      <w:r>
        <w:rPr>
          <w:rFonts w:ascii="Arial" w:eastAsia="Arial"/>
        </w:rPr>
        <w:t>NMPA </w:t>
      </w:r>
      <w:r>
        <w:rPr>
          <w:spacing w:val="-3"/>
        </w:rPr>
        <w:t>批准两款，国内上市的奕凯达与海外上市的 </w:t>
      </w:r>
      <w:r>
        <w:rPr>
          <w:rFonts w:ascii="Arial" w:eastAsia="Arial"/>
        </w:rPr>
        <w:t>Yescarta </w:t>
      </w:r>
      <w:r>
        <w:rPr>
          <w:spacing w:val="-2"/>
        </w:rPr>
        <w:t>为同一</w:t>
      </w:r>
      <w:r>
        <w:rPr>
          <w:spacing w:val="-5"/>
        </w:rPr>
        <w:t>款产品。根据弗若斯特沙利文的数据，</w:t>
      </w:r>
      <w:r>
        <w:rPr>
          <w:rFonts w:ascii="Arial" w:eastAsia="Arial"/>
        </w:rPr>
        <w:t>2016 </w:t>
      </w:r>
      <w:r>
        <w:rPr>
          <w:spacing w:val="2"/>
        </w:rPr>
        <w:t>年至 </w:t>
      </w:r>
      <w:r>
        <w:rPr>
          <w:rFonts w:ascii="Arial" w:eastAsia="Arial"/>
        </w:rPr>
        <w:t>2020 </w:t>
      </w:r>
      <w:r>
        <w:rPr>
          <w:spacing w:val="1"/>
        </w:rPr>
        <w:t>年，全球 </w:t>
      </w:r>
      <w:r>
        <w:rPr>
          <w:rFonts w:ascii="Arial" w:eastAsia="Arial"/>
          <w:spacing w:val="-4"/>
        </w:rPr>
        <w:t>CGT </w:t>
      </w:r>
      <w:r>
        <w:rPr/>
        <w:t>市场从 </w:t>
      </w:r>
      <w:r>
        <w:rPr>
          <w:rFonts w:ascii="Arial" w:eastAsia="Arial"/>
        </w:rPr>
        <w:t>0.5 </w:t>
      </w:r>
      <w:r>
        <w:rPr>
          <w:spacing w:val="-2"/>
        </w:rPr>
        <w:t>亿美元增</w:t>
      </w:r>
      <w:r>
        <w:rPr>
          <w:spacing w:val="3"/>
        </w:rPr>
        <w:t>长到 </w:t>
      </w:r>
      <w:r>
        <w:rPr>
          <w:rFonts w:ascii="Arial" w:eastAsia="Arial"/>
        </w:rPr>
        <w:t>21 </w:t>
      </w:r>
      <w:r>
        <w:rPr/>
        <w:t>亿美元，年复合增长率为 </w:t>
      </w:r>
      <w:r>
        <w:rPr>
          <w:rFonts w:ascii="Arial" w:eastAsia="Arial"/>
        </w:rPr>
        <w:t>153%</w:t>
      </w:r>
      <w:r>
        <w:rPr/>
        <w:t>；预计未来 </w:t>
      </w:r>
      <w:r>
        <w:rPr>
          <w:rFonts w:ascii="Arial" w:eastAsia="Arial"/>
        </w:rPr>
        <w:t>CGT </w:t>
      </w:r>
      <w:r>
        <w:rPr/>
        <w:t>市场规模仍保持快速增长，于</w:t>
      </w:r>
      <w:r>
        <w:rPr>
          <w:rFonts w:ascii="Arial" w:eastAsia="Arial"/>
        </w:rPr>
        <w:t>2025 </w:t>
      </w:r>
      <w:r>
        <w:rPr>
          <w:spacing w:val="-1"/>
        </w:rPr>
        <w:t>年达到 </w:t>
      </w:r>
      <w:r>
        <w:rPr>
          <w:rFonts w:ascii="Arial" w:eastAsia="Arial"/>
        </w:rPr>
        <w:t>305 </w:t>
      </w:r>
      <w:r>
        <w:rPr>
          <w:spacing w:val="-2"/>
        </w:rPr>
        <w:t>亿美元，年复合增长率保持 </w:t>
      </w:r>
      <w:r>
        <w:rPr>
          <w:rFonts w:ascii="Arial" w:eastAsia="Arial"/>
          <w:spacing w:val="-2"/>
        </w:rPr>
        <w:t>71%</w:t>
      </w:r>
      <w:r>
        <w:rPr/>
        <w:t>。</w:t>
      </w:r>
    </w:p>
    <w:p>
      <w:pPr>
        <w:pStyle w:val="Heading3"/>
        <w:spacing w:before="64" w:after="9"/>
      </w:pPr>
      <w:r>
        <w:rPr/>
        <w:t>图 </w:t>
      </w:r>
      <w:r>
        <w:rPr>
          <w:rFonts w:ascii="Arial" w:eastAsia="Arial"/>
        </w:rPr>
        <w:t>1: </w:t>
      </w:r>
      <w:r>
        <w:rPr/>
        <w:t>全球 </w:t>
      </w:r>
      <w:r>
        <w:rPr>
          <w:rFonts w:ascii="Arial" w:eastAsia="Arial"/>
        </w:rPr>
        <w:t>CGT (</w:t>
      </w:r>
      <w:r>
        <w:rPr/>
        <w:t>包含 </w:t>
      </w:r>
      <w:r>
        <w:rPr>
          <w:rFonts w:ascii="Arial" w:eastAsia="Arial"/>
        </w:rPr>
        <w:t>CAR-T) </w:t>
      </w:r>
      <w:r>
        <w:rPr/>
        <w:t>的市场规模</w:t>
      </w:r>
    </w:p>
    <w:p>
      <w:pPr>
        <w:pStyle w:val="BodyText"/>
        <w:ind w:left="181"/>
        <w:rPr>
          <w:rFonts w:ascii="Microsoft JhengHei UI"/>
        </w:rPr>
      </w:pPr>
      <w:r>
        <w:rPr>
          <w:rFonts w:ascii="Microsoft JhengHei UI"/>
        </w:rPr>
        <w:drawing>
          <wp:inline distT="0" distB="0" distL="0" distR="0">
            <wp:extent cx="5082893" cy="1866900"/>
            <wp:effectExtent l="0" t="0" r="0" b="0"/>
            <wp:docPr id="1" name="image3.png"/>
            <wp:cNvGraphicFramePr>
              <a:graphicFrameLocks noChangeAspect="1"/>
            </wp:cNvGraphicFramePr>
            <a:graphic>
              <a:graphicData uri="http://schemas.openxmlformats.org/drawingml/2006/picture">
                <pic:pic>
                  <pic:nvPicPr>
                    <pic:cNvPr id="2" name="image3.png"/>
                    <pic:cNvPicPr/>
                  </pic:nvPicPr>
                  <pic:blipFill>
                    <a:blip r:embed="rId10" cstate="print"/>
                    <a:stretch>
                      <a:fillRect/>
                    </a:stretch>
                  </pic:blipFill>
                  <pic:spPr>
                    <a:xfrm>
                      <a:off x="0" y="0"/>
                      <a:ext cx="5082893" cy="1866900"/>
                    </a:xfrm>
                    <a:prstGeom prst="rect">
                      <a:avLst/>
                    </a:prstGeom>
                  </pic:spPr>
                </pic:pic>
              </a:graphicData>
            </a:graphic>
          </wp:inline>
        </w:drawing>
      </w:r>
      <w:r>
        <w:rPr>
          <w:rFonts w:ascii="Microsoft JhengHei UI"/>
        </w:rPr>
      </w:r>
    </w:p>
    <w:p>
      <w:pPr>
        <w:spacing w:before="16"/>
        <w:ind w:left="210" w:right="0" w:firstLine="0"/>
        <w:jc w:val="both"/>
        <w:rPr>
          <w:sz w:val="16"/>
        </w:rPr>
      </w:pPr>
      <w:r>
        <w:rPr>
          <w:sz w:val="16"/>
        </w:rPr>
        <w:t>资料来源</w:t>
      </w:r>
      <w:r>
        <w:rPr>
          <w:rFonts w:ascii="Arial" w:eastAsia="Arial"/>
          <w:sz w:val="16"/>
        </w:rPr>
        <w:t>: </w:t>
      </w:r>
      <w:r>
        <w:rPr>
          <w:sz w:val="16"/>
        </w:rPr>
        <w:t>弗若斯特沙利文分析《中国细胞与基因治疗产业发展白皮书》，招银国际证券</w:t>
      </w:r>
    </w:p>
    <w:p>
      <w:pPr>
        <w:pStyle w:val="BodyText"/>
        <w:spacing w:before="2"/>
        <w:ind w:left="0"/>
        <w:rPr>
          <w:sz w:val="17"/>
        </w:rPr>
      </w:pPr>
    </w:p>
    <w:p>
      <w:pPr>
        <w:pStyle w:val="BodyText"/>
        <w:spacing w:line="288" w:lineRule="auto"/>
        <w:ind w:right="2811"/>
        <w:jc w:val="both"/>
      </w:pPr>
      <w:r>
        <w:rPr>
          <w:spacing w:val="-3"/>
        </w:rPr>
        <w:t>相比欧美发达国家，中国 </w:t>
      </w:r>
      <w:r>
        <w:rPr>
          <w:rFonts w:ascii="Arial" w:eastAsia="Arial"/>
        </w:rPr>
        <w:t>CGT </w:t>
      </w:r>
      <w:r>
        <w:rPr>
          <w:spacing w:val="-5"/>
        </w:rPr>
        <w:t>市场虽然起步较晚，但研发热度高涨。截至 </w:t>
      </w:r>
      <w:r>
        <w:rPr>
          <w:rFonts w:ascii="Arial" w:eastAsia="Arial"/>
        </w:rPr>
        <w:t>2022 </w:t>
      </w:r>
      <w:r>
        <w:rPr>
          <w:spacing w:val="3"/>
        </w:rPr>
        <w:t>年 </w:t>
      </w:r>
      <w:r>
        <w:rPr>
          <w:rFonts w:ascii="Arial" w:eastAsia="Arial"/>
        </w:rPr>
        <w:t>3 </w:t>
      </w:r>
      <w:r>
        <w:rPr>
          <w:spacing w:val="3"/>
        </w:rPr>
        <w:t>月 </w:t>
      </w:r>
      <w:r>
        <w:rPr>
          <w:rFonts w:ascii="Arial" w:eastAsia="Arial"/>
        </w:rPr>
        <w:t>10 </w:t>
      </w:r>
      <w:r>
        <w:rPr>
          <w:spacing w:val="10"/>
        </w:rPr>
        <w:t>日，在</w:t>
      </w:r>
      <w:r>
        <w:rPr>
          <w:rFonts w:ascii="Arial" w:eastAsia="Arial"/>
        </w:rPr>
        <w:t>clinicaltrials </w:t>
      </w:r>
      <w:r>
        <w:rPr>
          <w:spacing w:val="-3"/>
        </w:rPr>
        <w:t>注册的 </w:t>
      </w:r>
      <w:r>
        <w:rPr>
          <w:rFonts w:ascii="Arial" w:eastAsia="Arial"/>
        </w:rPr>
        <w:t>868 </w:t>
      </w:r>
      <w:r>
        <w:rPr>
          <w:spacing w:val="38"/>
        </w:rPr>
        <w:t>项</w:t>
      </w:r>
      <w:r>
        <w:rPr>
          <w:rFonts w:ascii="Arial" w:eastAsia="Arial"/>
        </w:rPr>
        <w:t>CAR-T </w:t>
      </w:r>
      <w:r>
        <w:rPr>
          <w:spacing w:val="-4"/>
        </w:rPr>
        <w:t>相关临床试验中，</w:t>
      </w:r>
      <w:r>
        <w:rPr>
          <w:rFonts w:ascii="Arial" w:eastAsia="Arial"/>
        </w:rPr>
        <w:t>460 </w:t>
      </w:r>
      <w:r>
        <w:rPr>
          <w:spacing w:val="-5"/>
        </w:rPr>
        <w:t>项于中国开展，相比之下， </w:t>
      </w:r>
      <w:r>
        <w:rPr>
          <w:spacing w:val="-1"/>
        </w:rPr>
        <w:t>美国仅有 </w:t>
      </w:r>
      <w:r>
        <w:rPr>
          <w:rFonts w:ascii="Arial" w:eastAsia="Arial"/>
        </w:rPr>
        <w:t>286 </w:t>
      </w:r>
      <w:r>
        <w:rPr>
          <w:spacing w:val="6"/>
        </w:rPr>
        <w:t>项 </w:t>
      </w:r>
      <w:r>
        <w:rPr>
          <w:rFonts w:ascii="Arial" w:eastAsia="Arial"/>
        </w:rPr>
        <w:t>CAR-T </w:t>
      </w:r>
      <w:r>
        <w:rPr>
          <w:spacing w:val="-5"/>
        </w:rPr>
        <w:t>相关临床。虽然国内大多数临床试验尚处于早期探索阶段，但进入</w:t>
      </w:r>
      <w:r>
        <w:rPr>
          <w:spacing w:val="-4"/>
        </w:rPr>
        <w:t>后期确证性临床的项目数量也呈现逐年增长趋势。未来随着国产 </w:t>
      </w:r>
      <w:r>
        <w:rPr>
          <w:rFonts w:ascii="Arial" w:eastAsia="Arial"/>
        </w:rPr>
        <w:t>CAR-T </w:t>
      </w:r>
      <w:r>
        <w:rPr>
          <w:spacing w:val="-4"/>
        </w:rPr>
        <w:t>项目逐渐推进至商</w:t>
      </w:r>
      <w:r>
        <w:rPr>
          <w:spacing w:val="-1"/>
        </w:rPr>
        <w:t>业化，预测未来五年中国以</w:t>
      </w:r>
      <w:r>
        <w:rPr>
          <w:rFonts w:ascii="Arial" w:eastAsia="Arial"/>
        </w:rPr>
        <w:t>CAR-T </w:t>
      </w:r>
      <w:r>
        <w:rPr>
          <w:spacing w:val="16"/>
        </w:rPr>
        <w:t>为主的</w:t>
      </w:r>
      <w:r>
        <w:rPr>
          <w:rFonts w:ascii="Arial" w:eastAsia="Arial"/>
          <w:spacing w:val="-2"/>
        </w:rPr>
        <w:t>CGT </w:t>
      </w:r>
      <w:r>
        <w:rPr>
          <w:spacing w:val="-4"/>
        </w:rPr>
        <w:t>市场将进入爆发期。</w:t>
      </w:r>
    </w:p>
    <w:p>
      <w:pPr>
        <w:pStyle w:val="Heading3"/>
        <w:spacing w:before="69" w:after="4"/>
      </w:pPr>
      <w:r>
        <w:rPr/>
        <w:t>图 </w:t>
      </w:r>
      <w:r>
        <w:rPr>
          <w:rFonts w:ascii="Arial" w:eastAsia="Arial"/>
        </w:rPr>
        <w:t>2: </w:t>
      </w:r>
      <w:r>
        <w:rPr/>
        <w:t>全球 </w:t>
      </w:r>
      <w:r>
        <w:rPr>
          <w:rFonts w:ascii="Arial" w:eastAsia="Arial"/>
        </w:rPr>
        <w:t>CAR-T </w:t>
      </w:r>
      <w:r>
        <w:rPr/>
        <w:t>临床试验数量地区分布</w:t>
      </w:r>
    </w:p>
    <w:p>
      <w:pPr>
        <w:pStyle w:val="BodyText"/>
        <w:ind w:left="181"/>
        <w:rPr>
          <w:rFonts w:ascii="Microsoft JhengHei UI"/>
        </w:rPr>
      </w:pPr>
      <w:r>
        <w:rPr>
          <w:rFonts w:ascii="Microsoft JhengHei UI"/>
        </w:rPr>
        <w:pict>
          <v:group style="width:400.05pt;height:162.050pt;mso-position-horizontal-relative:char;mso-position-vertical-relative:line" coordorigin="0,0" coordsize="8001,3241">
            <v:shape style="position:absolute;left:0;top:0;width:8001;height:3241" coordorigin="0,0" coordsize="8001,3241" path="m8000,3212l0,3212,0,3241,8000,3241,8000,3212xm8000,0l0,0,0,29,8000,29,8000,0xe" filled="true" fillcolor="#000000" stroked="false">
              <v:path arrowok="t"/>
              <v:fill type="solid"/>
            </v:shape>
            <v:shape style="position:absolute;left:983;top:25;width:6020;height:3183" type="#_x0000_t75" stroked="false">
              <v:imagedata r:id="rId11" o:title=""/>
            </v:shape>
          </v:group>
        </w:pict>
      </w:r>
      <w:r>
        <w:rPr>
          <w:rFonts w:ascii="Microsoft JhengHei UI"/>
        </w:rPr>
      </w:r>
    </w:p>
    <w:p>
      <w:pPr>
        <w:spacing w:line="202" w:lineRule="exact" w:before="0"/>
        <w:ind w:left="210" w:right="0" w:firstLine="0"/>
        <w:jc w:val="left"/>
        <w:rPr>
          <w:sz w:val="16"/>
        </w:rPr>
      </w:pPr>
      <w:r>
        <w:rPr>
          <w:sz w:val="16"/>
        </w:rPr>
        <w:t>资料来源</w:t>
      </w:r>
      <w:r>
        <w:rPr>
          <w:rFonts w:ascii="Arial" w:eastAsia="Arial"/>
          <w:sz w:val="16"/>
        </w:rPr>
        <w:t>: Barros LRC et al. Cancers (Basel) 2022</w:t>
      </w:r>
      <w:r>
        <w:rPr>
          <w:sz w:val="16"/>
        </w:rPr>
        <w:t>，招银国际证券</w:t>
      </w:r>
    </w:p>
    <w:p>
      <w:pPr>
        <w:spacing w:before="12"/>
        <w:ind w:left="210" w:right="0" w:firstLine="0"/>
        <w:jc w:val="left"/>
        <w:rPr>
          <w:sz w:val="16"/>
        </w:rPr>
      </w:pPr>
      <w:r>
        <w:rPr>
          <w:sz w:val="16"/>
        </w:rPr>
        <w:t>注：数据截至 </w:t>
      </w:r>
      <w:r>
        <w:rPr>
          <w:rFonts w:ascii="Arial" w:eastAsia="Arial"/>
          <w:sz w:val="16"/>
        </w:rPr>
        <w:t>2022 </w:t>
      </w:r>
      <w:r>
        <w:rPr>
          <w:sz w:val="16"/>
        </w:rPr>
        <w:t>年 </w:t>
      </w:r>
      <w:r>
        <w:rPr>
          <w:rFonts w:ascii="Arial" w:eastAsia="Arial"/>
          <w:sz w:val="16"/>
        </w:rPr>
        <w:t>3 </w:t>
      </w:r>
      <w:r>
        <w:rPr>
          <w:sz w:val="16"/>
        </w:rPr>
        <w:t>月 </w:t>
      </w:r>
      <w:r>
        <w:rPr>
          <w:rFonts w:ascii="Arial" w:eastAsia="Arial"/>
          <w:sz w:val="16"/>
        </w:rPr>
        <w:t>10 </w:t>
      </w:r>
      <w:r>
        <w:rPr>
          <w:sz w:val="16"/>
        </w:rPr>
        <w:t>日</w:t>
      </w:r>
    </w:p>
    <w:p>
      <w:pPr>
        <w:spacing w:after="0"/>
        <w:jc w:val="left"/>
        <w:rPr>
          <w:sz w:val="16"/>
        </w:rPr>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14"/>
        <w:jc w:val="both"/>
      </w:pPr>
      <w:r>
        <w:rPr>
          <w:rFonts w:ascii="Arial" w:eastAsia="Arial"/>
        </w:rPr>
        <w:t>2021 </w:t>
      </w:r>
      <w:r>
        <w:rPr/>
        <w:t>年，国内已经有两款 </w:t>
      </w:r>
      <w:r>
        <w:rPr>
          <w:rFonts w:ascii="Arial" w:eastAsia="Arial"/>
        </w:rPr>
        <w:t>CAR-T </w:t>
      </w:r>
      <w:r>
        <w:rPr/>
        <w:t>产品实现商业化，分别为复星凯特的奕凯达和药明巨诺的倍诺达。</w:t>
      </w:r>
      <w:r>
        <w:rPr>
          <w:rFonts w:ascii="Arial" w:eastAsia="Arial"/>
        </w:rPr>
        <w:t>2022 </w:t>
      </w:r>
      <w:r>
        <w:rPr/>
        <w:t>年初，南京传奇生物自主研发的 </w:t>
      </w:r>
      <w:r>
        <w:rPr>
          <w:rFonts w:ascii="Arial" w:eastAsia="Arial"/>
        </w:rPr>
        <w:t>BCMA CAR-T </w:t>
      </w:r>
      <w:r>
        <w:rPr/>
        <w:t>产品 </w:t>
      </w:r>
      <w:r>
        <w:rPr>
          <w:rFonts w:ascii="Arial" w:eastAsia="Arial"/>
        </w:rPr>
        <w:t>Carvykti </w:t>
      </w:r>
      <w:r>
        <w:rPr/>
        <w:t>成功出海， 成为全球同类最佳 </w:t>
      </w:r>
      <w:r>
        <w:rPr>
          <w:rFonts w:ascii="Arial" w:eastAsia="Arial"/>
        </w:rPr>
        <w:t>(Best-in-class) </w:t>
      </w:r>
      <w:r>
        <w:rPr/>
        <w:t>的 </w:t>
      </w:r>
      <w:r>
        <w:rPr>
          <w:rFonts w:ascii="Arial" w:eastAsia="Arial"/>
        </w:rPr>
        <w:t>BCMA CAR-T</w:t>
      </w:r>
      <w:r>
        <w:rPr/>
        <w:t>。</w:t>
      </w:r>
    </w:p>
    <w:p>
      <w:pPr>
        <w:pStyle w:val="BodyText"/>
        <w:spacing w:line="288" w:lineRule="auto" w:before="117"/>
        <w:ind w:right="2809"/>
        <w:jc w:val="both"/>
      </w:pPr>
      <w:r>
        <w:rPr>
          <w:spacing w:val="-1"/>
        </w:rPr>
        <w:t>除技术较为成熟的自体血液瘤 </w:t>
      </w:r>
      <w:r>
        <w:rPr>
          <w:rFonts w:ascii="Arial" w:eastAsia="Arial"/>
        </w:rPr>
        <w:t>CAR-T </w:t>
      </w:r>
      <w:r>
        <w:rPr>
          <w:spacing w:val="-6"/>
        </w:rPr>
        <w:t>产品外，国内一些企业也在持续布局实体瘤和通用型</w:t>
      </w:r>
      <w:r>
        <w:rPr>
          <w:rFonts w:ascii="Arial" w:eastAsia="Arial"/>
        </w:rPr>
        <w:t>CAR-T </w:t>
      </w:r>
      <w:r>
        <w:rPr>
          <w:spacing w:val="-4"/>
        </w:rPr>
        <w:t>技术，其中科济药业的靶向 </w:t>
      </w:r>
      <w:r>
        <w:rPr>
          <w:rFonts w:ascii="Arial" w:eastAsia="Arial"/>
        </w:rPr>
        <w:t>Claudin18.2 </w:t>
      </w:r>
      <w:r>
        <w:rPr>
          <w:spacing w:val="9"/>
        </w:rPr>
        <w:t>的 </w:t>
      </w:r>
      <w:r>
        <w:rPr>
          <w:rFonts w:ascii="Arial" w:eastAsia="Arial"/>
        </w:rPr>
        <w:t>CAR-T </w:t>
      </w:r>
      <w:r>
        <w:rPr>
          <w:spacing w:val="10"/>
        </w:rPr>
        <w:t>产品 </w:t>
      </w:r>
      <w:r>
        <w:rPr>
          <w:rFonts w:ascii="Arial" w:eastAsia="Arial"/>
        </w:rPr>
        <w:t>CT041 </w:t>
      </w:r>
      <w:r>
        <w:rPr/>
        <w:t>已经进入确证性 </w:t>
      </w:r>
      <w:r>
        <w:rPr>
          <w:rFonts w:ascii="Arial" w:eastAsia="Arial"/>
        </w:rPr>
        <w:t>II </w:t>
      </w:r>
      <w:r>
        <w:rPr>
          <w:spacing w:val="5"/>
        </w:rPr>
        <w:t>期临床，靶向 </w:t>
      </w:r>
      <w:r>
        <w:rPr>
          <w:rFonts w:ascii="Arial" w:eastAsia="Arial"/>
        </w:rPr>
        <w:t>GPC3 </w:t>
      </w:r>
      <w:r>
        <w:rPr>
          <w:spacing w:val="7"/>
        </w:rPr>
        <w:t>的产品 </w:t>
      </w:r>
      <w:r>
        <w:rPr>
          <w:rFonts w:ascii="Arial" w:eastAsia="Arial"/>
        </w:rPr>
        <w:t>CT011 </w:t>
      </w:r>
      <w:r>
        <w:rPr>
          <w:spacing w:val="8"/>
        </w:rPr>
        <w:t>已经进入 </w:t>
      </w:r>
      <w:r>
        <w:rPr>
          <w:rFonts w:ascii="Arial" w:eastAsia="Arial"/>
        </w:rPr>
        <w:t>I </w:t>
      </w:r>
      <w:r>
        <w:rPr/>
        <w:t>期临床；亘喜生物的通用型 </w:t>
      </w:r>
      <w:r>
        <w:rPr>
          <w:rFonts w:ascii="Arial" w:eastAsia="Arial"/>
        </w:rPr>
        <w:t>CAR-T </w:t>
      </w:r>
      <w:r>
        <w:rPr/>
        <w:t>平台</w:t>
      </w:r>
      <w:r>
        <w:rPr>
          <w:rFonts w:ascii="Arial" w:eastAsia="Arial"/>
        </w:rPr>
        <w:t>TruUCAR </w:t>
      </w:r>
      <w:r>
        <w:rPr>
          <w:spacing w:val="-2"/>
        </w:rPr>
        <w:t>上也已经诞生两款候选 </w:t>
      </w:r>
      <w:r>
        <w:rPr>
          <w:rFonts w:ascii="Arial" w:eastAsia="Arial"/>
        </w:rPr>
        <w:t>UCAR-T </w:t>
      </w:r>
      <w:r>
        <w:rPr>
          <w:spacing w:val="-1"/>
        </w:rPr>
        <w:t>产品，分别为靶向 </w:t>
      </w:r>
      <w:r>
        <w:rPr>
          <w:rFonts w:ascii="Arial" w:eastAsia="Arial"/>
        </w:rPr>
        <w:t>CD7 </w:t>
      </w:r>
      <w:r>
        <w:rPr>
          <w:spacing w:val="12"/>
        </w:rPr>
        <w:t>的 </w:t>
      </w:r>
      <w:r>
        <w:rPr>
          <w:rFonts w:ascii="Arial" w:eastAsia="Arial"/>
        </w:rPr>
        <w:t>GC027 </w:t>
      </w:r>
      <w:r>
        <w:rPr>
          <w:spacing w:val="-2"/>
        </w:rPr>
        <w:t>和同时靶向</w:t>
      </w:r>
      <w:r>
        <w:rPr>
          <w:rFonts w:ascii="Arial" w:eastAsia="Arial"/>
          <w:spacing w:val="-2"/>
        </w:rPr>
        <w:t>CD7/CD19 </w:t>
      </w:r>
      <w:r>
        <w:rPr>
          <w:spacing w:val="48"/>
        </w:rPr>
        <w:t>的</w:t>
      </w:r>
      <w:r>
        <w:rPr>
          <w:rFonts w:ascii="Arial" w:eastAsia="Arial"/>
        </w:rPr>
        <w:t>GC502</w:t>
      </w:r>
      <w:r>
        <w:rPr>
          <w:spacing w:val="4"/>
        </w:rPr>
        <w:t>，前者已经完成中国</w:t>
      </w:r>
      <w:r>
        <w:rPr>
          <w:rFonts w:ascii="Arial" w:eastAsia="Arial"/>
        </w:rPr>
        <w:t>IIT </w:t>
      </w:r>
      <w:r>
        <w:rPr>
          <w:spacing w:val="-2"/>
        </w:rPr>
        <w:t>研究。</w:t>
      </w:r>
    </w:p>
    <w:p>
      <w:pPr>
        <w:pStyle w:val="Heading3"/>
        <w:spacing w:after="5"/>
      </w:pPr>
      <w:r>
        <w:rPr/>
        <w:t>图 </w:t>
      </w:r>
      <w:r>
        <w:rPr>
          <w:rFonts w:ascii="Arial" w:eastAsia="Arial"/>
        </w:rPr>
        <w:t>3: </w:t>
      </w:r>
      <w:r>
        <w:rPr/>
        <w:t>国内企业部分 </w:t>
      </w:r>
      <w:r>
        <w:rPr>
          <w:rFonts w:ascii="Arial" w:eastAsia="Arial"/>
        </w:rPr>
        <w:t>CAR-T </w:t>
      </w:r>
      <w:r>
        <w:rPr/>
        <w:t>产品布局</w:t>
      </w:r>
    </w:p>
    <w:tbl>
      <w:tblPr>
        <w:tblW w:w="0" w:type="auto"/>
        <w:jc w:val="left"/>
        <w:tblInd w:w="2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38"/>
        <w:gridCol w:w="1484"/>
        <w:gridCol w:w="1383"/>
        <w:gridCol w:w="1594"/>
        <w:gridCol w:w="2343"/>
      </w:tblGrid>
      <w:tr>
        <w:trPr>
          <w:trHeight w:val="220" w:hRule="atLeast"/>
        </w:trPr>
        <w:tc>
          <w:tcPr>
            <w:tcW w:w="1138" w:type="dxa"/>
            <w:tcBorders>
              <w:left w:val="nil"/>
              <w:bottom w:val="nil"/>
              <w:right w:val="single" w:sz="4" w:space="0" w:color="000000"/>
            </w:tcBorders>
            <w:shd w:val="clear" w:color="auto" w:fill="C00000"/>
          </w:tcPr>
          <w:p>
            <w:pPr>
              <w:pStyle w:val="TableParagraph"/>
              <w:spacing w:line="200" w:lineRule="exact"/>
              <w:ind w:left="110"/>
              <w:rPr>
                <w:rFonts w:ascii="Microsoft JhengHei UI" w:eastAsia="Microsoft JhengHei UI" w:hint="eastAsia"/>
                <w:b/>
                <w:sz w:val="15"/>
              </w:rPr>
            </w:pPr>
            <w:r>
              <w:rPr>
                <w:rFonts w:ascii="Microsoft JhengHei UI" w:eastAsia="Microsoft JhengHei UI" w:hint="eastAsia"/>
                <w:b/>
                <w:color w:val="FFFFFF"/>
                <w:sz w:val="15"/>
              </w:rPr>
              <w:t>产品</w:t>
            </w:r>
          </w:p>
        </w:tc>
        <w:tc>
          <w:tcPr>
            <w:tcW w:w="4461" w:type="dxa"/>
            <w:gridSpan w:val="3"/>
            <w:tcBorders>
              <w:left w:val="single" w:sz="4" w:space="0" w:color="000000"/>
              <w:bottom w:val="nil"/>
              <w:right w:val="single" w:sz="4" w:space="0" w:color="000000"/>
            </w:tcBorders>
            <w:shd w:val="clear" w:color="auto" w:fill="C00000"/>
          </w:tcPr>
          <w:p>
            <w:pPr>
              <w:pStyle w:val="TableParagraph"/>
              <w:spacing w:line="200" w:lineRule="exact"/>
              <w:ind w:left="105"/>
              <w:rPr>
                <w:b/>
                <w:sz w:val="15"/>
              </w:rPr>
            </w:pPr>
            <w:r>
              <w:rPr>
                <w:rFonts w:ascii="Microsoft JhengHei UI" w:eastAsia="Microsoft JhengHei UI" w:hint="eastAsia"/>
                <w:b/>
                <w:color w:val="FFFFFF"/>
                <w:sz w:val="15"/>
              </w:rPr>
              <w:t>自体血液瘤 </w:t>
            </w:r>
            <w:r>
              <w:rPr>
                <w:b/>
                <w:color w:val="FFFFFF"/>
                <w:sz w:val="15"/>
              </w:rPr>
              <w:t>CAR-T</w:t>
            </w:r>
          </w:p>
        </w:tc>
        <w:tc>
          <w:tcPr>
            <w:tcW w:w="2343" w:type="dxa"/>
            <w:tcBorders>
              <w:left w:val="single" w:sz="4" w:space="0" w:color="000000"/>
              <w:bottom w:val="nil"/>
              <w:right w:val="nil"/>
            </w:tcBorders>
            <w:shd w:val="clear" w:color="auto" w:fill="C00000"/>
          </w:tcPr>
          <w:p>
            <w:pPr>
              <w:pStyle w:val="TableParagraph"/>
              <w:spacing w:line="200" w:lineRule="exact"/>
              <w:ind w:left="105"/>
              <w:rPr>
                <w:b/>
                <w:sz w:val="15"/>
              </w:rPr>
            </w:pPr>
            <w:r>
              <w:rPr>
                <w:rFonts w:ascii="Microsoft JhengHei UI" w:eastAsia="Microsoft JhengHei UI" w:hint="eastAsia"/>
                <w:b/>
                <w:color w:val="FFFFFF"/>
                <w:sz w:val="15"/>
              </w:rPr>
              <w:t>异体血液瘤 </w:t>
            </w:r>
            <w:r>
              <w:rPr>
                <w:b/>
                <w:color w:val="FFFFFF"/>
                <w:sz w:val="15"/>
              </w:rPr>
              <w:t>CAR-T</w:t>
            </w:r>
          </w:p>
        </w:tc>
      </w:tr>
      <w:tr>
        <w:trPr>
          <w:trHeight w:val="215" w:hRule="atLeast"/>
        </w:trPr>
        <w:tc>
          <w:tcPr>
            <w:tcW w:w="1138" w:type="dxa"/>
            <w:tcBorders>
              <w:top w:val="nil"/>
              <w:left w:val="nil"/>
              <w:bottom w:val="single" w:sz="4" w:space="0" w:color="000000"/>
              <w:right w:val="single" w:sz="4" w:space="0" w:color="000000"/>
            </w:tcBorders>
            <w:shd w:val="clear" w:color="auto" w:fill="F9D1AF"/>
          </w:tcPr>
          <w:p>
            <w:pPr>
              <w:pStyle w:val="TableParagraph"/>
              <w:spacing w:line="192" w:lineRule="exact" w:before="3"/>
              <w:ind w:left="110"/>
              <w:rPr>
                <w:rFonts w:ascii="PMingLiU" w:eastAsia="PMingLiU" w:hint="eastAsia"/>
                <w:sz w:val="15"/>
              </w:rPr>
            </w:pPr>
            <w:r>
              <w:rPr>
                <w:rFonts w:ascii="PMingLiU" w:eastAsia="PMingLiU" w:hint="eastAsia"/>
                <w:sz w:val="15"/>
              </w:rPr>
              <w:t>靶点</w:t>
            </w:r>
            <w:r>
              <w:rPr>
                <w:sz w:val="15"/>
              </w:rPr>
              <w:t>/</w:t>
            </w:r>
            <w:r>
              <w:rPr>
                <w:rFonts w:ascii="PMingLiU" w:eastAsia="PMingLiU" w:hint="eastAsia"/>
                <w:sz w:val="15"/>
              </w:rPr>
              <w:t>公司</w:t>
            </w:r>
          </w:p>
        </w:tc>
        <w:tc>
          <w:tcPr>
            <w:tcW w:w="1484" w:type="dxa"/>
            <w:tcBorders>
              <w:top w:val="nil"/>
              <w:left w:val="single" w:sz="4" w:space="0" w:color="000000"/>
              <w:bottom w:val="single" w:sz="4" w:space="0" w:color="000000"/>
              <w:right w:val="dotted" w:sz="4" w:space="0" w:color="000000"/>
            </w:tcBorders>
            <w:shd w:val="clear" w:color="auto" w:fill="F9D1AF"/>
          </w:tcPr>
          <w:p>
            <w:pPr>
              <w:pStyle w:val="TableParagraph"/>
              <w:spacing w:before="17"/>
              <w:ind w:left="105"/>
              <w:rPr>
                <w:sz w:val="15"/>
              </w:rPr>
            </w:pPr>
            <w:r>
              <w:rPr>
                <w:sz w:val="15"/>
              </w:rPr>
              <w:t>CD19</w:t>
            </w:r>
          </w:p>
        </w:tc>
        <w:tc>
          <w:tcPr>
            <w:tcW w:w="1383" w:type="dxa"/>
            <w:tcBorders>
              <w:top w:val="nil"/>
              <w:left w:val="dotted" w:sz="4" w:space="0" w:color="000000"/>
              <w:bottom w:val="single" w:sz="4" w:space="0" w:color="000000"/>
              <w:right w:val="dotted" w:sz="4" w:space="0" w:color="000000"/>
            </w:tcBorders>
            <w:shd w:val="clear" w:color="auto" w:fill="F9D1AF"/>
          </w:tcPr>
          <w:p>
            <w:pPr>
              <w:pStyle w:val="TableParagraph"/>
              <w:spacing w:before="17"/>
              <w:ind w:left="105"/>
              <w:rPr>
                <w:sz w:val="15"/>
              </w:rPr>
            </w:pPr>
            <w:r>
              <w:rPr>
                <w:sz w:val="15"/>
              </w:rPr>
              <w:t>BCMA</w:t>
            </w:r>
          </w:p>
        </w:tc>
        <w:tc>
          <w:tcPr>
            <w:tcW w:w="1594" w:type="dxa"/>
            <w:tcBorders>
              <w:top w:val="nil"/>
              <w:left w:val="dotted" w:sz="4" w:space="0" w:color="000000"/>
              <w:bottom w:val="single" w:sz="4" w:space="0" w:color="000000"/>
              <w:right w:val="single" w:sz="4" w:space="0" w:color="000000"/>
            </w:tcBorders>
            <w:shd w:val="clear" w:color="auto" w:fill="F9D1AF"/>
          </w:tcPr>
          <w:p>
            <w:pPr>
              <w:pStyle w:val="TableParagraph"/>
              <w:spacing w:line="192" w:lineRule="exact" w:before="3"/>
              <w:ind w:left="100"/>
              <w:rPr>
                <w:rFonts w:ascii="PMingLiU" w:eastAsia="PMingLiU" w:hint="eastAsia"/>
                <w:sz w:val="15"/>
              </w:rPr>
            </w:pPr>
            <w:r>
              <w:rPr>
                <w:rFonts w:ascii="PMingLiU" w:eastAsia="PMingLiU" w:hint="eastAsia"/>
                <w:sz w:val="15"/>
              </w:rPr>
              <w:t>其他</w:t>
            </w:r>
          </w:p>
        </w:tc>
        <w:tc>
          <w:tcPr>
            <w:tcW w:w="2343" w:type="dxa"/>
            <w:tcBorders>
              <w:top w:val="nil"/>
              <w:left w:val="single" w:sz="4" w:space="0" w:color="000000"/>
              <w:bottom w:val="single" w:sz="4" w:space="0" w:color="000000"/>
              <w:right w:val="nil"/>
            </w:tcBorders>
            <w:shd w:val="clear" w:color="auto" w:fill="F9D1AF"/>
          </w:tcPr>
          <w:p>
            <w:pPr>
              <w:pStyle w:val="TableParagraph"/>
              <w:spacing w:line="192" w:lineRule="exact" w:before="3"/>
              <w:ind w:left="105"/>
              <w:rPr>
                <w:sz w:val="15"/>
              </w:rPr>
            </w:pPr>
            <w:r>
              <w:rPr>
                <w:rFonts w:ascii="PMingLiU" w:eastAsia="PMingLiU" w:hint="eastAsia"/>
                <w:sz w:val="15"/>
              </w:rPr>
              <w:t>异体 </w:t>
            </w:r>
            <w:r>
              <w:rPr>
                <w:sz w:val="15"/>
              </w:rPr>
              <w:t>CAR-T</w:t>
            </w:r>
          </w:p>
        </w:tc>
      </w:tr>
      <w:tr>
        <w:trPr>
          <w:trHeight w:val="393" w:hRule="atLeast"/>
        </w:trPr>
        <w:tc>
          <w:tcPr>
            <w:tcW w:w="1138" w:type="dxa"/>
            <w:tcBorders>
              <w:top w:val="single" w:sz="4" w:space="0" w:color="000000"/>
              <w:left w:val="nil"/>
              <w:bottom w:val="dotted" w:sz="4" w:space="0" w:color="000000"/>
              <w:right w:val="single" w:sz="4" w:space="0" w:color="000000"/>
            </w:tcBorders>
          </w:tcPr>
          <w:p>
            <w:pPr>
              <w:pStyle w:val="TableParagraph"/>
              <w:spacing w:before="89"/>
              <w:ind w:left="110"/>
              <w:rPr>
                <w:rFonts w:ascii="PMingLiU" w:eastAsia="PMingLiU" w:hint="eastAsia"/>
                <w:sz w:val="15"/>
              </w:rPr>
            </w:pPr>
            <w:r>
              <w:rPr>
                <w:rFonts w:ascii="PMingLiU" w:eastAsia="PMingLiU" w:hint="eastAsia"/>
                <w:sz w:val="15"/>
              </w:rPr>
              <w:t>复星凯特</w:t>
            </w:r>
          </w:p>
        </w:tc>
        <w:tc>
          <w:tcPr>
            <w:tcW w:w="1484" w:type="dxa"/>
            <w:tcBorders>
              <w:top w:val="single" w:sz="4" w:space="0" w:color="000000"/>
              <w:left w:val="single" w:sz="4" w:space="0" w:color="000000"/>
              <w:bottom w:val="dotted" w:sz="4" w:space="0" w:color="000000"/>
              <w:right w:val="dotted" w:sz="4" w:space="0" w:color="000000"/>
            </w:tcBorders>
            <w:shd w:val="clear" w:color="auto" w:fill="FBE3D5"/>
          </w:tcPr>
          <w:p>
            <w:pPr>
              <w:pStyle w:val="TableParagraph"/>
              <w:spacing w:before="3"/>
              <w:ind w:left="105"/>
              <w:rPr>
                <w:rFonts w:ascii="PMingLiU" w:eastAsia="PMingLiU" w:hint="eastAsia"/>
                <w:sz w:val="15"/>
              </w:rPr>
            </w:pPr>
            <w:r>
              <w:rPr>
                <w:rFonts w:ascii="PMingLiU" w:eastAsia="PMingLiU" w:hint="eastAsia"/>
                <w:sz w:val="15"/>
              </w:rPr>
              <w:t>阿基仑赛</w:t>
            </w:r>
            <w:r>
              <w:rPr>
                <w:sz w:val="15"/>
              </w:rPr>
              <w:t>, </w:t>
            </w:r>
            <w:r>
              <w:rPr>
                <w:rFonts w:ascii="PMingLiU" w:eastAsia="PMingLiU" w:hint="eastAsia"/>
                <w:sz w:val="15"/>
              </w:rPr>
              <w:t>已上市</w:t>
            </w:r>
          </w:p>
          <w:p>
            <w:pPr>
              <w:pStyle w:val="TableParagraph"/>
              <w:spacing w:line="159" w:lineRule="exact" w:before="2"/>
              <w:ind w:left="105"/>
              <w:rPr>
                <w:sz w:val="15"/>
              </w:rPr>
            </w:pPr>
            <w:r>
              <w:rPr>
                <w:sz w:val="15"/>
              </w:rPr>
              <w:t>FKC889, Ph II</w:t>
            </w:r>
          </w:p>
        </w:tc>
        <w:tc>
          <w:tcPr>
            <w:tcW w:w="1383" w:type="dxa"/>
            <w:tcBorders>
              <w:top w:val="single" w:sz="4" w:space="0" w:color="000000"/>
              <w:left w:val="dotted" w:sz="4" w:space="0" w:color="000000"/>
              <w:bottom w:val="dotted" w:sz="4" w:space="0" w:color="000000"/>
              <w:right w:val="dotted" w:sz="4" w:space="0" w:color="000000"/>
            </w:tcBorders>
          </w:tcPr>
          <w:p>
            <w:pPr>
              <w:pStyle w:val="TableParagraph"/>
              <w:rPr>
                <w:rFonts w:ascii="Times New Roman"/>
                <w:sz w:val="16"/>
              </w:rPr>
            </w:pPr>
          </w:p>
        </w:tc>
        <w:tc>
          <w:tcPr>
            <w:tcW w:w="1594" w:type="dxa"/>
            <w:tcBorders>
              <w:top w:val="single" w:sz="4" w:space="0" w:color="000000"/>
              <w:left w:val="dotted" w:sz="4" w:space="0" w:color="000000"/>
              <w:bottom w:val="dotted" w:sz="4" w:space="0" w:color="000000"/>
              <w:right w:val="single" w:sz="4" w:space="0" w:color="000000"/>
            </w:tcBorders>
          </w:tcPr>
          <w:p>
            <w:pPr>
              <w:pStyle w:val="TableParagraph"/>
              <w:rPr>
                <w:rFonts w:ascii="Times New Roman"/>
                <w:sz w:val="16"/>
              </w:rPr>
            </w:pPr>
          </w:p>
        </w:tc>
        <w:tc>
          <w:tcPr>
            <w:tcW w:w="2343" w:type="dxa"/>
            <w:tcBorders>
              <w:top w:val="single" w:sz="4" w:space="0" w:color="000000"/>
              <w:left w:val="single" w:sz="4" w:space="0" w:color="000000"/>
              <w:bottom w:val="dotted" w:sz="4" w:space="0" w:color="000000"/>
              <w:right w:val="nil"/>
            </w:tcBorders>
          </w:tcPr>
          <w:p>
            <w:pPr>
              <w:pStyle w:val="TableParagraph"/>
              <w:rPr>
                <w:rFonts w:ascii="Times New Roman"/>
                <w:sz w:val="16"/>
              </w:rPr>
            </w:pPr>
          </w:p>
        </w:tc>
      </w:tr>
      <w:tr>
        <w:trPr>
          <w:trHeight w:val="652" w:hRule="atLeast"/>
        </w:trPr>
        <w:tc>
          <w:tcPr>
            <w:tcW w:w="1138" w:type="dxa"/>
            <w:tcBorders>
              <w:top w:val="dotted" w:sz="4" w:space="0" w:color="000000"/>
              <w:left w:val="nil"/>
              <w:bottom w:val="dotted" w:sz="4" w:space="0" w:color="000000"/>
              <w:right w:val="single" w:sz="4" w:space="0" w:color="000000"/>
            </w:tcBorders>
          </w:tcPr>
          <w:p>
            <w:pPr>
              <w:pStyle w:val="TableParagraph"/>
              <w:spacing w:before="5"/>
              <w:rPr>
                <w:rFonts w:ascii="Microsoft JhengHei UI"/>
                <w:b/>
                <w:sz w:val="12"/>
              </w:rPr>
            </w:pPr>
          </w:p>
          <w:p>
            <w:pPr>
              <w:pStyle w:val="TableParagraph"/>
              <w:spacing w:before="1"/>
              <w:ind w:left="110"/>
              <w:rPr>
                <w:rFonts w:ascii="PMingLiU" w:eastAsia="PMingLiU" w:hint="eastAsia"/>
                <w:sz w:val="15"/>
              </w:rPr>
            </w:pPr>
            <w:r>
              <w:rPr>
                <w:rFonts w:ascii="PMingLiU" w:eastAsia="PMingLiU" w:hint="eastAsia"/>
                <w:sz w:val="15"/>
              </w:rPr>
              <w:t>药明巨诺</w:t>
            </w:r>
          </w:p>
        </w:tc>
        <w:tc>
          <w:tcPr>
            <w:tcW w:w="1484" w:type="dxa"/>
            <w:tcBorders>
              <w:top w:val="dotted" w:sz="4" w:space="0" w:color="000000"/>
              <w:left w:val="single" w:sz="4" w:space="0" w:color="000000"/>
              <w:bottom w:val="dotted" w:sz="4" w:space="0" w:color="000000"/>
              <w:right w:val="dotted" w:sz="4" w:space="0" w:color="000000"/>
            </w:tcBorders>
            <w:shd w:val="clear" w:color="auto" w:fill="FBE3D5"/>
          </w:tcPr>
          <w:p>
            <w:pPr>
              <w:pStyle w:val="TableParagraph"/>
              <w:spacing w:line="247" w:lineRule="auto" w:before="3"/>
              <w:ind w:left="105" w:right="196"/>
              <w:rPr>
                <w:rFonts w:ascii="PMingLiU" w:eastAsia="PMingLiU" w:hint="eastAsia"/>
                <w:sz w:val="15"/>
              </w:rPr>
            </w:pPr>
            <w:r>
              <w:rPr>
                <w:rFonts w:ascii="PMingLiU" w:eastAsia="PMingLiU" w:hint="eastAsia"/>
                <w:sz w:val="15"/>
              </w:rPr>
              <w:t>瑞基奥仑赛</w:t>
            </w:r>
            <w:r>
              <w:rPr>
                <w:sz w:val="15"/>
              </w:rPr>
              <w:t>, </w:t>
            </w:r>
            <w:r>
              <w:rPr>
                <w:rFonts w:ascii="PMingLiU" w:eastAsia="PMingLiU" w:hint="eastAsia"/>
                <w:sz w:val="15"/>
              </w:rPr>
              <w:t>已上市</w:t>
            </w:r>
          </w:p>
          <w:p>
            <w:pPr>
              <w:pStyle w:val="TableParagraph"/>
              <w:spacing w:line="192" w:lineRule="exact" w:before="5"/>
              <w:ind w:left="105"/>
              <w:rPr>
                <w:rFonts w:ascii="PMingLiU" w:eastAsia="PMingLiU" w:hint="eastAsia"/>
                <w:sz w:val="15"/>
              </w:rPr>
            </w:pPr>
            <w:r>
              <w:rPr>
                <w:sz w:val="15"/>
              </w:rPr>
              <w:t>Nex-G, </w:t>
            </w:r>
            <w:r>
              <w:rPr>
                <w:rFonts w:ascii="PMingLiU" w:eastAsia="PMingLiU" w:hint="eastAsia"/>
                <w:sz w:val="15"/>
              </w:rPr>
              <w:t>临床前</w:t>
            </w:r>
          </w:p>
        </w:tc>
        <w:tc>
          <w:tcPr>
            <w:tcW w:w="1383" w:type="dxa"/>
            <w:tcBorders>
              <w:top w:val="dotted" w:sz="4" w:space="0" w:color="000000"/>
              <w:left w:val="dotted" w:sz="4" w:space="0" w:color="000000"/>
              <w:bottom w:val="dotted" w:sz="4" w:space="0" w:color="000000"/>
              <w:right w:val="dotted" w:sz="4" w:space="0" w:color="000000"/>
            </w:tcBorders>
            <w:shd w:val="clear" w:color="auto" w:fill="FBE3D5"/>
          </w:tcPr>
          <w:p>
            <w:pPr>
              <w:pStyle w:val="TableParagraph"/>
              <w:spacing w:before="2"/>
              <w:rPr>
                <w:rFonts w:ascii="Microsoft JhengHei UI"/>
                <w:b/>
                <w:sz w:val="13"/>
              </w:rPr>
            </w:pPr>
          </w:p>
          <w:p>
            <w:pPr>
              <w:pStyle w:val="TableParagraph"/>
              <w:ind w:left="105"/>
              <w:rPr>
                <w:sz w:val="15"/>
              </w:rPr>
            </w:pPr>
            <w:r>
              <w:rPr>
                <w:sz w:val="15"/>
              </w:rPr>
              <w:t>JWCAR129, Ph I</w:t>
            </w:r>
          </w:p>
        </w:tc>
        <w:tc>
          <w:tcPr>
            <w:tcW w:w="1594" w:type="dxa"/>
            <w:tcBorders>
              <w:top w:val="dotted" w:sz="4" w:space="0" w:color="000000"/>
              <w:left w:val="dotted" w:sz="4" w:space="0" w:color="000000"/>
              <w:bottom w:val="dotted" w:sz="4" w:space="0" w:color="000000"/>
              <w:right w:val="single" w:sz="4" w:space="0" w:color="000000"/>
            </w:tcBorders>
          </w:tcPr>
          <w:p>
            <w:pPr>
              <w:pStyle w:val="TableParagraph"/>
              <w:rPr>
                <w:rFonts w:ascii="Times New Roman"/>
                <w:sz w:val="16"/>
              </w:rPr>
            </w:pPr>
          </w:p>
        </w:tc>
        <w:tc>
          <w:tcPr>
            <w:tcW w:w="2343" w:type="dxa"/>
            <w:tcBorders>
              <w:top w:val="dotted" w:sz="4" w:space="0" w:color="000000"/>
              <w:left w:val="single" w:sz="4" w:space="0" w:color="000000"/>
              <w:bottom w:val="dotted" w:sz="4" w:space="0" w:color="000000"/>
              <w:right w:val="nil"/>
            </w:tcBorders>
          </w:tcPr>
          <w:p>
            <w:pPr>
              <w:pStyle w:val="TableParagraph"/>
              <w:rPr>
                <w:rFonts w:ascii="Times New Roman"/>
                <w:sz w:val="16"/>
              </w:rPr>
            </w:pPr>
          </w:p>
        </w:tc>
      </w:tr>
      <w:tr>
        <w:trPr>
          <w:trHeight w:val="585" w:hRule="atLeast"/>
        </w:trPr>
        <w:tc>
          <w:tcPr>
            <w:tcW w:w="1138" w:type="dxa"/>
            <w:tcBorders>
              <w:top w:val="dotted" w:sz="4" w:space="0" w:color="000000"/>
              <w:left w:val="nil"/>
              <w:bottom w:val="dotted" w:sz="4" w:space="0" w:color="000000"/>
              <w:right w:val="single" w:sz="4" w:space="0" w:color="000000"/>
            </w:tcBorders>
          </w:tcPr>
          <w:p>
            <w:pPr>
              <w:pStyle w:val="TableParagraph"/>
              <w:spacing w:before="12"/>
              <w:rPr>
                <w:rFonts w:ascii="Microsoft JhengHei UI"/>
                <w:b/>
                <w:sz w:val="10"/>
              </w:rPr>
            </w:pPr>
          </w:p>
          <w:p>
            <w:pPr>
              <w:pStyle w:val="TableParagraph"/>
              <w:ind w:left="110"/>
              <w:rPr>
                <w:rFonts w:ascii="PMingLiU" w:eastAsia="PMingLiU" w:hint="eastAsia"/>
                <w:sz w:val="15"/>
              </w:rPr>
            </w:pPr>
            <w:r>
              <w:rPr>
                <w:rFonts w:ascii="PMingLiU" w:eastAsia="PMingLiU" w:hint="eastAsia"/>
                <w:sz w:val="15"/>
              </w:rPr>
              <w:t>传奇生物</w:t>
            </w:r>
          </w:p>
        </w:tc>
        <w:tc>
          <w:tcPr>
            <w:tcW w:w="1484" w:type="dxa"/>
            <w:tcBorders>
              <w:top w:val="dotted" w:sz="4" w:space="0" w:color="000000"/>
              <w:left w:val="single" w:sz="4" w:space="0" w:color="000000"/>
              <w:bottom w:val="dotted" w:sz="4" w:space="0" w:color="000000"/>
              <w:right w:val="dotted" w:sz="4" w:space="0" w:color="000000"/>
            </w:tcBorders>
          </w:tcPr>
          <w:p>
            <w:pPr>
              <w:pStyle w:val="TableParagraph"/>
              <w:rPr>
                <w:rFonts w:ascii="Times New Roman"/>
                <w:sz w:val="16"/>
              </w:rPr>
            </w:pPr>
          </w:p>
        </w:tc>
        <w:tc>
          <w:tcPr>
            <w:tcW w:w="1383" w:type="dxa"/>
            <w:tcBorders>
              <w:top w:val="dotted" w:sz="4" w:space="0" w:color="000000"/>
              <w:left w:val="dotted" w:sz="4" w:space="0" w:color="000000"/>
              <w:bottom w:val="dotted" w:sz="4" w:space="0" w:color="000000"/>
              <w:right w:val="dotted" w:sz="4" w:space="0" w:color="000000"/>
            </w:tcBorders>
            <w:shd w:val="clear" w:color="auto" w:fill="FBE3D5"/>
          </w:tcPr>
          <w:p>
            <w:pPr>
              <w:pStyle w:val="TableParagraph"/>
              <w:spacing w:before="12"/>
              <w:rPr>
                <w:rFonts w:ascii="Microsoft JhengHei UI"/>
                <w:b/>
                <w:sz w:val="10"/>
              </w:rPr>
            </w:pPr>
          </w:p>
          <w:p>
            <w:pPr>
              <w:pStyle w:val="TableParagraph"/>
              <w:ind w:left="105"/>
              <w:rPr>
                <w:rFonts w:ascii="PMingLiU" w:eastAsia="PMingLiU" w:hint="eastAsia"/>
                <w:sz w:val="15"/>
              </w:rPr>
            </w:pPr>
            <w:r>
              <w:rPr>
                <w:sz w:val="15"/>
              </w:rPr>
              <w:t>Cilta-cel,</w:t>
            </w:r>
            <w:r>
              <w:rPr>
                <w:rFonts w:ascii="PMingLiU" w:eastAsia="PMingLiU" w:hint="eastAsia"/>
                <w:sz w:val="15"/>
              </w:rPr>
              <w:t>已上市</w:t>
            </w:r>
          </w:p>
        </w:tc>
        <w:tc>
          <w:tcPr>
            <w:tcW w:w="1594" w:type="dxa"/>
            <w:tcBorders>
              <w:top w:val="dotted" w:sz="4" w:space="0" w:color="000000"/>
              <w:left w:val="dotted" w:sz="4" w:space="0" w:color="000000"/>
              <w:bottom w:val="dotted" w:sz="4" w:space="0" w:color="000000"/>
              <w:right w:val="single" w:sz="4" w:space="0" w:color="000000"/>
            </w:tcBorders>
            <w:shd w:val="clear" w:color="auto" w:fill="FBE3D5"/>
          </w:tcPr>
          <w:p>
            <w:pPr>
              <w:pStyle w:val="TableParagraph"/>
              <w:spacing w:before="128"/>
              <w:ind w:left="100"/>
              <w:rPr>
                <w:sz w:val="15"/>
              </w:rPr>
            </w:pPr>
            <w:r>
              <w:rPr>
                <w:sz w:val="15"/>
              </w:rPr>
              <w:t>LCAR-AIO, IIT</w:t>
            </w:r>
          </w:p>
          <w:p>
            <w:pPr>
              <w:pStyle w:val="TableParagraph"/>
              <w:spacing w:before="4"/>
              <w:ind w:left="100"/>
              <w:rPr>
                <w:sz w:val="13"/>
              </w:rPr>
            </w:pPr>
            <w:r>
              <w:rPr>
                <w:sz w:val="13"/>
              </w:rPr>
              <w:t>(CD19×CD20×CD22)</w:t>
            </w:r>
          </w:p>
        </w:tc>
        <w:tc>
          <w:tcPr>
            <w:tcW w:w="2343" w:type="dxa"/>
            <w:tcBorders>
              <w:top w:val="dotted" w:sz="4" w:space="0" w:color="000000"/>
              <w:left w:val="single" w:sz="4" w:space="0" w:color="000000"/>
              <w:bottom w:val="dotted" w:sz="4" w:space="0" w:color="000000"/>
              <w:right w:val="nil"/>
            </w:tcBorders>
            <w:shd w:val="clear" w:color="auto" w:fill="FBE3D5"/>
          </w:tcPr>
          <w:p>
            <w:pPr>
              <w:pStyle w:val="TableParagraph"/>
              <w:spacing w:line="208" w:lineRule="exact" w:before="104"/>
              <w:ind w:left="105"/>
              <w:rPr>
                <w:rFonts w:ascii="PMingLiU" w:eastAsia="PMingLiU" w:hint="eastAsia"/>
                <w:sz w:val="15"/>
              </w:rPr>
            </w:pPr>
            <w:r>
              <w:rPr>
                <w:rFonts w:ascii="PMingLiU" w:eastAsia="PMingLiU" w:hint="eastAsia"/>
                <w:sz w:val="15"/>
              </w:rPr>
              <w:t>同种异体 </w:t>
            </w:r>
            <w:r>
              <w:rPr>
                <w:sz w:val="15"/>
              </w:rPr>
              <w:t>BCMA CAR-T, </w:t>
            </w:r>
            <w:r>
              <w:rPr>
                <w:rFonts w:ascii="PMingLiU" w:eastAsia="PMingLiU" w:hint="eastAsia"/>
                <w:sz w:val="15"/>
              </w:rPr>
              <w:t>临床前</w:t>
            </w:r>
          </w:p>
          <w:p>
            <w:pPr>
              <w:pStyle w:val="TableParagraph"/>
              <w:spacing w:line="171" w:lineRule="exact"/>
              <w:ind w:left="105"/>
              <w:rPr>
                <w:sz w:val="15"/>
              </w:rPr>
            </w:pPr>
            <w:r>
              <w:rPr>
                <w:sz w:val="15"/>
              </w:rPr>
              <w:t>(BCMA)</w:t>
            </w:r>
          </w:p>
        </w:tc>
      </w:tr>
      <w:tr>
        <w:trPr>
          <w:trHeight w:val="585" w:hRule="atLeast"/>
        </w:trPr>
        <w:tc>
          <w:tcPr>
            <w:tcW w:w="1138" w:type="dxa"/>
            <w:tcBorders>
              <w:top w:val="dotted" w:sz="4" w:space="0" w:color="000000"/>
              <w:left w:val="nil"/>
              <w:bottom w:val="dotted" w:sz="4" w:space="0" w:color="000000"/>
              <w:right w:val="single" w:sz="4" w:space="0" w:color="000000"/>
            </w:tcBorders>
          </w:tcPr>
          <w:p>
            <w:pPr>
              <w:pStyle w:val="TableParagraph"/>
              <w:spacing w:before="8"/>
              <w:rPr>
                <w:rFonts w:ascii="Microsoft JhengHei UI"/>
                <w:b/>
                <w:sz w:val="10"/>
              </w:rPr>
            </w:pPr>
          </w:p>
          <w:p>
            <w:pPr>
              <w:pStyle w:val="TableParagraph"/>
              <w:ind w:left="110"/>
              <w:rPr>
                <w:rFonts w:ascii="PMingLiU" w:eastAsia="PMingLiU" w:hint="eastAsia"/>
                <w:sz w:val="15"/>
              </w:rPr>
            </w:pPr>
            <w:r>
              <w:rPr>
                <w:rFonts w:ascii="PMingLiU" w:eastAsia="PMingLiU" w:hint="eastAsia"/>
                <w:sz w:val="15"/>
              </w:rPr>
              <w:t>科济药业</w:t>
            </w:r>
          </w:p>
        </w:tc>
        <w:tc>
          <w:tcPr>
            <w:tcW w:w="1484" w:type="dxa"/>
            <w:tcBorders>
              <w:top w:val="dotted" w:sz="4" w:space="0" w:color="000000"/>
              <w:left w:val="single" w:sz="4" w:space="0" w:color="000000"/>
              <w:bottom w:val="dotted" w:sz="4" w:space="0" w:color="000000"/>
              <w:right w:val="dotted" w:sz="4" w:space="0" w:color="000000"/>
            </w:tcBorders>
            <w:shd w:val="clear" w:color="auto" w:fill="FBE3D5"/>
          </w:tcPr>
          <w:p>
            <w:pPr>
              <w:pStyle w:val="TableParagraph"/>
              <w:spacing w:before="4"/>
              <w:rPr>
                <w:rFonts w:ascii="Microsoft JhengHei UI"/>
                <w:b/>
                <w:sz w:val="11"/>
              </w:rPr>
            </w:pPr>
          </w:p>
          <w:p>
            <w:pPr>
              <w:pStyle w:val="TableParagraph"/>
              <w:ind w:left="105"/>
              <w:rPr>
                <w:sz w:val="15"/>
              </w:rPr>
            </w:pPr>
            <w:r>
              <w:rPr>
                <w:sz w:val="15"/>
              </w:rPr>
              <w:t>CT032, Ph I</w:t>
            </w:r>
          </w:p>
        </w:tc>
        <w:tc>
          <w:tcPr>
            <w:tcW w:w="1383" w:type="dxa"/>
            <w:tcBorders>
              <w:top w:val="dotted" w:sz="4" w:space="0" w:color="000000"/>
              <w:left w:val="dotted" w:sz="4" w:space="0" w:color="000000"/>
              <w:bottom w:val="dotted" w:sz="4" w:space="0" w:color="000000"/>
              <w:right w:val="dotted" w:sz="4" w:space="0" w:color="000000"/>
            </w:tcBorders>
            <w:shd w:val="clear" w:color="auto" w:fill="FBE3D5"/>
          </w:tcPr>
          <w:p>
            <w:pPr>
              <w:pStyle w:val="TableParagraph"/>
              <w:spacing w:before="4"/>
              <w:rPr>
                <w:rFonts w:ascii="Microsoft JhengHei UI"/>
                <w:b/>
                <w:sz w:val="11"/>
              </w:rPr>
            </w:pPr>
          </w:p>
          <w:p>
            <w:pPr>
              <w:pStyle w:val="TableParagraph"/>
              <w:ind w:left="105"/>
              <w:rPr>
                <w:sz w:val="15"/>
              </w:rPr>
            </w:pPr>
            <w:r>
              <w:rPr>
                <w:sz w:val="15"/>
              </w:rPr>
              <w:t>CT053, Ph II</w:t>
            </w:r>
          </w:p>
        </w:tc>
        <w:tc>
          <w:tcPr>
            <w:tcW w:w="1594" w:type="dxa"/>
            <w:tcBorders>
              <w:top w:val="dotted" w:sz="4" w:space="0" w:color="000000"/>
              <w:left w:val="dotted" w:sz="4" w:space="0" w:color="000000"/>
              <w:bottom w:val="dotted" w:sz="4" w:space="0" w:color="000000"/>
              <w:right w:val="single" w:sz="4" w:space="0" w:color="000000"/>
            </w:tcBorders>
          </w:tcPr>
          <w:p>
            <w:pPr>
              <w:pStyle w:val="TableParagraph"/>
              <w:rPr>
                <w:rFonts w:ascii="Times New Roman"/>
                <w:sz w:val="16"/>
              </w:rPr>
            </w:pPr>
          </w:p>
        </w:tc>
        <w:tc>
          <w:tcPr>
            <w:tcW w:w="2343" w:type="dxa"/>
            <w:tcBorders>
              <w:top w:val="dotted" w:sz="4" w:space="0" w:color="000000"/>
              <w:left w:val="single" w:sz="4" w:space="0" w:color="000000"/>
              <w:bottom w:val="dotted" w:sz="4" w:space="0" w:color="000000"/>
              <w:right w:val="nil"/>
            </w:tcBorders>
            <w:shd w:val="clear" w:color="auto" w:fill="FBE3D5"/>
          </w:tcPr>
          <w:p>
            <w:pPr>
              <w:pStyle w:val="TableParagraph"/>
              <w:spacing w:before="4"/>
              <w:rPr>
                <w:rFonts w:ascii="Microsoft JhengHei UI"/>
                <w:b/>
                <w:sz w:val="11"/>
              </w:rPr>
            </w:pPr>
          </w:p>
          <w:p>
            <w:pPr>
              <w:pStyle w:val="TableParagraph"/>
              <w:ind w:left="105"/>
              <w:rPr>
                <w:sz w:val="15"/>
              </w:rPr>
            </w:pPr>
            <w:r>
              <w:rPr>
                <w:sz w:val="15"/>
              </w:rPr>
              <w:t>CT0590, IIT (BCMA)</w:t>
            </w:r>
          </w:p>
        </w:tc>
      </w:tr>
      <w:tr>
        <w:trPr>
          <w:trHeight w:val="561" w:hRule="atLeast"/>
        </w:trPr>
        <w:tc>
          <w:tcPr>
            <w:tcW w:w="1138" w:type="dxa"/>
            <w:tcBorders>
              <w:top w:val="dotted" w:sz="4" w:space="0" w:color="000000"/>
              <w:left w:val="nil"/>
              <w:bottom w:val="dotted" w:sz="4" w:space="0" w:color="000000"/>
              <w:right w:val="single" w:sz="4" w:space="0" w:color="000000"/>
            </w:tcBorders>
          </w:tcPr>
          <w:p>
            <w:pPr>
              <w:pStyle w:val="TableParagraph"/>
              <w:spacing w:before="16"/>
              <w:rPr>
                <w:rFonts w:ascii="Microsoft JhengHei UI"/>
                <w:b/>
                <w:sz w:val="9"/>
              </w:rPr>
            </w:pPr>
          </w:p>
          <w:p>
            <w:pPr>
              <w:pStyle w:val="TableParagraph"/>
              <w:ind w:left="110"/>
              <w:rPr>
                <w:rFonts w:ascii="PMingLiU" w:eastAsia="PMingLiU" w:hint="eastAsia"/>
                <w:sz w:val="15"/>
              </w:rPr>
            </w:pPr>
            <w:r>
              <w:rPr>
                <w:rFonts w:ascii="PMingLiU" w:eastAsia="PMingLiU" w:hint="eastAsia"/>
                <w:sz w:val="15"/>
              </w:rPr>
              <w:t>亘喜生物</w:t>
            </w:r>
          </w:p>
        </w:tc>
        <w:tc>
          <w:tcPr>
            <w:tcW w:w="1484" w:type="dxa"/>
            <w:tcBorders>
              <w:top w:val="dotted" w:sz="4" w:space="0" w:color="000000"/>
              <w:left w:val="single" w:sz="4" w:space="0" w:color="000000"/>
              <w:bottom w:val="dotted" w:sz="4" w:space="0" w:color="000000"/>
              <w:right w:val="dotted" w:sz="4" w:space="0" w:color="000000"/>
            </w:tcBorders>
            <w:shd w:val="clear" w:color="auto" w:fill="FBE3D5"/>
          </w:tcPr>
          <w:p>
            <w:pPr>
              <w:pStyle w:val="TableParagraph"/>
              <w:spacing w:before="12"/>
              <w:rPr>
                <w:rFonts w:ascii="Microsoft JhengHei UI"/>
                <w:b/>
                <w:sz w:val="10"/>
              </w:rPr>
            </w:pPr>
          </w:p>
          <w:p>
            <w:pPr>
              <w:pStyle w:val="TableParagraph"/>
              <w:ind w:left="105"/>
              <w:rPr>
                <w:sz w:val="15"/>
              </w:rPr>
            </w:pPr>
            <w:r>
              <w:rPr>
                <w:sz w:val="15"/>
              </w:rPr>
              <w:t>GC019F, Ph I</w:t>
            </w:r>
          </w:p>
        </w:tc>
        <w:tc>
          <w:tcPr>
            <w:tcW w:w="1383"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6"/>
              </w:rPr>
            </w:pPr>
          </w:p>
        </w:tc>
        <w:tc>
          <w:tcPr>
            <w:tcW w:w="1594" w:type="dxa"/>
            <w:tcBorders>
              <w:top w:val="dotted" w:sz="4" w:space="0" w:color="000000"/>
              <w:left w:val="dotted" w:sz="4" w:space="0" w:color="000000"/>
              <w:bottom w:val="dotted" w:sz="4" w:space="0" w:color="000000"/>
              <w:right w:val="single" w:sz="4" w:space="0" w:color="000000"/>
            </w:tcBorders>
            <w:shd w:val="clear" w:color="auto" w:fill="FBE3D5"/>
          </w:tcPr>
          <w:p>
            <w:pPr>
              <w:pStyle w:val="TableParagraph"/>
              <w:spacing w:before="104"/>
              <w:ind w:left="100"/>
              <w:rPr>
                <w:sz w:val="15"/>
              </w:rPr>
            </w:pPr>
            <w:r>
              <w:rPr>
                <w:sz w:val="15"/>
              </w:rPr>
              <w:t>GC012F, IIT </w:t>
            </w:r>
            <w:r>
              <w:rPr>
                <w:w w:val="95"/>
                <w:sz w:val="15"/>
              </w:rPr>
              <w:t>(BCMA×CD19)</w:t>
            </w:r>
          </w:p>
        </w:tc>
        <w:tc>
          <w:tcPr>
            <w:tcW w:w="2343" w:type="dxa"/>
            <w:tcBorders>
              <w:top w:val="dotted" w:sz="4" w:space="0" w:color="000000"/>
              <w:left w:val="single" w:sz="4" w:space="0" w:color="000000"/>
              <w:bottom w:val="dotted" w:sz="4" w:space="0" w:color="000000"/>
              <w:right w:val="nil"/>
            </w:tcBorders>
            <w:shd w:val="clear" w:color="auto" w:fill="FBE3D5"/>
          </w:tcPr>
          <w:p>
            <w:pPr>
              <w:pStyle w:val="TableParagraph"/>
              <w:spacing w:before="3"/>
              <w:ind w:left="105"/>
              <w:rPr>
                <w:sz w:val="15"/>
              </w:rPr>
            </w:pPr>
            <w:r>
              <w:rPr>
                <w:sz w:val="15"/>
              </w:rPr>
              <w:t>GC007g, Ph I (CD19, </w:t>
            </w:r>
            <w:r>
              <w:rPr>
                <w:rFonts w:ascii="PMingLiU" w:eastAsia="PMingLiU" w:hint="eastAsia"/>
                <w:sz w:val="15"/>
              </w:rPr>
              <w:t>供者来源</w:t>
            </w:r>
            <w:r>
              <w:rPr>
                <w:sz w:val="15"/>
              </w:rPr>
              <w:t>) GC027, IIT (CD7)</w:t>
            </w:r>
          </w:p>
          <w:p>
            <w:pPr>
              <w:pStyle w:val="TableParagraph"/>
              <w:spacing w:line="156" w:lineRule="exact"/>
              <w:ind w:left="105"/>
              <w:rPr>
                <w:sz w:val="15"/>
              </w:rPr>
            </w:pPr>
            <w:r>
              <w:rPr>
                <w:sz w:val="15"/>
              </w:rPr>
              <w:t>GC502, IIT (CD7×CD19)</w:t>
            </w:r>
          </w:p>
        </w:tc>
      </w:tr>
      <w:tr>
        <w:trPr>
          <w:trHeight w:val="518" w:hRule="atLeast"/>
        </w:trPr>
        <w:tc>
          <w:tcPr>
            <w:tcW w:w="1138" w:type="dxa"/>
            <w:tcBorders>
              <w:top w:val="dotted" w:sz="4" w:space="0" w:color="000000"/>
              <w:left w:val="nil"/>
              <w:bottom w:val="dotted" w:sz="4" w:space="0" w:color="000000"/>
              <w:right w:val="single" w:sz="4" w:space="0" w:color="000000"/>
            </w:tcBorders>
          </w:tcPr>
          <w:p>
            <w:pPr>
              <w:pStyle w:val="TableParagraph"/>
              <w:spacing w:before="157"/>
              <w:ind w:left="110"/>
              <w:rPr>
                <w:rFonts w:ascii="PMingLiU" w:eastAsia="PMingLiU" w:hint="eastAsia"/>
                <w:sz w:val="15"/>
              </w:rPr>
            </w:pPr>
            <w:r>
              <w:rPr>
                <w:rFonts w:ascii="PMingLiU" w:eastAsia="PMingLiU" w:hint="eastAsia"/>
                <w:sz w:val="15"/>
              </w:rPr>
              <w:t>驯鹿医疗</w:t>
            </w:r>
          </w:p>
        </w:tc>
        <w:tc>
          <w:tcPr>
            <w:tcW w:w="1484" w:type="dxa"/>
            <w:tcBorders>
              <w:top w:val="dotted" w:sz="4" w:space="0" w:color="000000"/>
              <w:left w:val="single" w:sz="4" w:space="0" w:color="000000"/>
              <w:bottom w:val="dotted" w:sz="4" w:space="0" w:color="000000"/>
              <w:right w:val="dotted" w:sz="4" w:space="0" w:color="000000"/>
            </w:tcBorders>
          </w:tcPr>
          <w:p>
            <w:pPr>
              <w:pStyle w:val="TableParagraph"/>
              <w:rPr>
                <w:rFonts w:ascii="Times New Roman"/>
                <w:sz w:val="16"/>
              </w:rPr>
            </w:pPr>
          </w:p>
        </w:tc>
        <w:tc>
          <w:tcPr>
            <w:tcW w:w="1383" w:type="dxa"/>
            <w:tcBorders>
              <w:top w:val="dotted" w:sz="4" w:space="0" w:color="000000"/>
              <w:left w:val="dotted" w:sz="4" w:space="0" w:color="000000"/>
              <w:bottom w:val="dotted" w:sz="4" w:space="0" w:color="000000"/>
              <w:right w:val="dotted" w:sz="4" w:space="0" w:color="000000"/>
            </w:tcBorders>
            <w:shd w:val="clear" w:color="auto" w:fill="FBE3D5"/>
          </w:tcPr>
          <w:p>
            <w:pPr>
              <w:pStyle w:val="TableParagraph"/>
              <w:spacing w:before="60"/>
              <w:ind w:left="105"/>
              <w:rPr>
                <w:sz w:val="15"/>
              </w:rPr>
            </w:pPr>
            <w:r>
              <w:rPr>
                <w:sz w:val="15"/>
              </w:rPr>
              <w:t>CT103A, Ph II</w:t>
            </w:r>
          </w:p>
          <w:p>
            <w:pPr>
              <w:pStyle w:val="TableParagraph"/>
              <w:spacing w:before="11"/>
              <w:ind w:left="105"/>
              <w:rPr>
                <w:sz w:val="15"/>
              </w:rPr>
            </w:pPr>
            <w:r>
              <w:rPr>
                <w:sz w:val="15"/>
              </w:rPr>
              <w:t>(</w:t>
            </w:r>
            <w:r>
              <w:rPr>
                <w:rFonts w:ascii="PMingLiU" w:eastAsia="PMingLiU" w:hint="eastAsia"/>
                <w:sz w:val="15"/>
              </w:rPr>
              <w:t>与信达合作</w:t>
            </w:r>
            <w:r>
              <w:rPr>
                <w:sz w:val="15"/>
              </w:rPr>
              <w:t>)</w:t>
            </w:r>
          </w:p>
        </w:tc>
        <w:tc>
          <w:tcPr>
            <w:tcW w:w="1594" w:type="dxa"/>
            <w:tcBorders>
              <w:top w:val="dotted" w:sz="4" w:space="0" w:color="000000"/>
              <w:left w:val="dotted" w:sz="4" w:space="0" w:color="000000"/>
              <w:bottom w:val="dotted" w:sz="4" w:space="0" w:color="000000"/>
              <w:right w:val="single" w:sz="4" w:space="0" w:color="000000"/>
            </w:tcBorders>
            <w:shd w:val="clear" w:color="auto" w:fill="FBE3D5"/>
          </w:tcPr>
          <w:p>
            <w:pPr>
              <w:pStyle w:val="TableParagraph"/>
              <w:ind w:left="100"/>
              <w:rPr>
                <w:sz w:val="15"/>
              </w:rPr>
            </w:pPr>
            <w:r>
              <w:rPr>
                <w:sz w:val="15"/>
              </w:rPr>
              <w:t>CT120, Ph I/II </w:t>
            </w:r>
            <w:r>
              <w:rPr>
                <w:w w:val="95"/>
                <w:sz w:val="15"/>
              </w:rPr>
              <w:t>(CD19×CD22)</w:t>
            </w:r>
          </w:p>
          <w:p>
            <w:pPr>
              <w:pStyle w:val="TableParagraph"/>
              <w:spacing w:line="159" w:lineRule="exact"/>
              <w:ind w:left="100"/>
              <w:rPr>
                <w:sz w:val="15"/>
              </w:rPr>
            </w:pPr>
            <w:r>
              <w:rPr>
                <w:sz w:val="15"/>
              </w:rPr>
              <w:t>CT125, IIT (CD5)</w:t>
            </w:r>
          </w:p>
        </w:tc>
        <w:tc>
          <w:tcPr>
            <w:tcW w:w="2343" w:type="dxa"/>
            <w:tcBorders>
              <w:top w:val="dotted" w:sz="4" w:space="0" w:color="000000"/>
              <w:left w:val="single" w:sz="4" w:space="0" w:color="000000"/>
              <w:bottom w:val="dotted" w:sz="4" w:space="0" w:color="000000"/>
              <w:right w:val="nil"/>
            </w:tcBorders>
          </w:tcPr>
          <w:p>
            <w:pPr>
              <w:pStyle w:val="TableParagraph"/>
              <w:rPr>
                <w:rFonts w:ascii="Times New Roman"/>
                <w:sz w:val="16"/>
              </w:rPr>
            </w:pPr>
          </w:p>
        </w:tc>
      </w:tr>
      <w:tr>
        <w:trPr>
          <w:trHeight w:val="220" w:hRule="atLeast"/>
        </w:trPr>
        <w:tc>
          <w:tcPr>
            <w:tcW w:w="1138" w:type="dxa"/>
            <w:tcBorders>
              <w:top w:val="dotted" w:sz="4" w:space="0" w:color="000000"/>
              <w:left w:val="nil"/>
              <w:bottom w:val="dotted" w:sz="4" w:space="0" w:color="000000"/>
              <w:right w:val="single" w:sz="4" w:space="0" w:color="000000"/>
            </w:tcBorders>
          </w:tcPr>
          <w:p>
            <w:pPr>
              <w:pStyle w:val="TableParagraph"/>
              <w:spacing w:line="197" w:lineRule="exact" w:before="3"/>
              <w:ind w:left="110"/>
              <w:rPr>
                <w:rFonts w:ascii="PMingLiU" w:eastAsia="PMingLiU" w:hint="eastAsia"/>
                <w:sz w:val="15"/>
              </w:rPr>
            </w:pPr>
            <w:r>
              <w:rPr>
                <w:rFonts w:ascii="PMingLiU" w:eastAsia="PMingLiU" w:hint="eastAsia"/>
                <w:sz w:val="15"/>
              </w:rPr>
              <w:t>博生吉安科</w:t>
            </w:r>
          </w:p>
        </w:tc>
        <w:tc>
          <w:tcPr>
            <w:tcW w:w="1484" w:type="dxa"/>
            <w:tcBorders>
              <w:top w:val="dotted" w:sz="4" w:space="0" w:color="000000"/>
              <w:left w:val="single" w:sz="4" w:space="0" w:color="000000"/>
              <w:bottom w:val="dotted" w:sz="4" w:space="0" w:color="000000"/>
              <w:right w:val="dotted" w:sz="4" w:space="0" w:color="000000"/>
            </w:tcBorders>
          </w:tcPr>
          <w:p>
            <w:pPr>
              <w:pStyle w:val="TableParagraph"/>
              <w:rPr>
                <w:rFonts w:ascii="Times New Roman"/>
                <w:sz w:val="14"/>
              </w:rPr>
            </w:pPr>
          </w:p>
        </w:tc>
        <w:tc>
          <w:tcPr>
            <w:tcW w:w="1383"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1594" w:type="dxa"/>
            <w:tcBorders>
              <w:top w:val="dotted" w:sz="4" w:space="0" w:color="000000"/>
              <w:left w:val="dotted" w:sz="4" w:space="0" w:color="000000"/>
              <w:bottom w:val="dotted" w:sz="4" w:space="0" w:color="000000"/>
              <w:right w:val="single" w:sz="4" w:space="0" w:color="000000"/>
            </w:tcBorders>
            <w:shd w:val="clear" w:color="auto" w:fill="FBE3D5"/>
          </w:tcPr>
          <w:p>
            <w:pPr>
              <w:pStyle w:val="TableParagraph"/>
              <w:spacing w:before="18"/>
              <w:ind w:left="100"/>
              <w:rPr>
                <w:sz w:val="15"/>
              </w:rPr>
            </w:pPr>
            <w:r>
              <w:rPr>
                <w:sz w:val="15"/>
              </w:rPr>
              <w:t>PA3-17, Ph I (CD7)</w:t>
            </w:r>
          </w:p>
        </w:tc>
        <w:tc>
          <w:tcPr>
            <w:tcW w:w="2343" w:type="dxa"/>
            <w:tcBorders>
              <w:top w:val="dotted" w:sz="4" w:space="0" w:color="000000"/>
              <w:left w:val="single" w:sz="4" w:space="0" w:color="000000"/>
              <w:bottom w:val="dotted" w:sz="4" w:space="0" w:color="000000"/>
              <w:right w:val="nil"/>
            </w:tcBorders>
          </w:tcPr>
          <w:p>
            <w:pPr>
              <w:pStyle w:val="TableParagraph"/>
              <w:rPr>
                <w:rFonts w:ascii="Times New Roman"/>
                <w:sz w:val="14"/>
              </w:rPr>
            </w:pPr>
          </w:p>
        </w:tc>
      </w:tr>
      <w:tr>
        <w:trPr>
          <w:trHeight w:val="345" w:hRule="atLeast"/>
        </w:trPr>
        <w:tc>
          <w:tcPr>
            <w:tcW w:w="1138" w:type="dxa"/>
            <w:tcBorders>
              <w:top w:val="dotted" w:sz="4" w:space="0" w:color="000000"/>
              <w:left w:val="nil"/>
              <w:bottom w:val="dotted" w:sz="4" w:space="0" w:color="000000"/>
              <w:right w:val="single" w:sz="4" w:space="0" w:color="000000"/>
            </w:tcBorders>
          </w:tcPr>
          <w:p>
            <w:pPr>
              <w:pStyle w:val="TableParagraph"/>
              <w:spacing w:before="66"/>
              <w:ind w:left="110"/>
              <w:rPr>
                <w:rFonts w:ascii="PMingLiU" w:eastAsia="PMingLiU" w:hint="eastAsia"/>
                <w:sz w:val="15"/>
              </w:rPr>
            </w:pPr>
            <w:r>
              <w:rPr>
                <w:rFonts w:ascii="PMingLiU" w:eastAsia="PMingLiU" w:hint="eastAsia"/>
                <w:sz w:val="15"/>
              </w:rPr>
              <w:t>原启生物</w:t>
            </w:r>
          </w:p>
        </w:tc>
        <w:tc>
          <w:tcPr>
            <w:tcW w:w="1484" w:type="dxa"/>
            <w:tcBorders>
              <w:top w:val="dotted" w:sz="4" w:space="0" w:color="000000"/>
              <w:left w:val="single" w:sz="4" w:space="0" w:color="000000"/>
              <w:bottom w:val="dotted" w:sz="4" w:space="0" w:color="000000"/>
              <w:right w:val="dotted" w:sz="4" w:space="0" w:color="000000"/>
            </w:tcBorders>
          </w:tcPr>
          <w:p>
            <w:pPr>
              <w:pStyle w:val="TableParagraph"/>
              <w:rPr>
                <w:rFonts w:ascii="Times New Roman"/>
                <w:sz w:val="16"/>
              </w:rPr>
            </w:pPr>
          </w:p>
        </w:tc>
        <w:tc>
          <w:tcPr>
            <w:tcW w:w="1383"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6"/>
              </w:rPr>
            </w:pPr>
          </w:p>
        </w:tc>
        <w:tc>
          <w:tcPr>
            <w:tcW w:w="1594" w:type="dxa"/>
            <w:tcBorders>
              <w:top w:val="dotted" w:sz="4" w:space="0" w:color="000000"/>
              <w:left w:val="dotted" w:sz="4" w:space="0" w:color="000000"/>
              <w:bottom w:val="dotted" w:sz="4" w:space="0" w:color="000000"/>
              <w:right w:val="single" w:sz="4" w:space="0" w:color="000000"/>
            </w:tcBorders>
            <w:shd w:val="clear" w:color="auto" w:fill="FBE3D5"/>
          </w:tcPr>
          <w:p>
            <w:pPr>
              <w:pStyle w:val="TableParagraph"/>
              <w:spacing w:line="166" w:lineRule="exact"/>
              <w:ind w:left="100"/>
              <w:rPr>
                <w:sz w:val="15"/>
              </w:rPr>
            </w:pPr>
            <w:r>
              <w:rPr>
                <w:sz w:val="15"/>
              </w:rPr>
              <w:t>OriCAR-017, IIT</w:t>
            </w:r>
          </w:p>
          <w:p>
            <w:pPr>
              <w:pStyle w:val="TableParagraph"/>
              <w:spacing w:line="159" w:lineRule="exact"/>
              <w:ind w:left="100"/>
              <w:rPr>
                <w:sz w:val="15"/>
              </w:rPr>
            </w:pPr>
            <w:r>
              <w:rPr>
                <w:sz w:val="15"/>
              </w:rPr>
              <w:t>(GPRC5D)</w:t>
            </w:r>
          </w:p>
        </w:tc>
        <w:tc>
          <w:tcPr>
            <w:tcW w:w="2343" w:type="dxa"/>
            <w:tcBorders>
              <w:top w:val="dotted" w:sz="4" w:space="0" w:color="000000"/>
              <w:left w:val="single" w:sz="4" w:space="0" w:color="000000"/>
              <w:bottom w:val="dotted" w:sz="4" w:space="0" w:color="000000"/>
              <w:right w:val="nil"/>
            </w:tcBorders>
          </w:tcPr>
          <w:p>
            <w:pPr>
              <w:pStyle w:val="TableParagraph"/>
              <w:rPr>
                <w:rFonts w:ascii="Times New Roman"/>
                <w:sz w:val="16"/>
              </w:rPr>
            </w:pPr>
          </w:p>
        </w:tc>
      </w:tr>
      <w:tr>
        <w:trPr>
          <w:trHeight w:val="345" w:hRule="atLeast"/>
        </w:trPr>
        <w:tc>
          <w:tcPr>
            <w:tcW w:w="1138" w:type="dxa"/>
            <w:tcBorders>
              <w:top w:val="dotted" w:sz="4" w:space="0" w:color="000000"/>
              <w:left w:val="nil"/>
              <w:bottom w:val="single" w:sz="4" w:space="0" w:color="000000"/>
              <w:right w:val="single" w:sz="4" w:space="0" w:color="000000"/>
            </w:tcBorders>
          </w:tcPr>
          <w:p>
            <w:pPr>
              <w:pStyle w:val="TableParagraph"/>
              <w:spacing w:before="66"/>
              <w:ind w:left="110"/>
              <w:rPr>
                <w:rFonts w:ascii="PMingLiU" w:eastAsia="PMingLiU" w:hint="eastAsia"/>
                <w:sz w:val="15"/>
              </w:rPr>
            </w:pPr>
            <w:r>
              <w:rPr>
                <w:rFonts w:ascii="PMingLiU" w:eastAsia="PMingLiU" w:hint="eastAsia"/>
                <w:sz w:val="15"/>
              </w:rPr>
              <w:t>北桓生物</w:t>
            </w:r>
          </w:p>
        </w:tc>
        <w:tc>
          <w:tcPr>
            <w:tcW w:w="1484" w:type="dxa"/>
            <w:tcBorders>
              <w:top w:val="dotted" w:sz="4" w:space="0" w:color="000000"/>
              <w:left w:val="single" w:sz="4" w:space="0" w:color="000000"/>
              <w:bottom w:val="single" w:sz="4" w:space="0" w:color="000000"/>
              <w:right w:val="dotted" w:sz="4" w:space="0" w:color="000000"/>
            </w:tcBorders>
          </w:tcPr>
          <w:p>
            <w:pPr>
              <w:pStyle w:val="TableParagraph"/>
              <w:rPr>
                <w:rFonts w:ascii="Times New Roman"/>
                <w:sz w:val="16"/>
              </w:rPr>
            </w:pPr>
          </w:p>
        </w:tc>
        <w:tc>
          <w:tcPr>
            <w:tcW w:w="1383" w:type="dxa"/>
            <w:tcBorders>
              <w:top w:val="dotted" w:sz="4" w:space="0" w:color="000000"/>
              <w:left w:val="dotted" w:sz="4" w:space="0" w:color="000000"/>
              <w:bottom w:val="single" w:sz="4" w:space="0" w:color="000000"/>
              <w:right w:val="dotted" w:sz="4" w:space="0" w:color="000000"/>
            </w:tcBorders>
          </w:tcPr>
          <w:p>
            <w:pPr>
              <w:pStyle w:val="TableParagraph"/>
              <w:rPr>
                <w:rFonts w:ascii="Times New Roman"/>
                <w:sz w:val="16"/>
              </w:rPr>
            </w:pPr>
          </w:p>
        </w:tc>
        <w:tc>
          <w:tcPr>
            <w:tcW w:w="1594" w:type="dxa"/>
            <w:tcBorders>
              <w:top w:val="dotted" w:sz="4" w:space="0" w:color="000000"/>
              <w:left w:val="dotted" w:sz="4" w:space="0" w:color="000000"/>
              <w:bottom w:val="single" w:sz="4" w:space="0" w:color="000000"/>
              <w:right w:val="single" w:sz="4" w:space="0" w:color="000000"/>
            </w:tcBorders>
          </w:tcPr>
          <w:p>
            <w:pPr>
              <w:pStyle w:val="TableParagraph"/>
              <w:rPr>
                <w:rFonts w:ascii="Times New Roman"/>
                <w:sz w:val="16"/>
              </w:rPr>
            </w:pPr>
          </w:p>
        </w:tc>
        <w:tc>
          <w:tcPr>
            <w:tcW w:w="2343" w:type="dxa"/>
            <w:tcBorders>
              <w:top w:val="dotted" w:sz="4" w:space="0" w:color="000000"/>
              <w:left w:val="single" w:sz="4" w:space="0" w:color="000000"/>
              <w:bottom w:val="single" w:sz="4" w:space="0" w:color="000000"/>
              <w:right w:val="nil"/>
            </w:tcBorders>
            <w:shd w:val="clear" w:color="auto" w:fill="FBE3D5"/>
          </w:tcPr>
          <w:p>
            <w:pPr>
              <w:pStyle w:val="TableParagraph"/>
              <w:spacing w:line="166" w:lineRule="exact"/>
              <w:ind w:left="105"/>
              <w:rPr>
                <w:sz w:val="15"/>
              </w:rPr>
            </w:pPr>
            <w:r>
              <w:rPr>
                <w:sz w:val="15"/>
              </w:rPr>
              <w:t>CTA101, IND (CD19×CD22)</w:t>
            </w:r>
          </w:p>
          <w:p>
            <w:pPr>
              <w:pStyle w:val="TableParagraph"/>
              <w:spacing w:line="159" w:lineRule="exact"/>
              <w:ind w:left="105"/>
              <w:rPr>
                <w:sz w:val="15"/>
              </w:rPr>
            </w:pPr>
            <w:r>
              <w:rPr>
                <w:sz w:val="15"/>
              </w:rPr>
              <w:t>CTD401, IIT (CD7)</w:t>
            </w:r>
          </w:p>
        </w:tc>
      </w:tr>
      <w:tr>
        <w:trPr>
          <w:trHeight w:val="215" w:hRule="atLeast"/>
        </w:trPr>
        <w:tc>
          <w:tcPr>
            <w:tcW w:w="1138" w:type="dxa"/>
            <w:tcBorders>
              <w:top w:val="single" w:sz="4" w:space="0" w:color="000000"/>
              <w:left w:val="nil"/>
              <w:bottom w:val="nil"/>
              <w:right w:val="single" w:sz="4" w:space="0" w:color="000000"/>
            </w:tcBorders>
            <w:shd w:val="clear" w:color="auto" w:fill="C00000"/>
          </w:tcPr>
          <w:p>
            <w:pPr>
              <w:pStyle w:val="TableParagraph"/>
              <w:spacing w:line="196" w:lineRule="exact"/>
              <w:ind w:left="110"/>
              <w:rPr>
                <w:rFonts w:ascii="Microsoft JhengHei UI" w:eastAsia="Microsoft JhengHei UI" w:hint="eastAsia"/>
                <w:b/>
                <w:sz w:val="15"/>
              </w:rPr>
            </w:pPr>
            <w:r>
              <w:rPr>
                <w:rFonts w:ascii="Microsoft JhengHei UI" w:eastAsia="Microsoft JhengHei UI" w:hint="eastAsia"/>
                <w:b/>
                <w:color w:val="FFFFFF"/>
                <w:sz w:val="15"/>
              </w:rPr>
              <w:t>产品</w:t>
            </w:r>
          </w:p>
        </w:tc>
        <w:tc>
          <w:tcPr>
            <w:tcW w:w="6804" w:type="dxa"/>
            <w:gridSpan w:val="4"/>
            <w:tcBorders>
              <w:top w:val="single" w:sz="4" w:space="0" w:color="000000"/>
              <w:left w:val="single" w:sz="4" w:space="0" w:color="000000"/>
              <w:bottom w:val="nil"/>
              <w:right w:val="dotted" w:sz="4" w:space="0" w:color="000000"/>
            </w:tcBorders>
            <w:shd w:val="clear" w:color="auto" w:fill="C00000"/>
          </w:tcPr>
          <w:p>
            <w:pPr>
              <w:pStyle w:val="TableParagraph"/>
              <w:spacing w:line="196" w:lineRule="exact"/>
              <w:ind w:left="105"/>
              <w:rPr>
                <w:b/>
                <w:sz w:val="15"/>
              </w:rPr>
            </w:pPr>
            <w:r>
              <w:rPr>
                <w:rFonts w:ascii="Microsoft JhengHei UI" w:eastAsia="Microsoft JhengHei UI" w:hint="eastAsia"/>
                <w:b/>
                <w:color w:val="FFFFFF"/>
                <w:sz w:val="15"/>
              </w:rPr>
              <w:t>自体实体瘤 </w:t>
            </w:r>
            <w:r>
              <w:rPr>
                <w:b/>
                <w:color w:val="FFFFFF"/>
                <w:sz w:val="15"/>
              </w:rPr>
              <w:t>CAR-T</w:t>
            </w:r>
          </w:p>
        </w:tc>
      </w:tr>
      <w:tr>
        <w:trPr>
          <w:trHeight w:val="220" w:hRule="atLeast"/>
        </w:trPr>
        <w:tc>
          <w:tcPr>
            <w:tcW w:w="1138" w:type="dxa"/>
            <w:tcBorders>
              <w:top w:val="nil"/>
              <w:left w:val="nil"/>
              <w:bottom w:val="single" w:sz="4" w:space="0" w:color="000000"/>
              <w:right w:val="single" w:sz="4" w:space="0" w:color="000000"/>
            </w:tcBorders>
            <w:shd w:val="clear" w:color="auto" w:fill="F9D1AF"/>
          </w:tcPr>
          <w:p>
            <w:pPr>
              <w:pStyle w:val="TableParagraph"/>
              <w:spacing w:line="197" w:lineRule="exact" w:before="3"/>
              <w:ind w:left="110"/>
              <w:rPr>
                <w:rFonts w:ascii="PMingLiU" w:eastAsia="PMingLiU" w:hint="eastAsia"/>
                <w:sz w:val="15"/>
              </w:rPr>
            </w:pPr>
            <w:r>
              <w:rPr>
                <w:rFonts w:ascii="PMingLiU" w:eastAsia="PMingLiU" w:hint="eastAsia"/>
                <w:sz w:val="15"/>
              </w:rPr>
              <w:t>靶点</w:t>
            </w:r>
            <w:r>
              <w:rPr>
                <w:sz w:val="15"/>
              </w:rPr>
              <w:t>/</w:t>
            </w:r>
            <w:r>
              <w:rPr>
                <w:rFonts w:ascii="PMingLiU" w:eastAsia="PMingLiU" w:hint="eastAsia"/>
                <w:sz w:val="15"/>
              </w:rPr>
              <w:t>公司</w:t>
            </w:r>
          </w:p>
        </w:tc>
        <w:tc>
          <w:tcPr>
            <w:tcW w:w="1484" w:type="dxa"/>
            <w:tcBorders>
              <w:top w:val="nil"/>
              <w:left w:val="single" w:sz="4" w:space="0" w:color="000000"/>
              <w:bottom w:val="single" w:sz="4" w:space="0" w:color="000000"/>
              <w:right w:val="dotted" w:sz="4" w:space="0" w:color="000000"/>
            </w:tcBorders>
            <w:shd w:val="clear" w:color="auto" w:fill="F9D1AF"/>
          </w:tcPr>
          <w:p>
            <w:pPr>
              <w:pStyle w:val="TableParagraph"/>
              <w:spacing w:before="17"/>
              <w:ind w:left="105"/>
              <w:rPr>
                <w:sz w:val="15"/>
              </w:rPr>
            </w:pPr>
            <w:r>
              <w:rPr>
                <w:sz w:val="15"/>
              </w:rPr>
              <w:t>CLDN18.2</w:t>
            </w:r>
          </w:p>
        </w:tc>
        <w:tc>
          <w:tcPr>
            <w:tcW w:w="1383" w:type="dxa"/>
            <w:tcBorders>
              <w:top w:val="nil"/>
              <w:left w:val="dotted" w:sz="4" w:space="0" w:color="000000"/>
              <w:bottom w:val="single" w:sz="4" w:space="0" w:color="000000"/>
              <w:right w:val="dotted" w:sz="4" w:space="0" w:color="000000"/>
            </w:tcBorders>
            <w:shd w:val="clear" w:color="auto" w:fill="F9D1AF"/>
          </w:tcPr>
          <w:p>
            <w:pPr>
              <w:pStyle w:val="TableParagraph"/>
              <w:spacing w:before="17"/>
              <w:ind w:left="105"/>
              <w:rPr>
                <w:sz w:val="15"/>
              </w:rPr>
            </w:pPr>
            <w:r>
              <w:rPr>
                <w:sz w:val="15"/>
              </w:rPr>
              <w:t>GPC3</w:t>
            </w:r>
          </w:p>
        </w:tc>
        <w:tc>
          <w:tcPr>
            <w:tcW w:w="1594" w:type="dxa"/>
            <w:tcBorders>
              <w:top w:val="nil"/>
              <w:left w:val="dotted" w:sz="4" w:space="0" w:color="000000"/>
              <w:bottom w:val="single" w:sz="4" w:space="0" w:color="000000"/>
              <w:right w:val="nil"/>
            </w:tcBorders>
            <w:shd w:val="clear" w:color="auto" w:fill="F9D1AF"/>
          </w:tcPr>
          <w:p>
            <w:pPr>
              <w:pStyle w:val="TableParagraph"/>
              <w:spacing w:before="17"/>
              <w:ind w:left="100"/>
              <w:rPr>
                <w:sz w:val="15"/>
              </w:rPr>
            </w:pPr>
            <w:r>
              <w:rPr>
                <w:sz w:val="15"/>
              </w:rPr>
              <w:t>AFP</w:t>
            </w:r>
          </w:p>
        </w:tc>
        <w:tc>
          <w:tcPr>
            <w:tcW w:w="2343" w:type="dxa"/>
            <w:tcBorders>
              <w:top w:val="nil"/>
              <w:left w:val="nil"/>
              <w:bottom w:val="single" w:sz="4" w:space="0" w:color="000000"/>
              <w:right w:val="nil"/>
            </w:tcBorders>
            <w:shd w:val="clear" w:color="auto" w:fill="F9D1AF"/>
          </w:tcPr>
          <w:p>
            <w:pPr>
              <w:pStyle w:val="TableParagraph"/>
              <w:spacing w:line="197" w:lineRule="exact" w:before="3"/>
              <w:ind w:left="110"/>
              <w:rPr>
                <w:rFonts w:ascii="PMingLiU" w:eastAsia="PMingLiU" w:hint="eastAsia"/>
                <w:sz w:val="15"/>
              </w:rPr>
            </w:pPr>
            <w:r>
              <w:rPr>
                <w:rFonts w:ascii="PMingLiU" w:eastAsia="PMingLiU" w:hint="eastAsia"/>
                <w:sz w:val="15"/>
              </w:rPr>
              <w:t>其他</w:t>
            </w:r>
          </w:p>
        </w:tc>
      </w:tr>
      <w:tr>
        <w:trPr>
          <w:trHeight w:val="609" w:hRule="atLeast"/>
        </w:trPr>
        <w:tc>
          <w:tcPr>
            <w:tcW w:w="1138" w:type="dxa"/>
            <w:tcBorders>
              <w:top w:val="single" w:sz="4" w:space="0" w:color="000000"/>
              <w:left w:val="nil"/>
              <w:bottom w:val="dotted" w:sz="4" w:space="0" w:color="000000"/>
              <w:right w:val="single" w:sz="4" w:space="0" w:color="000000"/>
            </w:tcBorders>
          </w:tcPr>
          <w:p>
            <w:pPr>
              <w:pStyle w:val="TableParagraph"/>
              <w:spacing w:before="4"/>
              <w:rPr>
                <w:rFonts w:ascii="Microsoft JhengHei UI"/>
                <w:b/>
                <w:sz w:val="11"/>
              </w:rPr>
            </w:pPr>
          </w:p>
          <w:p>
            <w:pPr>
              <w:pStyle w:val="TableParagraph"/>
              <w:ind w:left="110"/>
              <w:rPr>
                <w:rFonts w:ascii="PMingLiU" w:eastAsia="PMingLiU" w:hint="eastAsia"/>
                <w:sz w:val="15"/>
              </w:rPr>
            </w:pPr>
            <w:r>
              <w:rPr>
                <w:rFonts w:ascii="PMingLiU" w:eastAsia="PMingLiU" w:hint="eastAsia"/>
                <w:sz w:val="15"/>
              </w:rPr>
              <w:t>药明巨诺</w:t>
            </w:r>
          </w:p>
        </w:tc>
        <w:tc>
          <w:tcPr>
            <w:tcW w:w="1484" w:type="dxa"/>
            <w:tcBorders>
              <w:top w:val="single" w:sz="4" w:space="0" w:color="000000"/>
              <w:left w:val="single" w:sz="4" w:space="0" w:color="000000"/>
              <w:bottom w:val="dotted" w:sz="4" w:space="0" w:color="000000"/>
              <w:right w:val="dotted" w:sz="4" w:space="0" w:color="000000"/>
            </w:tcBorders>
          </w:tcPr>
          <w:p>
            <w:pPr>
              <w:pStyle w:val="TableParagraph"/>
              <w:rPr>
                <w:rFonts w:ascii="Times New Roman"/>
                <w:sz w:val="16"/>
              </w:rPr>
            </w:pPr>
          </w:p>
        </w:tc>
        <w:tc>
          <w:tcPr>
            <w:tcW w:w="1383" w:type="dxa"/>
            <w:tcBorders>
              <w:top w:val="single" w:sz="4" w:space="0" w:color="000000"/>
              <w:left w:val="dotted" w:sz="4" w:space="0" w:color="000000"/>
              <w:bottom w:val="dotted" w:sz="4" w:space="0" w:color="000000"/>
              <w:right w:val="dotted" w:sz="4" w:space="0" w:color="000000"/>
            </w:tcBorders>
            <w:shd w:val="clear" w:color="auto" w:fill="FBE3D5"/>
          </w:tcPr>
          <w:p>
            <w:pPr>
              <w:pStyle w:val="TableParagraph"/>
              <w:spacing w:line="254" w:lineRule="auto"/>
              <w:ind w:left="105" w:right="225"/>
              <w:rPr>
                <w:rFonts w:ascii="PMingLiU" w:eastAsia="PMingLiU" w:hint="eastAsia"/>
                <w:sz w:val="15"/>
              </w:rPr>
            </w:pPr>
            <w:r>
              <w:rPr>
                <w:sz w:val="15"/>
              </w:rPr>
              <w:t>JWATM204, IIT JWATM214, </w:t>
            </w:r>
            <w:r>
              <w:rPr>
                <w:rFonts w:ascii="PMingLiU" w:eastAsia="PMingLiU" w:hint="eastAsia"/>
                <w:sz w:val="15"/>
              </w:rPr>
              <w:t>临</w:t>
            </w:r>
          </w:p>
          <w:p>
            <w:pPr>
              <w:pStyle w:val="TableParagraph"/>
              <w:spacing w:line="191" w:lineRule="exact"/>
              <w:ind w:left="105"/>
              <w:rPr>
                <w:rFonts w:ascii="PMingLiU" w:eastAsia="PMingLiU" w:hint="eastAsia"/>
                <w:sz w:val="15"/>
              </w:rPr>
            </w:pPr>
            <w:r>
              <w:rPr>
                <w:rFonts w:ascii="PMingLiU" w:eastAsia="PMingLiU" w:hint="eastAsia"/>
                <w:sz w:val="15"/>
              </w:rPr>
              <w:t>床前</w:t>
            </w:r>
          </w:p>
        </w:tc>
        <w:tc>
          <w:tcPr>
            <w:tcW w:w="1594" w:type="dxa"/>
            <w:tcBorders>
              <w:top w:val="single" w:sz="4" w:space="0" w:color="000000"/>
              <w:left w:val="dotted" w:sz="4" w:space="0" w:color="000000"/>
              <w:bottom w:val="dotted" w:sz="4" w:space="0" w:color="000000"/>
              <w:right w:val="dotted" w:sz="4" w:space="0" w:color="000000"/>
            </w:tcBorders>
            <w:shd w:val="clear" w:color="auto" w:fill="FBE3D5"/>
          </w:tcPr>
          <w:p>
            <w:pPr>
              <w:pStyle w:val="TableParagraph"/>
              <w:spacing w:before="90"/>
              <w:ind w:left="100"/>
              <w:rPr>
                <w:rFonts w:ascii="PMingLiU" w:eastAsia="PMingLiU" w:hint="eastAsia"/>
                <w:sz w:val="15"/>
              </w:rPr>
            </w:pPr>
            <w:r>
              <w:rPr>
                <w:sz w:val="15"/>
              </w:rPr>
              <w:t>JWATM203</w:t>
            </w:r>
            <w:r>
              <w:rPr>
                <w:spacing w:val="-6"/>
                <w:sz w:val="15"/>
              </w:rPr>
              <w:t>, </w:t>
            </w:r>
            <w:r>
              <w:rPr>
                <w:rFonts w:ascii="PMingLiU" w:eastAsia="PMingLiU" w:hint="eastAsia"/>
                <w:sz w:val="15"/>
              </w:rPr>
              <w:t>临床前</w:t>
            </w:r>
          </w:p>
          <w:p>
            <w:pPr>
              <w:pStyle w:val="TableParagraph"/>
              <w:spacing w:before="6"/>
              <w:ind w:left="100"/>
              <w:rPr>
                <w:rFonts w:ascii="PMingLiU" w:eastAsia="PMingLiU" w:hint="eastAsia"/>
                <w:sz w:val="15"/>
              </w:rPr>
            </w:pPr>
            <w:r>
              <w:rPr>
                <w:sz w:val="15"/>
              </w:rPr>
              <w:t>JWATM213</w:t>
            </w:r>
            <w:r>
              <w:rPr>
                <w:spacing w:val="-6"/>
                <w:sz w:val="15"/>
              </w:rPr>
              <w:t>, </w:t>
            </w:r>
            <w:r>
              <w:rPr>
                <w:rFonts w:ascii="PMingLiU" w:eastAsia="PMingLiU" w:hint="eastAsia"/>
                <w:sz w:val="15"/>
              </w:rPr>
              <w:t>临床前</w:t>
            </w:r>
          </w:p>
        </w:tc>
        <w:tc>
          <w:tcPr>
            <w:tcW w:w="2343" w:type="dxa"/>
            <w:tcBorders>
              <w:top w:val="single" w:sz="4" w:space="0" w:color="000000"/>
              <w:left w:val="dotted" w:sz="4" w:space="0" w:color="000000"/>
              <w:bottom w:val="dotted" w:sz="4" w:space="0" w:color="000000"/>
              <w:right w:val="dotted" w:sz="4" w:space="0" w:color="000000"/>
            </w:tcBorders>
          </w:tcPr>
          <w:p>
            <w:pPr>
              <w:pStyle w:val="TableParagraph"/>
              <w:rPr>
                <w:rFonts w:ascii="Times New Roman"/>
                <w:sz w:val="16"/>
              </w:rPr>
            </w:pPr>
          </w:p>
        </w:tc>
      </w:tr>
      <w:tr>
        <w:trPr>
          <w:trHeight w:val="215" w:hRule="atLeast"/>
        </w:trPr>
        <w:tc>
          <w:tcPr>
            <w:tcW w:w="1138" w:type="dxa"/>
            <w:tcBorders>
              <w:top w:val="dotted" w:sz="4" w:space="0" w:color="000000"/>
              <w:left w:val="nil"/>
              <w:bottom w:val="dotted" w:sz="4" w:space="0" w:color="000000"/>
              <w:right w:val="single" w:sz="4" w:space="0" w:color="000000"/>
            </w:tcBorders>
          </w:tcPr>
          <w:p>
            <w:pPr>
              <w:pStyle w:val="TableParagraph"/>
              <w:spacing w:line="192" w:lineRule="exact" w:before="3"/>
              <w:ind w:left="110"/>
              <w:rPr>
                <w:rFonts w:ascii="PMingLiU" w:eastAsia="PMingLiU" w:hint="eastAsia"/>
                <w:sz w:val="15"/>
              </w:rPr>
            </w:pPr>
            <w:r>
              <w:rPr>
                <w:rFonts w:ascii="PMingLiU" w:eastAsia="PMingLiU" w:hint="eastAsia"/>
                <w:sz w:val="15"/>
              </w:rPr>
              <w:t>传奇生物</w:t>
            </w:r>
          </w:p>
        </w:tc>
        <w:tc>
          <w:tcPr>
            <w:tcW w:w="1484" w:type="dxa"/>
            <w:tcBorders>
              <w:top w:val="dotted" w:sz="4" w:space="0" w:color="000000"/>
              <w:left w:val="single" w:sz="4" w:space="0" w:color="000000"/>
              <w:bottom w:val="dotted" w:sz="4" w:space="0" w:color="000000"/>
              <w:right w:val="dotted" w:sz="4" w:space="0" w:color="000000"/>
            </w:tcBorders>
            <w:shd w:val="clear" w:color="auto" w:fill="FBE3D5"/>
          </w:tcPr>
          <w:p>
            <w:pPr>
              <w:pStyle w:val="TableParagraph"/>
              <w:spacing w:before="17"/>
              <w:ind w:left="105"/>
              <w:rPr>
                <w:sz w:val="15"/>
              </w:rPr>
            </w:pPr>
            <w:r>
              <w:rPr>
                <w:sz w:val="15"/>
              </w:rPr>
              <w:t>LB1908, Ph I</w:t>
            </w:r>
          </w:p>
        </w:tc>
        <w:tc>
          <w:tcPr>
            <w:tcW w:w="1383" w:type="dxa"/>
            <w:tcBorders>
              <w:top w:val="dotted" w:sz="4" w:space="0" w:color="000000"/>
              <w:left w:val="dotted" w:sz="4" w:space="0" w:color="000000"/>
              <w:bottom w:val="dotted" w:sz="4" w:space="0" w:color="000000"/>
              <w:right w:val="dotted" w:sz="4" w:space="0" w:color="000000"/>
            </w:tcBorders>
            <w:shd w:val="clear" w:color="auto" w:fill="FBE3D5"/>
          </w:tcPr>
          <w:p>
            <w:pPr>
              <w:pStyle w:val="TableParagraph"/>
              <w:spacing w:line="192" w:lineRule="exact" w:before="3"/>
              <w:ind w:left="105"/>
              <w:rPr>
                <w:rFonts w:ascii="PMingLiU" w:eastAsia="PMingLiU" w:hint="eastAsia"/>
                <w:sz w:val="15"/>
              </w:rPr>
            </w:pPr>
            <w:r>
              <w:rPr>
                <w:sz w:val="15"/>
              </w:rPr>
              <w:t>LB2101, </w:t>
            </w:r>
            <w:r>
              <w:rPr>
                <w:rFonts w:ascii="PMingLiU" w:eastAsia="PMingLiU" w:hint="eastAsia"/>
                <w:sz w:val="15"/>
              </w:rPr>
              <w:t>临床前</w:t>
            </w:r>
          </w:p>
        </w:tc>
        <w:tc>
          <w:tcPr>
            <w:tcW w:w="1594"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2343" w:type="dxa"/>
            <w:tcBorders>
              <w:top w:val="dotted" w:sz="4" w:space="0" w:color="000000"/>
              <w:left w:val="dotted" w:sz="4" w:space="0" w:color="000000"/>
              <w:bottom w:val="dotted" w:sz="4" w:space="0" w:color="000000"/>
              <w:right w:val="dotted" w:sz="4" w:space="0" w:color="000000"/>
            </w:tcBorders>
            <w:shd w:val="clear" w:color="auto" w:fill="FBE3D5"/>
          </w:tcPr>
          <w:p>
            <w:pPr>
              <w:pStyle w:val="TableParagraph"/>
              <w:spacing w:line="192" w:lineRule="exact" w:before="3"/>
              <w:ind w:left="105"/>
              <w:rPr>
                <w:sz w:val="15"/>
              </w:rPr>
            </w:pPr>
            <w:r>
              <w:rPr>
                <w:sz w:val="15"/>
              </w:rPr>
              <w:t>LB2102, </w:t>
            </w:r>
            <w:r>
              <w:rPr>
                <w:rFonts w:ascii="PMingLiU" w:eastAsia="PMingLiU" w:hint="eastAsia"/>
                <w:sz w:val="15"/>
              </w:rPr>
              <w:t>临床前 </w:t>
            </w:r>
            <w:r>
              <w:rPr>
                <w:sz w:val="15"/>
              </w:rPr>
              <w:t>(DLL3)</w:t>
            </w:r>
          </w:p>
        </w:tc>
      </w:tr>
      <w:tr>
        <w:trPr>
          <w:trHeight w:val="609" w:hRule="atLeast"/>
        </w:trPr>
        <w:tc>
          <w:tcPr>
            <w:tcW w:w="1138" w:type="dxa"/>
            <w:tcBorders>
              <w:top w:val="dotted" w:sz="4" w:space="0" w:color="000000"/>
              <w:left w:val="nil"/>
              <w:bottom w:val="dotted" w:sz="4" w:space="0" w:color="000000"/>
              <w:right w:val="single" w:sz="4" w:space="0" w:color="000000"/>
            </w:tcBorders>
          </w:tcPr>
          <w:p>
            <w:pPr>
              <w:pStyle w:val="TableParagraph"/>
              <w:spacing w:before="4"/>
              <w:rPr>
                <w:rFonts w:ascii="Microsoft JhengHei UI"/>
                <w:b/>
                <w:sz w:val="11"/>
              </w:rPr>
            </w:pPr>
          </w:p>
          <w:p>
            <w:pPr>
              <w:pStyle w:val="TableParagraph"/>
              <w:ind w:left="110"/>
              <w:rPr>
                <w:rFonts w:ascii="PMingLiU" w:eastAsia="PMingLiU" w:hint="eastAsia"/>
                <w:sz w:val="15"/>
              </w:rPr>
            </w:pPr>
            <w:r>
              <w:rPr>
                <w:rFonts w:ascii="PMingLiU" w:eastAsia="PMingLiU" w:hint="eastAsia"/>
                <w:sz w:val="15"/>
              </w:rPr>
              <w:t>科济药业</w:t>
            </w:r>
          </w:p>
        </w:tc>
        <w:tc>
          <w:tcPr>
            <w:tcW w:w="1484" w:type="dxa"/>
            <w:tcBorders>
              <w:top w:val="dotted" w:sz="4" w:space="0" w:color="000000"/>
              <w:left w:val="single" w:sz="4" w:space="0" w:color="000000"/>
              <w:bottom w:val="dotted" w:sz="4" w:space="0" w:color="000000"/>
              <w:right w:val="dotted" w:sz="4" w:space="0" w:color="000000"/>
            </w:tcBorders>
            <w:shd w:val="clear" w:color="auto" w:fill="FBE3D5"/>
          </w:tcPr>
          <w:p>
            <w:pPr>
              <w:pStyle w:val="TableParagraph"/>
              <w:spacing w:before="128"/>
              <w:ind w:left="105" w:right="506"/>
              <w:rPr>
                <w:sz w:val="15"/>
              </w:rPr>
            </w:pPr>
            <w:r>
              <w:rPr>
                <w:sz w:val="15"/>
              </w:rPr>
              <w:t>CT041, Ph II CT048, IIT</w:t>
            </w:r>
          </w:p>
        </w:tc>
        <w:tc>
          <w:tcPr>
            <w:tcW w:w="1383" w:type="dxa"/>
            <w:tcBorders>
              <w:top w:val="dotted" w:sz="4" w:space="0" w:color="000000"/>
              <w:left w:val="dotted" w:sz="4" w:space="0" w:color="000000"/>
              <w:bottom w:val="dotted" w:sz="4" w:space="0" w:color="000000"/>
              <w:right w:val="dotted" w:sz="4" w:space="0" w:color="000000"/>
            </w:tcBorders>
            <w:shd w:val="clear" w:color="auto" w:fill="FBE3D5"/>
          </w:tcPr>
          <w:p>
            <w:pPr>
              <w:pStyle w:val="TableParagraph"/>
              <w:spacing w:before="41"/>
              <w:ind w:left="105" w:right="467"/>
              <w:jc w:val="both"/>
              <w:rPr>
                <w:sz w:val="15"/>
              </w:rPr>
            </w:pPr>
            <w:r>
              <w:rPr>
                <w:sz w:val="15"/>
              </w:rPr>
              <w:t>CT011, Ph I CT0180, IIT CT0181, IIT</w:t>
            </w:r>
          </w:p>
        </w:tc>
        <w:tc>
          <w:tcPr>
            <w:tcW w:w="1594"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6"/>
              </w:rPr>
            </w:pPr>
          </w:p>
        </w:tc>
        <w:tc>
          <w:tcPr>
            <w:tcW w:w="2343" w:type="dxa"/>
            <w:tcBorders>
              <w:top w:val="dotted" w:sz="4" w:space="0" w:color="000000"/>
              <w:left w:val="dotted" w:sz="4" w:space="0" w:color="000000"/>
              <w:bottom w:val="dotted" w:sz="4" w:space="0" w:color="000000"/>
              <w:right w:val="dotted" w:sz="4" w:space="0" w:color="000000"/>
            </w:tcBorders>
            <w:shd w:val="clear" w:color="auto" w:fill="FBE3D5"/>
          </w:tcPr>
          <w:p>
            <w:pPr>
              <w:pStyle w:val="TableParagraph"/>
              <w:spacing w:line="208" w:lineRule="exact" w:before="8"/>
              <w:ind w:left="105"/>
              <w:rPr>
                <w:rFonts w:ascii="PMingLiU" w:eastAsia="PMingLiU" w:hint="eastAsia"/>
                <w:sz w:val="15"/>
              </w:rPr>
            </w:pPr>
            <w:r>
              <w:rPr>
                <w:sz w:val="15"/>
              </w:rPr>
              <w:t>KJ-C2112</w:t>
            </w:r>
            <w:r>
              <w:rPr>
                <w:spacing w:val="-6"/>
                <w:sz w:val="15"/>
              </w:rPr>
              <w:t>, </w:t>
            </w:r>
            <w:r>
              <w:rPr>
                <w:rFonts w:ascii="PMingLiU" w:eastAsia="PMingLiU" w:hint="eastAsia"/>
                <w:sz w:val="15"/>
              </w:rPr>
              <w:t>临床前</w:t>
            </w:r>
          </w:p>
          <w:p>
            <w:pPr>
              <w:pStyle w:val="TableParagraph"/>
              <w:spacing w:line="171" w:lineRule="exact"/>
              <w:ind w:left="105"/>
              <w:rPr>
                <w:sz w:val="15"/>
              </w:rPr>
            </w:pPr>
            <w:r>
              <w:rPr>
                <w:sz w:val="15"/>
              </w:rPr>
              <w:t>(EGFR/EGFRvIII)</w:t>
            </w:r>
          </w:p>
          <w:p>
            <w:pPr>
              <w:pStyle w:val="TableParagraph"/>
              <w:spacing w:line="192" w:lineRule="exact" w:before="10"/>
              <w:ind w:left="105"/>
              <w:rPr>
                <w:sz w:val="15"/>
              </w:rPr>
            </w:pPr>
            <w:r>
              <w:rPr>
                <w:sz w:val="15"/>
              </w:rPr>
              <w:t>KJ-C2113, </w:t>
            </w:r>
            <w:r>
              <w:rPr>
                <w:rFonts w:ascii="PMingLiU" w:eastAsia="PMingLiU" w:hint="eastAsia"/>
                <w:sz w:val="15"/>
              </w:rPr>
              <w:t>临床前 </w:t>
            </w:r>
            <w:r>
              <w:rPr>
                <w:sz w:val="15"/>
              </w:rPr>
              <w:t>(MSLN)</w:t>
            </w:r>
          </w:p>
        </w:tc>
      </w:tr>
      <w:tr>
        <w:trPr>
          <w:trHeight w:val="220" w:hRule="atLeast"/>
        </w:trPr>
        <w:tc>
          <w:tcPr>
            <w:tcW w:w="1138" w:type="dxa"/>
            <w:tcBorders>
              <w:top w:val="dotted" w:sz="4" w:space="0" w:color="000000"/>
              <w:left w:val="nil"/>
              <w:bottom w:val="dotted" w:sz="4" w:space="0" w:color="000000"/>
              <w:right w:val="single" w:sz="4" w:space="0" w:color="000000"/>
            </w:tcBorders>
          </w:tcPr>
          <w:p>
            <w:pPr>
              <w:pStyle w:val="TableParagraph"/>
              <w:spacing w:line="192" w:lineRule="exact" w:before="8"/>
              <w:ind w:left="110"/>
              <w:rPr>
                <w:rFonts w:ascii="PMingLiU" w:eastAsia="PMingLiU" w:hint="eastAsia"/>
                <w:sz w:val="15"/>
              </w:rPr>
            </w:pPr>
            <w:r>
              <w:rPr>
                <w:rFonts w:ascii="PMingLiU" w:eastAsia="PMingLiU" w:hint="eastAsia"/>
                <w:sz w:val="15"/>
              </w:rPr>
              <w:t>信达生物</w:t>
            </w:r>
          </w:p>
        </w:tc>
        <w:tc>
          <w:tcPr>
            <w:tcW w:w="1484" w:type="dxa"/>
            <w:tcBorders>
              <w:top w:val="dotted" w:sz="4" w:space="0" w:color="000000"/>
              <w:left w:val="single" w:sz="4" w:space="0" w:color="000000"/>
              <w:bottom w:val="dotted" w:sz="4" w:space="0" w:color="000000"/>
              <w:right w:val="dotted" w:sz="4" w:space="0" w:color="000000"/>
            </w:tcBorders>
            <w:shd w:val="clear" w:color="auto" w:fill="FBE3D5"/>
          </w:tcPr>
          <w:p>
            <w:pPr>
              <w:pStyle w:val="TableParagraph"/>
              <w:spacing w:before="17"/>
              <w:ind w:left="105"/>
              <w:rPr>
                <w:sz w:val="15"/>
              </w:rPr>
            </w:pPr>
            <w:r>
              <w:rPr>
                <w:sz w:val="15"/>
              </w:rPr>
              <w:t>IBI345, IIT</w:t>
            </w:r>
          </w:p>
        </w:tc>
        <w:tc>
          <w:tcPr>
            <w:tcW w:w="1383"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1594"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2343"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r>
      <w:tr>
        <w:trPr>
          <w:trHeight w:val="220" w:hRule="atLeast"/>
        </w:trPr>
        <w:tc>
          <w:tcPr>
            <w:tcW w:w="1138" w:type="dxa"/>
            <w:tcBorders>
              <w:top w:val="dotted" w:sz="4" w:space="0" w:color="000000"/>
              <w:left w:val="nil"/>
              <w:bottom w:val="dotted" w:sz="4" w:space="0" w:color="000000"/>
              <w:right w:val="single" w:sz="4" w:space="0" w:color="000000"/>
            </w:tcBorders>
          </w:tcPr>
          <w:p>
            <w:pPr>
              <w:pStyle w:val="TableParagraph"/>
              <w:spacing w:line="197" w:lineRule="exact" w:before="3"/>
              <w:ind w:left="110"/>
              <w:rPr>
                <w:rFonts w:ascii="PMingLiU" w:eastAsia="PMingLiU" w:hint="eastAsia"/>
                <w:sz w:val="15"/>
              </w:rPr>
            </w:pPr>
            <w:r>
              <w:rPr>
                <w:rFonts w:ascii="PMingLiU" w:eastAsia="PMingLiU" w:hint="eastAsia"/>
                <w:sz w:val="15"/>
              </w:rPr>
              <w:t>博生吉安科</w:t>
            </w:r>
          </w:p>
        </w:tc>
        <w:tc>
          <w:tcPr>
            <w:tcW w:w="1484" w:type="dxa"/>
            <w:tcBorders>
              <w:top w:val="dotted" w:sz="4" w:space="0" w:color="000000"/>
              <w:left w:val="single" w:sz="4" w:space="0" w:color="000000"/>
              <w:bottom w:val="dotted" w:sz="4" w:space="0" w:color="000000"/>
              <w:right w:val="dotted" w:sz="4" w:space="0" w:color="000000"/>
            </w:tcBorders>
          </w:tcPr>
          <w:p>
            <w:pPr>
              <w:pStyle w:val="TableParagraph"/>
              <w:rPr>
                <w:rFonts w:ascii="Times New Roman"/>
                <w:sz w:val="14"/>
              </w:rPr>
            </w:pPr>
          </w:p>
        </w:tc>
        <w:tc>
          <w:tcPr>
            <w:tcW w:w="1383"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1594"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2343" w:type="dxa"/>
            <w:tcBorders>
              <w:top w:val="dotted" w:sz="4" w:space="0" w:color="000000"/>
              <w:left w:val="dotted" w:sz="4" w:space="0" w:color="000000"/>
              <w:bottom w:val="dotted" w:sz="4" w:space="0" w:color="000000"/>
              <w:right w:val="dotted" w:sz="4" w:space="0" w:color="000000"/>
            </w:tcBorders>
            <w:shd w:val="clear" w:color="auto" w:fill="FBE3D5"/>
          </w:tcPr>
          <w:p>
            <w:pPr>
              <w:pStyle w:val="TableParagraph"/>
              <w:spacing w:before="17"/>
              <w:ind w:left="105"/>
              <w:rPr>
                <w:sz w:val="15"/>
              </w:rPr>
            </w:pPr>
            <w:r>
              <w:rPr>
                <w:sz w:val="15"/>
              </w:rPr>
              <w:t>TAA06, Ph I (B7-H3)</w:t>
            </w:r>
          </w:p>
        </w:tc>
      </w:tr>
      <w:tr>
        <w:trPr>
          <w:trHeight w:val="216" w:hRule="atLeast"/>
        </w:trPr>
        <w:tc>
          <w:tcPr>
            <w:tcW w:w="1138" w:type="dxa"/>
            <w:tcBorders>
              <w:top w:val="dotted" w:sz="4" w:space="0" w:color="000000"/>
              <w:left w:val="nil"/>
              <w:bottom w:val="dotted" w:sz="4" w:space="0" w:color="000000"/>
              <w:right w:val="single" w:sz="4" w:space="0" w:color="000000"/>
            </w:tcBorders>
          </w:tcPr>
          <w:p>
            <w:pPr>
              <w:pStyle w:val="TableParagraph"/>
              <w:spacing w:line="192" w:lineRule="exact" w:before="3"/>
              <w:ind w:left="110"/>
              <w:rPr>
                <w:rFonts w:ascii="PMingLiU" w:eastAsia="PMingLiU" w:hint="eastAsia"/>
                <w:sz w:val="15"/>
              </w:rPr>
            </w:pPr>
            <w:r>
              <w:rPr>
                <w:rFonts w:ascii="PMingLiU" w:eastAsia="PMingLiU" w:hint="eastAsia"/>
                <w:sz w:val="15"/>
              </w:rPr>
              <w:t>斯丹赛生物</w:t>
            </w:r>
          </w:p>
        </w:tc>
        <w:tc>
          <w:tcPr>
            <w:tcW w:w="1484" w:type="dxa"/>
            <w:tcBorders>
              <w:top w:val="dotted" w:sz="4" w:space="0" w:color="000000"/>
              <w:left w:val="single" w:sz="4" w:space="0" w:color="000000"/>
              <w:bottom w:val="dotted" w:sz="4" w:space="0" w:color="000000"/>
              <w:right w:val="dotted" w:sz="4" w:space="0" w:color="000000"/>
            </w:tcBorders>
          </w:tcPr>
          <w:p>
            <w:pPr>
              <w:pStyle w:val="TableParagraph"/>
              <w:rPr>
                <w:rFonts w:ascii="Times New Roman"/>
                <w:sz w:val="14"/>
              </w:rPr>
            </w:pPr>
          </w:p>
        </w:tc>
        <w:tc>
          <w:tcPr>
            <w:tcW w:w="1383"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1594"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2343" w:type="dxa"/>
            <w:tcBorders>
              <w:top w:val="dotted" w:sz="4" w:space="0" w:color="000000"/>
              <w:left w:val="dotted" w:sz="4" w:space="0" w:color="000000"/>
              <w:bottom w:val="dotted" w:sz="4" w:space="0" w:color="000000"/>
              <w:right w:val="dotted" w:sz="4" w:space="0" w:color="000000"/>
            </w:tcBorders>
            <w:shd w:val="clear" w:color="auto" w:fill="FBE3D5"/>
          </w:tcPr>
          <w:p>
            <w:pPr>
              <w:pStyle w:val="TableParagraph"/>
              <w:spacing w:before="13"/>
              <w:ind w:left="105"/>
              <w:rPr>
                <w:sz w:val="15"/>
              </w:rPr>
            </w:pPr>
            <w:r>
              <w:rPr>
                <w:sz w:val="15"/>
              </w:rPr>
              <w:t>GCC19CART, Ph I (GCC)</w:t>
            </w:r>
          </w:p>
        </w:tc>
      </w:tr>
      <w:tr>
        <w:trPr>
          <w:trHeight w:val="220" w:hRule="atLeast"/>
        </w:trPr>
        <w:tc>
          <w:tcPr>
            <w:tcW w:w="1138" w:type="dxa"/>
            <w:tcBorders>
              <w:top w:val="dotted" w:sz="4" w:space="0" w:color="000000"/>
              <w:left w:val="nil"/>
              <w:bottom w:val="dotted" w:sz="4" w:space="0" w:color="000000"/>
              <w:right w:val="single" w:sz="4" w:space="0" w:color="000000"/>
            </w:tcBorders>
          </w:tcPr>
          <w:p>
            <w:pPr>
              <w:pStyle w:val="TableParagraph"/>
              <w:spacing w:line="197" w:lineRule="exact" w:before="3"/>
              <w:ind w:left="110"/>
              <w:rPr>
                <w:rFonts w:ascii="PMingLiU" w:eastAsia="PMingLiU" w:hint="eastAsia"/>
                <w:sz w:val="15"/>
              </w:rPr>
            </w:pPr>
            <w:r>
              <w:rPr>
                <w:rFonts w:ascii="PMingLiU" w:eastAsia="PMingLiU" w:hint="eastAsia"/>
                <w:sz w:val="15"/>
              </w:rPr>
              <w:t>原启生物</w:t>
            </w:r>
          </w:p>
        </w:tc>
        <w:tc>
          <w:tcPr>
            <w:tcW w:w="1484" w:type="dxa"/>
            <w:tcBorders>
              <w:top w:val="dotted" w:sz="4" w:space="0" w:color="000000"/>
              <w:left w:val="single" w:sz="4" w:space="0" w:color="000000"/>
              <w:bottom w:val="dotted" w:sz="4" w:space="0" w:color="000000"/>
              <w:right w:val="dotted" w:sz="4" w:space="0" w:color="000000"/>
            </w:tcBorders>
          </w:tcPr>
          <w:p>
            <w:pPr>
              <w:pStyle w:val="TableParagraph"/>
              <w:rPr>
                <w:rFonts w:ascii="Times New Roman"/>
                <w:sz w:val="14"/>
              </w:rPr>
            </w:pPr>
          </w:p>
        </w:tc>
        <w:tc>
          <w:tcPr>
            <w:tcW w:w="1383" w:type="dxa"/>
            <w:tcBorders>
              <w:top w:val="dotted" w:sz="4" w:space="0" w:color="000000"/>
              <w:left w:val="dotted" w:sz="4" w:space="0" w:color="000000"/>
              <w:bottom w:val="dotted" w:sz="4" w:space="0" w:color="000000"/>
              <w:right w:val="dotted" w:sz="4" w:space="0" w:color="000000"/>
            </w:tcBorders>
            <w:shd w:val="clear" w:color="auto" w:fill="FCE9D9"/>
          </w:tcPr>
          <w:p>
            <w:pPr>
              <w:pStyle w:val="TableParagraph"/>
              <w:spacing w:before="17"/>
              <w:ind w:left="105"/>
              <w:rPr>
                <w:sz w:val="15"/>
              </w:rPr>
            </w:pPr>
            <w:r>
              <w:rPr>
                <w:sz w:val="15"/>
              </w:rPr>
              <w:t>Ori-C101, IND</w:t>
            </w:r>
          </w:p>
        </w:tc>
        <w:tc>
          <w:tcPr>
            <w:tcW w:w="1594"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c>
          <w:tcPr>
            <w:tcW w:w="2343"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4"/>
              </w:rPr>
            </w:pPr>
          </w:p>
        </w:tc>
      </w:tr>
      <w:tr>
        <w:trPr>
          <w:trHeight w:val="436" w:hRule="atLeast"/>
        </w:trPr>
        <w:tc>
          <w:tcPr>
            <w:tcW w:w="1138" w:type="dxa"/>
            <w:tcBorders>
              <w:top w:val="dotted" w:sz="4" w:space="0" w:color="000000"/>
              <w:left w:val="nil"/>
              <w:bottom w:val="dotted" w:sz="4" w:space="0" w:color="000000"/>
              <w:right w:val="single" w:sz="4" w:space="0" w:color="000000"/>
            </w:tcBorders>
          </w:tcPr>
          <w:p>
            <w:pPr>
              <w:pStyle w:val="TableParagraph"/>
              <w:spacing w:before="114"/>
              <w:ind w:left="110"/>
              <w:rPr>
                <w:rFonts w:ascii="PMingLiU" w:eastAsia="PMingLiU" w:hint="eastAsia"/>
                <w:sz w:val="15"/>
              </w:rPr>
            </w:pPr>
            <w:r>
              <w:rPr>
                <w:rFonts w:ascii="PMingLiU" w:eastAsia="PMingLiU" w:hint="eastAsia"/>
                <w:sz w:val="15"/>
              </w:rPr>
              <w:t>北桓生物</w:t>
            </w:r>
          </w:p>
        </w:tc>
        <w:tc>
          <w:tcPr>
            <w:tcW w:w="1484" w:type="dxa"/>
            <w:tcBorders>
              <w:top w:val="dotted" w:sz="4" w:space="0" w:color="000000"/>
              <w:left w:val="single" w:sz="4" w:space="0" w:color="000000"/>
              <w:bottom w:val="dotted" w:sz="4" w:space="0" w:color="000000"/>
              <w:right w:val="dotted" w:sz="4" w:space="0" w:color="000000"/>
            </w:tcBorders>
            <w:shd w:val="clear" w:color="auto" w:fill="FBE3D5"/>
          </w:tcPr>
          <w:p>
            <w:pPr>
              <w:pStyle w:val="TableParagraph"/>
              <w:spacing w:before="3"/>
              <w:ind w:left="105"/>
              <w:rPr>
                <w:rFonts w:ascii="PMingLiU" w:eastAsia="PMingLiU" w:hint="eastAsia"/>
                <w:sz w:val="15"/>
              </w:rPr>
            </w:pPr>
            <w:r>
              <w:rPr>
                <w:sz w:val="15"/>
              </w:rPr>
              <w:t>CTB001, IIT (</w:t>
            </w:r>
            <w:r>
              <w:rPr>
                <w:rFonts w:ascii="PMingLiU" w:eastAsia="PMingLiU" w:hint="eastAsia"/>
                <w:sz w:val="15"/>
              </w:rPr>
              <w:t>通用</w:t>
            </w:r>
          </w:p>
          <w:p>
            <w:pPr>
              <w:pStyle w:val="TableParagraph"/>
              <w:spacing w:line="197" w:lineRule="exact" w:before="6"/>
              <w:ind w:left="105"/>
              <w:rPr>
                <w:sz w:val="15"/>
              </w:rPr>
            </w:pPr>
            <w:r>
              <w:rPr>
                <w:rFonts w:ascii="PMingLiU" w:eastAsia="PMingLiU" w:hint="eastAsia"/>
                <w:sz w:val="15"/>
              </w:rPr>
              <w:t>型</w:t>
            </w:r>
            <w:r>
              <w:rPr>
                <w:sz w:val="15"/>
              </w:rPr>
              <w:t>)</w:t>
            </w:r>
          </w:p>
        </w:tc>
        <w:tc>
          <w:tcPr>
            <w:tcW w:w="1383"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6"/>
              </w:rPr>
            </w:pPr>
          </w:p>
        </w:tc>
        <w:tc>
          <w:tcPr>
            <w:tcW w:w="1594"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6"/>
              </w:rPr>
            </w:pPr>
          </w:p>
        </w:tc>
        <w:tc>
          <w:tcPr>
            <w:tcW w:w="2343" w:type="dxa"/>
            <w:tcBorders>
              <w:top w:val="dotted" w:sz="4" w:space="0" w:color="000000"/>
              <w:left w:val="dotted" w:sz="4" w:space="0" w:color="000000"/>
              <w:bottom w:val="dotted" w:sz="4" w:space="0" w:color="000000"/>
              <w:right w:val="dotted" w:sz="4" w:space="0" w:color="000000"/>
            </w:tcBorders>
          </w:tcPr>
          <w:p>
            <w:pPr>
              <w:pStyle w:val="TableParagraph"/>
              <w:rPr>
                <w:rFonts w:ascii="Times New Roman"/>
                <w:sz w:val="16"/>
              </w:rPr>
            </w:pPr>
          </w:p>
        </w:tc>
      </w:tr>
      <w:tr>
        <w:trPr>
          <w:trHeight w:val="217" w:hRule="atLeast"/>
        </w:trPr>
        <w:tc>
          <w:tcPr>
            <w:tcW w:w="1138" w:type="dxa"/>
            <w:tcBorders>
              <w:top w:val="dotted" w:sz="4" w:space="0" w:color="000000"/>
              <w:left w:val="nil"/>
              <w:right w:val="dotted" w:sz="4" w:space="0" w:color="000000"/>
            </w:tcBorders>
          </w:tcPr>
          <w:p>
            <w:pPr>
              <w:pStyle w:val="TableParagraph"/>
              <w:spacing w:line="194" w:lineRule="exact" w:before="3"/>
              <w:ind w:left="110"/>
              <w:rPr>
                <w:rFonts w:ascii="PMingLiU" w:eastAsia="PMingLiU" w:hint="eastAsia"/>
                <w:sz w:val="15"/>
              </w:rPr>
            </w:pPr>
            <w:r>
              <w:rPr>
                <w:rFonts w:ascii="PMingLiU" w:eastAsia="PMingLiU" w:hint="eastAsia"/>
                <w:sz w:val="15"/>
              </w:rPr>
              <w:t>易慕峰</w:t>
            </w:r>
          </w:p>
        </w:tc>
        <w:tc>
          <w:tcPr>
            <w:tcW w:w="1484" w:type="dxa"/>
            <w:tcBorders>
              <w:top w:val="dotted" w:sz="4" w:space="0" w:color="000000"/>
              <w:left w:val="dotted" w:sz="4" w:space="0" w:color="000000"/>
              <w:right w:val="dotted" w:sz="4" w:space="0" w:color="000000"/>
            </w:tcBorders>
            <w:shd w:val="clear" w:color="auto" w:fill="FBE3D5"/>
          </w:tcPr>
          <w:p>
            <w:pPr>
              <w:pStyle w:val="TableParagraph"/>
              <w:spacing w:before="17"/>
              <w:ind w:left="105"/>
              <w:rPr>
                <w:sz w:val="15"/>
              </w:rPr>
            </w:pPr>
            <w:r>
              <w:rPr>
                <w:sz w:val="15"/>
              </w:rPr>
              <w:t>IMC002, IIT</w:t>
            </w:r>
          </w:p>
        </w:tc>
        <w:tc>
          <w:tcPr>
            <w:tcW w:w="1383" w:type="dxa"/>
            <w:tcBorders>
              <w:top w:val="dotted" w:sz="4" w:space="0" w:color="000000"/>
              <w:left w:val="dotted" w:sz="4" w:space="0" w:color="000000"/>
              <w:right w:val="dotted" w:sz="4" w:space="0" w:color="000000"/>
            </w:tcBorders>
          </w:tcPr>
          <w:p>
            <w:pPr>
              <w:pStyle w:val="TableParagraph"/>
              <w:rPr>
                <w:rFonts w:ascii="Times New Roman"/>
                <w:sz w:val="14"/>
              </w:rPr>
            </w:pPr>
          </w:p>
        </w:tc>
        <w:tc>
          <w:tcPr>
            <w:tcW w:w="1594" w:type="dxa"/>
            <w:tcBorders>
              <w:top w:val="dotted" w:sz="4" w:space="0" w:color="000000"/>
              <w:left w:val="dotted" w:sz="4" w:space="0" w:color="000000"/>
              <w:right w:val="dotted" w:sz="4" w:space="0" w:color="000000"/>
            </w:tcBorders>
          </w:tcPr>
          <w:p>
            <w:pPr>
              <w:pStyle w:val="TableParagraph"/>
              <w:rPr>
                <w:rFonts w:ascii="Times New Roman"/>
                <w:sz w:val="14"/>
              </w:rPr>
            </w:pPr>
          </w:p>
        </w:tc>
        <w:tc>
          <w:tcPr>
            <w:tcW w:w="2343" w:type="dxa"/>
            <w:tcBorders>
              <w:top w:val="dotted" w:sz="4" w:space="0" w:color="000000"/>
              <w:left w:val="dotted" w:sz="4" w:space="0" w:color="000000"/>
              <w:bottom w:val="single" w:sz="18" w:space="0" w:color="000000"/>
              <w:right w:val="dotted" w:sz="4" w:space="0" w:color="000000"/>
            </w:tcBorders>
            <w:shd w:val="clear" w:color="auto" w:fill="FBE3D5"/>
          </w:tcPr>
          <w:p>
            <w:pPr>
              <w:pStyle w:val="TableParagraph"/>
              <w:spacing w:before="17"/>
              <w:ind w:left="105"/>
              <w:rPr>
                <w:sz w:val="15"/>
              </w:rPr>
            </w:pPr>
            <w:r>
              <w:rPr>
                <w:sz w:val="15"/>
              </w:rPr>
              <w:t>IMC001, IIT (EpCAM)</w:t>
            </w:r>
          </w:p>
        </w:tc>
      </w:tr>
    </w:tbl>
    <w:p>
      <w:pPr>
        <w:spacing w:before="17"/>
        <w:ind w:left="210" w:right="0" w:firstLine="0"/>
        <w:jc w:val="left"/>
        <w:rPr>
          <w:sz w:val="16"/>
        </w:rPr>
      </w:pPr>
      <w:r>
        <w:rPr>
          <w:sz w:val="16"/>
        </w:rPr>
        <w:t>资料来源</w:t>
      </w:r>
      <w:r>
        <w:rPr>
          <w:rFonts w:ascii="Arial" w:eastAsia="Arial"/>
          <w:sz w:val="16"/>
        </w:rPr>
        <w:t>: </w:t>
      </w:r>
      <w:r>
        <w:rPr>
          <w:sz w:val="16"/>
        </w:rPr>
        <w:t>公司官网</w:t>
      </w:r>
      <w:r>
        <w:rPr>
          <w:rFonts w:ascii="Arial" w:eastAsia="Arial"/>
          <w:sz w:val="16"/>
        </w:rPr>
        <w:t>, </w:t>
      </w:r>
      <w:r>
        <w:rPr>
          <w:sz w:val="16"/>
        </w:rPr>
        <w:t>招银国际证券</w:t>
      </w:r>
    </w:p>
    <w:p>
      <w:pPr>
        <w:spacing w:before="7"/>
        <w:ind w:left="210" w:right="0" w:firstLine="0"/>
        <w:jc w:val="left"/>
        <w:rPr>
          <w:sz w:val="16"/>
        </w:rPr>
      </w:pPr>
      <w:r>
        <w:rPr>
          <w:sz w:val="16"/>
        </w:rPr>
        <w:t>注：部分非上市公司产品开发进度以官网披露为准，可能与实际进度存在一定延迟</w:t>
      </w:r>
    </w:p>
    <w:p>
      <w:pPr>
        <w:spacing w:after="0"/>
        <w:jc w:val="left"/>
        <w:rPr>
          <w:sz w:val="16"/>
        </w:rPr>
        <w:sectPr>
          <w:pgSz w:w="11910" w:h="16840"/>
          <w:pgMar w:header="682" w:footer="358" w:top="1380" w:bottom="540" w:left="640" w:right="300"/>
        </w:sectPr>
      </w:pPr>
    </w:p>
    <w:p>
      <w:pPr>
        <w:pStyle w:val="BodyText"/>
        <w:spacing w:before="9"/>
        <w:ind w:left="0"/>
        <w:rPr>
          <w:sz w:val="12"/>
        </w:rPr>
      </w:pPr>
    </w:p>
    <w:p>
      <w:pPr>
        <w:pStyle w:val="Heading1"/>
      </w:pPr>
      <w:bookmarkStart w:name="_bookmark1" w:id="2"/>
      <w:bookmarkEnd w:id="2"/>
      <w:r>
        <w:rPr>
          <w:b w:val="0"/>
        </w:rPr>
      </w:r>
      <w:r>
        <w:rPr>
          <w:color w:val="C00000"/>
        </w:rPr>
        <w:t>技术篇：模拟 </w:t>
      </w:r>
      <w:r>
        <w:rPr>
          <w:rFonts w:ascii="Arial" w:eastAsia="Arial"/>
          <w:color w:val="C00000"/>
        </w:rPr>
        <w:t>TCR </w:t>
      </w:r>
      <w:r>
        <w:rPr>
          <w:color w:val="C00000"/>
        </w:rPr>
        <w:t>作用机制，</w:t>
      </w:r>
      <w:r>
        <w:rPr>
          <w:rFonts w:ascii="Arial" w:eastAsia="Arial"/>
          <w:color w:val="C00000"/>
        </w:rPr>
        <w:t>CAR </w:t>
      </w:r>
      <w:r>
        <w:rPr>
          <w:color w:val="C00000"/>
        </w:rPr>
        <w:t>协助 </w:t>
      </w:r>
      <w:r>
        <w:rPr>
          <w:rFonts w:ascii="Arial" w:eastAsia="Arial"/>
          <w:color w:val="C00000"/>
        </w:rPr>
        <w:t>T </w:t>
      </w:r>
      <w:r>
        <w:rPr>
          <w:color w:val="C00000"/>
        </w:rPr>
        <w:t>细胞完成抗原识别</w:t>
      </w:r>
    </w:p>
    <w:p>
      <w:pPr>
        <w:pStyle w:val="Heading2"/>
        <w:spacing w:before="106"/>
      </w:pPr>
      <w:bookmarkStart w:name="_bookmark2" w:id="3"/>
      <w:bookmarkEnd w:id="3"/>
      <w:r>
        <w:rPr>
          <w:b w:val="0"/>
        </w:rPr>
      </w:r>
      <w:r>
        <w:rPr>
          <w:color w:val="585858"/>
        </w:rPr>
        <w:t>克服 </w:t>
      </w:r>
      <w:r>
        <w:rPr>
          <w:rFonts w:ascii="Arial" w:eastAsia="Arial"/>
          <w:color w:val="585858"/>
        </w:rPr>
        <w:t>MHC </w:t>
      </w:r>
      <w:r>
        <w:rPr>
          <w:color w:val="585858"/>
        </w:rPr>
        <w:t>限制，</w:t>
      </w:r>
      <w:r>
        <w:rPr>
          <w:rFonts w:ascii="Arial" w:eastAsia="Arial"/>
          <w:color w:val="585858"/>
        </w:rPr>
        <w:t>CAR </w:t>
      </w:r>
      <w:r>
        <w:rPr>
          <w:color w:val="585858"/>
        </w:rPr>
        <w:t>构造协助 </w:t>
      </w:r>
      <w:r>
        <w:rPr>
          <w:rFonts w:ascii="Arial" w:eastAsia="Arial"/>
          <w:color w:val="585858"/>
        </w:rPr>
        <w:t>T </w:t>
      </w:r>
      <w:r>
        <w:rPr>
          <w:color w:val="585858"/>
        </w:rPr>
        <w:t>细胞激活</w:t>
      </w:r>
    </w:p>
    <w:p>
      <w:pPr>
        <w:pStyle w:val="BodyText"/>
        <w:spacing w:line="288" w:lineRule="auto" w:before="119"/>
        <w:ind w:right="2814"/>
        <w:jc w:val="both"/>
      </w:pPr>
      <w:r>
        <w:rPr/>
        <w:pict>
          <v:group style="position:absolute;margin-left:46.584pt;margin-top:148.689987pt;width:250.7pt;height:172.4pt;mso-position-horizontal-relative:page;mso-position-vertical-relative:paragraph;z-index:-19982848" coordorigin="932,2974" coordsize="5014,3448">
            <v:shape style="position:absolute;left:931;top:2973;width:5014;height:3448" coordorigin="932,2974" coordsize="5014,3448" path="m5945,6393l932,6393,932,6422,5945,6422,5945,6393xm5945,2974l932,2974,932,3003,5945,3003,5945,2974xe" filled="true" fillcolor="#000000" stroked="false">
              <v:path arrowok="t"/>
              <v:fill type="solid"/>
            </v:shape>
            <v:shape style="position:absolute;left:1257;top:3001;width:4359;height:3384" type="#_x0000_t75" stroked="false">
              <v:imagedata r:id="rId12" o:title=""/>
            </v:shape>
            <w10:wrap type="none"/>
          </v:group>
        </w:pict>
      </w:r>
      <w:r>
        <w:rPr>
          <w:spacing w:val="-1"/>
        </w:rPr>
        <w:t>抗肿瘤免疫主要由 </w:t>
      </w:r>
      <w:r>
        <w:rPr>
          <w:rFonts w:ascii="Arial" w:eastAsia="Arial"/>
        </w:rPr>
        <w:t>T </w:t>
      </w:r>
      <w:r>
        <w:rPr/>
        <w:t>细胞完成，正常 </w:t>
      </w:r>
      <w:r>
        <w:rPr>
          <w:rFonts w:ascii="Arial" w:eastAsia="Arial"/>
        </w:rPr>
        <w:t>T </w:t>
      </w:r>
      <w:r>
        <w:rPr>
          <w:spacing w:val="-4"/>
        </w:rPr>
        <w:t>细胞活化需要两种信号同时激活，第一信号是 </w:t>
      </w:r>
      <w:r>
        <w:rPr>
          <w:rFonts w:ascii="Arial" w:eastAsia="Arial"/>
        </w:rPr>
        <w:t>T </w:t>
      </w:r>
      <w:r>
        <w:rPr>
          <w:spacing w:val="-12"/>
        </w:rPr>
        <w:t>细</w:t>
      </w:r>
      <w:r>
        <w:rPr>
          <w:spacing w:val="12"/>
        </w:rPr>
        <w:t>胞表面的</w:t>
      </w:r>
      <w:r>
        <w:rPr>
          <w:rFonts w:ascii="Arial" w:eastAsia="Arial"/>
        </w:rPr>
        <w:t>T </w:t>
      </w:r>
      <w:r>
        <w:rPr>
          <w:spacing w:val="10"/>
        </w:rPr>
        <w:t>细胞受体</w:t>
      </w:r>
      <w:r>
        <w:rPr>
          <w:rFonts w:ascii="Arial" w:eastAsia="Arial"/>
        </w:rPr>
        <w:t>(TCR</w:t>
      </w:r>
      <w:r>
        <w:rPr>
          <w:rFonts w:ascii="Arial" w:eastAsia="Arial"/>
          <w:spacing w:val="2"/>
        </w:rPr>
        <w:t>) </w:t>
      </w:r>
      <w:r>
        <w:rPr>
          <w:spacing w:val="-5"/>
        </w:rPr>
        <w:t>识别到肿瘤表面主要组织相容性复合体 </w:t>
      </w:r>
      <w:r>
        <w:rPr>
          <w:rFonts w:ascii="Arial" w:eastAsia="Arial"/>
        </w:rPr>
        <w:t>(MHC</w:t>
      </w:r>
      <w:r>
        <w:rPr>
          <w:rFonts w:ascii="Arial" w:eastAsia="Arial"/>
          <w:spacing w:val="-2"/>
        </w:rPr>
        <w:t>) </w:t>
      </w:r>
      <w:r>
        <w:rPr>
          <w:spacing w:val="-5"/>
        </w:rPr>
        <w:t>提呈的抗原肽片</w:t>
      </w:r>
      <w:r>
        <w:rPr>
          <w:spacing w:val="3"/>
        </w:rPr>
        <w:t>段，第二信号是</w:t>
      </w:r>
      <w:r>
        <w:rPr>
          <w:rFonts w:ascii="Arial" w:eastAsia="Arial"/>
        </w:rPr>
        <w:t>T </w:t>
      </w:r>
      <w:r>
        <w:rPr>
          <w:spacing w:val="-4"/>
        </w:rPr>
        <w:t>细胞表面的共刺激分子</w:t>
      </w:r>
      <w:r>
        <w:rPr>
          <w:rFonts w:ascii="Arial" w:eastAsia="Arial"/>
        </w:rPr>
        <w:t>(CD28)</w:t>
      </w:r>
      <w:r>
        <w:rPr>
          <w:spacing w:val="-3"/>
        </w:rPr>
        <w:t>与提呈细胞</w:t>
      </w:r>
      <w:r>
        <w:rPr>
          <w:rFonts w:ascii="Arial" w:eastAsia="Arial"/>
        </w:rPr>
        <w:t>(APC)</w:t>
      </w:r>
      <w:r>
        <w:rPr/>
        <w:t>表面的 </w:t>
      </w:r>
      <w:r>
        <w:rPr>
          <w:rFonts w:ascii="Arial" w:eastAsia="Arial"/>
        </w:rPr>
        <w:t>B7 </w:t>
      </w:r>
      <w:r>
        <w:rPr/>
        <w:t>分子</w:t>
      </w:r>
      <w:r>
        <w:rPr>
          <w:rFonts w:ascii="Arial" w:eastAsia="Arial"/>
        </w:rPr>
        <w:t>(CD80 </w:t>
      </w:r>
      <w:r>
        <w:rPr/>
        <w:t>为</w:t>
      </w:r>
      <w:r>
        <w:rPr>
          <w:rFonts w:ascii="Arial" w:eastAsia="Arial"/>
        </w:rPr>
        <w:t>B7-1</w:t>
      </w:r>
      <w:r>
        <w:rPr/>
        <w:t>，</w:t>
      </w:r>
      <w:r>
        <w:rPr>
          <w:rFonts w:ascii="Arial" w:eastAsia="Arial"/>
        </w:rPr>
        <w:t>CD86 </w:t>
      </w:r>
      <w:r>
        <w:rPr>
          <w:spacing w:val="8"/>
        </w:rPr>
        <w:t>为 </w:t>
      </w:r>
      <w:r>
        <w:rPr>
          <w:rFonts w:ascii="Arial" w:eastAsia="Arial"/>
        </w:rPr>
        <w:t>B7-2)</w:t>
      </w:r>
      <w:r>
        <w:rPr>
          <w:spacing w:val="-2"/>
        </w:rPr>
        <w:t>相结合。</w:t>
      </w:r>
      <w:r>
        <w:rPr>
          <w:rFonts w:ascii="Arial" w:eastAsia="Arial"/>
        </w:rPr>
        <w:t>CD8+T </w:t>
      </w:r>
      <w:r>
        <w:rPr>
          <w:spacing w:val="-1"/>
        </w:rPr>
        <w:t>细胞通过识别 </w:t>
      </w:r>
      <w:r>
        <w:rPr>
          <w:rFonts w:ascii="Arial" w:eastAsia="Arial"/>
        </w:rPr>
        <w:t>MHC-I </w:t>
      </w:r>
      <w:r>
        <w:rPr>
          <w:spacing w:val="-5"/>
        </w:rPr>
        <w:t>呈递的细胞内源肽段，发挥抗</w:t>
      </w:r>
      <w:r>
        <w:rPr>
          <w:spacing w:val="-3"/>
        </w:rPr>
        <w:t>肿瘤免疫作用。然而肿瘤细胞通过调低 </w:t>
      </w:r>
      <w:r>
        <w:rPr>
          <w:rFonts w:ascii="Arial" w:eastAsia="Arial"/>
        </w:rPr>
        <w:t>MHC-I </w:t>
      </w:r>
      <w:r>
        <w:rPr>
          <w:spacing w:val="-2"/>
        </w:rPr>
        <w:t>的表达，减少抗原呈递，致使 </w:t>
      </w:r>
      <w:r>
        <w:rPr>
          <w:rFonts w:ascii="Arial" w:eastAsia="Arial"/>
        </w:rPr>
        <w:t>CD8+T </w:t>
      </w:r>
      <w:r>
        <w:rPr>
          <w:spacing w:val="-6"/>
        </w:rPr>
        <w:t>细胞</w:t>
      </w:r>
      <w:r>
        <w:rPr/>
        <w:t>无法被活化，从而逃避免疫系统的监测。在胰腺癌细胞中，也可观察到自噬相关受体蛋白</w:t>
      </w:r>
      <w:r>
        <w:rPr>
          <w:rFonts w:ascii="Arial" w:eastAsia="Arial"/>
        </w:rPr>
        <w:t>NBR1 </w:t>
      </w:r>
      <w:r>
        <w:rPr>
          <w:spacing w:val="-2"/>
        </w:rPr>
        <w:t>通过自噬依赖的通路促进 </w:t>
      </w:r>
      <w:r>
        <w:rPr>
          <w:rFonts w:ascii="Arial" w:eastAsia="Arial"/>
        </w:rPr>
        <w:t>MHC-I </w:t>
      </w:r>
      <w:r>
        <w:rPr>
          <w:spacing w:val="-5"/>
        </w:rPr>
        <w:t>运送至溶酶体，从而减少细胞表面 </w:t>
      </w:r>
      <w:r>
        <w:rPr>
          <w:rFonts w:ascii="Arial" w:eastAsia="Arial"/>
        </w:rPr>
        <w:t>MHC-I </w:t>
      </w:r>
      <w:r>
        <w:rPr>
          <w:spacing w:val="-2"/>
        </w:rPr>
        <w:t>的表达。</w:t>
      </w:r>
    </w:p>
    <w:p>
      <w:pPr>
        <w:pStyle w:val="BodyText"/>
        <w:spacing w:before="5"/>
        <w:ind w:left="0"/>
        <w:rPr>
          <w:sz w:val="14"/>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62"/>
        <w:gridCol w:w="5154"/>
      </w:tblGrid>
      <w:tr>
        <w:trPr>
          <w:trHeight w:val="3979" w:hRule="atLeast"/>
        </w:trPr>
        <w:tc>
          <w:tcPr>
            <w:tcW w:w="5162" w:type="dxa"/>
          </w:tcPr>
          <w:p>
            <w:pPr>
              <w:pStyle w:val="TableParagraph"/>
              <w:spacing w:line="301" w:lineRule="exact"/>
              <w:ind w:left="214"/>
              <w:rPr>
                <w:rFonts w:ascii="Microsoft JhengHei UI" w:eastAsia="Microsoft JhengHei UI" w:hint="eastAsia"/>
                <w:b/>
                <w:sz w:val="20"/>
              </w:rPr>
            </w:pPr>
            <w:r>
              <w:rPr>
                <w:rFonts w:ascii="Microsoft JhengHei UI" w:eastAsia="Microsoft JhengHei UI" w:hint="eastAsia"/>
                <w:b/>
                <w:sz w:val="20"/>
              </w:rPr>
              <w:t>图 </w:t>
            </w:r>
            <w:r>
              <w:rPr>
                <w:b/>
                <w:sz w:val="20"/>
              </w:rPr>
              <w:t>4: T </w:t>
            </w:r>
            <w:r>
              <w:rPr>
                <w:rFonts w:ascii="Microsoft JhengHei UI" w:eastAsia="Microsoft JhengHei UI" w:hint="eastAsia"/>
                <w:b/>
                <w:sz w:val="20"/>
              </w:rPr>
              <w:t>细胞活化的两种信号通路</w:t>
            </w:r>
          </w:p>
          <w:p>
            <w:pPr>
              <w:pStyle w:val="TableParagraph"/>
              <w:rPr>
                <w:rFonts w:ascii="PMingLiU"/>
                <w:sz w:val="26"/>
              </w:rPr>
            </w:pPr>
          </w:p>
          <w:p>
            <w:pPr>
              <w:pStyle w:val="TableParagraph"/>
              <w:rPr>
                <w:rFonts w:ascii="PMingLiU"/>
                <w:sz w:val="26"/>
              </w:rPr>
            </w:pPr>
          </w:p>
          <w:p>
            <w:pPr>
              <w:pStyle w:val="TableParagraph"/>
              <w:rPr>
                <w:rFonts w:ascii="PMingLiU"/>
                <w:sz w:val="26"/>
              </w:rPr>
            </w:pPr>
          </w:p>
          <w:p>
            <w:pPr>
              <w:pStyle w:val="TableParagraph"/>
              <w:rPr>
                <w:rFonts w:ascii="PMingLiU"/>
                <w:sz w:val="26"/>
              </w:rPr>
            </w:pPr>
          </w:p>
          <w:p>
            <w:pPr>
              <w:pStyle w:val="TableParagraph"/>
              <w:rPr>
                <w:rFonts w:ascii="PMingLiU"/>
                <w:sz w:val="26"/>
              </w:rPr>
            </w:pPr>
          </w:p>
          <w:p>
            <w:pPr>
              <w:pStyle w:val="TableParagraph"/>
              <w:rPr>
                <w:rFonts w:ascii="PMingLiU"/>
                <w:sz w:val="26"/>
              </w:rPr>
            </w:pPr>
          </w:p>
          <w:p>
            <w:pPr>
              <w:pStyle w:val="TableParagraph"/>
              <w:rPr>
                <w:rFonts w:ascii="PMingLiU"/>
                <w:sz w:val="26"/>
              </w:rPr>
            </w:pPr>
          </w:p>
          <w:p>
            <w:pPr>
              <w:pStyle w:val="TableParagraph"/>
              <w:rPr>
                <w:rFonts w:ascii="PMingLiU"/>
                <w:sz w:val="26"/>
              </w:rPr>
            </w:pPr>
          </w:p>
          <w:p>
            <w:pPr>
              <w:pStyle w:val="TableParagraph"/>
              <w:rPr>
                <w:rFonts w:ascii="PMingLiU"/>
                <w:sz w:val="26"/>
              </w:rPr>
            </w:pPr>
          </w:p>
          <w:p>
            <w:pPr>
              <w:pStyle w:val="TableParagraph"/>
              <w:spacing w:line="190" w:lineRule="exact" w:before="197"/>
              <w:ind w:left="214"/>
              <w:rPr>
                <w:rFonts w:ascii="PMingLiU" w:eastAsia="PMingLiU" w:hint="eastAsia"/>
                <w:sz w:val="16"/>
              </w:rPr>
            </w:pPr>
            <w:r>
              <w:rPr>
                <w:rFonts w:ascii="PMingLiU" w:eastAsia="PMingLiU" w:hint="eastAsia"/>
                <w:sz w:val="16"/>
              </w:rPr>
              <w:t>资料来源：</w:t>
            </w:r>
            <w:r>
              <w:rPr>
                <w:sz w:val="16"/>
              </w:rPr>
              <w:t>Immunotherapy of autoimmune disease</w:t>
            </w:r>
            <w:r>
              <w:rPr>
                <w:rFonts w:ascii="PMingLiU" w:eastAsia="PMingLiU" w:hint="eastAsia"/>
                <w:sz w:val="16"/>
              </w:rPr>
              <w:t>，招银国际证券</w:t>
            </w:r>
          </w:p>
        </w:tc>
        <w:tc>
          <w:tcPr>
            <w:tcW w:w="5154" w:type="dxa"/>
          </w:tcPr>
          <w:p>
            <w:pPr>
              <w:pStyle w:val="TableParagraph"/>
              <w:spacing w:line="301" w:lineRule="exact" w:after="4"/>
              <w:ind w:left="223"/>
              <w:rPr>
                <w:rFonts w:ascii="Microsoft JhengHei UI" w:eastAsia="Microsoft JhengHei UI" w:hint="eastAsia"/>
                <w:b/>
                <w:sz w:val="20"/>
              </w:rPr>
            </w:pPr>
            <w:r>
              <w:rPr>
                <w:rFonts w:ascii="Microsoft JhengHei UI" w:eastAsia="Microsoft JhengHei UI" w:hint="eastAsia"/>
                <w:b/>
                <w:sz w:val="20"/>
              </w:rPr>
              <w:t>图 </w:t>
            </w:r>
            <w:r>
              <w:rPr>
                <w:b/>
                <w:sz w:val="20"/>
              </w:rPr>
              <w:t>5: </w:t>
            </w:r>
            <w:r>
              <w:rPr>
                <w:rFonts w:ascii="Microsoft JhengHei UI" w:eastAsia="Microsoft JhengHei UI" w:hint="eastAsia"/>
                <w:b/>
                <w:sz w:val="20"/>
              </w:rPr>
              <w:t>胰腺癌细胞表面</w:t>
            </w:r>
            <w:r>
              <w:rPr>
                <w:b/>
                <w:sz w:val="20"/>
              </w:rPr>
              <w:t>MHC-1 </w:t>
            </w:r>
            <w:r>
              <w:rPr>
                <w:rFonts w:ascii="Microsoft JhengHei UI" w:eastAsia="Microsoft JhengHei UI" w:hint="eastAsia"/>
                <w:b/>
                <w:sz w:val="20"/>
              </w:rPr>
              <w:t>表达减少</w:t>
            </w:r>
          </w:p>
          <w:p>
            <w:pPr>
              <w:pStyle w:val="TableParagraph"/>
              <w:spacing w:line="28" w:lineRule="exact"/>
              <w:ind w:left="195" w:right="-58"/>
              <w:rPr>
                <w:rFonts w:ascii="PMingLiU"/>
                <w:sz w:val="2"/>
              </w:rPr>
            </w:pPr>
            <w:r>
              <w:rPr>
                <w:rFonts w:ascii="PMingLiU"/>
                <w:position w:val="0"/>
                <w:sz w:val="2"/>
              </w:rPr>
              <w:pict>
                <v:group style="width:247.6pt;height:1.45pt;mso-position-horizontal-relative:char;mso-position-vertical-relative:line" coordorigin="0,0" coordsize="4952,29">
                  <v:rect style="position:absolute;left:0;top:0;width:4952;height:29" filled="true" fillcolor="#000000" stroked="false">
                    <v:fill type="solid"/>
                  </v:rect>
                </v:group>
              </w:pict>
            </w:r>
            <w:r>
              <w:rPr>
                <w:rFonts w:ascii="PMingLiU"/>
                <w:position w:val="0"/>
                <w:sz w:val="2"/>
              </w:rPr>
            </w:r>
          </w:p>
          <w:p>
            <w:pPr>
              <w:pStyle w:val="TableParagraph"/>
              <w:spacing w:before="11"/>
              <w:rPr>
                <w:rFonts w:ascii="PMingLiU"/>
                <w:sz w:val="11"/>
              </w:rPr>
            </w:pPr>
          </w:p>
          <w:p>
            <w:pPr>
              <w:pStyle w:val="TableParagraph"/>
              <w:ind w:left="1069"/>
              <w:rPr>
                <w:rFonts w:ascii="PMingLiU"/>
                <w:sz w:val="20"/>
              </w:rPr>
            </w:pPr>
            <w:r>
              <w:rPr>
                <w:rFonts w:ascii="PMingLiU"/>
                <w:sz w:val="20"/>
              </w:rPr>
              <w:drawing>
                <wp:inline distT="0" distB="0" distL="0" distR="0">
                  <wp:extent cx="2100234" cy="2004536"/>
                  <wp:effectExtent l="0" t="0" r="0" b="0"/>
                  <wp:docPr id="3" name="image6.jpeg"/>
                  <wp:cNvGraphicFramePr>
                    <a:graphicFrameLocks noChangeAspect="1"/>
                  </wp:cNvGraphicFramePr>
                  <a:graphic>
                    <a:graphicData uri="http://schemas.openxmlformats.org/drawingml/2006/picture">
                      <pic:pic>
                        <pic:nvPicPr>
                          <pic:cNvPr id="4" name="image6.jpeg"/>
                          <pic:cNvPicPr/>
                        </pic:nvPicPr>
                        <pic:blipFill>
                          <a:blip r:embed="rId13" cstate="print"/>
                          <a:stretch>
                            <a:fillRect/>
                          </a:stretch>
                        </pic:blipFill>
                        <pic:spPr>
                          <a:xfrm>
                            <a:off x="0" y="0"/>
                            <a:ext cx="2100234" cy="2004536"/>
                          </a:xfrm>
                          <a:prstGeom prst="rect">
                            <a:avLst/>
                          </a:prstGeom>
                        </pic:spPr>
                      </pic:pic>
                    </a:graphicData>
                  </a:graphic>
                </wp:inline>
              </w:drawing>
            </w:r>
            <w:r>
              <w:rPr>
                <w:rFonts w:ascii="PMingLiU"/>
                <w:sz w:val="20"/>
              </w:rPr>
            </w:r>
          </w:p>
          <w:p>
            <w:pPr>
              <w:pStyle w:val="TableParagraph"/>
              <w:spacing w:line="190" w:lineRule="exact" w:before="115"/>
              <w:ind w:left="223"/>
              <w:rPr>
                <w:rFonts w:ascii="PMingLiU" w:eastAsia="PMingLiU" w:hint="eastAsia"/>
                <w:sz w:val="16"/>
              </w:rPr>
            </w:pPr>
            <w:r>
              <w:rPr>
                <w:rFonts w:ascii="PMingLiU" w:eastAsia="PMingLiU" w:hint="eastAsia"/>
                <w:sz w:val="16"/>
              </w:rPr>
              <w:t>资料来源：</w:t>
            </w:r>
            <w:r>
              <w:rPr>
                <w:sz w:val="16"/>
              </w:rPr>
              <w:t>Yamamoto K, et al. Nature 2020</w:t>
            </w:r>
            <w:r>
              <w:rPr>
                <w:rFonts w:ascii="PMingLiU" w:eastAsia="PMingLiU" w:hint="eastAsia"/>
                <w:sz w:val="16"/>
              </w:rPr>
              <w:t>，招银国际证券</w:t>
            </w:r>
          </w:p>
        </w:tc>
      </w:tr>
    </w:tbl>
    <w:p>
      <w:pPr>
        <w:pStyle w:val="BodyText"/>
        <w:spacing w:before="6"/>
        <w:ind w:left="0"/>
        <w:rPr>
          <w:sz w:val="29"/>
        </w:rPr>
      </w:pPr>
    </w:p>
    <w:p>
      <w:pPr>
        <w:pStyle w:val="BodyText"/>
        <w:spacing w:line="288" w:lineRule="auto" w:before="1"/>
        <w:ind w:right="2617"/>
      </w:pPr>
      <w:r>
        <w:rPr/>
        <w:pict>
          <v:rect style="position:absolute;margin-left:305.160004pt;margin-top:-33.389996pt;width:255.48pt;height:1.44pt;mso-position-horizontal-relative:page;mso-position-vertical-relative:paragraph;z-index:15733248" filled="true" fillcolor="#000000" stroked="false">
            <v:fill type="solid"/>
            <w10:wrap type="none"/>
          </v:rect>
        </w:pict>
      </w:r>
      <w:r>
        <w:rPr/>
        <w:t>为了克服 </w:t>
      </w:r>
      <w:r>
        <w:rPr>
          <w:rFonts w:ascii="Arial" w:hAnsi="Arial" w:eastAsia="Arial"/>
        </w:rPr>
        <w:t>TCR </w:t>
      </w:r>
      <w:r>
        <w:rPr/>
        <w:t>的 </w:t>
      </w:r>
      <w:r>
        <w:rPr>
          <w:rFonts w:ascii="Arial" w:hAnsi="Arial" w:eastAsia="Arial"/>
        </w:rPr>
        <w:t>MHC </w:t>
      </w:r>
      <w:r>
        <w:rPr/>
        <w:t>限制，嵌合抗原受体 </w:t>
      </w:r>
      <w:r>
        <w:rPr>
          <w:rFonts w:ascii="Arial" w:hAnsi="Arial" w:eastAsia="Arial"/>
        </w:rPr>
        <w:t>(CAR) </w:t>
      </w:r>
      <w:r>
        <w:rPr/>
        <w:t>应运而生，意图通过模拟</w:t>
      </w:r>
      <w:r>
        <w:rPr>
          <w:rFonts w:ascii="Arial" w:hAnsi="Arial" w:eastAsia="Arial"/>
        </w:rPr>
        <w:t>TCR </w:t>
      </w:r>
      <w:r>
        <w:rPr/>
        <w:t>的作用机制，帮助 </w:t>
      </w:r>
      <w:r>
        <w:rPr>
          <w:rFonts w:ascii="Arial" w:hAnsi="Arial" w:eastAsia="Arial"/>
        </w:rPr>
        <w:t>T </w:t>
      </w:r>
      <w:r>
        <w:rPr/>
        <w:t>细胞完成肿瘤抗原的识别。正常 </w:t>
      </w:r>
      <w:r>
        <w:rPr>
          <w:rFonts w:ascii="Arial" w:hAnsi="Arial" w:eastAsia="Arial"/>
        </w:rPr>
        <w:t>T </w:t>
      </w:r>
      <w:r>
        <w:rPr/>
        <w:t>细胞中 </w:t>
      </w:r>
      <w:r>
        <w:rPr>
          <w:rFonts w:ascii="Arial" w:hAnsi="Arial" w:eastAsia="Arial"/>
        </w:rPr>
        <w:t>TCR </w:t>
      </w:r>
      <w:r>
        <w:rPr/>
        <w:t>依靠 </w:t>
      </w:r>
      <w:r>
        <w:rPr>
          <w:rFonts w:ascii="Arial" w:hAnsi="Arial" w:eastAsia="Arial"/>
        </w:rPr>
        <w:t>α</w:t>
      </w:r>
      <w:r>
        <w:rPr/>
        <w:t>、</w:t>
      </w:r>
      <w:r>
        <w:rPr>
          <w:rFonts w:ascii="Arial" w:hAnsi="Arial" w:eastAsia="Arial"/>
        </w:rPr>
        <w:t>β </w:t>
      </w:r>
      <w:r>
        <w:rPr/>
        <w:t>链识别由 </w:t>
      </w:r>
      <w:r>
        <w:rPr>
          <w:rFonts w:ascii="Arial" w:hAnsi="Arial" w:eastAsia="Arial"/>
        </w:rPr>
        <w:t>MHC </w:t>
      </w:r>
      <w:r>
        <w:rPr/>
        <w:t>提 呈的抗原肽，进而激活</w:t>
      </w:r>
      <w:r>
        <w:rPr>
          <w:rFonts w:ascii="Arial" w:hAnsi="Arial" w:eastAsia="Arial"/>
        </w:rPr>
        <w:t>T </w:t>
      </w:r>
      <w:r>
        <w:rPr/>
        <w:t>细胞，而基因改造后的</w:t>
      </w:r>
      <w:r>
        <w:rPr>
          <w:rFonts w:ascii="Arial" w:hAnsi="Arial" w:eastAsia="Arial"/>
        </w:rPr>
        <w:t>T </w:t>
      </w:r>
      <w:r>
        <w:rPr/>
        <w:t>细胞表面表达直接靶向肿瘤抗原的</w:t>
      </w:r>
      <w:r>
        <w:rPr>
          <w:rFonts w:ascii="Arial" w:hAnsi="Arial" w:eastAsia="Arial"/>
        </w:rPr>
        <w:t>CARs</w:t>
      </w:r>
      <w:r>
        <w:rPr/>
        <w:t>， </w:t>
      </w:r>
      <w:r>
        <w:rPr>
          <w:rFonts w:ascii="Arial" w:hAnsi="Arial" w:eastAsia="Arial"/>
        </w:rPr>
        <w:t>T </w:t>
      </w:r>
      <w:r>
        <w:rPr/>
        <w:t>细胞得以在 </w:t>
      </w:r>
      <w:r>
        <w:rPr>
          <w:rFonts w:ascii="Arial" w:hAnsi="Arial" w:eastAsia="Arial"/>
        </w:rPr>
        <w:t>MHC </w:t>
      </w:r>
      <w:r>
        <w:rPr/>
        <w:t>下调表达后识别并清除癌细胞，达到缓解甚至是根治肿瘤的目的。</w:t>
      </w:r>
    </w:p>
    <w:p>
      <w:pPr>
        <w:pStyle w:val="Heading3"/>
        <w:spacing w:after="9"/>
      </w:pPr>
      <w:r>
        <w:rPr/>
        <w:t>图 </w:t>
      </w:r>
      <w:r>
        <w:rPr>
          <w:rFonts w:ascii="Arial" w:eastAsia="Arial"/>
        </w:rPr>
        <w:t>6: TCR </w:t>
      </w:r>
      <w:r>
        <w:rPr/>
        <w:t>与 </w:t>
      </w:r>
      <w:r>
        <w:rPr>
          <w:rFonts w:ascii="Arial" w:eastAsia="Arial"/>
        </w:rPr>
        <w:t>CAR </w:t>
      </w:r>
      <w:r>
        <w:rPr/>
        <w:t>的结构对比</w:t>
      </w:r>
    </w:p>
    <w:p>
      <w:pPr>
        <w:pStyle w:val="BodyText"/>
        <w:spacing w:line="28" w:lineRule="exact"/>
        <w:ind w:left="181"/>
        <w:rPr>
          <w:rFonts w:ascii="Microsoft JhengHei UI"/>
          <w:sz w:val="2"/>
        </w:rPr>
      </w:pPr>
      <w:r>
        <w:rPr>
          <w:rFonts w:ascii="Microsoft JhengHei UI"/>
          <w:position w:val="0"/>
          <w:sz w:val="2"/>
        </w:rPr>
        <w:pict>
          <v:group style="width:400.05pt;height:1.45pt;mso-position-horizontal-relative:char;mso-position-vertical-relative:line" coordorigin="0,0" coordsize="8001,29">
            <v:rect style="position:absolute;left:0;top:0;width:8001;height:29" filled="true" fillcolor="#000000" stroked="false">
              <v:fill type="solid"/>
            </v:rect>
          </v:group>
        </w:pict>
      </w:r>
      <w:r>
        <w:rPr>
          <w:rFonts w:ascii="Microsoft JhengHei UI"/>
          <w:position w:val="0"/>
          <w:sz w:val="2"/>
        </w:rPr>
      </w:r>
    </w:p>
    <w:p>
      <w:pPr>
        <w:pStyle w:val="BodyText"/>
        <w:spacing w:before="1"/>
        <w:ind w:left="0"/>
        <w:rPr>
          <w:rFonts w:ascii="Microsoft JhengHei UI"/>
          <w:b/>
          <w:sz w:val="4"/>
        </w:rPr>
      </w:pPr>
    </w:p>
    <w:p>
      <w:pPr>
        <w:pStyle w:val="BodyText"/>
        <w:ind w:left="181"/>
        <w:rPr>
          <w:rFonts w:ascii="Microsoft JhengHei UI"/>
        </w:rPr>
      </w:pPr>
      <w:r>
        <w:rPr>
          <w:rFonts w:ascii="Microsoft JhengHei UI"/>
        </w:rPr>
        <w:pict>
          <v:group style="width:400.05pt;height:155.35pt;mso-position-horizontal-relative:char;mso-position-vertical-relative:line" coordorigin="0,0" coordsize="8001,3107">
            <v:rect style="position:absolute;left:0;top:3077;width:8001;height:29" filled="true" fillcolor="#000000" stroked="false">
              <v:fill type="solid"/>
            </v:rect>
            <v:shape style="position:absolute;left:859;top:0;width:6343;height:3069" type="#_x0000_t75" stroked="false">
              <v:imagedata r:id="rId14" o:title=""/>
            </v:shape>
          </v:group>
        </w:pict>
      </w:r>
      <w:r>
        <w:rPr>
          <w:rFonts w:ascii="Microsoft JhengHei UI"/>
        </w:rPr>
      </w:r>
    </w:p>
    <w:p>
      <w:pPr>
        <w:spacing w:line="204" w:lineRule="exact" w:before="0"/>
        <w:ind w:left="210" w:right="0" w:firstLine="0"/>
        <w:jc w:val="left"/>
        <w:rPr>
          <w:sz w:val="16"/>
        </w:rPr>
      </w:pPr>
      <w:r>
        <w:rPr>
          <w:sz w:val="16"/>
        </w:rPr>
        <w:t>资料来源</w:t>
      </w:r>
      <w:r>
        <w:rPr>
          <w:rFonts w:ascii="Arial" w:eastAsia="Arial"/>
          <w:sz w:val="16"/>
        </w:rPr>
        <w:t>: Delhove, Juliette M K M et al. Current stem cell reports 2017, </w:t>
      </w:r>
      <w:r>
        <w:rPr>
          <w:sz w:val="16"/>
        </w:rPr>
        <w:t>招银国际证券</w:t>
      </w:r>
    </w:p>
    <w:p>
      <w:pPr>
        <w:spacing w:line="247" w:lineRule="auto" w:before="11"/>
        <w:ind w:left="210" w:right="2754" w:firstLine="0"/>
        <w:jc w:val="left"/>
        <w:rPr>
          <w:sz w:val="16"/>
        </w:rPr>
      </w:pPr>
      <w:r>
        <w:rPr>
          <w:sz w:val="16"/>
        </w:rPr>
        <w:t>注：</w:t>
      </w:r>
      <w:r>
        <w:rPr>
          <w:rFonts w:ascii="Arial" w:eastAsia="Arial"/>
          <w:sz w:val="16"/>
        </w:rPr>
        <w:t>TCR </w:t>
      </w:r>
      <w:r>
        <w:rPr>
          <w:sz w:val="16"/>
        </w:rPr>
        <w:t>与 </w:t>
      </w:r>
      <w:r>
        <w:rPr>
          <w:rFonts w:ascii="Arial" w:eastAsia="Arial"/>
          <w:sz w:val="16"/>
        </w:rPr>
        <w:t>CD3 </w:t>
      </w:r>
      <w:r>
        <w:rPr>
          <w:sz w:val="16"/>
        </w:rPr>
        <w:t>以 </w:t>
      </w:r>
      <w:r>
        <w:rPr>
          <w:rFonts w:ascii="Arial" w:eastAsia="Arial"/>
          <w:sz w:val="16"/>
        </w:rPr>
        <w:t>TCR-CD3 </w:t>
      </w:r>
      <w:r>
        <w:rPr>
          <w:sz w:val="16"/>
        </w:rPr>
        <w:t>复合物形式存在于 </w:t>
      </w:r>
      <w:r>
        <w:rPr>
          <w:rFonts w:ascii="Arial" w:eastAsia="Arial"/>
          <w:sz w:val="16"/>
        </w:rPr>
        <w:t>T </w:t>
      </w:r>
      <w:r>
        <w:rPr>
          <w:sz w:val="16"/>
        </w:rPr>
        <w:t>细胞表面，</w:t>
      </w:r>
      <w:r>
        <w:rPr>
          <w:rFonts w:ascii="Arial" w:eastAsia="Arial"/>
          <w:sz w:val="16"/>
        </w:rPr>
        <w:t>CD3 </w:t>
      </w:r>
      <w:r>
        <w:rPr>
          <w:sz w:val="16"/>
        </w:rPr>
        <w:t>将 </w:t>
      </w:r>
      <w:r>
        <w:rPr>
          <w:rFonts w:ascii="Arial" w:eastAsia="Arial"/>
          <w:sz w:val="16"/>
        </w:rPr>
        <w:t>TCR </w:t>
      </w:r>
      <w:r>
        <w:rPr>
          <w:sz w:val="16"/>
        </w:rPr>
        <w:t>识别到的抗原信号由 </w:t>
      </w:r>
      <w:r>
        <w:rPr>
          <w:rFonts w:ascii="Arial" w:eastAsia="Arial"/>
          <w:sz w:val="16"/>
        </w:rPr>
        <w:t>T </w:t>
      </w:r>
      <w:r>
        <w:rPr>
          <w:sz w:val="16"/>
        </w:rPr>
        <w:t>细胞表面由外向内传递，引起</w:t>
      </w:r>
      <w:r>
        <w:rPr>
          <w:rFonts w:ascii="Arial" w:eastAsia="Arial"/>
          <w:sz w:val="16"/>
        </w:rPr>
        <w:t>T </w:t>
      </w:r>
      <w:r>
        <w:rPr>
          <w:sz w:val="16"/>
        </w:rPr>
        <w:t>细胞的活化</w:t>
      </w:r>
    </w:p>
    <w:p>
      <w:pPr>
        <w:spacing w:after="0" w:line="247" w:lineRule="auto"/>
        <w:jc w:val="left"/>
        <w:rPr>
          <w:sz w:val="16"/>
        </w:rPr>
        <w:sectPr>
          <w:pgSz w:w="11910" w:h="16840"/>
          <w:pgMar w:header="682" w:footer="358" w:top="1380" w:bottom="540" w:left="640" w:right="300"/>
        </w:sectPr>
      </w:pPr>
    </w:p>
    <w:p>
      <w:pPr>
        <w:pStyle w:val="BodyText"/>
        <w:spacing w:before="9"/>
        <w:ind w:left="0"/>
        <w:rPr>
          <w:sz w:val="12"/>
        </w:rPr>
      </w:pPr>
    </w:p>
    <w:p>
      <w:pPr>
        <w:pStyle w:val="Heading2"/>
        <w:jc w:val="both"/>
      </w:pPr>
      <w:bookmarkStart w:name="_bookmark3" w:id="4"/>
      <w:bookmarkEnd w:id="4"/>
      <w:r>
        <w:rPr>
          <w:b w:val="0"/>
        </w:rPr>
      </w:r>
      <w:r>
        <w:rPr>
          <w:color w:val="585858"/>
        </w:rPr>
        <w:t>构造精巧机制明确，</w:t>
      </w:r>
      <w:r>
        <w:rPr>
          <w:rFonts w:ascii="Arial" w:eastAsia="Arial"/>
          <w:color w:val="585858"/>
        </w:rPr>
        <w:t>CAR-T </w:t>
      </w:r>
      <w:r>
        <w:rPr>
          <w:color w:val="585858"/>
        </w:rPr>
        <w:t>已历经若干迭代</w:t>
      </w:r>
    </w:p>
    <w:p>
      <w:pPr>
        <w:pStyle w:val="BodyText"/>
        <w:spacing w:before="119"/>
        <w:jc w:val="both"/>
      </w:pPr>
      <w:r>
        <w:rPr>
          <w:rFonts w:ascii="Arial" w:eastAsia="Arial"/>
        </w:rPr>
        <w:t>CAR </w:t>
      </w:r>
      <w:r>
        <w:rPr>
          <w:spacing w:val="-4"/>
        </w:rPr>
        <w:t>是一种模块化的合成受体，对各元件进行组合优化有望生产疗效更佳的</w:t>
      </w:r>
      <w:r>
        <w:rPr>
          <w:rFonts w:ascii="Arial" w:eastAsia="Arial"/>
        </w:rPr>
        <w:t>CAR-T</w:t>
      </w:r>
      <w:r>
        <w:rPr>
          <w:rFonts w:ascii="Arial" w:eastAsia="Arial"/>
          <w:spacing w:val="6"/>
        </w:rPr>
        <w:t> </w:t>
      </w:r>
      <w:r>
        <w:rPr>
          <w:spacing w:val="-2"/>
        </w:rPr>
        <w:t>细胞。</w:t>
      </w:r>
    </w:p>
    <w:p>
      <w:pPr>
        <w:pStyle w:val="BodyText"/>
        <w:spacing w:before="57"/>
        <w:jc w:val="both"/>
      </w:pPr>
      <w:r>
        <w:rPr>
          <w:rFonts w:ascii="Arial" w:eastAsia="Arial"/>
        </w:rPr>
        <w:t>CAR</w:t>
      </w:r>
      <w:r>
        <w:rPr>
          <w:rFonts w:ascii="Arial" w:eastAsia="Arial"/>
          <w:spacing w:val="26"/>
        </w:rPr>
        <w:t> </w:t>
      </w:r>
      <w:r>
        <w:rPr>
          <w:spacing w:val="-1"/>
        </w:rPr>
        <w:t>的组成元件包括：</w:t>
      </w:r>
      <w:r>
        <w:rPr>
          <w:rFonts w:ascii="Arial" w:eastAsia="Arial"/>
        </w:rPr>
        <w:t>1</w:t>
      </w:r>
      <w:r>
        <w:rPr>
          <w:rFonts w:ascii="Arial" w:eastAsia="Arial"/>
          <w:spacing w:val="27"/>
        </w:rPr>
        <w:t>) </w:t>
      </w:r>
      <w:r>
        <w:rPr>
          <w:spacing w:val="-5"/>
        </w:rPr>
        <w:t>胞外抗原结合域，负责直接识别并结合肿瘤相关抗原</w:t>
      </w:r>
      <w:r>
        <w:rPr/>
        <w:t>（</w:t>
      </w:r>
      <w:r>
        <w:rPr>
          <w:rFonts w:ascii="Arial" w:eastAsia="Arial"/>
        </w:rPr>
        <w:t>TAA</w:t>
      </w:r>
      <w:r>
        <w:rPr/>
        <w:t>）；</w:t>
      </w:r>
    </w:p>
    <w:p>
      <w:pPr>
        <w:pStyle w:val="BodyText"/>
        <w:spacing w:line="285" w:lineRule="auto" w:before="56"/>
        <w:ind w:right="2809"/>
        <w:jc w:val="both"/>
      </w:pPr>
      <w:r>
        <w:rPr>
          <w:rFonts w:ascii="Arial" w:hAnsi="Arial" w:eastAsia="Arial"/>
        </w:rPr>
        <w:t>2) </w:t>
      </w:r>
      <w:r>
        <w:rPr/>
        <w:t>铰链区，负责链接抗原结合域与跨膜结构域；</w:t>
      </w:r>
      <w:r>
        <w:rPr>
          <w:rFonts w:ascii="Arial" w:hAnsi="Arial" w:eastAsia="Arial"/>
        </w:rPr>
        <w:t>3) </w:t>
      </w:r>
      <w:r>
        <w:rPr/>
        <w:t>跨膜结构域，负责将 </w:t>
      </w:r>
      <w:r>
        <w:rPr>
          <w:rFonts w:ascii="Arial" w:hAnsi="Arial" w:eastAsia="Arial"/>
        </w:rPr>
        <w:t>CAR </w:t>
      </w:r>
      <w:r>
        <w:rPr/>
        <w:t>锚定在 </w:t>
      </w:r>
      <w:r>
        <w:rPr>
          <w:rFonts w:ascii="Arial" w:hAnsi="Arial" w:eastAsia="Arial"/>
        </w:rPr>
        <w:t>T </w:t>
      </w:r>
      <w:r>
        <w:rPr/>
        <w:t>细胞膜上；</w:t>
      </w:r>
      <w:r>
        <w:rPr>
          <w:rFonts w:ascii="Arial" w:hAnsi="Arial" w:eastAsia="Arial"/>
        </w:rPr>
        <w:t>4) </w:t>
      </w:r>
      <w:r>
        <w:rPr/>
        <w:t>胞内信号传导域</w:t>
      </w:r>
      <w:r>
        <w:rPr>
          <w:rFonts w:ascii="Arial" w:hAnsi="Arial" w:eastAsia="Arial"/>
        </w:rPr>
        <w:t>(</w:t>
      </w:r>
      <w:r>
        <w:rPr/>
        <w:t>共刺激域</w:t>
      </w:r>
      <w:r>
        <w:rPr>
          <w:rFonts w:ascii="Arial" w:hAnsi="Arial" w:eastAsia="Arial"/>
        </w:rPr>
        <w:t>+CD3ζ)</w:t>
      </w:r>
      <w:r>
        <w:rPr/>
        <w:t>，负责放大抗原信号并传导至胞内，激活</w:t>
      </w:r>
      <w:r>
        <w:rPr>
          <w:rFonts w:ascii="Arial" w:hAnsi="Arial" w:eastAsia="Arial"/>
        </w:rPr>
        <w:t>T </w:t>
      </w:r>
      <w:r>
        <w:rPr/>
        <w:t>细胞。</w:t>
      </w:r>
    </w:p>
    <w:p>
      <w:pPr>
        <w:pStyle w:val="BodyText"/>
        <w:spacing w:line="283" w:lineRule="auto" w:before="72"/>
        <w:ind w:right="2814"/>
        <w:jc w:val="both"/>
      </w:pPr>
      <w:r>
        <w:rPr>
          <w:rFonts w:ascii="Microsoft JhengHei UI" w:eastAsia="Microsoft JhengHei UI" w:hint="eastAsia"/>
          <w:b/>
        </w:rPr>
        <w:t>抗原结合域特异性识别结合肿瘤抗原，亲和力是重要参数。</w:t>
      </w:r>
      <w:r>
        <w:rPr/>
        <w:t>抗原结合结构域一般为单链可</w:t>
      </w:r>
      <w:r>
        <w:rPr>
          <w:spacing w:val="12"/>
        </w:rPr>
        <w:t>变区 </w:t>
      </w:r>
      <w:r>
        <w:rPr>
          <w:rFonts w:ascii="Arial" w:eastAsia="Arial"/>
        </w:rPr>
        <w:t>(scFv)</w:t>
      </w:r>
      <w:r>
        <w:rPr/>
        <w:t>，是具有抗原结合能力的免疫球蛋白分子的最小单位，由单克隆抗体的可变重</w:t>
      </w:r>
      <w:r>
        <w:rPr>
          <w:spacing w:val="16"/>
        </w:rPr>
        <w:t>链 </w:t>
      </w:r>
      <w:r>
        <w:rPr>
          <w:rFonts w:ascii="Arial" w:eastAsia="Arial"/>
        </w:rPr>
        <w:t>(VH</w:t>
      </w:r>
      <w:r>
        <w:rPr>
          <w:rFonts w:ascii="Arial" w:eastAsia="Arial"/>
          <w:spacing w:val="15"/>
        </w:rPr>
        <w:t>) </w:t>
      </w:r>
      <w:r>
        <w:rPr>
          <w:spacing w:val="4"/>
        </w:rPr>
        <w:t>和可变轻链 </w:t>
      </w:r>
      <w:r>
        <w:rPr>
          <w:rFonts w:ascii="Arial" w:eastAsia="Arial"/>
        </w:rPr>
        <w:t>(VL</w:t>
      </w:r>
      <w:r>
        <w:rPr>
          <w:rFonts w:ascii="Arial" w:eastAsia="Arial"/>
          <w:spacing w:val="15"/>
        </w:rPr>
        <w:t>) </w:t>
      </w:r>
      <w:r>
        <w:rPr>
          <w:spacing w:val="-1"/>
        </w:rPr>
        <w:t>经柔性连接物连接而成 </w:t>
      </w:r>
      <w:r>
        <w:rPr>
          <w:rFonts w:ascii="Arial" w:eastAsia="Arial"/>
        </w:rPr>
        <w:t>(VH-linker-VL </w:t>
      </w:r>
      <w:r>
        <w:rPr>
          <w:spacing w:val="-1"/>
        </w:rPr>
        <w:t>或 </w:t>
      </w:r>
      <w:r>
        <w:rPr>
          <w:rFonts w:ascii="Arial" w:eastAsia="Arial"/>
        </w:rPr>
        <w:t>VL-linker-VH </w:t>
      </w:r>
      <w:r>
        <w:rPr/>
        <w:t>结构</w:t>
      </w:r>
      <w:r>
        <w:rPr>
          <w:rFonts w:ascii="Arial" w:eastAsia="Arial"/>
          <w:spacing w:val="-5"/>
        </w:rPr>
        <w:t>)</w:t>
      </w:r>
      <w:r>
        <w:rPr/>
        <w:t>。抗</w:t>
      </w:r>
      <w:r>
        <w:rPr>
          <w:spacing w:val="-1"/>
        </w:rPr>
        <w:t>原结合域的亲和力直接决定了 </w:t>
      </w:r>
      <w:r>
        <w:rPr>
          <w:rFonts w:ascii="Arial" w:eastAsia="Arial"/>
        </w:rPr>
        <w:t>CAR </w:t>
      </w:r>
      <w:r>
        <w:rPr>
          <w:spacing w:val="-3"/>
        </w:rPr>
        <w:t>的功能。其他设计方面，用人源化或全人源 </w:t>
      </w:r>
      <w:r>
        <w:rPr>
          <w:rFonts w:ascii="Arial" w:eastAsia="Arial"/>
          <w:spacing w:val="-3"/>
        </w:rPr>
        <w:t>scFv </w:t>
      </w:r>
      <w:r>
        <w:rPr>
          <w:spacing w:val="-7"/>
        </w:rPr>
        <w:t>替代</w:t>
      </w:r>
      <w:r>
        <w:rPr>
          <w:spacing w:val="4"/>
        </w:rPr>
        <w:t>鼠源可以降低 </w:t>
      </w:r>
      <w:r>
        <w:rPr>
          <w:rFonts w:ascii="Arial" w:eastAsia="Arial"/>
        </w:rPr>
        <w:t>CAR </w:t>
      </w:r>
      <w:r>
        <w:rPr>
          <w:spacing w:val="-3"/>
        </w:rPr>
        <w:t>的免疫原性，避免宿主免疫排斥，提高 </w:t>
      </w:r>
      <w:r>
        <w:rPr>
          <w:rFonts w:ascii="Arial" w:eastAsia="Arial"/>
        </w:rPr>
        <w:t>CAR-T </w:t>
      </w:r>
      <w:r>
        <w:rPr>
          <w:spacing w:val="-5"/>
        </w:rPr>
        <w:t>细胞持久性。此外，骆</w:t>
      </w:r>
      <w:r>
        <w:rPr/>
        <w:t>驼重链可变区 </w:t>
      </w:r>
      <w:r>
        <w:rPr>
          <w:rFonts w:ascii="Arial" w:eastAsia="Arial"/>
        </w:rPr>
        <w:t>(VHH</w:t>
      </w:r>
      <w:r>
        <w:rPr>
          <w:rFonts w:ascii="Arial" w:eastAsia="Arial"/>
          <w:spacing w:val="26"/>
        </w:rPr>
        <w:t>) </w:t>
      </w:r>
      <w:r>
        <w:rPr>
          <w:spacing w:val="-6"/>
        </w:rPr>
        <w:t>也被用作胞外抗原结合域。骆驼类抗体天然缺失轻链，又被称为重链</w:t>
      </w:r>
      <w:r>
        <w:rPr/>
        <w:t>抗体，</w:t>
      </w:r>
      <w:r>
        <w:rPr>
          <w:rFonts w:ascii="Arial" w:eastAsia="Arial"/>
        </w:rPr>
        <w:t>VHH </w:t>
      </w:r>
      <w:r>
        <w:rPr/>
        <w:t>的特点包括特异性高，比</w:t>
      </w:r>
      <w:r>
        <w:rPr>
          <w:rFonts w:ascii="Arial" w:eastAsia="Arial"/>
          <w:spacing w:val="-3"/>
        </w:rPr>
        <w:t>scFv </w:t>
      </w:r>
      <w:r>
        <w:rPr>
          <w:spacing w:val="-5"/>
        </w:rPr>
        <w:t>稳定性更好，尺寸更小等。</w:t>
      </w:r>
    </w:p>
    <w:p>
      <w:pPr>
        <w:pStyle w:val="Heading3"/>
        <w:spacing w:before="72" w:after="4"/>
        <w:rPr>
          <w:rFonts w:ascii="Arial" w:eastAsia="Arial"/>
        </w:rPr>
      </w:pPr>
      <w:r>
        <w:rPr/>
        <w:t>图 </w:t>
      </w:r>
      <w:r>
        <w:rPr>
          <w:rFonts w:ascii="Arial" w:eastAsia="Arial"/>
        </w:rPr>
        <w:t>7: CAR-T </w:t>
      </w:r>
      <w:r>
        <w:rPr/>
        <w:t>的胞外抗原结合域 </w:t>
      </w:r>
      <w:r>
        <w:rPr>
          <w:rFonts w:ascii="Arial" w:eastAsia="Arial"/>
        </w:rPr>
        <w:t>scFv &amp; VHH</w:t>
      </w:r>
    </w:p>
    <w:p>
      <w:pPr>
        <w:pStyle w:val="BodyText"/>
        <w:ind w:left="181"/>
        <w:rPr>
          <w:rFonts w:ascii="Arial"/>
        </w:rPr>
      </w:pPr>
      <w:r>
        <w:rPr>
          <w:rFonts w:ascii="Arial"/>
        </w:rPr>
        <w:pict>
          <v:group style="width:400.05pt;height:155.8pt;mso-position-horizontal-relative:char;mso-position-vertical-relative:line" coordorigin="0,0" coordsize="8001,3116">
            <v:shape style="position:absolute;left:0;top:0;width:8001;height:3116" coordorigin="0,0" coordsize="8001,3116" path="m8000,3087l0,3087,0,3116,8000,3116,8000,3087xm8000,0l0,0,0,29,8000,29,8000,0xe" filled="true" fillcolor="#000000" stroked="false">
              <v:path arrowok="t"/>
              <v:fill type="solid"/>
            </v:shape>
            <v:shape style="position:absolute;left:665;top:83;width:6703;height:2983" type="#_x0000_t75" stroked="false">
              <v:imagedata r:id="rId15" o:title=""/>
            </v:shape>
          </v:group>
        </w:pict>
      </w:r>
      <w:r>
        <w:rPr>
          <w:rFonts w:ascii="Arial"/>
        </w:rPr>
      </w:r>
    </w:p>
    <w:p>
      <w:pPr>
        <w:spacing w:line="212" w:lineRule="exact" w:before="0"/>
        <w:ind w:left="210" w:right="0" w:firstLine="0"/>
        <w:jc w:val="left"/>
        <w:rPr>
          <w:sz w:val="16"/>
        </w:rPr>
      </w:pPr>
      <w:r>
        <w:rPr>
          <w:sz w:val="16"/>
        </w:rPr>
        <w:t>资料来源</w:t>
      </w:r>
      <w:r>
        <w:rPr>
          <w:rFonts w:ascii="Arial" w:eastAsia="Arial"/>
          <w:sz w:val="16"/>
        </w:rPr>
        <w:t>: Hybribody</w:t>
      </w:r>
      <w:r>
        <w:rPr>
          <w:sz w:val="16"/>
        </w:rPr>
        <w:t>，招银国际证券</w:t>
      </w:r>
    </w:p>
    <w:p>
      <w:pPr>
        <w:pStyle w:val="BodyText"/>
        <w:spacing w:before="4"/>
        <w:ind w:left="0"/>
        <w:rPr>
          <w:sz w:val="27"/>
        </w:rPr>
      </w:pPr>
    </w:p>
    <w:p>
      <w:pPr>
        <w:pStyle w:val="BodyText"/>
        <w:spacing w:line="280" w:lineRule="auto" w:before="45"/>
        <w:ind w:right="2810"/>
        <w:jc w:val="both"/>
      </w:pPr>
      <w:r>
        <w:rPr>
          <w:rFonts w:ascii="Microsoft JhengHei UI" w:eastAsia="Microsoft JhengHei UI" w:hint="eastAsia"/>
          <w:b/>
        </w:rPr>
        <w:t>铰链区连接胞外域与跨膜域，长度或影响 </w:t>
      </w:r>
      <w:r>
        <w:rPr>
          <w:rFonts w:ascii="Arial" w:eastAsia="Arial"/>
          <w:b/>
        </w:rPr>
        <w:t>CAR </w:t>
      </w:r>
      <w:r>
        <w:rPr>
          <w:rFonts w:ascii="Microsoft JhengHei UI" w:eastAsia="Microsoft JhengHei UI" w:hint="eastAsia"/>
          <w:b/>
        </w:rPr>
        <w:t>功能。</w:t>
      </w:r>
      <w:r>
        <w:rPr/>
        <w:t>铰链区的功能包括提供灵活性，克服空间阻碍，及贡献 </w:t>
      </w:r>
      <w:r>
        <w:rPr>
          <w:rFonts w:ascii="Arial" w:eastAsia="Arial"/>
        </w:rPr>
        <w:t>CAR </w:t>
      </w:r>
      <w:r>
        <w:rPr/>
        <w:t>的长度，使得抗原结合域可以接触到靶表位等。最佳铰链区长度取决于肿瘤细胞靶表位的位置和暴露程度，需要根据特定的抗原结合域进行定制。最常用的铰链区来自 </w:t>
      </w:r>
      <w:r>
        <w:rPr>
          <w:rFonts w:ascii="Arial" w:eastAsia="Arial"/>
        </w:rPr>
        <w:t>CD8</w:t>
      </w:r>
      <w:r>
        <w:rPr/>
        <w:t>、</w:t>
      </w:r>
      <w:r>
        <w:rPr>
          <w:rFonts w:ascii="Arial" w:eastAsia="Arial"/>
        </w:rPr>
        <w:t>CD28</w:t>
      </w:r>
      <w:r>
        <w:rPr/>
        <w:t>、</w:t>
      </w:r>
      <w:r>
        <w:rPr>
          <w:rFonts w:ascii="Arial" w:eastAsia="Arial"/>
        </w:rPr>
        <w:t>IgG1 </w:t>
      </w:r>
      <w:r>
        <w:rPr/>
        <w:t>或 </w:t>
      </w:r>
      <w:r>
        <w:rPr>
          <w:rFonts w:ascii="Arial" w:eastAsia="Arial"/>
        </w:rPr>
        <w:t>IgG4 </w:t>
      </w:r>
      <w:r>
        <w:rPr/>
        <w:t>的氨基酸序列，其中来自 </w:t>
      </w:r>
      <w:r>
        <w:rPr>
          <w:rFonts w:ascii="Arial" w:eastAsia="Arial"/>
        </w:rPr>
        <w:t>lgG </w:t>
      </w:r>
      <w:r>
        <w:rPr/>
        <w:t>的铰链区可能导致</w:t>
      </w:r>
      <w:r>
        <w:rPr>
          <w:rFonts w:ascii="Arial" w:eastAsia="Arial"/>
        </w:rPr>
        <w:t>CAR-T </w:t>
      </w:r>
      <w:r>
        <w:rPr/>
        <w:t>细胞耗竭，从而影响其回输后的持久性。</w:t>
      </w:r>
    </w:p>
    <w:p>
      <w:pPr>
        <w:spacing w:line="273" w:lineRule="auto" w:before="70"/>
        <w:ind w:left="210" w:right="2814" w:firstLine="0"/>
        <w:jc w:val="both"/>
        <w:rPr>
          <w:sz w:val="20"/>
        </w:rPr>
      </w:pPr>
      <w:r>
        <w:rPr>
          <w:rFonts w:ascii="Microsoft JhengHei UI" w:hAnsi="Microsoft JhengHei UI" w:eastAsia="Microsoft JhengHei UI" w:hint="eastAsia"/>
          <w:b/>
          <w:sz w:val="20"/>
        </w:rPr>
        <w:t>跨膜结构域将 </w:t>
      </w:r>
      <w:r>
        <w:rPr>
          <w:rFonts w:ascii="Arial" w:hAnsi="Arial" w:eastAsia="Arial"/>
          <w:b/>
          <w:sz w:val="20"/>
        </w:rPr>
        <w:t>CAR </w:t>
      </w:r>
      <w:r>
        <w:rPr>
          <w:rFonts w:ascii="Microsoft JhengHei UI" w:hAnsi="Microsoft JhengHei UI" w:eastAsia="Microsoft JhengHei UI" w:hint="eastAsia"/>
          <w:b/>
          <w:sz w:val="20"/>
        </w:rPr>
        <w:t>锚定在 </w:t>
      </w:r>
      <w:r>
        <w:rPr>
          <w:rFonts w:ascii="Arial" w:hAnsi="Arial" w:eastAsia="Arial"/>
          <w:b/>
          <w:sz w:val="20"/>
        </w:rPr>
        <w:t>T </w:t>
      </w:r>
      <w:r>
        <w:rPr>
          <w:rFonts w:ascii="Microsoft JhengHei UI" w:hAnsi="Microsoft JhengHei UI" w:eastAsia="Microsoft JhengHei UI" w:hint="eastAsia"/>
          <w:b/>
          <w:sz w:val="20"/>
        </w:rPr>
        <w:t>细胞表面，可能影响 </w:t>
      </w:r>
      <w:r>
        <w:rPr>
          <w:rFonts w:ascii="Arial" w:hAnsi="Arial" w:eastAsia="Arial"/>
          <w:b/>
          <w:sz w:val="20"/>
        </w:rPr>
        <w:t>CAR </w:t>
      </w:r>
      <w:r>
        <w:rPr>
          <w:rFonts w:ascii="Microsoft JhengHei UI" w:hAnsi="Microsoft JhengHei UI" w:eastAsia="Microsoft JhengHei UI" w:hint="eastAsia"/>
          <w:b/>
          <w:sz w:val="20"/>
        </w:rPr>
        <w:t>的表达水平与稳定性。</w:t>
      </w:r>
      <w:r>
        <w:rPr>
          <w:sz w:val="20"/>
        </w:rPr>
        <w:t>跨膜结构域包括 </w:t>
      </w:r>
      <w:r>
        <w:rPr>
          <w:rFonts w:ascii="Arial" w:hAnsi="Arial" w:eastAsia="Arial"/>
          <w:sz w:val="20"/>
        </w:rPr>
        <w:t>CD3ζ</w:t>
      </w:r>
      <w:r>
        <w:rPr>
          <w:sz w:val="20"/>
        </w:rPr>
        <w:t>、</w:t>
      </w:r>
      <w:r>
        <w:rPr>
          <w:rFonts w:ascii="Arial" w:hAnsi="Arial" w:eastAsia="Arial"/>
          <w:sz w:val="20"/>
        </w:rPr>
        <w:t>CD4</w:t>
      </w:r>
      <w:r>
        <w:rPr>
          <w:sz w:val="20"/>
        </w:rPr>
        <w:t>、</w:t>
      </w:r>
      <w:r>
        <w:rPr>
          <w:rFonts w:ascii="Arial" w:hAnsi="Arial" w:eastAsia="Arial"/>
          <w:sz w:val="20"/>
        </w:rPr>
        <w:t>CD8α</w:t>
      </w:r>
      <w:r>
        <w:rPr>
          <w:sz w:val="20"/>
        </w:rPr>
        <w:t>、</w:t>
      </w:r>
      <w:r>
        <w:rPr>
          <w:rFonts w:ascii="Arial" w:hAnsi="Arial" w:eastAsia="Arial"/>
          <w:sz w:val="20"/>
        </w:rPr>
        <w:t>CD28 </w:t>
      </w:r>
      <w:r>
        <w:rPr>
          <w:sz w:val="20"/>
        </w:rPr>
        <w:t>等。采用 </w:t>
      </w:r>
      <w:r>
        <w:rPr>
          <w:rFonts w:ascii="Arial" w:hAnsi="Arial" w:eastAsia="Arial"/>
          <w:sz w:val="20"/>
        </w:rPr>
        <w:t>CD3ζ </w:t>
      </w:r>
      <w:r>
        <w:rPr>
          <w:sz w:val="20"/>
        </w:rPr>
        <w:t>作为跨膜域可能促进 </w:t>
      </w:r>
      <w:r>
        <w:rPr>
          <w:rFonts w:ascii="Arial" w:hAnsi="Arial" w:eastAsia="Arial"/>
          <w:sz w:val="20"/>
        </w:rPr>
        <w:t>T </w:t>
      </w:r>
      <w:r>
        <w:rPr>
          <w:sz w:val="20"/>
        </w:rPr>
        <w:t>细胞激活，代价是牺牲</w:t>
      </w:r>
      <w:r>
        <w:rPr>
          <w:rFonts w:ascii="Arial" w:hAnsi="Arial" w:eastAsia="Arial"/>
          <w:sz w:val="20"/>
        </w:rPr>
        <w:t>CAR </w:t>
      </w:r>
      <w:r>
        <w:rPr>
          <w:sz w:val="20"/>
        </w:rPr>
        <w:t>稳定性，相比之下常用的 </w:t>
      </w:r>
      <w:r>
        <w:rPr>
          <w:rFonts w:ascii="Arial" w:hAnsi="Arial" w:eastAsia="Arial"/>
          <w:sz w:val="20"/>
        </w:rPr>
        <w:t>CD8α </w:t>
      </w:r>
      <w:r>
        <w:rPr>
          <w:sz w:val="20"/>
        </w:rPr>
        <w:t>或 </w:t>
      </w:r>
      <w:r>
        <w:rPr>
          <w:rFonts w:ascii="Arial" w:hAnsi="Arial" w:eastAsia="Arial"/>
          <w:sz w:val="20"/>
        </w:rPr>
        <w:t>CD28 </w:t>
      </w:r>
      <w:r>
        <w:rPr>
          <w:sz w:val="20"/>
        </w:rPr>
        <w:t>可能会增强</w:t>
      </w:r>
      <w:r>
        <w:rPr>
          <w:rFonts w:ascii="Arial" w:hAnsi="Arial" w:eastAsia="Arial"/>
          <w:sz w:val="20"/>
        </w:rPr>
        <w:t>CAR </w:t>
      </w:r>
      <w:r>
        <w:rPr>
          <w:sz w:val="20"/>
        </w:rPr>
        <w:t>的表达和稳定性。</w:t>
      </w:r>
    </w:p>
    <w:p>
      <w:pPr>
        <w:pStyle w:val="BodyText"/>
        <w:spacing w:line="280" w:lineRule="auto" w:before="80"/>
        <w:ind w:right="2612"/>
      </w:pPr>
      <w:r>
        <w:rPr>
          <w:rFonts w:ascii="Microsoft JhengHei UI" w:hAnsi="Microsoft JhengHei UI" w:eastAsia="Microsoft JhengHei UI" w:hint="eastAsia"/>
          <w:b/>
          <w:spacing w:val="4"/>
        </w:rPr>
        <w:t>传导信号并放大，信号传导域设计决定 </w:t>
      </w:r>
      <w:r>
        <w:rPr>
          <w:rFonts w:ascii="Arial" w:hAnsi="Arial" w:eastAsia="Arial"/>
          <w:b/>
          <w:spacing w:val="-4"/>
        </w:rPr>
        <w:t>CAR-T </w:t>
      </w:r>
      <w:r>
        <w:rPr>
          <w:rFonts w:ascii="Microsoft JhengHei UI" w:hAnsi="Microsoft JhengHei UI" w:eastAsia="Microsoft JhengHei UI" w:hint="eastAsia"/>
          <w:b/>
          <w:spacing w:val="6"/>
        </w:rPr>
        <w:t>代次。</w:t>
      </w:r>
      <w:r>
        <w:rPr>
          <w:rFonts w:ascii="Arial" w:hAnsi="Arial" w:eastAsia="Arial"/>
        </w:rPr>
        <w:t>CAR-T </w:t>
      </w:r>
      <w:r>
        <w:rPr>
          <w:spacing w:val="4"/>
        </w:rPr>
        <w:t>可以被分为五代。第一代</w:t>
      </w:r>
      <w:r>
        <w:rPr>
          <w:rFonts w:ascii="Arial" w:hAnsi="Arial" w:eastAsia="Arial"/>
        </w:rPr>
        <w:t>CAR </w:t>
      </w:r>
      <w:r>
        <w:rPr>
          <w:spacing w:val="11"/>
        </w:rPr>
        <w:t>只含有 </w:t>
      </w:r>
      <w:r>
        <w:rPr>
          <w:rFonts w:ascii="Arial" w:hAnsi="Arial" w:eastAsia="Arial"/>
        </w:rPr>
        <w:t>CD3ζ </w:t>
      </w:r>
      <w:r>
        <w:rPr>
          <w:spacing w:val="-5"/>
        </w:rPr>
        <w:t>信号传导域，缺少共刺激分子，</w:t>
      </w:r>
      <w:r>
        <w:rPr>
          <w:rFonts w:ascii="Arial" w:hAnsi="Arial" w:eastAsia="Arial"/>
        </w:rPr>
        <w:t>T </w:t>
      </w:r>
      <w:r>
        <w:rPr>
          <w:spacing w:val="-5"/>
        </w:rPr>
        <w:t>细胞无法完全活化和增殖，在体内存活</w:t>
      </w:r>
      <w:r>
        <w:rPr>
          <w:spacing w:val="-4"/>
        </w:rPr>
        <w:t>时间短，无法持续抗肿瘤。第二代 </w:t>
      </w:r>
      <w:r>
        <w:rPr>
          <w:rFonts w:ascii="Arial" w:hAnsi="Arial" w:eastAsia="Arial"/>
        </w:rPr>
        <w:t>CAR </w:t>
      </w:r>
      <w:r>
        <w:rPr>
          <w:spacing w:val="-4"/>
        </w:rPr>
        <w:t>在一代的基础上引入共刺激分子 </w:t>
      </w:r>
      <w:r>
        <w:rPr>
          <w:rFonts w:ascii="Arial" w:hAnsi="Arial" w:eastAsia="Arial"/>
        </w:rPr>
        <w:t>CD28 </w:t>
      </w:r>
      <w:r>
        <w:rPr>
          <w:spacing w:val="5"/>
        </w:rPr>
        <w:t>或 </w:t>
      </w:r>
      <w:r>
        <w:rPr>
          <w:rFonts w:ascii="Arial" w:hAnsi="Arial" w:eastAsia="Arial"/>
        </w:rPr>
        <w:t>4-1BB</w:t>
      </w:r>
      <w:r>
        <w:rPr/>
        <w:t>， </w:t>
      </w:r>
      <w:r>
        <w:rPr>
          <w:rFonts w:ascii="Arial" w:hAnsi="Arial" w:eastAsia="Arial"/>
        </w:rPr>
        <w:t>CAR-T </w:t>
      </w:r>
      <w:r>
        <w:rPr>
          <w:spacing w:val="-4"/>
        </w:rPr>
        <w:t>细胞被完全活化并释放细胞因子，执行细胞毒性功能裂解肿瘤细胞。二代</w:t>
      </w:r>
      <w:r>
        <w:rPr>
          <w:rFonts w:ascii="Arial" w:hAnsi="Arial" w:eastAsia="Arial"/>
        </w:rPr>
        <w:t>CAR </w:t>
      </w:r>
      <w:r>
        <w:rPr>
          <w:spacing w:val="-4"/>
        </w:rPr>
        <w:t>技术显</w:t>
      </w:r>
      <w:r>
        <w:rPr>
          <w:spacing w:val="-5"/>
        </w:rPr>
        <w:t>著提高治疗持久性，临床疗效优异，目前已上市的 </w:t>
      </w:r>
      <w:r>
        <w:rPr>
          <w:rFonts w:ascii="Arial" w:hAnsi="Arial" w:eastAsia="Arial"/>
        </w:rPr>
        <w:t>5 </w:t>
      </w:r>
      <w:r>
        <w:rPr>
          <w:spacing w:val="48"/>
        </w:rPr>
        <w:t>款</w:t>
      </w:r>
      <w:r>
        <w:rPr>
          <w:rFonts w:ascii="Arial" w:hAnsi="Arial" w:eastAsia="Arial"/>
        </w:rPr>
        <w:t>CAR-T </w:t>
      </w:r>
      <w:r>
        <w:rPr>
          <w:spacing w:val="-4"/>
        </w:rPr>
        <w:t>产品均采用二代结构。</w:t>
      </w:r>
    </w:p>
    <w:p>
      <w:pPr>
        <w:spacing w:after="0" w:line="280" w:lineRule="auto"/>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11"/>
        <w:jc w:val="both"/>
      </w:pPr>
      <w:r>
        <w:rPr>
          <w:spacing w:val="5"/>
        </w:rPr>
        <w:t>后续代次的 </w:t>
      </w:r>
      <w:r>
        <w:rPr>
          <w:rFonts w:ascii="Arial" w:hAnsi="Arial" w:eastAsia="Arial"/>
        </w:rPr>
        <w:t>CAR-T </w:t>
      </w:r>
      <w:r>
        <w:rPr>
          <w:spacing w:val="-3"/>
        </w:rPr>
        <w:t>均在二代结构基础上进行改造。第三代 </w:t>
      </w:r>
      <w:r>
        <w:rPr>
          <w:rFonts w:ascii="Arial" w:hAnsi="Arial" w:eastAsia="Arial"/>
        </w:rPr>
        <w:t>CAR </w:t>
      </w:r>
      <w:r>
        <w:rPr>
          <w:spacing w:val="-5"/>
        </w:rPr>
        <w:t>增加了一个共刺激分子， </w:t>
      </w:r>
      <w:r>
        <w:rPr>
          <w:spacing w:val="8"/>
        </w:rPr>
        <w:t>与第二代</w:t>
      </w:r>
      <w:r>
        <w:rPr>
          <w:rFonts w:ascii="Arial" w:hAnsi="Arial" w:eastAsia="Arial"/>
        </w:rPr>
        <w:t>CAR </w:t>
      </w:r>
      <w:r>
        <w:rPr>
          <w:spacing w:val="-3"/>
        </w:rPr>
        <w:t>相比，</w:t>
      </w:r>
      <w:r>
        <w:rPr>
          <w:rFonts w:ascii="Arial" w:hAnsi="Arial" w:eastAsia="Arial"/>
          <w:spacing w:val="-3"/>
        </w:rPr>
        <w:t>T </w:t>
      </w:r>
      <w:r>
        <w:rPr>
          <w:spacing w:val="-6"/>
        </w:rPr>
        <w:t>细胞活化、增殖、分泌细胞因子及细胞毒素的作用更强，然而其靶</w:t>
      </w:r>
      <w:r>
        <w:rPr>
          <w:spacing w:val="-2"/>
        </w:rPr>
        <w:t>向识别特异性降低，低亲和分子亦可促进 </w:t>
      </w:r>
      <w:r>
        <w:rPr>
          <w:rFonts w:ascii="Arial" w:hAnsi="Arial" w:eastAsia="Arial"/>
        </w:rPr>
        <w:t>T </w:t>
      </w:r>
      <w:r>
        <w:rPr>
          <w:spacing w:val="-6"/>
        </w:rPr>
        <w:t>细胞活化，从而更容易产生细胞因子风暴等不</w:t>
      </w:r>
      <w:r>
        <w:rPr>
          <w:spacing w:val="5"/>
        </w:rPr>
        <w:t>良反应。第四代</w:t>
      </w:r>
      <w:r>
        <w:rPr>
          <w:rFonts w:ascii="Arial" w:hAnsi="Arial" w:eastAsia="Arial"/>
        </w:rPr>
        <w:t>CAR</w:t>
      </w:r>
      <w:r>
        <w:rPr>
          <w:rFonts w:ascii="Arial" w:hAnsi="Arial" w:eastAsia="Arial"/>
          <w:spacing w:val="2"/>
        </w:rPr>
        <w:t> (</w:t>
      </w:r>
      <w:r>
        <w:rPr>
          <w:rFonts w:ascii="Arial" w:hAnsi="Arial" w:eastAsia="Arial"/>
        </w:rPr>
        <w:t>TRUCK) </w:t>
      </w:r>
      <w:r>
        <w:rPr>
          <w:spacing w:val="16"/>
        </w:rPr>
        <w:t>添加了</w:t>
      </w:r>
      <w:r>
        <w:rPr>
          <w:rFonts w:ascii="Arial" w:hAnsi="Arial" w:eastAsia="Arial"/>
        </w:rPr>
        <w:t>IL-12 </w:t>
      </w:r>
      <w:r>
        <w:rPr>
          <w:spacing w:val="-5"/>
        </w:rPr>
        <w:t>等共表达的细胞因子，进一步强化免疫应答。</w:t>
      </w:r>
      <w:r>
        <w:rPr>
          <w:spacing w:val="-1"/>
        </w:rPr>
        <w:t>第五代 </w:t>
      </w:r>
      <w:r>
        <w:rPr>
          <w:rFonts w:ascii="Arial" w:hAnsi="Arial" w:eastAsia="Arial"/>
        </w:rPr>
        <w:t>CAR </w:t>
      </w:r>
      <w:r>
        <w:rPr>
          <w:spacing w:val="2"/>
        </w:rPr>
        <w:t>添加了 </w:t>
      </w:r>
      <w:r>
        <w:rPr>
          <w:rFonts w:ascii="Arial" w:hAnsi="Arial" w:eastAsia="Arial"/>
        </w:rPr>
        <w:t>IL2-2Rβ </w:t>
      </w:r>
      <w:r>
        <w:rPr>
          <w:spacing w:val="1"/>
        </w:rPr>
        <w:t>胞内结合 </w:t>
      </w:r>
      <w:r>
        <w:rPr>
          <w:rFonts w:ascii="Arial" w:hAnsi="Arial" w:eastAsia="Arial"/>
        </w:rPr>
        <w:t>SAAT3/5 </w:t>
      </w:r>
      <w:r>
        <w:rPr>
          <w:spacing w:val="-2"/>
        </w:rPr>
        <w:t>的结构域，旨在激活 </w:t>
      </w:r>
      <w:r>
        <w:rPr>
          <w:rFonts w:ascii="Arial" w:hAnsi="Arial" w:eastAsia="Arial"/>
        </w:rPr>
        <w:t>Janus </w:t>
      </w:r>
      <w:r>
        <w:rPr>
          <w:spacing w:val="-1"/>
        </w:rPr>
        <w:t>激酶信号转导</w:t>
      </w:r>
      <w:r>
        <w:rPr>
          <w:spacing w:val="3"/>
        </w:rPr>
        <w:t>和转录激活因子 </w:t>
      </w:r>
      <w:r>
        <w:rPr>
          <w:rFonts w:ascii="Arial" w:hAnsi="Arial" w:eastAsia="Arial"/>
        </w:rPr>
        <w:t>(JAK-STAT</w:t>
      </w:r>
      <w:r>
        <w:rPr>
          <w:rFonts w:ascii="Arial" w:hAnsi="Arial" w:eastAsia="Arial"/>
          <w:spacing w:val="18"/>
        </w:rPr>
        <w:t>) </w:t>
      </w:r>
      <w:r>
        <w:rPr>
          <w:spacing w:val="3"/>
        </w:rPr>
        <w:t>信号通路以促进 </w:t>
      </w:r>
      <w:r>
        <w:rPr>
          <w:rFonts w:ascii="Arial" w:hAnsi="Arial" w:eastAsia="Arial"/>
        </w:rPr>
        <w:t>T </w:t>
      </w:r>
      <w:r>
        <w:rPr>
          <w:spacing w:val="-6"/>
        </w:rPr>
        <w:t>细胞增殖。与第二代和第三代相比，第五</w:t>
      </w:r>
      <w:r>
        <w:rPr>
          <w:spacing w:val="48"/>
        </w:rPr>
        <w:t>代</w:t>
      </w:r>
      <w:r>
        <w:rPr>
          <w:rFonts w:ascii="Arial" w:hAnsi="Arial" w:eastAsia="Arial"/>
        </w:rPr>
        <w:t>CAR-T </w:t>
      </w:r>
      <w:r>
        <w:rPr>
          <w:spacing w:val="-5"/>
        </w:rPr>
        <w:t>细胞被证明具有更好的抗肿瘤作用和持久性。</w:t>
      </w:r>
    </w:p>
    <w:p>
      <w:pPr>
        <w:pStyle w:val="Heading3"/>
        <w:spacing w:before="65" w:after="9"/>
      </w:pPr>
      <w:r>
        <w:rPr/>
        <w:t>图 </w:t>
      </w:r>
      <w:r>
        <w:rPr>
          <w:rFonts w:ascii="Arial" w:eastAsia="Arial"/>
        </w:rPr>
        <w:t>8: </w:t>
      </w:r>
      <w:r>
        <w:rPr/>
        <w:t>五代 </w:t>
      </w:r>
      <w:r>
        <w:rPr>
          <w:rFonts w:ascii="Arial" w:eastAsia="Arial"/>
        </w:rPr>
        <w:t>CAR </w:t>
      </w:r>
      <w:r>
        <w:rPr/>
        <w:t>的结构对比</w:t>
      </w:r>
    </w:p>
    <w:p>
      <w:pPr>
        <w:pStyle w:val="BodyText"/>
        <w:spacing w:line="28" w:lineRule="exact"/>
        <w:ind w:left="181"/>
        <w:rPr>
          <w:rFonts w:ascii="Microsoft JhengHei UI"/>
          <w:sz w:val="2"/>
        </w:rPr>
      </w:pPr>
      <w:r>
        <w:rPr>
          <w:rFonts w:ascii="Microsoft JhengHei UI"/>
          <w:position w:val="0"/>
          <w:sz w:val="2"/>
        </w:rPr>
        <w:pict>
          <v:group style="width:400.05pt;height:1.45pt;mso-position-horizontal-relative:char;mso-position-vertical-relative:line" coordorigin="0,0" coordsize="8001,29">
            <v:rect style="position:absolute;left:0;top:0;width:8001;height:29" filled="true" fillcolor="#000000" stroked="false">
              <v:fill type="solid"/>
            </v:rect>
          </v:group>
        </w:pict>
      </w:r>
      <w:r>
        <w:rPr>
          <w:rFonts w:ascii="Microsoft JhengHei UI"/>
          <w:position w:val="0"/>
          <w:sz w:val="2"/>
        </w:rPr>
      </w:r>
    </w:p>
    <w:p>
      <w:pPr>
        <w:pStyle w:val="BodyText"/>
        <w:spacing w:before="3"/>
        <w:ind w:left="0"/>
        <w:rPr>
          <w:rFonts w:ascii="Microsoft JhengHei UI"/>
          <w:b/>
          <w:sz w:val="6"/>
        </w:rPr>
      </w:pPr>
      <w:r>
        <w:rPr/>
        <w:pict>
          <v:group style="position:absolute;margin-left:41.063999pt;margin-top:7.476142pt;width:400.05pt;height:232.4pt;mso-position-horizontal-relative:page;mso-position-vertical-relative:paragraph;z-index:-15722496;mso-wrap-distance-left:0;mso-wrap-distance-right:0" coordorigin="821,150" coordsize="8001,4648">
            <v:rect style="position:absolute;left:821;top:4768;width:8001;height:29" filled="true" fillcolor="#000000" stroked="false">
              <v:fill type="solid"/>
            </v:rect>
            <v:shape style="position:absolute;left:1574;top:149;width:6490;height:4617" type="#_x0000_t75" stroked="false">
              <v:imagedata r:id="rId16" o:title=""/>
            </v:shape>
            <w10:wrap type="topAndBottom"/>
          </v:group>
        </w:pict>
      </w:r>
    </w:p>
    <w:p>
      <w:pPr>
        <w:spacing w:line="212" w:lineRule="exact" w:before="0"/>
        <w:ind w:left="210" w:right="0" w:firstLine="0"/>
        <w:jc w:val="left"/>
        <w:rPr>
          <w:sz w:val="16"/>
        </w:rPr>
      </w:pPr>
      <w:r>
        <w:rPr>
          <w:sz w:val="16"/>
        </w:rPr>
        <w:t>资料来源</w:t>
      </w:r>
      <w:r>
        <w:rPr>
          <w:rFonts w:ascii="Arial" w:hAnsi="Arial" w:eastAsia="Arial"/>
          <w:sz w:val="16"/>
        </w:rPr>
        <w:t>: Umut Ö et al. Memo 2021</w:t>
      </w:r>
      <w:r>
        <w:rPr>
          <w:sz w:val="16"/>
        </w:rPr>
        <w:t>，招银国际证券</w:t>
      </w:r>
    </w:p>
    <w:p>
      <w:pPr>
        <w:pStyle w:val="BodyText"/>
        <w:spacing w:before="6"/>
        <w:ind w:left="0"/>
        <w:rPr>
          <w:sz w:val="21"/>
        </w:rPr>
      </w:pPr>
    </w:p>
    <w:p>
      <w:pPr>
        <w:pStyle w:val="BodyText"/>
        <w:spacing w:line="288" w:lineRule="auto" w:before="99"/>
        <w:ind w:right="2809"/>
        <w:jc w:val="both"/>
      </w:pPr>
      <w:r>
        <w:rPr>
          <w:spacing w:val="-2"/>
        </w:rPr>
        <w:t>最常用的共刺激分子是 </w:t>
      </w:r>
      <w:r>
        <w:rPr>
          <w:rFonts w:ascii="Arial" w:eastAsia="Arial"/>
        </w:rPr>
        <w:t>CD28 </w:t>
      </w:r>
      <w:r>
        <w:rPr>
          <w:spacing w:val="4"/>
        </w:rPr>
        <w:t>和 </w:t>
      </w:r>
      <w:r>
        <w:rPr>
          <w:rFonts w:ascii="Arial" w:eastAsia="Arial"/>
        </w:rPr>
        <w:t>4-1BB</w:t>
      </w:r>
      <w:r>
        <w:rPr>
          <w:spacing w:val="-3"/>
        </w:rPr>
        <w:t>，不同共刺激分子胞内信号对 </w:t>
      </w:r>
      <w:r>
        <w:rPr>
          <w:rFonts w:ascii="Arial" w:eastAsia="Arial"/>
        </w:rPr>
        <w:t>CAR-T </w:t>
      </w:r>
      <w:r>
        <w:rPr>
          <w:spacing w:val="-3"/>
        </w:rPr>
        <w:t>细胞的活化作</w:t>
      </w:r>
      <w:r>
        <w:rPr>
          <w:spacing w:val="-5"/>
        </w:rPr>
        <w:t>用并不完全相同，已有的临床证据证实 </w:t>
      </w:r>
      <w:r>
        <w:rPr>
          <w:rFonts w:ascii="Arial" w:eastAsia="Arial"/>
        </w:rPr>
        <w:t>CD28 </w:t>
      </w:r>
      <w:r>
        <w:rPr>
          <w:spacing w:val="-5"/>
        </w:rPr>
        <w:t>的促增殖更迅猛但易耗竭，</w:t>
      </w:r>
      <w:r>
        <w:rPr>
          <w:rFonts w:ascii="Arial" w:eastAsia="Arial"/>
        </w:rPr>
        <w:t>4-1BB </w:t>
      </w:r>
      <w:r>
        <w:rPr>
          <w:spacing w:val="-5"/>
        </w:rPr>
        <w:t>较温和但</w:t>
      </w:r>
      <w:r>
        <w:rPr>
          <w:spacing w:val="-4"/>
        </w:rPr>
        <w:t>持续久。其他在临床前和早期临床试验中具有显著治疗潜力的共刺激域包括 </w:t>
      </w:r>
      <w:r>
        <w:rPr>
          <w:rFonts w:ascii="Arial" w:eastAsia="Arial"/>
        </w:rPr>
        <w:t>OX40</w:t>
      </w:r>
      <w:r>
        <w:rPr/>
        <w:t>、</w:t>
      </w:r>
      <w:r>
        <w:rPr>
          <w:rFonts w:ascii="Arial" w:eastAsia="Arial"/>
        </w:rPr>
        <w:t>CD27 </w:t>
      </w:r>
      <w:r>
        <w:rPr>
          <w:spacing w:val="48"/>
        </w:rPr>
        <w:t>和</w:t>
      </w:r>
      <w:r>
        <w:rPr>
          <w:rFonts w:ascii="Arial" w:eastAsia="Arial"/>
        </w:rPr>
        <w:t>ICOS</w:t>
      </w:r>
      <w:r>
        <w:rPr/>
        <w:t>，</w:t>
      </w:r>
      <w:r>
        <w:rPr>
          <w:rFonts w:ascii="Arial" w:eastAsia="Arial"/>
        </w:rPr>
        <w:t>CD28 </w:t>
      </w:r>
      <w:r>
        <w:rPr>
          <w:spacing w:val="48"/>
        </w:rPr>
        <w:t>和</w:t>
      </w:r>
      <w:r>
        <w:rPr>
          <w:rFonts w:ascii="Arial" w:eastAsia="Arial"/>
        </w:rPr>
        <w:t>ICOS </w:t>
      </w:r>
      <w:r>
        <w:rPr>
          <w:spacing w:val="1"/>
        </w:rPr>
        <w:t>为 </w:t>
      </w:r>
      <w:r>
        <w:rPr>
          <w:rFonts w:ascii="Arial" w:eastAsia="Arial"/>
        </w:rPr>
        <w:t>CD28 </w:t>
      </w:r>
      <w:r>
        <w:rPr>
          <w:spacing w:val="2"/>
        </w:rPr>
        <w:t>超家族成员，促进</w:t>
      </w:r>
      <w:r>
        <w:rPr>
          <w:rFonts w:ascii="Arial" w:eastAsia="Arial"/>
        </w:rPr>
        <w:t>T </w:t>
      </w:r>
      <w:r>
        <w:rPr>
          <w:spacing w:val="-3"/>
        </w:rPr>
        <w:t>细胞的快速增殖，</w:t>
      </w:r>
      <w:r>
        <w:rPr>
          <w:rFonts w:ascii="Arial" w:eastAsia="Arial"/>
        </w:rPr>
        <w:t>4-1BB</w:t>
      </w:r>
      <w:r>
        <w:rPr/>
        <w:t>、</w:t>
      </w:r>
      <w:r>
        <w:rPr>
          <w:rFonts w:ascii="Arial" w:eastAsia="Arial"/>
        </w:rPr>
        <w:t>CD27</w:t>
      </w:r>
      <w:r>
        <w:rPr/>
        <w:t>、</w:t>
      </w:r>
      <w:r>
        <w:rPr>
          <w:rFonts w:ascii="Arial" w:eastAsia="Arial"/>
        </w:rPr>
        <w:t>OX40 </w:t>
      </w:r>
      <w:r>
        <w:rPr>
          <w:spacing w:val="48"/>
        </w:rPr>
        <w:t>为</w:t>
      </w:r>
      <w:r>
        <w:rPr>
          <w:rFonts w:ascii="Arial" w:eastAsia="Arial"/>
        </w:rPr>
        <w:t>TNFR </w:t>
      </w:r>
      <w:r>
        <w:rPr/>
        <w:t>超家族成员，主要参与记忆</w:t>
      </w:r>
      <w:r>
        <w:rPr>
          <w:rFonts w:ascii="Arial" w:eastAsia="Arial"/>
        </w:rPr>
        <w:t>T </w:t>
      </w:r>
      <w:r>
        <w:rPr>
          <w:spacing w:val="-3"/>
        </w:rPr>
        <w:t>细胞的调控。</w:t>
      </w:r>
    </w:p>
    <w:p>
      <w:pPr>
        <w:pStyle w:val="Heading3"/>
        <w:spacing w:after="4"/>
      </w:pPr>
      <w:r>
        <w:rPr/>
        <w:t>图 </w:t>
      </w:r>
      <w:r>
        <w:rPr>
          <w:rFonts w:ascii="Arial" w:eastAsia="Arial"/>
        </w:rPr>
        <w:t>9: </w:t>
      </w:r>
      <w:r>
        <w:rPr/>
        <w:t>共刺激分子对 </w:t>
      </w:r>
      <w:r>
        <w:rPr>
          <w:rFonts w:ascii="Arial" w:eastAsia="Arial"/>
        </w:rPr>
        <w:t>CAR-T </w:t>
      </w:r>
      <w:r>
        <w:rPr/>
        <w:t>细胞的调控</w:t>
      </w:r>
    </w:p>
    <w:tbl>
      <w:tblPr>
        <w:tblW w:w="0" w:type="auto"/>
        <w:jc w:val="left"/>
        <w:tblInd w:w="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8"/>
        <w:gridCol w:w="971"/>
        <w:gridCol w:w="2969"/>
        <w:gridCol w:w="2952"/>
      </w:tblGrid>
      <w:tr>
        <w:trPr>
          <w:trHeight w:val="235" w:hRule="atLeast"/>
        </w:trPr>
        <w:tc>
          <w:tcPr>
            <w:tcW w:w="1078" w:type="dxa"/>
            <w:tcBorders>
              <w:top w:val="single" w:sz="12" w:space="0" w:color="000000"/>
            </w:tcBorders>
            <w:shd w:val="clear" w:color="auto" w:fill="C00000"/>
          </w:tcPr>
          <w:p>
            <w:pPr>
              <w:pStyle w:val="TableParagraph"/>
              <w:spacing w:line="215" w:lineRule="exact"/>
              <w:ind w:left="110"/>
              <w:rPr>
                <w:rFonts w:ascii="Microsoft JhengHei UI" w:eastAsia="Microsoft JhengHei UI" w:hint="eastAsia"/>
                <w:b/>
                <w:sz w:val="16"/>
              </w:rPr>
            </w:pPr>
            <w:r>
              <w:rPr>
                <w:rFonts w:ascii="Microsoft JhengHei UI" w:eastAsia="Microsoft JhengHei UI" w:hint="eastAsia"/>
                <w:b/>
                <w:color w:val="FFFFFF"/>
                <w:sz w:val="16"/>
              </w:rPr>
              <w:t>共刺激分子</w:t>
            </w:r>
          </w:p>
        </w:tc>
        <w:tc>
          <w:tcPr>
            <w:tcW w:w="971" w:type="dxa"/>
            <w:tcBorders>
              <w:top w:val="single" w:sz="12" w:space="0" w:color="000000"/>
            </w:tcBorders>
            <w:shd w:val="clear" w:color="auto" w:fill="C00000"/>
          </w:tcPr>
          <w:p>
            <w:pPr>
              <w:pStyle w:val="TableParagraph"/>
              <w:spacing w:line="215" w:lineRule="exact"/>
              <w:ind w:left="165"/>
              <w:rPr>
                <w:rFonts w:ascii="Microsoft JhengHei UI" w:eastAsia="Microsoft JhengHei UI" w:hint="eastAsia"/>
                <w:b/>
                <w:sz w:val="16"/>
              </w:rPr>
            </w:pPr>
            <w:r>
              <w:rPr>
                <w:rFonts w:ascii="Microsoft JhengHei UI" w:eastAsia="Microsoft JhengHei UI" w:hint="eastAsia"/>
                <w:b/>
                <w:color w:val="FFFFFF"/>
                <w:sz w:val="16"/>
              </w:rPr>
              <w:t>所属家族</w:t>
            </w:r>
          </w:p>
        </w:tc>
        <w:tc>
          <w:tcPr>
            <w:tcW w:w="2969" w:type="dxa"/>
            <w:tcBorders>
              <w:top w:val="single" w:sz="12" w:space="0" w:color="000000"/>
            </w:tcBorders>
            <w:shd w:val="clear" w:color="auto" w:fill="C00000"/>
          </w:tcPr>
          <w:p>
            <w:pPr>
              <w:pStyle w:val="TableParagraph"/>
              <w:spacing w:line="215" w:lineRule="exact"/>
              <w:ind w:left="164"/>
              <w:rPr>
                <w:rFonts w:ascii="Microsoft JhengHei UI" w:eastAsia="Microsoft JhengHei UI" w:hint="eastAsia"/>
                <w:b/>
                <w:sz w:val="16"/>
              </w:rPr>
            </w:pPr>
            <w:r>
              <w:rPr>
                <w:b/>
                <w:color w:val="FFFFFF"/>
                <w:sz w:val="16"/>
              </w:rPr>
              <w:t>T </w:t>
            </w:r>
            <w:r>
              <w:rPr>
                <w:rFonts w:ascii="Microsoft JhengHei UI" w:eastAsia="Microsoft JhengHei UI" w:hint="eastAsia"/>
                <w:b/>
                <w:color w:val="FFFFFF"/>
                <w:sz w:val="16"/>
              </w:rPr>
              <w:t>细胞亚群调控</w:t>
            </w:r>
          </w:p>
        </w:tc>
        <w:tc>
          <w:tcPr>
            <w:tcW w:w="2952" w:type="dxa"/>
            <w:tcBorders>
              <w:top w:val="single" w:sz="12" w:space="0" w:color="000000"/>
            </w:tcBorders>
            <w:shd w:val="clear" w:color="auto" w:fill="C00000"/>
          </w:tcPr>
          <w:p>
            <w:pPr>
              <w:pStyle w:val="TableParagraph"/>
              <w:spacing w:line="215" w:lineRule="exact"/>
              <w:ind w:left="105"/>
              <w:rPr>
                <w:rFonts w:ascii="Microsoft JhengHei UI" w:eastAsia="Microsoft JhengHei UI" w:hint="eastAsia"/>
                <w:b/>
                <w:sz w:val="16"/>
              </w:rPr>
            </w:pPr>
            <w:r>
              <w:rPr>
                <w:rFonts w:ascii="Microsoft JhengHei UI" w:eastAsia="Microsoft JhengHei UI" w:hint="eastAsia"/>
                <w:b/>
                <w:color w:val="FFFFFF"/>
                <w:sz w:val="16"/>
              </w:rPr>
              <w:t>细胞因子调控</w:t>
            </w:r>
          </w:p>
        </w:tc>
      </w:tr>
      <w:tr>
        <w:trPr>
          <w:trHeight w:val="527" w:hRule="atLeast"/>
        </w:trPr>
        <w:tc>
          <w:tcPr>
            <w:tcW w:w="1078" w:type="dxa"/>
            <w:shd w:val="clear" w:color="auto" w:fill="F1F1F1"/>
          </w:tcPr>
          <w:p>
            <w:pPr>
              <w:pStyle w:val="TableParagraph"/>
              <w:spacing w:before="11"/>
              <w:rPr>
                <w:rFonts w:ascii="Microsoft JhengHei UI"/>
                <w:b/>
                <w:sz w:val="9"/>
              </w:rPr>
            </w:pPr>
          </w:p>
          <w:p>
            <w:pPr>
              <w:pStyle w:val="TableParagraph"/>
              <w:ind w:left="110"/>
              <w:rPr>
                <w:sz w:val="16"/>
              </w:rPr>
            </w:pPr>
            <w:r>
              <w:rPr>
                <w:sz w:val="16"/>
              </w:rPr>
              <w:t>CD28</w:t>
            </w:r>
          </w:p>
        </w:tc>
        <w:tc>
          <w:tcPr>
            <w:tcW w:w="971" w:type="dxa"/>
            <w:shd w:val="clear" w:color="auto" w:fill="F1F1F1"/>
          </w:tcPr>
          <w:p>
            <w:pPr>
              <w:pStyle w:val="TableParagraph"/>
              <w:spacing w:before="11"/>
              <w:rPr>
                <w:rFonts w:ascii="Microsoft JhengHei UI"/>
                <w:b/>
                <w:sz w:val="9"/>
              </w:rPr>
            </w:pPr>
          </w:p>
          <w:p>
            <w:pPr>
              <w:pStyle w:val="TableParagraph"/>
              <w:ind w:left="165"/>
              <w:rPr>
                <w:sz w:val="16"/>
              </w:rPr>
            </w:pPr>
            <w:r>
              <w:rPr>
                <w:sz w:val="16"/>
              </w:rPr>
              <w:t>CD28</w:t>
            </w:r>
          </w:p>
        </w:tc>
        <w:tc>
          <w:tcPr>
            <w:tcW w:w="2969" w:type="dxa"/>
            <w:shd w:val="clear" w:color="auto" w:fill="F1F1F1"/>
          </w:tcPr>
          <w:p>
            <w:pPr>
              <w:pStyle w:val="TableParagraph"/>
              <w:spacing w:line="252" w:lineRule="auto" w:before="27"/>
              <w:ind w:left="164" w:right="113"/>
              <w:rPr>
                <w:rFonts w:ascii="PMingLiU" w:eastAsia="PMingLiU" w:hint="eastAsia"/>
                <w:sz w:val="16"/>
              </w:rPr>
            </w:pPr>
            <w:r>
              <w:rPr>
                <w:rFonts w:ascii="PMingLiU" w:eastAsia="PMingLiU" w:hint="eastAsia"/>
                <w:sz w:val="16"/>
              </w:rPr>
              <w:t>增强 </w:t>
            </w:r>
            <w:r>
              <w:rPr>
                <w:sz w:val="16"/>
              </w:rPr>
              <w:t>CD8+ CAR T </w:t>
            </w:r>
            <w:r>
              <w:rPr>
                <w:rFonts w:ascii="PMingLiU" w:eastAsia="PMingLiU" w:hint="eastAsia"/>
                <w:sz w:val="16"/>
              </w:rPr>
              <w:t>细胞的抗凋亡、维持记忆 </w:t>
            </w:r>
            <w:r>
              <w:rPr>
                <w:sz w:val="16"/>
              </w:rPr>
              <w:t>T </w:t>
            </w:r>
            <w:r>
              <w:rPr>
                <w:rFonts w:ascii="PMingLiU" w:eastAsia="PMingLiU" w:hint="eastAsia"/>
                <w:sz w:val="16"/>
              </w:rPr>
              <w:t>细胞功能</w:t>
            </w:r>
          </w:p>
        </w:tc>
        <w:tc>
          <w:tcPr>
            <w:tcW w:w="2952" w:type="dxa"/>
            <w:shd w:val="clear" w:color="auto" w:fill="F1F1F1"/>
          </w:tcPr>
          <w:p>
            <w:pPr>
              <w:pStyle w:val="TableParagraph"/>
              <w:spacing w:before="147"/>
              <w:ind w:left="105"/>
              <w:rPr>
                <w:sz w:val="16"/>
              </w:rPr>
            </w:pPr>
            <w:r>
              <w:rPr>
                <w:rFonts w:ascii="PMingLiU" w:eastAsia="PMingLiU" w:hint="eastAsia"/>
                <w:sz w:val="16"/>
              </w:rPr>
              <w:t>诱导 </w:t>
            </w:r>
            <w:r>
              <w:rPr>
                <w:sz w:val="16"/>
              </w:rPr>
              <w:t>CAR T </w:t>
            </w:r>
            <w:r>
              <w:rPr>
                <w:rFonts w:ascii="PMingLiU" w:eastAsia="PMingLiU" w:hint="eastAsia"/>
                <w:sz w:val="16"/>
              </w:rPr>
              <w:t>细胞表达更高的 </w:t>
            </w:r>
            <w:r>
              <w:rPr>
                <w:sz w:val="16"/>
              </w:rPr>
              <w:t>IL-2</w:t>
            </w:r>
          </w:p>
        </w:tc>
      </w:tr>
      <w:tr>
        <w:trPr>
          <w:trHeight w:val="532" w:hRule="atLeast"/>
        </w:trPr>
        <w:tc>
          <w:tcPr>
            <w:tcW w:w="1078" w:type="dxa"/>
          </w:tcPr>
          <w:p>
            <w:pPr>
              <w:pStyle w:val="TableParagraph"/>
              <w:spacing w:before="11"/>
              <w:rPr>
                <w:rFonts w:ascii="Microsoft JhengHei UI"/>
                <w:b/>
                <w:sz w:val="9"/>
              </w:rPr>
            </w:pPr>
          </w:p>
          <w:p>
            <w:pPr>
              <w:pStyle w:val="TableParagraph"/>
              <w:ind w:left="110"/>
              <w:rPr>
                <w:sz w:val="16"/>
              </w:rPr>
            </w:pPr>
            <w:r>
              <w:rPr>
                <w:sz w:val="16"/>
              </w:rPr>
              <w:t>4-1BB</w:t>
            </w:r>
          </w:p>
        </w:tc>
        <w:tc>
          <w:tcPr>
            <w:tcW w:w="971" w:type="dxa"/>
          </w:tcPr>
          <w:p>
            <w:pPr>
              <w:pStyle w:val="TableParagraph"/>
              <w:spacing w:before="11"/>
              <w:rPr>
                <w:rFonts w:ascii="Microsoft JhengHei UI"/>
                <w:b/>
                <w:sz w:val="9"/>
              </w:rPr>
            </w:pPr>
          </w:p>
          <w:p>
            <w:pPr>
              <w:pStyle w:val="TableParagraph"/>
              <w:ind w:left="165"/>
              <w:rPr>
                <w:sz w:val="16"/>
              </w:rPr>
            </w:pPr>
            <w:r>
              <w:rPr>
                <w:sz w:val="16"/>
              </w:rPr>
              <w:t>TNFRSF</w:t>
            </w:r>
          </w:p>
        </w:tc>
        <w:tc>
          <w:tcPr>
            <w:tcW w:w="2969" w:type="dxa"/>
          </w:tcPr>
          <w:p>
            <w:pPr>
              <w:pStyle w:val="TableParagraph"/>
              <w:spacing w:before="147"/>
              <w:ind w:left="164"/>
              <w:rPr>
                <w:rFonts w:ascii="PMingLiU" w:eastAsia="PMingLiU" w:hint="eastAsia"/>
                <w:sz w:val="16"/>
              </w:rPr>
            </w:pPr>
            <w:r>
              <w:rPr>
                <w:rFonts w:ascii="PMingLiU" w:eastAsia="PMingLiU" w:hint="eastAsia"/>
                <w:sz w:val="16"/>
              </w:rPr>
              <w:t>主要作用于 </w:t>
            </w:r>
            <w:r>
              <w:rPr>
                <w:sz w:val="16"/>
              </w:rPr>
              <w:t>CD8+ T </w:t>
            </w:r>
            <w:r>
              <w:rPr>
                <w:rFonts w:ascii="PMingLiU" w:eastAsia="PMingLiU" w:hint="eastAsia"/>
                <w:sz w:val="16"/>
              </w:rPr>
              <w:t>细胞</w:t>
            </w:r>
          </w:p>
        </w:tc>
        <w:tc>
          <w:tcPr>
            <w:tcW w:w="2952" w:type="dxa"/>
          </w:tcPr>
          <w:p>
            <w:pPr>
              <w:pStyle w:val="TableParagraph"/>
              <w:spacing w:before="147"/>
              <w:ind w:left="105"/>
              <w:rPr>
                <w:rFonts w:ascii="PMingLiU" w:eastAsia="PMingLiU" w:hint="eastAsia"/>
                <w:sz w:val="16"/>
              </w:rPr>
            </w:pPr>
            <w:r>
              <w:rPr>
                <w:rFonts w:ascii="PMingLiU" w:eastAsia="PMingLiU" w:hint="eastAsia"/>
                <w:sz w:val="16"/>
              </w:rPr>
              <w:t>增强 </w:t>
            </w:r>
            <w:r>
              <w:rPr>
                <w:sz w:val="16"/>
              </w:rPr>
              <w:t>T </w:t>
            </w:r>
            <w:r>
              <w:rPr>
                <w:rFonts w:ascii="PMingLiU" w:eastAsia="PMingLiU" w:hint="eastAsia"/>
                <w:sz w:val="16"/>
              </w:rPr>
              <w:t>细胞线粒体的功能</w:t>
            </w:r>
          </w:p>
        </w:tc>
      </w:tr>
      <w:tr>
        <w:trPr>
          <w:trHeight w:val="528" w:hRule="atLeast"/>
        </w:trPr>
        <w:tc>
          <w:tcPr>
            <w:tcW w:w="1078" w:type="dxa"/>
            <w:shd w:val="clear" w:color="auto" w:fill="F1F1F1"/>
          </w:tcPr>
          <w:p>
            <w:pPr>
              <w:pStyle w:val="TableParagraph"/>
              <w:spacing w:before="11"/>
              <w:rPr>
                <w:rFonts w:ascii="Microsoft JhengHei UI"/>
                <w:b/>
                <w:sz w:val="9"/>
              </w:rPr>
            </w:pPr>
          </w:p>
          <w:p>
            <w:pPr>
              <w:pStyle w:val="TableParagraph"/>
              <w:ind w:left="110"/>
              <w:rPr>
                <w:sz w:val="16"/>
              </w:rPr>
            </w:pPr>
            <w:r>
              <w:rPr>
                <w:sz w:val="16"/>
              </w:rPr>
              <w:t>OX40</w:t>
            </w:r>
          </w:p>
        </w:tc>
        <w:tc>
          <w:tcPr>
            <w:tcW w:w="971" w:type="dxa"/>
            <w:shd w:val="clear" w:color="auto" w:fill="F1F1F1"/>
          </w:tcPr>
          <w:p>
            <w:pPr>
              <w:pStyle w:val="TableParagraph"/>
              <w:spacing w:before="11"/>
              <w:rPr>
                <w:rFonts w:ascii="Microsoft JhengHei UI"/>
                <w:b/>
                <w:sz w:val="9"/>
              </w:rPr>
            </w:pPr>
          </w:p>
          <w:p>
            <w:pPr>
              <w:pStyle w:val="TableParagraph"/>
              <w:ind w:left="165"/>
              <w:rPr>
                <w:sz w:val="16"/>
              </w:rPr>
            </w:pPr>
            <w:r>
              <w:rPr>
                <w:sz w:val="16"/>
              </w:rPr>
              <w:t>TNFRSF</w:t>
            </w:r>
          </w:p>
        </w:tc>
        <w:tc>
          <w:tcPr>
            <w:tcW w:w="2969" w:type="dxa"/>
            <w:shd w:val="clear" w:color="auto" w:fill="F1F1F1"/>
          </w:tcPr>
          <w:p>
            <w:pPr>
              <w:pStyle w:val="TableParagraph"/>
              <w:spacing w:line="252" w:lineRule="auto" w:before="27"/>
              <w:ind w:left="164" w:right="114"/>
              <w:rPr>
                <w:rFonts w:ascii="PMingLiU" w:eastAsia="PMingLiU" w:hint="eastAsia"/>
                <w:sz w:val="16"/>
              </w:rPr>
            </w:pPr>
            <w:r>
              <w:rPr>
                <w:rFonts w:ascii="PMingLiU" w:eastAsia="PMingLiU" w:hint="eastAsia"/>
                <w:sz w:val="16"/>
              </w:rPr>
              <w:t>主要作用于</w:t>
            </w:r>
            <w:r>
              <w:rPr>
                <w:sz w:val="16"/>
              </w:rPr>
              <w:t>CD4+ T </w:t>
            </w:r>
            <w:r>
              <w:rPr>
                <w:rFonts w:ascii="PMingLiU" w:eastAsia="PMingLiU" w:hint="eastAsia"/>
                <w:sz w:val="16"/>
              </w:rPr>
              <w:t>细胞，诱导其分化为 </w:t>
            </w:r>
            <w:r>
              <w:rPr>
                <w:sz w:val="16"/>
              </w:rPr>
              <w:t>Th1 </w:t>
            </w:r>
            <w:r>
              <w:rPr>
                <w:rFonts w:ascii="PMingLiU" w:eastAsia="PMingLiU" w:hint="eastAsia"/>
                <w:sz w:val="16"/>
              </w:rPr>
              <w:t>和</w:t>
            </w:r>
            <w:r>
              <w:rPr>
                <w:sz w:val="16"/>
              </w:rPr>
              <w:t>Th2 </w:t>
            </w:r>
            <w:r>
              <w:rPr>
                <w:rFonts w:ascii="PMingLiU" w:eastAsia="PMingLiU" w:hint="eastAsia"/>
                <w:sz w:val="16"/>
              </w:rPr>
              <w:t>细胞</w:t>
            </w:r>
          </w:p>
        </w:tc>
        <w:tc>
          <w:tcPr>
            <w:tcW w:w="2952" w:type="dxa"/>
            <w:shd w:val="clear" w:color="auto" w:fill="F1F1F1"/>
          </w:tcPr>
          <w:p>
            <w:pPr>
              <w:pStyle w:val="TableParagraph"/>
              <w:spacing w:before="27"/>
              <w:ind w:left="105"/>
              <w:rPr>
                <w:rFonts w:ascii="PMingLiU" w:hAnsi="PMingLiU" w:eastAsia="PMingLiU" w:hint="eastAsia"/>
                <w:sz w:val="16"/>
              </w:rPr>
            </w:pPr>
            <w:r>
              <w:rPr>
                <w:rFonts w:ascii="PMingLiU" w:hAnsi="PMingLiU" w:eastAsia="PMingLiU" w:hint="eastAsia"/>
                <w:sz w:val="16"/>
              </w:rPr>
              <w:t>促进 </w:t>
            </w:r>
            <w:r>
              <w:rPr>
                <w:sz w:val="16"/>
              </w:rPr>
              <w:t>CAR-T </w:t>
            </w:r>
            <w:r>
              <w:rPr>
                <w:rFonts w:ascii="PMingLiU" w:hAnsi="PMingLiU" w:eastAsia="PMingLiU" w:hint="eastAsia"/>
                <w:sz w:val="16"/>
              </w:rPr>
              <w:t>细胞产生更多的 </w:t>
            </w:r>
            <w:r>
              <w:rPr>
                <w:sz w:val="16"/>
              </w:rPr>
              <w:t>IFN-γ </w:t>
            </w:r>
            <w:r>
              <w:rPr>
                <w:rFonts w:ascii="PMingLiU" w:hAnsi="PMingLiU" w:eastAsia="PMingLiU" w:hint="eastAsia"/>
                <w:sz w:val="16"/>
              </w:rPr>
              <w:t>和</w:t>
            </w:r>
          </w:p>
          <w:p>
            <w:pPr>
              <w:pStyle w:val="TableParagraph"/>
              <w:spacing w:before="12"/>
              <w:ind w:left="105"/>
              <w:rPr>
                <w:sz w:val="16"/>
              </w:rPr>
            </w:pPr>
            <w:r>
              <w:rPr>
                <w:sz w:val="16"/>
              </w:rPr>
              <w:t>IL-17</w:t>
            </w:r>
            <w:r>
              <w:rPr>
                <w:rFonts w:ascii="PMingLiU" w:eastAsia="PMingLiU" w:hint="eastAsia"/>
                <w:sz w:val="16"/>
              </w:rPr>
              <w:t>，抑制 </w:t>
            </w:r>
            <w:r>
              <w:rPr>
                <w:sz w:val="16"/>
              </w:rPr>
              <w:t>CAR T </w:t>
            </w:r>
            <w:r>
              <w:rPr>
                <w:rFonts w:ascii="PMingLiU" w:eastAsia="PMingLiU" w:hint="eastAsia"/>
                <w:sz w:val="16"/>
              </w:rPr>
              <w:t>细胞表达</w:t>
            </w:r>
            <w:r>
              <w:rPr>
                <w:sz w:val="16"/>
              </w:rPr>
              <w:t>IL-10</w:t>
            </w:r>
          </w:p>
        </w:tc>
      </w:tr>
      <w:tr>
        <w:trPr>
          <w:trHeight w:val="527" w:hRule="atLeast"/>
        </w:trPr>
        <w:tc>
          <w:tcPr>
            <w:tcW w:w="1078" w:type="dxa"/>
          </w:tcPr>
          <w:p>
            <w:pPr>
              <w:pStyle w:val="TableParagraph"/>
              <w:spacing w:before="11"/>
              <w:rPr>
                <w:rFonts w:ascii="Microsoft JhengHei UI"/>
                <w:b/>
                <w:sz w:val="9"/>
              </w:rPr>
            </w:pPr>
          </w:p>
          <w:p>
            <w:pPr>
              <w:pStyle w:val="TableParagraph"/>
              <w:ind w:left="110"/>
              <w:rPr>
                <w:sz w:val="16"/>
              </w:rPr>
            </w:pPr>
            <w:r>
              <w:rPr>
                <w:sz w:val="16"/>
              </w:rPr>
              <w:t>CD27</w:t>
            </w:r>
          </w:p>
        </w:tc>
        <w:tc>
          <w:tcPr>
            <w:tcW w:w="971" w:type="dxa"/>
          </w:tcPr>
          <w:p>
            <w:pPr>
              <w:pStyle w:val="TableParagraph"/>
              <w:spacing w:before="11"/>
              <w:rPr>
                <w:rFonts w:ascii="Microsoft JhengHei UI"/>
                <w:b/>
                <w:sz w:val="9"/>
              </w:rPr>
            </w:pPr>
          </w:p>
          <w:p>
            <w:pPr>
              <w:pStyle w:val="TableParagraph"/>
              <w:ind w:left="165"/>
              <w:rPr>
                <w:sz w:val="16"/>
              </w:rPr>
            </w:pPr>
            <w:r>
              <w:rPr>
                <w:sz w:val="16"/>
              </w:rPr>
              <w:t>TNFRSF</w:t>
            </w:r>
          </w:p>
        </w:tc>
        <w:tc>
          <w:tcPr>
            <w:tcW w:w="2969" w:type="dxa"/>
          </w:tcPr>
          <w:p>
            <w:pPr>
              <w:pStyle w:val="TableParagraph"/>
              <w:spacing w:line="247" w:lineRule="auto" w:before="32"/>
              <w:ind w:left="164" w:right="70"/>
              <w:rPr>
                <w:rFonts w:ascii="PMingLiU" w:eastAsia="PMingLiU" w:hint="eastAsia"/>
                <w:sz w:val="16"/>
              </w:rPr>
            </w:pPr>
            <w:r>
              <w:rPr>
                <w:rFonts w:ascii="PMingLiU" w:eastAsia="PMingLiU" w:hint="eastAsia"/>
                <w:sz w:val="16"/>
              </w:rPr>
              <w:t>参与初始 </w:t>
            </w:r>
            <w:r>
              <w:rPr>
                <w:sz w:val="16"/>
              </w:rPr>
              <w:t>CD4+</w:t>
            </w:r>
            <w:r>
              <w:rPr>
                <w:rFonts w:ascii="PMingLiU" w:eastAsia="PMingLiU" w:hint="eastAsia"/>
                <w:sz w:val="16"/>
              </w:rPr>
              <w:t>和 </w:t>
            </w:r>
            <w:r>
              <w:rPr>
                <w:sz w:val="16"/>
              </w:rPr>
              <w:t>CD8+ T </w:t>
            </w:r>
            <w:r>
              <w:rPr>
                <w:rFonts w:ascii="PMingLiU" w:eastAsia="PMingLiU" w:hint="eastAsia"/>
                <w:sz w:val="16"/>
              </w:rPr>
              <w:t>细胞的应答及扩增，诱导</w:t>
            </w:r>
            <w:r>
              <w:rPr>
                <w:sz w:val="16"/>
              </w:rPr>
              <w:t>CD4+</w:t>
            </w:r>
            <w:r>
              <w:rPr>
                <w:rFonts w:ascii="PMingLiU" w:eastAsia="PMingLiU" w:hint="eastAsia"/>
                <w:sz w:val="16"/>
              </w:rPr>
              <w:t>分化为</w:t>
            </w:r>
            <w:r>
              <w:rPr>
                <w:sz w:val="16"/>
              </w:rPr>
              <w:t>Th1 </w:t>
            </w:r>
            <w:r>
              <w:rPr>
                <w:rFonts w:ascii="PMingLiU" w:eastAsia="PMingLiU" w:hint="eastAsia"/>
                <w:sz w:val="16"/>
              </w:rPr>
              <w:t>细胞</w:t>
            </w:r>
          </w:p>
        </w:tc>
        <w:tc>
          <w:tcPr>
            <w:tcW w:w="2952" w:type="dxa"/>
          </w:tcPr>
          <w:p>
            <w:pPr>
              <w:pStyle w:val="TableParagraph"/>
              <w:spacing w:line="247" w:lineRule="auto" w:before="56"/>
              <w:ind w:left="105"/>
              <w:rPr>
                <w:sz w:val="16"/>
              </w:rPr>
            </w:pPr>
            <w:r>
              <w:rPr>
                <w:rFonts w:ascii="PMingLiU" w:hAnsi="PMingLiU" w:eastAsia="PMingLiU" w:hint="eastAsia"/>
                <w:sz w:val="16"/>
              </w:rPr>
              <w:t>激活</w:t>
            </w:r>
            <w:r>
              <w:rPr>
                <w:sz w:val="16"/>
              </w:rPr>
              <w:t>T </w:t>
            </w:r>
            <w:r>
              <w:rPr>
                <w:rFonts w:ascii="PMingLiU" w:hAnsi="PMingLiU" w:eastAsia="PMingLiU" w:hint="eastAsia"/>
                <w:sz w:val="16"/>
              </w:rPr>
              <w:t>细胞上调表达</w:t>
            </w:r>
            <w:r>
              <w:rPr>
                <w:sz w:val="16"/>
              </w:rPr>
              <w:t>IL-2</w:t>
            </w:r>
            <w:r>
              <w:rPr>
                <w:rFonts w:ascii="PMingLiU" w:hAnsi="PMingLiU" w:eastAsia="PMingLiU" w:hint="eastAsia"/>
                <w:sz w:val="16"/>
              </w:rPr>
              <w:t>、</w:t>
            </w:r>
            <w:r>
              <w:rPr>
                <w:sz w:val="16"/>
              </w:rPr>
              <w:t>IFN-γ </w:t>
            </w:r>
            <w:r>
              <w:rPr>
                <w:rFonts w:ascii="PMingLiU" w:hAnsi="PMingLiU" w:eastAsia="PMingLiU" w:hint="eastAsia"/>
                <w:sz w:val="16"/>
              </w:rPr>
              <w:t>、 </w:t>
            </w:r>
            <w:r>
              <w:rPr>
                <w:sz w:val="16"/>
              </w:rPr>
              <w:t>IL- 7R</w:t>
            </w:r>
          </w:p>
        </w:tc>
      </w:tr>
      <w:tr>
        <w:trPr>
          <w:trHeight w:val="532" w:hRule="atLeast"/>
        </w:trPr>
        <w:tc>
          <w:tcPr>
            <w:tcW w:w="1078" w:type="dxa"/>
            <w:tcBorders>
              <w:bottom w:val="single" w:sz="12" w:space="0" w:color="000000"/>
            </w:tcBorders>
            <w:shd w:val="clear" w:color="auto" w:fill="F1F1F1"/>
          </w:tcPr>
          <w:p>
            <w:pPr>
              <w:pStyle w:val="TableParagraph"/>
              <w:spacing w:before="16"/>
              <w:rPr>
                <w:rFonts w:ascii="Microsoft JhengHei UI"/>
                <w:b/>
                <w:sz w:val="9"/>
              </w:rPr>
            </w:pPr>
          </w:p>
          <w:p>
            <w:pPr>
              <w:pStyle w:val="TableParagraph"/>
              <w:ind w:left="110"/>
              <w:rPr>
                <w:sz w:val="16"/>
              </w:rPr>
            </w:pPr>
            <w:r>
              <w:rPr>
                <w:sz w:val="16"/>
              </w:rPr>
              <w:t>ICOS</w:t>
            </w:r>
          </w:p>
        </w:tc>
        <w:tc>
          <w:tcPr>
            <w:tcW w:w="971" w:type="dxa"/>
            <w:tcBorders>
              <w:bottom w:val="single" w:sz="12" w:space="0" w:color="000000"/>
            </w:tcBorders>
            <w:shd w:val="clear" w:color="auto" w:fill="F1F1F1"/>
          </w:tcPr>
          <w:p>
            <w:pPr>
              <w:pStyle w:val="TableParagraph"/>
              <w:spacing w:before="16"/>
              <w:rPr>
                <w:rFonts w:ascii="Microsoft JhengHei UI"/>
                <w:b/>
                <w:sz w:val="9"/>
              </w:rPr>
            </w:pPr>
          </w:p>
          <w:p>
            <w:pPr>
              <w:pStyle w:val="TableParagraph"/>
              <w:ind w:left="165"/>
              <w:rPr>
                <w:sz w:val="16"/>
              </w:rPr>
            </w:pPr>
            <w:r>
              <w:rPr>
                <w:sz w:val="16"/>
              </w:rPr>
              <w:t>CD28</w:t>
            </w:r>
          </w:p>
        </w:tc>
        <w:tc>
          <w:tcPr>
            <w:tcW w:w="2969" w:type="dxa"/>
            <w:tcBorders>
              <w:bottom w:val="single" w:sz="12" w:space="0" w:color="000000"/>
            </w:tcBorders>
            <w:shd w:val="clear" w:color="auto" w:fill="F1F1F1"/>
          </w:tcPr>
          <w:p>
            <w:pPr>
              <w:pStyle w:val="TableParagraph"/>
              <w:spacing w:before="32"/>
              <w:ind w:left="164"/>
              <w:rPr>
                <w:rFonts w:ascii="PMingLiU" w:eastAsia="PMingLiU" w:hint="eastAsia"/>
                <w:sz w:val="16"/>
              </w:rPr>
            </w:pPr>
            <w:r>
              <w:rPr>
                <w:rFonts w:ascii="PMingLiU" w:eastAsia="PMingLiU" w:hint="eastAsia"/>
                <w:sz w:val="16"/>
              </w:rPr>
              <w:t>主要作用于</w:t>
            </w:r>
            <w:r>
              <w:rPr>
                <w:sz w:val="16"/>
              </w:rPr>
              <w:t>CD4+ T </w:t>
            </w:r>
            <w:r>
              <w:rPr>
                <w:rFonts w:ascii="PMingLiU" w:eastAsia="PMingLiU" w:hint="eastAsia"/>
                <w:sz w:val="16"/>
              </w:rPr>
              <w:t>细胞，诱导 </w:t>
            </w:r>
            <w:r>
              <w:rPr>
                <w:sz w:val="16"/>
              </w:rPr>
              <w:t>Tfh </w:t>
            </w:r>
            <w:r>
              <w:rPr>
                <w:rFonts w:ascii="PMingLiU" w:eastAsia="PMingLiU" w:hint="eastAsia"/>
                <w:sz w:val="16"/>
              </w:rPr>
              <w:t>和</w:t>
            </w:r>
          </w:p>
          <w:p>
            <w:pPr>
              <w:pStyle w:val="TableParagraph"/>
              <w:spacing w:before="11"/>
              <w:ind w:left="164"/>
              <w:rPr>
                <w:rFonts w:ascii="PMingLiU" w:eastAsia="PMingLiU" w:hint="eastAsia"/>
                <w:sz w:val="16"/>
              </w:rPr>
            </w:pPr>
            <w:r>
              <w:rPr>
                <w:sz w:val="16"/>
              </w:rPr>
              <w:t>Th17 </w:t>
            </w:r>
            <w:r>
              <w:rPr>
                <w:rFonts w:ascii="PMingLiU" w:eastAsia="PMingLiU" w:hint="eastAsia"/>
                <w:sz w:val="16"/>
              </w:rPr>
              <w:t>的细胞分化</w:t>
            </w:r>
          </w:p>
        </w:tc>
        <w:tc>
          <w:tcPr>
            <w:tcW w:w="2952" w:type="dxa"/>
            <w:tcBorders>
              <w:bottom w:val="single" w:sz="12" w:space="0" w:color="000000"/>
            </w:tcBorders>
            <w:shd w:val="clear" w:color="auto" w:fill="F1F1F1"/>
          </w:tcPr>
          <w:p>
            <w:pPr>
              <w:pStyle w:val="TableParagraph"/>
              <w:spacing w:line="252" w:lineRule="auto" w:before="32"/>
              <w:ind w:left="105" w:right="117"/>
              <w:rPr>
                <w:sz w:val="16"/>
              </w:rPr>
            </w:pPr>
            <w:r>
              <w:rPr>
                <w:rFonts w:ascii="PMingLiU" w:eastAsia="PMingLiU" w:hint="eastAsia"/>
                <w:sz w:val="16"/>
              </w:rPr>
              <w:t>诱导 </w:t>
            </w:r>
            <w:r>
              <w:rPr>
                <w:sz w:val="16"/>
              </w:rPr>
              <w:t>CAR T </w:t>
            </w:r>
            <w:r>
              <w:rPr>
                <w:rFonts w:ascii="PMingLiU" w:eastAsia="PMingLiU" w:hint="eastAsia"/>
                <w:sz w:val="16"/>
              </w:rPr>
              <w:t>细胞表达 </w:t>
            </w:r>
            <w:r>
              <w:rPr>
                <w:sz w:val="16"/>
              </w:rPr>
              <w:t>IL-17 </w:t>
            </w:r>
            <w:r>
              <w:rPr>
                <w:rFonts w:ascii="PMingLiU" w:eastAsia="PMingLiU" w:hint="eastAsia"/>
                <w:sz w:val="16"/>
              </w:rPr>
              <w:t>等炎性细胞因子，但不能诱导 </w:t>
            </w:r>
            <w:r>
              <w:rPr>
                <w:sz w:val="16"/>
              </w:rPr>
              <w:t>T </w:t>
            </w:r>
            <w:r>
              <w:rPr>
                <w:rFonts w:ascii="PMingLiU" w:eastAsia="PMingLiU" w:hint="eastAsia"/>
                <w:sz w:val="16"/>
              </w:rPr>
              <w:t>细胞产生 </w:t>
            </w:r>
            <w:r>
              <w:rPr>
                <w:sz w:val="16"/>
              </w:rPr>
              <w:t>IL-2</w:t>
            </w:r>
          </w:p>
        </w:tc>
      </w:tr>
    </w:tbl>
    <w:p>
      <w:pPr>
        <w:spacing w:before="17"/>
        <w:ind w:left="210" w:right="0" w:firstLine="0"/>
        <w:jc w:val="both"/>
        <w:rPr>
          <w:sz w:val="16"/>
        </w:rPr>
      </w:pPr>
      <w:r>
        <w:rPr>
          <w:sz w:val="16"/>
        </w:rPr>
        <w:t>资料来源</w:t>
      </w:r>
      <w:r>
        <w:rPr>
          <w:rFonts w:ascii="Arial" w:eastAsia="Arial"/>
          <w:sz w:val="16"/>
        </w:rPr>
        <w:t>: Pubmed</w:t>
      </w:r>
      <w:r>
        <w:rPr>
          <w:sz w:val="16"/>
        </w:rPr>
        <w:t>，招银国际证券</w:t>
      </w:r>
    </w:p>
    <w:p>
      <w:pPr>
        <w:spacing w:after="0"/>
        <w:jc w:val="both"/>
        <w:rPr>
          <w:sz w:val="16"/>
        </w:rPr>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15"/>
      </w:pPr>
      <w:r>
        <w:rPr/>
        <w:t>当前，全球绝大多数临床阶段 </w:t>
      </w:r>
      <w:r>
        <w:rPr>
          <w:rFonts w:ascii="Arial" w:eastAsia="Arial"/>
        </w:rPr>
        <w:t>CAR-T</w:t>
      </w:r>
      <w:r>
        <w:rPr>
          <w:rFonts w:ascii="Arial" w:eastAsia="Arial"/>
          <w:spacing w:val="53"/>
        </w:rPr>
        <w:t> </w:t>
      </w:r>
      <w:r>
        <w:rPr>
          <w:spacing w:val="-2"/>
        </w:rPr>
        <w:t>产品采用二代结构</w:t>
      </w:r>
      <w:r>
        <w:rPr>
          <w:rFonts w:ascii="Arial" w:eastAsia="Arial"/>
        </w:rPr>
        <w:t>(70.9%)</w:t>
      </w:r>
      <w:r>
        <w:rPr>
          <w:spacing w:val="-2"/>
        </w:rPr>
        <w:t>，采用三代结构和四代结</w:t>
      </w:r>
      <w:r>
        <w:rPr>
          <w:spacing w:val="24"/>
        </w:rPr>
        <w:t>构的</w:t>
      </w:r>
      <w:r>
        <w:rPr>
          <w:rFonts w:ascii="Arial" w:eastAsia="Arial"/>
        </w:rPr>
        <w:t>CAR-T </w:t>
      </w:r>
      <w:r>
        <w:rPr>
          <w:spacing w:val="-1"/>
        </w:rPr>
        <w:t>分别占 </w:t>
      </w:r>
      <w:r>
        <w:rPr>
          <w:rFonts w:ascii="Arial" w:eastAsia="Arial"/>
        </w:rPr>
        <w:t>13.4%</w:t>
      </w:r>
      <w:r>
        <w:rPr>
          <w:spacing w:val="-1"/>
        </w:rPr>
        <w:t>和 </w:t>
      </w:r>
      <w:r>
        <w:rPr>
          <w:rFonts w:ascii="Arial" w:eastAsia="Arial"/>
          <w:spacing w:val="-2"/>
        </w:rPr>
        <w:t>14.1%</w:t>
      </w:r>
      <w:r>
        <w:rPr>
          <w:spacing w:val="-4"/>
        </w:rPr>
        <w:t>，其中绝大多数仍采用 </w:t>
      </w:r>
      <w:r>
        <w:rPr>
          <w:rFonts w:ascii="Arial" w:eastAsia="Arial"/>
        </w:rPr>
        <w:t>CD28 </w:t>
      </w:r>
      <w:r>
        <w:rPr>
          <w:spacing w:val="-1"/>
        </w:rPr>
        <w:t>或 </w:t>
      </w:r>
      <w:r>
        <w:rPr>
          <w:rFonts w:ascii="Arial" w:eastAsia="Arial"/>
        </w:rPr>
        <w:t>4-1BB </w:t>
      </w:r>
      <w:r>
        <w:rPr/>
        <w:t>共刺激域。</w:t>
      </w:r>
    </w:p>
    <w:p>
      <w:pPr>
        <w:pStyle w:val="Heading3"/>
        <w:spacing w:before="72" w:after="5"/>
        <w:jc w:val="left"/>
      </w:pPr>
      <w:r>
        <w:rPr/>
        <w:t>图 </w:t>
      </w:r>
      <w:r>
        <w:rPr>
          <w:rFonts w:ascii="Arial" w:eastAsia="Arial"/>
        </w:rPr>
        <w:t>10: </w:t>
      </w:r>
      <w:r>
        <w:rPr/>
        <w:t>临床阶段</w:t>
      </w:r>
      <w:r>
        <w:rPr>
          <w:rFonts w:ascii="Arial" w:eastAsia="Arial"/>
        </w:rPr>
        <w:t>CAR-T </w:t>
      </w:r>
      <w:r>
        <w:rPr/>
        <w:t>产品代次分布及共刺激域选择</w:t>
      </w:r>
    </w:p>
    <w:p>
      <w:pPr>
        <w:pStyle w:val="BodyText"/>
        <w:ind w:left="181"/>
        <w:rPr>
          <w:rFonts w:ascii="Microsoft JhengHei UI"/>
        </w:rPr>
      </w:pPr>
      <w:r>
        <w:rPr>
          <w:rFonts w:ascii="Microsoft JhengHei UI"/>
        </w:rPr>
        <w:drawing>
          <wp:inline distT="0" distB="0" distL="0" distR="0">
            <wp:extent cx="5082452" cy="1943100"/>
            <wp:effectExtent l="0" t="0" r="0" b="0"/>
            <wp:docPr id="5" name="image10.png"/>
            <wp:cNvGraphicFramePr>
              <a:graphicFrameLocks noChangeAspect="1"/>
            </wp:cNvGraphicFramePr>
            <a:graphic>
              <a:graphicData uri="http://schemas.openxmlformats.org/drawingml/2006/picture">
                <pic:pic>
                  <pic:nvPicPr>
                    <pic:cNvPr id="6" name="image10.png"/>
                    <pic:cNvPicPr/>
                  </pic:nvPicPr>
                  <pic:blipFill>
                    <a:blip r:embed="rId17" cstate="print"/>
                    <a:stretch>
                      <a:fillRect/>
                    </a:stretch>
                  </pic:blipFill>
                  <pic:spPr>
                    <a:xfrm>
                      <a:off x="0" y="0"/>
                      <a:ext cx="5082452" cy="1943100"/>
                    </a:xfrm>
                    <a:prstGeom prst="rect">
                      <a:avLst/>
                    </a:prstGeom>
                  </pic:spPr>
                </pic:pic>
              </a:graphicData>
            </a:graphic>
          </wp:inline>
        </w:drawing>
      </w:r>
      <w:r>
        <w:rPr>
          <w:rFonts w:ascii="Microsoft JhengHei UI"/>
        </w:rPr>
      </w:r>
    </w:p>
    <w:p>
      <w:pPr>
        <w:spacing w:before="16"/>
        <w:ind w:left="210" w:right="0" w:firstLine="0"/>
        <w:jc w:val="left"/>
        <w:rPr>
          <w:sz w:val="16"/>
        </w:rPr>
      </w:pPr>
      <w:r>
        <w:rPr>
          <w:sz w:val="16"/>
        </w:rPr>
        <w:t>资料来源</w:t>
      </w:r>
      <w:r>
        <w:rPr>
          <w:rFonts w:ascii="Arial" w:eastAsia="Arial"/>
          <w:sz w:val="16"/>
        </w:rPr>
        <w:t>: Moreno-Cortes E et al. Critical Reviews in Oncology Hematology 2021</w:t>
      </w:r>
      <w:r>
        <w:rPr>
          <w:sz w:val="16"/>
        </w:rPr>
        <w:t>，招银国际证券</w:t>
      </w:r>
    </w:p>
    <w:p>
      <w:pPr>
        <w:pStyle w:val="BodyText"/>
        <w:spacing w:before="11"/>
        <w:ind w:left="0"/>
        <w:rPr>
          <w:sz w:val="21"/>
        </w:rPr>
      </w:pPr>
    </w:p>
    <w:p>
      <w:pPr>
        <w:pStyle w:val="Heading2"/>
      </w:pPr>
      <w:bookmarkStart w:name="_bookmark4" w:id="5"/>
      <w:bookmarkEnd w:id="5"/>
      <w:r>
        <w:rPr>
          <w:b w:val="0"/>
        </w:rPr>
      </w:r>
      <w:r>
        <w:rPr>
          <w:color w:val="585858"/>
        </w:rPr>
        <w:t>从技术角度看产品，元件选择或影响产品力</w:t>
      </w:r>
    </w:p>
    <w:p>
      <w:pPr>
        <w:pStyle w:val="BodyText"/>
        <w:spacing w:line="283" w:lineRule="auto" w:before="66"/>
        <w:ind w:right="2812"/>
        <w:jc w:val="both"/>
      </w:pPr>
      <w:r>
        <w:rPr>
          <w:rFonts w:ascii="Microsoft JhengHei UI" w:eastAsia="Microsoft JhengHei UI" w:hint="eastAsia"/>
          <w:b/>
          <w:spacing w:val="1"/>
        </w:rPr>
        <w:t>前五款在美上市的 </w:t>
      </w:r>
      <w:r>
        <w:rPr>
          <w:rFonts w:ascii="Arial" w:eastAsia="Arial"/>
          <w:b/>
        </w:rPr>
        <w:t>CAR-T </w:t>
      </w:r>
      <w:r>
        <w:rPr>
          <w:rFonts w:ascii="Microsoft JhengHei UI" w:eastAsia="Microsoft JhengHei UI" w:hint="eastAsia"/>
          <w:b/>
          <w:spacing w:val="-5"/>
        </w:rPr>
        <w:t>结合域均为鼠源，传奇生物的独特设计提升靶细胞亲和力。</w:t>
      </w:r>
      <w:r>
        <w:rPr>
          <w:spacing w:val="-5"/>
        </w:rPr>
        <w:t>已获</w:t>
      </w:r>
      <w:r>
        <w:rPr>
          <w:rFonts w:ascii="Arial" w:eastAsia="Arial"/>
        </w:rPr>
        <w:t>FDA </w:t>
      </w:r>
      <w:r>
        <w:rPr>
          <w:spacing w:val="-2"/>
        </w:rPr>
        <w:t>批准上市并实现商业化的四种 </w:t>
      </w:r>
      <w:r>
        <w:rPr>
          <w:rFonts w:ascii="Arial" w:eastAsia="Arial"/>
        </w:rPr>
        <w:t>CD19 CAR-T </w:t>
      </w:r>
      <w:r>
        <w:rPr>
          <w:spacing w:val="-3"/>
        </w:rPr>
        <w:t>疗法中，</w:t>
      </w:r>
      <w:r>
        <w:rPr>
          <w:rFonts w:ascii="Arial" w:eastAsia="Arial"/>
        </w:rPr>
        <w:t>Kymriah</w:t>
      </w:r>
      <w:r>
        <w:rPr>
          <w:rFonts w:ascii="Arial" w:eastAsia="Arial"/>
          <w:spacing w:val="14"/>
        </w:rPr>
        <w:t> (</w:t>
      </w:r>
      <w:r>
        <w:rPr>
          <w:rFonts w:ascii="Arial" w:eastAsia="Arial"/>
        </w:rPr>
        <w:t>Novartis)</w:t>
      </w:r>
      <w:r>
        <w:rPr/>
        <w:t>、</w:t>
      </w:r>
      <w:r>
        <w:rPr>
          <w:rFonts w:ascii="Arial" w:eastAsia="Arial"/>
        </w:rPr>
        <w:t>Yescarta (Gilead/ Kite)</w:t>
      </w:r>
      <w:r>
        <w:rPr>
          <w:spacing w:val="-5"/>
        </w:rPr>
        <w:t>、</w:t>
      </w:r>
      <w:r>
        <w:rPr>
          <w:rFonts w:ascii="Arial" w:eastAsia="Arial"/>
        </w:rPr>
        <w:t>Tecartus</w:t>
      </w:r>
      <w:r>
        <w:rPr>
          <w:rFonts w:ascii="Arial" w:eastAsia="Arial"/>
          <w:spacing w:val="13"/>
        </w:rPr>
        <w:t> (</w:t>
      </w:r>
      <w:r>
        <w:rPr>
          <w:rFonts w:ascii="Arial" w:eastAsia="Arial"/>
        </w:rPr>
        <w:t>Gilead/ Kite</w:t>
      </w:r>
      <w:r>
        <w:rPr>
          <w:rFonts w:ascii="Arial" w:eastAsia="Arial"/>
          <w:spacing w:val="14"/>
        </w:rPr>
        <w:t>) </w:t>
      </w:r>
      <w:r>
        <w:rPr>
          <w:spacing w:val="12"/>
        </w:rPr>
        <w:t>和 </w:t>
      </w:r>
      <w:r>
        <w:rPr>
          <w:rFonts w:ascii="Arial" w:eastAsia="Arial"/>
        </w:rPr>
        <w:t>Breyanzi</w:t>
      </w:r>
      <w:r>
        <w:rPr>
          <w:rFonts w:ascii="Arial" w:eastAsia="Arial"/>
          <w:spacing w:val="15"/>
        </w:rPr>
        <w:t> (</w:t>
      </w:r>
      <w:r>
        <w:rPr>
          <w:rFonts w:ascii="Arial" w:eastAsia="Arial"/>
        </w:rPr>
        <w:t>BMS/ Kite</w:t>
      </w:r>
      <w:r>
        <w:rPr>
          <w:rFonts w:ascii="Arial" w:eastAsia="Arial"/>
          <w:spacing w:val="14"/>
        </w:rPr>
        <w:t>) </w:t>
      </w:r>
      <w:r>
        <w:rPr/>
        <w:t>的胞外域均采用 </w:t>
      </w:r>
      <w:r>
        <w:rPr>
          <w:rFonts w:ascii="Arial" w:eastAsia="Arial"/>
        </w:rPr>
        <w:t>FMC63 scFv</w:t>
      </w:r>
      <w:r>
        <w:rPr>
          <w:spacing w:val="-5"/>
        </w:rPr>
        <w:t>。</w:t>
      </w:r>
      <w:r>
        <w:rPr>
          <w:rFonts w:ascii="Arial" w:eastAsia="Arial"/>
        </w:rPr>
        <w:t>FMC63 </w:t>
      </w:r>
      <w:r>
        <w:rPr/>
        <w:t>是一种针对 </w:t>
      </w:r>
      <w:r>
        <w:rPr>
          <w:rFonts w:ascii="Arial" w:eastAsia="Arial"/>
        </w:rPr>
        <w:t>CD19 </w:t>
      </w:r>
      <w:r>
        <w:rPr>
          <w:spacing w:val="2"/>
        </w:rPr>
        <w:t>的 </w:t>
      </w:r>
      <w:r>
        <w:rPr>
          <w:rFonts w:ascii="Arial" w:eastAsia="Arial"/>
        </w:rPr>
        <w:t>IgG2a </w:t>
      </w:r>
      <w:r>
        <w:rPr>
          <w:spacing w:val="-4"/>
        </w:rPr>
        <w:t>小鼠单克隆抗体，</w:t>
      </w:r>
      <w:r>
        <w:rPr>
          <w:rFonts w:ascii="Arial" w:eastAsia="Arial"/>
        </w:rPr>
        <w:t>FMC63 </w:t>
      </w:r>
      <w:r>
        <w:rPr/>
        <w:t>单链抗体是 </w:t>
      </w:r>
      <w:r>
        <w:rPr>
          <w:rFonts w:ascii="Arial" w:eastAsia="Arial"/>
        </w:rPr>
        <w:t>CD19 </w:t>
      </w:r>
      <w:r>
        <w:rPr/>
        <w:t>特</w:t>
      </w:r>
      <w:r>
        <w:rPr>
          <w:spacing w:val="24"/>
        </w:rPr>
        <w:t>异性</w:t>
      </w:r>
      <w:r>
        <w:rPr>
          <w:rFonts w:ascii="Arial" w:eastAsia="Arial"/>
        </w:rPr>
        <w:t>CARs </w:t>
      </w:r>
      <w:r>
        <w:rPr>
          <w:spacing w:val="-2"/>
        </w:rPr>
        <w:t>最常用的胞外域成分。</w:t>
      </w:r>
      <w:r>
        <w:rPr>
          <w:rFonts w:ascii="Arial" w:eastAsia="Arial"/>
        </w:rPr>
        <w:t>Abecma (BMS/ Bluebird</w:t>
      </w:r>
      <w:r>
        <w:rPr>
          <w:rFonts w:ascii="Arial" w:eastAsia="Arial"/>
          <w:spacing w:val="10"/>
        </w:rPr>
        <w:t>) </w:t>
      </w:r>
      <w:r>
        <w:rPr>
          <w:spacing w:val="-4"/>
        </w:rPr>
        <w:t>作为全球第一款上市的 </w:t>
      </w:r>
      <w:r>
        <w:rPr>
          <w:rFonts w:ascii="Arial" w:eastAsia="Arial"/>
        </w:rPr>
        <w:t>BCMA CAR-T</w:t>
      </w:r>
      <w:r>
        <w:rPr>
          <w:spacing w:val="-4"/>
        </w:rPr>
        <w:t>，其胞外域采用鼠源性 </w:t>
      </w:r>
      <w:r>
        <w:rPr>
          <w:rFonts w:ascii="Arial" w:eastAsia="Arial"/>
        </w:rPr>
        <w:t>11D5-3 scFv</w:t>
      </w:r>
      <w:r>
        <w:rPr>
          <w:spacing w:val="-4"/>
        </w:rPr>
        <w:t>。而刚刚获批上市的 </w:t>
      </w:r>
      <w:r>
        <w:rPr>
          <w:rFonts w:ascii="Arial" w:eastAsia="Arial"/>
        </w:rPr>
        <w:t>Carvytki</w:t>
      </w:r>
      <w:r>
        <w:rPr>
          <w:rFonts w:ascii="Arial" w:eastAsia="Arial"/>
          <w:spacing w:val="4"/>
        </w:rPr>
        <w:t> (</w:t>
      </w:r>
      <w:r>
        <w:rPr>
          <w:rFonts w:ascii="Arial" w:eastAsia="Arial"/>
        </w:rPr>
        <w:t>Legend/ J&amp;J) </w:t>
      </w:r>
      <w:r>
        <w:rPr/>
        <w:t>设</w:t>
      </w:r>
      <w:r>
        <w:rPr>
          <w:spacing w:val="-5"/>
        </w:rPr>
        <w:t>计独特，采用了骆驼源可变重链结构域，基于 </w:t>
      </w:r>
      <w:r>
        <w:rPr>
          <w:rFonts w:ascii="Arial" w:eastAsia="Arial"/>
        </w:rPr>
        <w:t>VHH </w:t>
      </w:r>
      <w:r>
        <w:rPr>
          <w:spacing w:val="-2"/>
        </w:rPr>
        <w:t>较小的体积，</w:t>
      </w:r>
      <w:r>
        <w:rPr>
          <w:rFonts w:ascii="Arial" w:eastAsia="Arial"/>
        </w:rPr>
        <w:t>Carvytki </w:t>
      </w:r>
      <w:r>
        <w:rPr>
          <w:spacing w:val="-3"/>
        </w:rPr>
        <w:t>使用两个 </w:t>
      </w:r>
      <w:r>
        <w:rPr>
          <w:rFonts w:ascii="Arial" w:eastAsia="Arial"/>
        </w:rPr>
        <w:t>VHH </w:t>
      </w:r>
      <w:r>
        <w:rPr/>
        <w:t>同</w:t>
      </w:r>
      <w:r>
        <w:rPr>
          <w:spacing w:val="-1"/>
        </w:rPr>
        <w:t>时针对两个 </w:t>
      </w:r>
      <w:r>
        <w:rPr>
          <w:rFonts w:ascii="Arial" w:eastAsia="Arial"/>
        </w:rPr>
        <w:t>BCMA </w:t>
      </w:r>
      <w:r>
        <w:rPr>
          <w:spacing w:val="-5"/>
        </w:rPr>
        <w:t>表位，继而提升其对肿瘤细胞的亲和力。</w:t>
      </w:r>
    </w:p>
    <w:p>
      <w:pPr>
        <w:pStyle w:val="Heading3"/>
        <w:spacing w:before="74" w:after="4"/>
      </w:pPr>
      <w:r>
        <w:rPr/>
        <w:t>图 </w:t>
      </w:r>
      <w:r>
        <w:rPr>
          <w:rFonts w:ascii="Arial" w:eastAsia="Arial"/>
        </w:rPr>
        <w:t>11: </w:t>
      </w:r>
      <w:r>
        <w:rPr/>
        <w:t>获 </w:t>
      </w:r>
      <w:r>
        <w:rPr>
          <w:rFonts w:ascii="Arial" w:eastAsia="Arial"/>
        </w:rPr>
        <w:t>FDA </w:t>
      </w:r>
      <w:r>
        <w:rPr/>
        <w:t>批准上市的 </w:t>
      </w:r>
      <w:r>
        <w:rPr>
          <w:rFonts w:ascii="Arial" w:eastAsia="Arial"/>
        </w:rPr>
        <w:t>CAR-T </w:t>
      </w:r>
      <w:r>
        <w:rPr/>
        <w:t>结构对比</w:t>
      </w:r>
    </w:p>
    <w:p>
      <w:pPr>
        <w:pStyle w:val="BodyText"/>
        <w:ind w:left="181"/>
        <w:rPr>
          <w:rFonts w:ascii="Microsoft JhengHei UI"/>
        </w:rPr>
      </w:pPr>
      <w:r>
        <w:rPr>
          <w:rFonts w:ascii="Microsoft JhengHei UI"/>
        </w:rPr>
        <w:pict>
          <v:group style="width:400.05pt;height:144.050pt;mso-position-horizontal-relative:char;mso-position-vertical-relative:line" coordorigin="0,0" coordsize="8001,2881">
            <v:shape style="position:absolute;left:0;top:0;width:8001;height:2881" coordorigin="0,0" coordsize="8001,2881" path="m8000,2852l0,2852,0,2881,8000,2881,8000,2852xm8000,0l0,0,0,29,8000,29,8000,0xe" filled="true" fillcolor="#000000" stroked="false">
              <v:path arrowok="t"/>
              <v:fill type="solid"/>
            </v:shape>
            <v:shape style="position:absolute;left:90;top:54;width:5888;height:2784" type="#_x0000_t75" stroked="false">
              <v:imagedata r:id="rId18" o:title=""/>
            </v:shape>
            <v:shape style="position:absolute;left:6347;top:26;width:1615;height:2808" type="#_x0000_t75" stroked="false">
              <v:imagedata r:id="rId19" o:title=""/>
            </v:shape>
          </v:group>
        </w:pict>
      </w:r>
      <w:r>
        <w:rPr>
          <w:rFonts w:ascii="Microsoft JhengHei UI"/>
        </w:rPr>
      </w:r>
    </w:p>
    <w:p>
      <w:pPr>
        <w:spacing w:line="202" w:lineRule="exact" w:before="0"/>
        <w:ind w:left="210" w:right="0" w:firstLine="0"/>
        <w:jc w:val="left"/>
        <w:rPr>
          <w:sz w:val="16"/>
        </w:rPr>
      </w:pPr>
      <w:r>
        <w:rPr>
          <w:sz w:val="16"/>
        </w:rPr>
        <w:t>资料来源</w:t>
      </w:r>
      <w:r>
        <w:rPr>
          <w:rFonts w:ascii="Arial" w:eastAsia="Arial"/>
          <w:sz w:val="16"/>
        </w:rPr>
        <w:t>: Gene and Cellular Immunotherapy for Cancer</w:t>
      </w:r>
      <w:r>
        <w:rPr>
          <w:sz w:val="16"/>
        </w:rPr>
        <w:t>，</w:t>
      </w:r>
      <w:r>
        <w:rPr>
          <w:rFonts w:ascii="Arial" w:eastAsia="Arial"/>
          <w:sz w:val="16"/>
        </w:rPr>
        <w:t>Legend Biotech, </w:t>
      </w:r>
      <w:r>
        <w:rPr>
          <w:sz w:val="16"/>
        </w:rPr>
        <w:t>招银国际证券</w:t>
      </w:r>
    </w:p>
    <w:p>
      <w:pPr>
        <w:spacing w:before="11"/>
        <w:ind w:left="210" w:right="0" w:firstLine="0"/>
        <w:jc w:val="left"/>
        <w:rPr>
          <w:sz w:val="16"/>
        </w:rPr>
      </w:pPr>
      <w:r>
        <w:rPr>
          <w:sz w:val="16"/>
        </w:rPr>
        <w:t>注：最右图为传奇生物</w:t>
      </w:r>
      <w:r>
        <w:rPr>
          <w:rFonts w:ascii="Arial" w:eastAsia="Arial"/>
          <w:sz w:val="16"/>
        </w:rPr>
        <w:t>Carvytki (cilta-cel) </w:t>
      </w:r>
      <w:r>
        <w:rPr>
          <w:sz w:val="16"/>
        </w:rPr>
        <w:t>构造</w:t>
      </w:r>
    </w:p>
    <w:p>
      <w:pPr>
        <w:pStyle w:val="BodyText"/>
        <w:spacing w:before="5"/>
        <w:ind w:left="0"/>
        <w:rPr>
          <w:sz w:val="24"/>
        </w:rPr>
      </w:pPr>
    </w:p>
    <w:p>
      <w:pPr>
        <w:spacing w:line="276" w:lineRule="auto" w:before="0"/>
        <w:ind w:left="210" w:right="2809" w:firstLine="0"/>
        <w:jc w:val="both"/>
        <w:rPr>
          <w:sz w:val="20"/>
        </w:rPr>
      </w:pPr>
      <w:r>
        <w:rPr>
          <w:rFonts w:ascii="Microsoft JhengHei UI" w:hAnsi="Microsoft JhengHei UI" w:eastAsia="Microsoft JhengHei UI" w:hint="eastAsia"/>
          <w:b/>
          <w:sz w:val="20"/>
        </w:rPr>
        <w:t>共刺激域选择影响安全性和持久性，</w:t>
      </w:r>
      <w:r>
        <w:rPr>
          <w:rFonts w:ascii="Arial" w:hAnsi="Arial" w:eastAsia="Arial"/>
          <w:b/>
          <w:sz w:val="20"/>
        </w:rPr>
        <w:t>CD28 </w:t>
      </w:r>
      <w:r>
        <w:rPr>
          <w:rFonts w:ascii="Microsoft JhengHei UI" w:hAnsi="Microsoft JhengHei UI" w:eastAsia="Microsoft JhengHei UI" w:hint="eastAsia"/>
          <w:b/>
          <w:sz w:val="20"/>
        </w:rPr>
        <w:t>可能诱导释放更多细胞因子。</w:t>
      </w:r>
      <w:r>
        <w:rPr>
          <w:sz w:val="20"/>
        </w:rPr>
        <w:t>作为一种</w:t>
      </w:r>
      <w:r>
        <w:rPr>
          <w:rFonts w:ascii="Arial" w:hAnsi="Arial" w:eastAsia="Arial"/>
          <w:sz w:val="20"/>
        </w:rPr>
        <w:t>“Living- drug”</w:t>
      </w:r>
      <w:r>
        <w:rPr>
          <w:sz w:val="20"/>
        </w:rPr>
        <w:t>，</w:t>
      </w:r>
      <w:r>
        <w:rPr>
          <w:rFonts w:ascii="Arial" w:hAnsi="Arial" w:eastAsia="Arial"/>
          <w:sz w:val="20"/>
        </w:rPr>
        <w:t>CAR-T </w:t>
      </w:r>
      <w:r>
        <w:rPr>
          <w:spacing w:val="-5"/>
          <w:sz w:val="20"/>
        </w:rPr>
        <w:t>细胞疗法相对于传统药物治疗的最大优势在于其可长期响应，因此 </w:t>
      </w:r>
      <w:r>
        <w:rPr>
          <w:rFonts w:ascii="Arial" w:hAnsi="Arial" w:eastAsia="Arial"/>
          <w:sz w:val="20"/>
        </w:rPr>
        <w:t>T </w:t>
      </w:r>
      <w:r>
        <w:rPr>
          <w:spacing w:val="-4"/>
          <w:sz w:val="20"/>
        </w:rPr>
        <w:t>细胞的</w:t>
      </w:r>
      <w:r>
        <w:rPr>
          <w:spacing w:val="4"/>
          <w:sz w:val="20"/>
        </w:rPr>
        <w:t>持久性是评判 </w:t>
      </w:r>
      <w:r>
        <w:rPr>
          <w:rFonts w:ascii="Arial" w:hAnsi="Arial" w:eastAsia="Arial"/>
          <w:sz w:val="20"/>
        </w:rPr>
        <w:t>CAR-T </w:t>
      </w:r>
      <w:r>
        <w:rPr>
          <w:spacing w:val="-3"/>
          <w:sz w:val="20"/>
        </w:rPr>
        <w:t>细胞功效的重要决定因素。此外，使用 </w:t>
      </w:r>
      <w:r>
        <w:rPr>
          <w:rFonts w:ascii="Arial" w:hAnsi="Arial" w:eastAsia="Arial"/>
          <w:sz w:val="20"/>
        </w:rPr>
        <w:t>CAR-T </w:t>
      </w:r>
      <w:r>
        <w:rPr>
          <w:spacing w:val="-4"/>
          <w:sz w:val="20"/>
        </w:rPr>
        <w:t>疗法的患者往往病程</w:t>
      </w:r>
    </w:p>
    <w:p>
      <w:pPr>
        <w:spacing w:after="0" w:line="276" w:lineRule="auto"/>
        <w:jc w:val="both"/>
        <w:rPr>
          <w:sz w:val="20"/>
        </w:rPr>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11"/>
        <w:jc w:val="both"/>
      </w:pPr>
      <w:r>
        <w:rPr/>
        <w:t>较为晚期，而 </w:t>
      </w:r>
      <w:r>
        <w:rPr>
          <w:rFonts w:ascii="Arial" w:eastAsia="Arial"/>
        </w:rPr>
        <w:t>CAR-T </w:t>
      </w:r>
      <w:r>
        <w:rPr/>
        <w:t>治疗相关 </w:t>
      </w:r>
      <w:r>
        <w:rPr>
          <w:rFonts w:ascii="Arial" w:eastAsia="Arial"/>
        </w:rPr>
        <w:t>SAE </w:t>
      </w:r>
      <w:r>
        <w:rPr/>
        <w:t>比例一般较高，考虑到保障患者安全及尽可能节省住院花费，</w:t>
      </w:r>
      <w:r>
        <w:rPr>
          <w:rFonts w:ascii="Arial" w:eastAsia="Arial"/>
        </w:rPr>
        <w:t>CAR-T </w:t>
      </w:r>
      <w:r>
        <w:rPr/>
        <w:t>治疗的安全性尤其值得重视。</w:t>
      </w:r>
    </w:p>
    <w:p>
      <w:pPr>
        <w:pStyle w:val="BodyText"/>
        <w:spacing w:line="288" w:lineRule="auto" w:before="122"/>
        <w:ind w:right="2810"/>
        <w:jc w:val="both"/>
      </w:pPr>
      <w:r>
        <w:rPr>
          <w:spacing w:val="-1"/>
        </w:rPr>
        <w:t>共刺激域可实现细胞内信号的活化，使 </w:t>
      </w:r>
      <w:r>
        <w:rPr>
          <w:rFonts w:ascii="Arial" w:hAnsi="Arial" w:eastAsia="Arial"/>
        </w:rPr>
        <w:t>T </w:t>
      </w:r>
      <w:r>
        <w:rPr>
          <w:spacing w:val="-5"/>
        </w:rPr>
        <w:t>细胞持续增殖并释放细胞因子，但过度的共刺激</w:t>
      </w:r>
      <w:r>
        <w:rPr>
          <w:spacing w:val="13"/>
        </w:rPr>
        <w:t>信号可能会促进衰竭， 另外也有可能会导致细胞因子释放综合征 </w:t>
      </w:r>
      <w:r>
        <w:rPr>
          <w:rFonts w:ascii="Arial" w:hAnsi="Arial" w:eastAsia="Arial"/>
        </w:rPr>
        <w:t>(cytokine release syndrome</w:t>
      </w:r>
      <w:r>
        <w:rPr>
          <w:rFonts w:ascii="Arial" w:hAnsi="Arial" w:eastAsia="Arial"/>
          <w:spacing w:val="22"/>
        </w:rPr>
        <w:t>, </w:t>
      </w:r>
      <w:r>
        <w:rPr>
          <w:rFonts w:ascii="Arial" w:hAnsi="Arial" w:eastAsia="Arial"/>
        </w:rPr>
        <w:t>CRS)</w:t>
      </w:r>
      <w:r>
        <w:rPr>
          <w:spacing w:val="-2"/>
        </w:rPr>
        <w:t>。目前全球已获批的所有 </w:t>
      </w:r>
      <w:r>
        <w:rPr>
          <w:rFonts w:ascii="Arial" w:hAnsi="Arial" w:eastAsia="Arial"/>
        </w:rPr>
        <w:t>CAR-T </w:t>
      </w:r>
      <w:r>
        <w:rPr>
          <w:spacing w:val="-3"/>
        </w:rPr>
        <w:t>产品均采用二代结构，伴有一个共刺激</w:t>
      </w:r>
      <w:r>
        <w:rPr>
          <w:spacing w:val="-1"/>
        </w:rPr>
        <w:t>域 </w:t>
      </w:r>
      <w:r>
        <w:rPr>
          <w:rFonts w:ascii="Arial" w:hAnsi="Arial" w:eastAsia="Arial"/>
        </w:rPr>
        <w:t>CD28 </w:t>
      </w:r>
      <w:r>
        <w:rPr>
          <w:spacing w:val="1"/>
        </w:rPr>
        <w:t>或 </w:t>
      </w:r>
      <w:r>
        <w:rPr>
          <w:rFonts w:ascii="Arial" w:hAnsi="Arial" w:eastAsia="Arial"/>
        </w:rPr>
        <w:t>4-1BB</w:t>
      </w:r>
      <w:r>
        <w:rPr>
          <w:spacing w:val="-3"/>
        </w:rPr>
        <w:t>。研究表明，具有 </w:t>
      </w:r>
      <w:r>
        <w:rPr>
          <w:rFonts w:ascii="Arial" w:hAnsi="Arial" w:eastAsia="Arial"/>
        </w:rPr>
        <w:t>CD28 </w:t>
      </w:r>
      <w:r>
        <w:rPr>
          <w:spacing w:val="7"/>
        </w:rPr>
        <w:t>共刺激域的</w:t>
      </w:r>
      <w:r>
        <w:rPr>
          <w:rFonts w:ascii="Arial" w:hAnsi="Arial" w:eastAsia="Arial"/>
        </w:rPr>
        <w:t>CAR-T </w:t>
      </w:r>
      <w:r>
        <w:rPr>
          <w:spacing w:val="-5"/>
        </w:rPr>
        <w:t>细胞主要使用糖酵解，而 </w:t>
      </w:r>
      <w:r>
        <w:rPr>
          <w:rFonts w:ascii="Arial" w:hAnsi="Arial" w:eastAsia="Arial"/>
        </w:rPr>
        <w:t>4- 1BB </w:t>
      </w:r>
      <w:r>
        <w:rPr>
          <w:spacing w:val="1"/>
        </w:rPr>
        <w:t>共刺激域促进 </w:t>
      </w:r>
      <w:r>
        <w:rPr>
          <w:rFonts w:ascii="Arial" w:hAnsi="Arial" w:eastAsia="Arial"/>
        </w:rPr>
        <w:t>CAR-T </w:t>
      </w:r>
      <w:r>
        <w:rPr>
          <w:spacing w:val="-5"/>
        </w:rPr>
        <w:t>细胞的线粒体生成，增强呼吸作用。因此，</w:t>
      </w:r>
      <w:r>
        <w:rPr>
          <w:rFonts w:ascii="Arial" w:hAnsi="Arial" w:eastAsia="Arial"/>
        </w:rPr>
        <w:t>CD28 </w:t>
      </w:r>
      <w:r>
        <w:rPr>
          <w:spacing w:val="-3"/>
        </w:rPr>
        <w:t>共刺激域可以</w:t>
      </w:r>
      <w:r>
        <w:rPr>
          <w:spacing w:val="-4"/>
        </w:rPr>
        <w:t>诱导更迅速的抗肿瘤反应，但持久性较差；而 </w:t>
      </w:r>
      <w:r>
        <w:rPr>
          <w:rFonts w:ascii="Arial" w:hAnsi="Arial" w:eastAsia="Arial"/>
        </w:rPr>
        <w:t>4-1BB </w:t>
      </w:r>
      <w:r>
        <w:rPr>
          <w:spacing w:val="-6"/>
        </w:rPr>
        <w:t>的肿瘤清除速度较慢，但可诱导持续</w:t>
      </w:r>
      <w:r>
        <w:rPr>
          <w:spacing w:val="-5"/>
        </w:rPr>
        <w:t>性的高水平反应。细胞因子释放方面，临床前研究表明，对比表达 </w:t>
      </w:r>
      <w:r>
        <w:rPr>
          <w:rFonts w:ascii="Arial" w:hAnsi="Arial" w:eastAsia="Arial"/>
        </w:rPr>
        <w:t>4-1BB </w:t>
      </w:r>
      <w:r>
        <w:rPr>
          <w:spacing w:val="5"/>
        </w:rPr>
        <w:t>共刺激域的</w:t>
      </w:r>
      <w:r>
        <w:rPr>
          <w:rFonts w:ascii="Arial" w:hAnsi="Arial" w:eastAsia="Arial"/>
          <w:spacing w:val="-3"/>
        </w:rPr>
        <w:t>CAR- </w:t>
      </w:r>
      <w:r>
        <w:rPr>
          <w:rFonts w:ascii="Arial" w:hAnsi="Arial" w:eastAsia="Arial"/>
        </w:rPr>
        <w:t>T</w:t>
      </w:r>
      <w:r>
        <w:rPr>
          <w:rFonts w:ascii="Arial" w:hAnsi="Arial" w:eastAsia="Arial"/>
          <w:spacing w:val="-6"/>
        </w:rPr>
        <w:t> </w:t>
      </w:r>
      <w:r>
        <w:rPr>
          <w:spacing w:val="-2"/>
        </w:rPr>
        <w:t>细胞，表达 </w:t>
      </w:r>
      <w:r>
        <w:rPr>
          <w:rFonts w:ascii="Arial" w:hAnsi="Arial" w:eastAsia="Arial"/>
        </w:rPr>
        <w:t>CD28 </w:t>
      </w:r>
      <w:r>
        <w:rPr>
          <w:spacing w:val="12"/>
        </w:rPr>
        <w:t>共刺激域</w:t>
      </w:r>
      <w:r>
        <w:rPr>
          <w:rFonts w:ascii="Arial" w:hAnsi="Arial" w:eastAsia="Arial"/>
        </w:rPr>
        <w:t>CAR-T </w:t>
      </w:r>
      <w:r>
        <w:rPr>
          <w:spacing w:val="-5"/>
        </w:rPr>
        <w:t>细胞通常释放更多的细胞因子</w:t>
      </w:r>
      <w:r>
        <w:rPr>
          <w:rFonts w:ascii="Arial" w:hAnsi="Arial" w:eastAsia="Arial"/>
        </w:rPr>
        <w:t>(IL-2</w:t>
      </w:r>
      <w:r>
        <w:rPr>
          <w:spacing w:val="-5"/>
        </w:rPr>
        <w:t>、</w:t>
      </w:r>
      <w:r>
        <w:rPr>
          <w:rFonts w:ascii="Arial" w:hAnsi="Arial" w:eastAsia="Arial"/>
        </w:rPr>
        <w:t>IFNγ </w:t>
      </w:r>
      <w:r>
        <w:rPr>
          <w:spacing w:val="43"/>
        </w:rPr>
        <w:t>及</w:t>
      </w:r>
      <w:r>
        <w:rPr>
          <w:rFonts w:ascii="Arial" w:hAnsi="Arial" w:eastAsia="Arial"/>
        </w:rPr>
        <w:t>TNF)</w:t>
      </w:r>
      <w:r>
        <w:rPr/>
        <w:t>。</w:t>
      </w:r>
    </w:p>
    <w:p>
      <w:pPr>
        <w:pStyle w:val="Heading3"/>
        <w:spacing w:before="64" w:after="4"/>
      </w:pPr>
      <w:r>
        <w:rPr/>
        <w:t>图 </w:t>
      </w:r>
      <w:r>
        <w:rPr>
          <w:rFonts w:ascii="Arial" w:eastAsia="Arial"/>
        </w:rPr>
        <w:t>12: T </w:t>
      </w:r>
      <w:r>
        <w:rPr/>
        <w:t>细胞活化的两种共刺激信号通路</w:t>
      </w:r>
    </w:p>
    <w:p>
      <w:pPr>
        <w:pStyle w:val="BodyText"/>
        <w:ind w:left="181"/>
        <w:rPr>
          <w:rFonts w:ascii="Microsoft JhengHei UI"/>
        </w:rPr>
      </w:pPr>
      <w:r>
        <w:rPr>
          <w:rFonts w:ascii="Microsoft JhengHei UI"/>
        </w:rPr>
        <w:drawing>
          <wp:inline distT="0" distB="0" distL="0" distR="0">
            <wp:extent cx="5087125" cy="1200150"/>
            <wp:effectExtent l="0" t="0" r="0" b="0"/>
            <wp:docPr id="7" name="image13.png"/>
            <wp:cNvGraphicFramePr>
              <a:graphicFrameLocks noChangeAspect="1"/>
            </wp:cNvGraphicFramePr>
            <a:graphic>
              <a:graphicData uri="http://schemas.openxmlformats.org/drawingml/2006/picture">
                <pic:pic>
                  <pic:nvPicPr>
                    <pic:cNvPr id="8" name="image13.png"/>
                    <pic:cNvPicPr/>
                  </pic:nvPicPr>
                  <pic:blipFill>
                    <a:blip r:embed="rId20" cstate="print"/>
                    <a:stretch>
                      <a:fillRect/>
                    </a:stretch>
                  </pic:blipFill>
                  <pic:spPr>
                    <a:xfrm>
                      <a:off x="0" y="0"/>
                      <a:ext cx="5087125" cy="1200150"/>
                    </a:xfrm>
                    <a:prstGeom prst="rect">
                      <a:avLst/>
                    </a:prstGeom>
                  </pic:spPr>
                </pic:pic>
              </a:graphicData>
            </a:graphic>
          </wp:inline>
        </w:drawing>
      </w:r>
      <w:r>
        <w:rPr>
          <w:rFonts w:ascii="Microsoft JhengHei UI"/>
        </w:rPr>
      </w:r>
    </w:p>
    <w:p>
      <w:pPr>
        <w:spacing w:before="15"/>
        <w:ind w:left="210" w:right="0" w:firstLine="0"/>
        <w:jc w:val="both"/>
        <w:rPr>
          <w:sz w:val="16"/>
        </w:rPr>
      </w:pPr>
      <w:r>
        <w:rPr>
          <w:sz w:val="16"/>
        </w:rPr>
        <w:t>资料来源</w:t>
      </w:r>
      <w:r>
        <w:rPr>
          <w:rFonts w:ascii="Arial" w:eastAsia="Arial"/>
          <w:sz w:val="16"/>
        </w:rPr>
        <w:t>: Cappell KM et al. Nature Reviews Clinical Oncology 2021, </w:t>
      </w:r>
      <w:r>
        <w:rPr>
          <w:sz w:val="16"/>
        </w:rPr>
        <w:t>招银国际证券</w:t>
      </w:r>
    </w:p>
    <w:p>
      <w:pPr>
        <w:spacing w:line="249" w:lineRule="auto" w:before="11"/>
        <w:ind w:left="210" w:right="2814" w:firstLine="0"/>
        <w:jc w:val="both"/>
        <w:rPr>
          <w:sz w:val="16"/>
        </w:rPr>
      </w:pPr>
      <w:r>
        <w:rPr>
          <w:sz w:val="16"/>
        </w:rPr>
        <w:t>注：</w:t>
      </w:r>
      <w:r>
        <w:rPr>
          <w:rFonts w:ascii="Arial" w:eastAsia="Arial"/>
          <w:sz w:val="16"/>
        </w:rPr>
        <w:t>CD28</w:t>
      </w:r>
      <w:r>
        <w:rPr>
          <w:rFonts w:ascii="Arial" w:eastAsia="Arial"/>
          <w:spacing w:val="-29"/>
          <w:sz w:val="16"/>
        </w:rPr>
        <w:t> </w:t>
      </w:r>
      <w:r>
        <w:rPr>
          <w:spacing w:val="1"/>
          <w:sz w:val="16"/>
        </w:rPr>
        <w:t>通常以同型二聚体形式存在，在静息和活化状态的</w:t>
      </w:r>
      <w:r>
        <w:rPr>
          <w:rFonts w:ascii="Arial" w:eastAsia="Arial"/>
          <w:sz w:val="16"/>
        </w:rPr>
        <w:t>T</w:t>
      </w:r>
      <w:r>
        <w:rPr>
          <w:rFonts w:ascii="Arial" w:eastAsia="Arial"/>
          <w:spacing w:val="-29"/>
          <w:sz w:val="16"/>
        </w:rPr>
        <w:t> </w:t>
      </w:r>
      <w:r>
        <w:rPr>
          <w:spacing w:val="-3"/>
          <w:sz w:val="16"/>
        </w:rPr>
        <w:t>细胞上均有表达，大约 </w:t>
      </w:r>
      <w:r>
        <w:rPr>
          <w:rFonts w:ascii="Arial" w:eastAsia="Arial"/>
          <w:sz w:val="16"/>
        </w:rPr>
        <w:t>80%</w:t>
      </w:r>
      <w:r>
        <w:rPr>
          <w:spacing w:val="28"/>
          <w:sz w:val="16"/>
        </w:rPr>
        <w:t>的</w:t>
      </w:r>
      <w:r>
        <w:rPr>
          <w:rFonts w:ascii="Arial" w:eastAsia="Arial"/>
          <w:sz w:val="16"/>
        </w:rPr>
        <w:t>CD4+T</w:t>
      </w:r>
      <w:r>
        <w:rPr>
          <w:rFonts w:ascii="Arial" w:eastAsia="Arial"/>
          <w:spacing w:val="-28"/>
          <w:sz w:val="16"/>
        </w:rPr>
        <w:t> </w:t>
      </w:r>
      <w:r>
        <w:rPr>
          <w:spacing w:val="-6"/>
          <w:sz w:val="16"/>
        </w:rPr>
        <w:t>细胞和 </w:t>
      </w:r>
      <w:r>
        <w:rPr>
          <w:rFonts w:ascii="Arial" w:eastAsia="Arial"/>
          <w:spacing w:val="3"/>
          <w:sz w:val="16"/>
        </w:rPr>
        <w:t>50% </w:t>
      </w:r>
      <w:r>
        <w:rPr>
          <w:spacing w:val="18"/>
          <w:sz w:val="16"/>
        </w:rPr>
        <w:t>的 </w:t>
      </w:r>
      <w:r>
        <w:rPr>
          <w:rFonts w:ascii="Arial" w:eastAsia="Arial"/>
          <w:sz w:val="16"/>
        </w:rPr>
        <w:t>CD8+T</w:t>
      </w:r>
      <w:r>
        <w:rPr>
          <w:rFonts w:ascii="Arial" w:eastAsia="Arial"/>
          <w:spacing w:val="33"/>
          <w:sz w:val="16"/>
        </w:rPr>
        <w:t> </w:t>
      </w:r>
      <w:r>
        <w:rPr>
          <w:spacing w:val="14"/>
          <w:sz w:val="16"/>
        </w:rPr>
        <w:t>细胞表达 </w:t>
      </w:r>
      <w:r>
        <w:rPr>
          <w:rFonts w:ascii="Arial" w:eastAsia="Arial"/>
          <w:spacing w:val="3"/>
          <w:sz w:val="16"/>
        </w:rPr>
        <w:t>CD28</w:t>
      </w:r>
      <w:r>
        <w:rPr>
          <w:spacing w:val="4"/>
          <w:sz w:val="16"/>
        </w:rPr>
        <w:t>； 三个 </w:t>
      </w:r>
      <w:r>
        <w:rPr>
          <w:rFonts w:ascii="Arial" w:eastAsia="Arial"/>
          <w:sz w:val="16"/>
        </w:rPr>
        <w:t>4-1BB</w:t>
      </w:r>
      <w:r>
        <w:rPr>
          <w:rFonts w:ascii="Arial" w:eastAsia="Arial"/>
          <w:spacing w:val="28"/>
          <w:sz w:val="16"/>
        </w:rPr>
        <w:t> </w:t>
      </w:r>
      <w:r>
        <w:rPr>
          <w:spacing w:val="16"/>
          <w:sz w:val="16"/>
        </w:rPr>
        <w:t>蛋白与 </w:t>
      </w:r>
      <w:r>
        <w:rPr>
          <w:rFonts w:ascii="Arial" w:eastAsia="Arial"/>
          <w:sz w:val="16"/>
        </w:rPr>
        <w:t>4-1BBL</w:t>
      </w:r>
      <w:r>
        <w:rPr>
          <w:rFonts w:ascii="Arial" w:eastAsia="Arial"/>
          <w:spacing w:val="31"/>
          <w:sz w:val="16"/>
        </w:rPr>
        <w:t> </w:t>
      </w:r>
      <w:r>
        <w:rPr>
          <w:spacing w:val="5"/>
          <w:sz w:val="16"/>
        </w:rPr>
        <w:t>的三聚体结合形成六聚体复合物， </w:t>
      </w:r>
      <w:r>
        <w:rPr>
          <w:rFonts w:ascii="Arial" w:eastAsia="Arial"/>
          <w:sz w:val="16"/>
        </w:rPr>
        <w:t>4-1BB</w:t>
      </w:r>
      <w:r>
        <w:rPr>
          <w:rFonts w:ascii="Arial" w:eastAsia="Arial"/>
          <w:spacing w:val="34"/>
          <w:sz w:val="16"/>
        </w:rPr>
        <w:t> </w:t>
      </w:r>
      <w:r>
        <w:rPr>
          <w:spacing w:val="7"/>
          <w:sz w:val="16"/>
        </w:rPr>
        <w:t>在静息</w:t>
      </w:r>
      <w:r>
        <w:rPr>
          <w:rFonts w:ascii="Arial" w:eastAsia="Arial"/>
          <w:spacing w:val="7"/>
          <w:sz w:val="16"/>
        </w:rPr>
        <w:t>CD4+/CD8+T</w:t>
      </w:r>
      <w:r>
        <w:rPr>
          <w:rFonts w:ascii="Arial" w:eastAsia="Arial"/>
          <w:spacing w:val="-7"/>
          <w:sz w:val="16"/>
        </w:rPr>
        <w:t> </w:t>
      </w:r>
      <w:r>
        <w:rPr>
          <w:sz w:val="16"/>
        </w:rPr>
        <w:t>细胞上不表达</w:t>
      </w:r>
    </w:p>
    <w:p>
      <w:pPr>
        <w:pStyle w:val="BodyText"/>
        <w:spacing w:before="13"/>
        <w:ind w:left="0"/>
        <w:rPr>
          <w:sz w:val="27"/>
        </w:rPr>
      </w:pPr>
    </w:p>
    <w:p>
      <w:pPr>
        <w:pStyle w:val="BodyText"/>
        <w:spacing w:line="288" w:lineRule="auto"/>
        <w:ind w:right="2809"/>
        <w:jc w:val="both"/>
      </w:pPr>
      <w:r>
        <w:rPr>
          <w:spacing w:val="3"/>
        </w:rPr>
        <w:t>从上市产品来看，采用 </w:t>
      </w:r>
      <w:r>
        <w:rPr>
          <w:rFonts w:ascii="Arial" w:eastAsia="Arial"/>
        </w:rPr>
        <w:t>4-1BB </w:t>
      </w:r>
      <w:r>
        <w:rPr>
          <w:spacing w:val="1"/>
        </w:rPr>
        <w:t>作为共刺激域的产品也的确倾向于更安全。在几款 </w:t>
      </w:r>
      <w:r>
        <w:rPr>
          <w:rFonts w:ascii="Arial" w:eastAsia="Arial"/>
        </w:rPr>
        <w:t>CD19 CAR-T </w:t>
      </w:r>
      <w:r>
        <w:rPr>
          <w:spacing w:val="-3"/>
        </w:rPr>
        <w:t>中，针对 </w:t>
      </w:r>
      <w:r>
        <w:rPr>
          <w:rFonts w:ascii="Arial" w:eastAsia="Arial"/>
        </w:rPr>
        <w:t>r/r LBCL </w:t>
      </w:r>
      <w:r>
        <w:rPr>
          <w:spacing w:val="-2"/>
        </w:rPr>
        <w:t>适应症，</w:t>
      </w:r>
      <w:r>
        <w:rPr>
          <w:rFonts w:ascii="Arial" w:eastAsia="Arial"/>
        </w:rPr>
        <w:t>Yescarta</w:t>
      </w:r>
      <w:r>
        <w:rPr>
          <w:rFonts w:ascii="Arial" w:eastAsia="Arial"/>
          <w:spacing w:val="10"/>
        </w:rPr>
        <w:t> (</w:t>
      </w:r>
      <w:r>
        <w:rPr>
          <w:rFonts w:ascii="Arial" w:eastAsia="Arial"/>
        </w:rPr>
        <w:t>CD28)/ Kymriah (4-1BB)/ Breyanzi</w:t>
      </w:r>
      <w:r>
        <w:rPr>
          <w:rFonts w:ascii="Arial" w:eastAsia="Arial"/>
          <w:spacing w:val="12"/>
        </w:rPr>
        <w:t> (</w:t>
      </w:r>
      <w:r>
        <w:rPr>
          <w:rFonts w:ascii="Arial" w:eastAsia="Arial"/>
        </w:rPr>
        <w:t>4-1BB) </w:t>
      </w:r>
      <w:r>
        <w:rPr>
          <w:spacing w:val="18"/>
        </w:rPr>
        <w:t>的 </w:t>
      </w:r>
      <w:r>
        <w:rPr>
          <w:rFonts w:ascii="Arial" w:eastAsia="Arial"/>
        </w:rPr>
        <w:t>CRS </w:t>
      </w:r>
      <w:r>
        <w:rPr>
          <w:spacing w:val="4"/>
        </w:rPr>
        <w:t>比例分别为 </w:t>
      </w:r>
      <w:r>
        <w:rPr>
          <w:rFonts w:ascii="Arial" w:eastAsia="Arial"/>
        </w:rPr>
        <w:t>92%/ 57%/ </w:t>
      </w:r>
      <w:r>
        <w:rPr>
          <w:rFonts w:ascii="Arial" w:eastAsia="Arial"/>
          <w:spacing w:val="-3"/>
        </w:rPr>
        <w:t>42%</w:t>
      </w:r>
      <w:r>
        <w:rPr>
          <w:spacing w:val="-5"/>
        </w:rPr>
        <w:t>，另外三款疗法的免疫效应细胞相关神经毒性综合征</w:t>
      </w:r>
      <w:r>
        <w:rPr>
          <w:rFonts w:ascii="Arial" w:eastAsia="Arial"/>
          <w:spacing w:val="-5"/>
        </w:rPr>
        <w:t>(Immune Effector Cell-Associated Neurotoxicity Syndrome, ICANS) </w:t>
      </w:r>
      <w:r>
        <w:rPr>
          <w:spacing w:val="1"/>
        </w:rPr>
        <w:t>发 生 率 分 别 为</w:t>
      </w:r>
      <w:r>
        <w:rPr>
          <w:rFonts w:ascii="Arial" w:eastAsia="Arial"/>
          <w:spacing w:val="1"/>
        </w:rPr>
        <w:t>67%/20%/30%</w:t>
      </w:r>
      <w:r>
        <w:rPr>
          <w:spacing w:val="-1"/>
        </w:rPr>
        <w:t>，也一定程度上证实了表达 </w:t>
      </w:r>
      <w:r>
        <w:rPr>
          <w:rFonts w:ascii="Arial" w:eastAsia="Arial"/>
        </w:rPr>
        <w:t>4-1BB </w:t>
      </w:r>
      <w:r>
        <w:rPr>
          <w:spacing w:val="11"/>
        </w:rPr>
        <w:t>的 </w:t>
      </w:r>
      <w:r>
        <w:rPr>
          <w:rFonts w:ascii="Arial" w:eastAsia="Arial"/>
        </w:rPr>
        <w:t>CAR-T </w:t>
      </w:r>
      <w:r>
        <w:rPr>
          <w:spacing w:val="-5"/>
        </w:rPr>
        <w:t>疗法倾向于更安全。持久性方面，在淋巴瘤的小鼠模型中发现表达 </w:t>
      </w:r>
      <w:r>
        <w:rPr>
          <w:rFonts w:ascii="Arial" w:eastAsia="Arial"/>
        </w:rPr>
        <w:t>4-1BB </w:t>
      </w:r>
      <w:r>
        <w:rPr>
          <w:spacing w:val="43"/>
        </w:rPr>
        <w:t>的</w:t>
      </w:r>
      <w:r>
        <w:rPr>
          <w:rFonts w:ascii="Arial" w:eastAsia="Arial"/>
        </w:rPr>
        <w:t>CAR-T </w:t>
      </w:r>
      <w:r>
        <w:rPr>
          <w:spacing w:val="1"/>
        </w:rPr>
        <w:t>细胞同时也能够高表达</w:t>
      </w:r>
      <w:r>
        <w:rPr>
          <w:rFonts w:ascii="Arial" w:eastAsia="Arial"/>
        </w:rPr>
        <w:t>T </w:t>
      </w:r>
      <w:r>
        <w:rPr>
          <w:spacing w:val="-4"/>
        </w:rPr>
        <w:t>细胞记忆相</w:t>
      </w:r>
      <w:r>
        <w:rPr>
          <w:spacing w:val="6"/>
        </w:rPr>
        <w:t>关的基因，使</w:t>
      </w:r>
      <w:r>
        <w:rPr>
          <w:rFonts w:ascii="Arial" w:eastAsia="Arial"/>
        </w:rPr>
        <w:t>T </w:t>
      </w:r>
      <w:r>
        <w:rPr>
          <w:spacing w:val="-5"/>
        </w:rPr>
        <w:t>细胞能够存活更长的时间以维持其抗肿瘤活性。</w:t>
      </w:r>
    </w:p>
    <w:p>
      <w:pPr>
        <w:spacing w:after="0" w:line="288" w:lineRule="auto"/>
        <w:jc w:val="both"/>
        <w:sectPr>
          <w:pgSz w:w="11910" w:h="16840"/>
          <w:pgMar w:header="682" w:footer="358" w:top="1380" w:bottom="540" w:left="640" w:right="300"/>
        </w:sectPr>
      </w:pPr>
    </w:p>
    <w:p>
      <w:pPr>
        <w:pStyle w:val="BodyText"/>
        <w:spacing w:before="9"/>
        <w:ind w:left="0"/>
        <w:rPr>
          <w:sz w:val="12"/>
        </w:rPr>
      </w:pPr>
    </w:p>
    <w:p>
      <w:pPr>
        <w:pStyle w:val="Heading1"/>
      </w:pPr>
      <w:bookmarkStart w:name="_bookmark5" w:id="6"/>
      <w:bookmarkEnd w:id="6"/>
      <w:r>
        <w:rPr>
          <w:b w:val="0"/>
        </w:rPr>
      </w:r>
      <w:r>
        <w:rPr>
          <w:color w:val="C00000"/>
        </w:rPr>
        <w:t>市场篇：</w:t>
      </w:r>
      <w:r>
        <w:rPr>
          <w:rFonts w:ascii="Arial" w:eastAsia="Arial"/>
          <w:color w:val="C00000"/>
        </w:rPr>
        <w:t>CAR-T </w:t>
      </w:r>
      <w:r>
        <w:rPr>
          <w:color w:val="C00000"/>
        </w:rPr>
        <w:t>用于血液瘤疗效优异</w:t>
      </w:r>
    </w:p>
    <w:p>
      <w:pPr>
        <w:pStyle w:val="Heading2"/>
        <w:spacing w:before="106"/>
      </w:pPr>
      <w:bookmarkStart w:name="_bookmark6" w:id="7"/>
      <w:bookmarkEnd w:id="7"/>
      <w:r>
        <w:rPr>
          <w:b w:val="0"/>
        </w:rPr>
      </w:r>
      <w:r>
        <w:rPr>
          <w:color w:val="585858"/>
        </w:rPr>
        <w:t>中美血液瘤预后差异大，创新疗法可改善生存时长</w:t>
      </w:r>
    </w:p>
    <w:p>
      <w:pPr>
        <w:pStyle w:val="BodyText"/>
        <w:spacing w:line="288" w:lineRule="auto" w:before="119"/>
        <w:ind w:right="2809"/>
        <w:jc w:val="both"/>
      </w:pPr>
      <w:r>
        <w:rPr/>
        <w:t>血液肿瘤是最常见的恶性肿瘤之一，血液肿瘤分型复杂，根据 </w:t>
      </w:r>
      <w:r>
        <w:rPr>
          <w:rFonts w:ascii="Arial" w:eastAsia="Arial"/>
        </w:rPr>
        <w:t>GLOBOCAN 2020 </w:t>
      </w:r>
      <w:r>
        <w:rPr/>
        <w:t>的数据， 中国最常见的血液肿瘤分布为非霍奇金淋巴瘤 </w:t>
      </w:r>
      <w:r>
        <w:rPr>
          <w:rFonts w:ascii="Arial" w:eastAsia="Arial"/>
        </w:rPr>
        <w:t>(NHL)</w:t>
      </w:r>
      <w:r>
        <w:rPr/>
        <w:t>、多种类型的白血病 </w:t>
      </w:r>
      <w:r>
        <w:rPr>
          <w:rFonts w:ascii="Arial" w:eastAsia="Arial"/>
        </w:rPr>
        <w:t>(leukemia)</w:t>
      </w:r>
      <w:r>
        <w:rPr/>
        <w:t>及多发性骨髓瘤 </w:t>
      </w:r>
      <w:r>
        <w:rPr>
          <w:rFonts w:ascii="Arial" w:eastAsia="Arial"/>
        </w:rPr>
        <w:t>(MM)</w:t>
      </w:r>
      <w:r>
        <w:rPr/>
        <w:t>，</w:t>
      </w:r>
      <w:r>
        <w:rPr>
          <w:rFonts w:ascii="Arial" w:eastAsia="Arial"/>
        </w:rPr>
        <w:t>2020 </w:t>
      </w:r>
      <w:r>
        <w:rPr/>
        <w:t>年中国的新增患者数分别约为 </w:t>
      </w:r>
      <w:r>
        <w:rPr>
          <w:rFonts w:ascii="Arial" w:eastAsia="Arial"/>
        </w:rPr>
        <w:t>9.3 </w:t>
      </w:r>
      <w:r>
        <w:rPr/>
        <w:t>万、</w:t>
      </w:r>
      <w:r>
        <w:rPr>
          <w:rFonts w:ascii="Arial" w:eastAsia="Arial"/>
        </w:rPr>
        <w:t>8.5 </w:t>
      </w:r>
      <w:r>
        <w:rPr/>
        <w:t>万及 </w:t>
      </w:r>
      <w:r>
        <w:rPr>
          <w:rFonts w:ascii="Arial" w:eastAsia="Arial"/>
        </w:rPr>
        <w:t>2.1 </w:t>
      </w:r>
      <w:r>
        <w:rPr/>
        <w:t>万。血液肿瘤在东西方国家之间的流行病学差异较大，欧美国家发病率全球最高，而亚洲相对较低，导致这种差异的原因可能包括人种差异及诊断普及程度的差别。</w:t>
      </w:r>
    </w:p>
    <w:p>
      <w:pPr>
        <w:pStyle w:val="BodyText"/>
        <w:spacing w:line="288" w:lineRule="auto" w:before="118"/>
        <w:ind w:right="2809"/>
        <w:jc w:val="both"/>
      </w:pPr>
      <w:r>
        <w:rPr/>
        <w:t>由于国内获批药物较少、医保覆盖范围较窄等因素，中美血液瘤患者的预后存在差异。根</w:t>
      </w:r>
      <w:r>
        <w:rPr>
          <w:spacing w:val="48"/>
        </w:rPr>
        <w:t>据</w:t>
      </w:r>
      <w:r>
        <w:rPr>
          <w:rFonts w:ascii="Arial" w:eastAsia="Arial"/>
        </w:rPr>
        <w:t>GLOBOCAN 2020 </w:t>
      </w:r>
      <w:r>
        <w:rPr>
          <w:spacing w:val="-5"/>
        </w:rPr>
        <w:t>的数据，美国血液瘤的存量发病率显著高于中国，非霍奇金淋巴瘤、</w:t>
      </w:r>
      <w:r>
        <w:rPr>
          <w:spacing w:val="-4"/>
        </w:rPr>
        <w:t>白血病、多发性骨髓瘤的五年存量发病率分别为 </w:t>
      </w:r>
      <w:r>
        <w:rPr>
          <w:rFonts w:ascii="Arial" w:eastAsia="Arial"/>
        </w:rPr>
        <w:t>72.6/10 </w:t>
      </w:r>
      <w:r>
        <w:rPr/>
        <w:t>万、</w:t>
      </w:r>
      <w:r>
        <w:rPr>
          <w:rFonts w:ascii="Arial" w:eastAsia="Arial"/>
        </w:rPr>
        <w:t>56.7/10 </w:t>
      </w:r>
      <w:r>
        <w:rPr>
          <w:spacing w:val="9"/>
        </w:rPr>
        <w:t>万及 </w:t>
      </w:r>
      <w:r>
        <w:rPr>
          <w:rFonts w:ascii="Arial" w:eastAsia="Arial"/>
        </w:rPr>
        <w:t>27.6/10 </w:t>
      </w:r>
      <w:r>
        <w:rPr/>
        <w:t>万，相</w:t>
      </w:r>
      <w:r>
        <w:rPr>
          <w:spacing w:val="-4"/>
        </w:rPr>
        <w:t>比之下，中国上述三种血液瘤的五年存量发病率仅为</w:t>
      </w:r>
      <w:r>
        <w:rPr>
          <w:rFonts w:ascii="Arial" w:eastAsia="Arial"/>
        </w:rPr>
        <w:t>18.0/10 </w:t>
      </w:r>
      <w:r>
        <w:rPr/>
        <w:t>万、</w:t>
      </w:r>
      <w:r>
        <w:rPr>
          <w:rFonts w:ascii="Arial" w:eastAsia="Arial"/>
        </w:rPr>
        <w:t>16.7/10 </w:t>
      </w:r>
      <w:r>
        <w:rPr>
          <w:spacing w:val="14"/>
        </w:rPr>
        <w:t>万与</w:t>
      </w:r>
      <w:r>
        <w:rPr>
          <w:rFonts w:ascii="Arial" w:eastAsia="Arial"/>
        </w:rPr>
        <w:t>3.55/10 </w:t>
      </w:r>
      <w:r>
        <w:rPr/>
        <w:t>万。</w:t>
      </w:r>
    </w:p>
    <w:p>
      <w:pPr>
        <w:pStyle w:val="BodyText"/>
        <w:spacing w:line="288" w:lineRule="auto" w:before="117"/>
        <w:ind w:right="2614"/>
      </w:pPr>
      <w:r>
        <w:rPr>
          <w:spacing w:val="1"/>
        </w:rPr>
        <w:t>根据 </w:t>
      </w:r>
      <w:r>
        <w:rPr>
          <w:rFonts w:ascii="Arial" w:hAnsi="Arial" w:eastAsia="Arial"/>
        </w:rPr>
        <w:t>American Cancer Society </w:t>
      </w:r>
      <w:r>
        <w:rPr>
          <w:spacing w:val="-2"/>
        </w:rPr>
        <w:t>的统计，过去 </w:t>
      </w:r>
      <w:r>
        <w:rPr>
          <w:rFonts w:ascii="Arial" w:hAnsi="Arial" w:eastAsia="Arial"/>
        </w:rPr>
        <w:t>28 </w:t>
      </w:r>
      <w:r>
        <w:rPr>
          <w:spacing w:val="-5"/>
        </w:rPr>
        <w:t>年间美国血液瘤患者五年生存率几乎翻倍， </w:t>
      </w:r>
      <w:r>
        <w:rPr>
          <w:spacing w:val="-3"/>
        </w:rPr>
        <w:t>中国目前仅相当于美国 </w:t>
      </w:r>
      <w:r>
        <w:rPr>
          <w:rFonts w:ascii="Arial" w:hAnsi="Arial" w:eastAsia="Arial"/>
        </w:rPr>
        <w:t>28 </w:t>
      </w:r>
      <w:r>
        <w:rPr>
          <w:spacing w:val="-5"/>
        </w:rPr>
        <w:t>年前水准，体现中国血液瘤治疗领域存在较大未被满足的需求。 </w:t>
      </w:r>
      <w:r>
        <w:rPr/>
        <w:t>美国血液瘤预后的改善很大程度上受益于疗法迭代，以利妥昔单抗为代表的靶向疗法曾促  </w:t>
      </w:r>
      <w:r>
        <w:rPr>
          <w:spacing w:val="-2"/>
        </w:rPr>
        <w:t>进血液肿瘤</w:t>
      </w:r>
      <w:r>
        <w:rPr>
          <w:rFonts w:ascii="Arial" w:hAnsi="Arial" w:eastAsia="Arial"/>
        </w:rPr>
        <w:t>“</w:t>
      </w:r>
      <w:r>
        <w:rPr>
          <w:spacing w:val="-2"/>
        </w:rPr>
        <w:t>慢病化</w:t>
      </w:r>
      <w:r>
        <w:rPr>
          <w:rFonts w:ascii="Arial" w:hAnsi="Arial" w:eastAsia="Arial"/>
        </w:rPr>
        <w:t>”</w:t>
      </w:r>
      <w:r>
        <w:rPr>
          <w:spacing w:val="2"/>
        </w:rPr>
        <w:t>，近期随着  </w:t>
      </w:r>
      <w:r>
        <w:rPr>
          <w:rFonts w:ascii="Arial" w:hAnsi="Arial" w:eastAsia="Arial"/>
        </w:rPr>
        <w:t>CAR-T</w:t>
      </w:r>
      <w:r>
        <w:rPr>
          <w:rFonts w:ascii="Arial" w:hAnsi="Arial" w:eastAsia="Arial"/>
          <w:spacing w:val="3"/>
        </w:rPr>
        <w:t>  </w:t>
      </w:r>
      <w:r>
        <w:rPr>
          <w:spacing w:val="-5"/>
        </w:rPr>
        <w:t>等创新疗法的出现，部分血液瘤的预后进一步得到 显著改善。以青少年白血病为例，美国儿童急性淋巴白血病</w:t>
      </w:r>
      <w:r>
        <w:rPr>
          <w:rFonts w:ascii="Arial" w:hAnsi="Arial" w:eastAsia="Arial"/>
        </w:rPr>
        <w:t>(p-ALL)</w:t>
      </w:r>
      <w:r>
        <w:rPr/>
        <w:t>的五年生存率已经达到</w:t>
      </w:r>
      <w:r>
        <w:rPr>
          <w:rFonts w:ascii="Arial" w:hAnsi="Arial" w:eastAsia="Arial"/>
        </w:rPr>
        <w:t>89% (</w:t>
      </w:r>
      <w:r>
        <w:rPr>
          <w:spacing w:val="-2"/>
        </w:rPr>
        <w:t>数据来源：</w:t>
      </w:r>
      <w:r>
        <w:rPr>
          <w:rFonts w:ascii="Arial" w:hAnsi="Arial" w:eastAsia="Arial"/>
        </w:rPr>
        <w:t>Cancer Statistics 2021)</w:t>
      </w:r>
      <w:r>
        <w:rPr/>
        <w:t>。</w:t>
      </w:r>
    </w:p>
    <w:p>
      <w:pPr>
        <w:pStyle w:val="BodyText"/>
        <w:spacing w:before="12"/>
        <w:ind w:left="0"/>
        <w:rPr>
          <w:sz w:val="8"/>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03"/>
        <w:gridCol w:w="5325"/>
      </w:tblGrid>
      <w:tr>
        <w:trPr>
          <w:trHeight w:val="3931" w:hRule="atLeast"/>
        </w:trPr>
        <w:tc>
          <w:tcPr>
            <w:tcW w:w="5203" w:type="dxa"/>
          </w:tcPr>
          <w:p>
            <w:pPr>
              <w:pStyle w:val="TableParagraph"/>
              <w:spacing w:line="278" w:lineRule="exact" w:after="26"/>
              <w:ind w:left="214"/>
              <w:rPr>
                <w:rFonts w:ascii="PMingLiU" w:eastAsia="PMingLiU" w:hint="eastAsia"/>
                <w:sz w:val="20"/>
              </w:rPr>
            </w:pPr>
            <w:r>
              <w:rPr>
                <w:rFonts w:ascii="PMingLiU" w:eastAsia="PMingLiU" w:hint="eastAsia"/>
                <w:sz w:val="20"/>
              </w:rPr>
              <w:t>图 </w:t>
            </w:r>
            <w:r>
              <w:rPr>
                <w:sz w:val="20"/>
              </w:rPr>
              <w:t>13:</w:t>
            </w:r>
            <w:r>
              <w:rPr>
                <w:rFonts w:ascii="PMingLiU" w:eastAsia="PMingLiU" w:hint="eastAsia"/>
                <w:sz w:val="20"/>
              </w:rPr>
              <w:t>美国血液瘤五年生存率变化</w:t>
            </w:r>
          </w:p>
          <w:p>
            <w:pPr>
              <w:pStyle w:val="TableParagraph"/>
              <w:spacing w:line="28" w:lineRule="exact"/>
              <w:ind w:left="185" w:right="-72"/>
              <w:rPr>
                <w:rFonts w:ascii="PMingLiU"/>
                <w:sz w:val="2"/>
              </w:rPr>
            </w:pPr>
            <w:r>
              <w:rPr>
                <w:rFonts w:ascii="PMingLiU"/>
                <w:position w:val="0"/>
                <w:sz w:val="2"/>
              </w:rPr>
              <w:pict>
                <v:group style="width:250.7pt;height:1.45pt;mso-position-horizontal-relative:char;mso-position-vertical-relative:line" coordorigin="0,0" coordsize="5014,29">
                  <v:rect style="position:absolute;left:0;top:0;width:5014;height:29" filled="true" fillcolor="#000000" stroked="false">
                    <v:fill type="solid"/>
                  </v:rect>
                </v:group>
              </w:pict>
            </w:r>
            <w:r>
              <w:rPr>
                <w:rFonts w:ascii="PMingLiU"/>
                <w:position w:val="0"/>
                <w:sz w:val="2"/>
              </w:rPr>
            </w:r>
          </w:p>
          <w:p>
            <w:pPr>
              <w:pStyle w:val="TableParagraph"/>
              <w:spacing w:before="3"/>
              <w:rPr>
                <w:rFonts w:ascii="PMingLiU"/>
                <w:sz w:val="13"/>
              </w:rPr>
            </w:pPr>
          </w:p>
          <w:p>
            <w:pPr>
              <w:pStyle w:val="TableParagraph"/>
              <w:ind w:left="356"/>
              <w:rPr>
                <w:rFonts w:ascii="PMingLiU"/>
                <w:sz w:val="20"/>
              </w:rPr>
            </w:pPr>
            <w:r>
              <w:rPr>
                <w:rFonts w:ascii="PMingLiU"/>
                <w:sz w:val="20"/>
              </w:rPr>
              <w:drawing>
                <wp:inline distT="0" distB="0" distL="0" distR="0">
                  <wp:extent cx="2817129" cy="1933098"/>
                  <wp:effectExtent l="0" t="0" r="0" b="0"/>
                  <wp:docPr id="9" name="image14.png"/>
                  <wp:cNvGraphicFramePr>
                    <a:graphicFrameLocks noChangeAspect="1"/>
                  </wp:cNvGraphicFramePr>
                  <a:graphic>
                    <a:graphicData uri="http://schemas.openxmlformats.org/drawingml/2006/picture">
                      <pic:pic>
                        <pic:nvPicPr>
                          <pic:cNvPr id="10" name="image14.png"/>
                          <pic:cNvPicPr/>
                        </pic:nvPicPr>
                        <pic:blipFill>
                          <a:blip r:embed="rId21" cstate="print"/>
                          <a:stretch>
                            <a:fillRect/>
                          </a:stretch>
                        </pic:blipFill>
                        <pic:spPr>
                          <a:xfrm>
                            <a:off x="0" y="0"/>
                            <a:ext cx="2817129" cy="1933098"/>
                          </a:xfrm>
                          <a:prstGeom prst="rect">
                            <a:avLst/>
                          </a:prstGeom>
                        </pic:spPr>
                      </pic:pic>
                    </a:graphicData>
                  </a:graphic>
                </wp:inline>
              </w:drawing>
            </w:r>
            <w:r>
              <w:rPr>
                <w:rFonts w:ascii="PMingLiU"/>
                <w:sz w:val="20"/>
              </w:rPr>
            </w:r>
          </w:p>
          <w:p>
            <w:pPr>
              <w:pStyle w:val="TableParagraph"/>
              <w:spacing w:after="1"/>
              <w:rPr>
                <w:rFonts w:ascii="PMingLiU"/>
                <w:sz w:val="8"/>
              </w:rPr>
            </w:pPr>
          </w:p>
          <w:p>
            <w:pPr>
              <w:pStyle w:val="TableParagraph"/>
              <w:spacing w:line="28" w:lineRule="exact"/>
              <w:ind w:left="185" w:right="-72"/>
              <w:rPr>
                <w:rFonts w:ascii="PMingLiU"/>
                <w:sz w:val="2"/>
              </w:rPr>
            </w:pPr>
            <w:r>
              <w:rPr>
                <w:rFonts w:ascii="PMingLiU"/>
                <w:position w:val="0"/>
                <w:sz w:val="2"/>
              </w:rPr>
              <w:pict>
                <v:group style="width:250.7pt;height:1.45pt;mso-position-horizontal-relative:char;mso-position-vertical-relative:line" coordorigin="0,0" coordsize="5014,29">
                  <v:rect style="position:absolute;left:0;top:0;width:5014;height:29" filled="true" fillcolor="#000000" stroked="false">
                    <v:fill type="solid"/>
                  </v:rect>
                </v:group>
              </w:pict>
            </w:r>
            <w:r>
              <w:rPr>
                <w:rFonts w:ascii="PMingLiU"/>
                <w:position w:val="0"/>
                <w:sz w:val="2"/>
              </w:rPr>
            </w:r>
          </w:p>
          <w:p>
            <w:pPr>
              <w:pStyle w:val="TableParagraph"/>
              <w:spacing w:line="190" w:lineRule="exact" w:before="18"/>
              <w:ind w:left="214"/>
              <w:rPr>
                <w:rFonts w:ascii="PMingLiU" w:eastAsia="PMingLiU" w:hint="eastAsia"/>
                <w:sz w:val="16"/>
              </w:rPr>
            </w:pPr>
            <w:r>
              <w:rPr>
                <w:rFonts w:ascii="PMingLiU" w:eastAsia="PMingLiU" w:hint="eastAsia"/>
                <w:sz w:val="16"/>
              </w:rPr>
              <w:t>资料来源：弗若斯特沙利文，招银国际证券</w:t>
            </w:r>
          </w:p>
        </w:tc>
        <w:tc>
          <w:tcPr>
            <w:tcW w:w="5325" w:type="dxa"/>
          </w:tcPr>
          <w:p>
            <w:pPr>
              <w:pStyle w:val="TableParagraph"/>
              <w:spacing w:line="278" w:lineRule="exact" w:after="26"/>
              <w:ind w:left="182"/>
              <w:rPr>
                <w:rFonts w:ascii="PMingLiU" w:eastAsia="PMingLiU" w:hint="eastAsia"/>
                <w:sz w:val="20"/>
              </w:rPr>
            </w:pPr>
            <w:r>
              <w:rPr>
                <w:rFonts w:ascii="PMingLiU" w:eastAsia="PMingLiU" w:hint="eastAsia"/>
                <w:sz w:val="20"/>
              </w:rPr>
              <w:t>图 </w:t>
            </w:r>
            <w:r>
              <w:rPr>
                <w:sz w:val="20"/>
              </w:rPr>
              <w:t>14: </w:t>
            </w:r>
            <w:r>
              <w:rPr>
                <w:rFonts w:ascii="PMingLiU" w:eastAsia="PMingLiU" w:hint="eastAsia"/>
                <w:sz w:val="20"/>
              </w:rPr>
              <w:t>中美血液瘤五年生存率对比</w:t>
            </w:r>
          </w:p>
          <w:p>
            <w:pPr>
              <w:pStyle w:val="TableParagraph"/>
              <w:spacing w:line="28" w:lineRule="exact"/>
              <w:ind w:left="154"/>
              <w:rPr>
                <w:rFonts w:ascii="PMingLiU"/>
                <w:sz w:val="2"/>
              </w:rPr>
            </w:pPr>
            <w:r>
              <w:rPr>
                <w:rFonts w:ascii="PMingLiU"/>
                <w:position w:val="0"/>
                <w:sz w:val="2"/>
              </w:rPr>
              <w:pict>
                <v:group style="width:247.6pt;height:1.45pt;mso-position-horizontal-relative:char;mso-position-vertical-relative:line" coordorigin="0,0" coordsize="4952,29">
                  <v:rect style="position:absolute;left:0;top:0;width:4952;height:29" filled="true" fillcolor="#000000" stroked="false">
                    <v:fill type="solid"/>
                  </v:rect>
                </v:group>
              </w:pict>
            </w:r>
            <w:r>
              <w:rPr>
                <w:rFonts w:ascii="PMingLiU"/>
                <w:position w:val="0"/>
                <w:sz w:val="2"/>
              </w:rPr>
            </w:r>
          </w:p>
          <w:p>
            <w:pPr>
              <w:pStyle w:val="TableParagraph"/>
              <w:spacing w:before="3"/>
              <w:rPr>
                <w:rFonts w:ascii="PMingLiU"/>
                <w:sz w:val="13"/>
              </w:rPr>
            </w:pPr>
          </w:p>
          <w:p>
            <w:pPr>
              <w:pStyle w:val="TableParagraph"/>
              <w:ind w:left="442"/>
              <w:rPr>
                <w:rFonts w:ascii="PMingLiU"/>
                <w:sz w:val="20"/>
              </w:rPr>
            </w:pPr>
            <w:r>
              <w:rPr>
                <w:rFonts w:ascii="PMingLiU"/>
                <w:sz w:val="20"/>
              </w:rPr>
              <w:drawing>
                <wp:inline distT="0" distB="0" distL="0" distR="0">
                  <wp:extent cx="2741501" cy="1933098"/>
                  <wp:effectExtent l="0" t="0" r="0" b="0"/>
                  <wp:docPr id="11" name="image15.png"/>
                  <wp:cNvGraphicFramePr>
                    <a:graphicFrameLocks noChangeAspect="1"/>
                  </wp:cNvGraphicFramePr>
                  <a:graphic>
                    <a:graphicData uri="http://schemas.openxmlformats.org/drawingml/2006/picture">
                      <pic:pic>
                        <pic:nvPicPr>
                          <pic:cNvPr id="12" name="image15.png"/>
                          <pic:cNvPicPr/>
                        </pic:nvPicPr>
                        <pic:blipFill>
                          <a:blip r:embed="rId22" cstate="print"/>
                          <a:stretch>
                            <a:fillRect/>
                          </a:stretch>
                        </pic:blipFill>
                        <pic:spPr>
                          <a:xfrm>
                            <a:off x="0" y="0"/>
                            <a:ext cx="2741501" cy="1933098"/>
                          </a:xfrm>
                          <a:prstGeom prst="rect">
                            <a:avLst/>
                          </a:prstGeom>
                        </pic:spPr>
                      </pic:pic>
                    </a:graphicData>
                  </a:graphic>
                </wp:inline>
              </w:drawing>
            </w:r>
            <w:r>
              <w:rPr>
                <w:rFonts w:ascii="PMingLiU"/>
                <w:sz w:val="20"/>
              </w:rPr>
            </w:r>
          </w:p>
          <w:p>
            <w:pPr>
              <w:pStyle w:val="TableParagraph"/>
              <w:spacing w:after="1"/>
              <w:rPr>
                <w:rFonts w:ascii="PMingLiU"/>
                <w:sz w:val="8"/>
              </w:rPr>
            </w:pPr>
          </w:p>
          <w:p>
            <w:pPr>
              <w:pStyle w:val="TableParagraph"/>
              <w:spacing w:line="28" w:lineRule="exact"/>
              <w:ind w:left="154"/>
              <w:rPr>
                <w:rFonts w:ascii="PMingLiU"/>
                <w:sz w:val="2"/>
              </w:rPr>
            </w:pPr>
            <w:r>
              <w:rPr>
                <w:rFonts w:ascii="PMingLiU"/>
                <w:position w:val="0"/>
                <w:sz w:val="2"/>
              </w:rPr>
              <w:pict>
                <v:group style="width:255.5pt;height:1.45pt;mso-position-horizontal-relative:char;mso-position-vertical-relative:line" coordorigin="0,0" coordsize="5110,29">
                  <v:rect style="position:absolute;left:0;top:0;width:5110;height:29" filled="true" fillcolor="#000000" stroked="false">
                    <v:fill type="solid"/>
                  </v:rect>
                </v:group>
              </w:pict>
            </w:r>
            <w:r>
              <w:rPr>
                <w:rFonts w:ascii="PMingLiU"/>
                <w:position w:val="0"/>
                <w:sz w:val="2"/>
              </w:rPr>
            </w:r>
          </w:p>
          <w:p>
            <w:pPr>
              <w:pStyle w:val="TableParagraph"/>
              <w:spacing w:line="190" w:lineRule="exact" w:before="18"/>
              <w:ind w:left="182"/>
              <w:rPr>
                <w:rFonts w:ascii="PMingLiU" w:eastAsia="PMingLiU" w:hint="eastAsia"/>
                <w:sz w:val="16"/>
              </w:rPr>
            </w:pPr>
            <w:r>
              <w:rPr>
                <w:rFonts w:ascii="PMingLiU" w:eastAsia="PMingLiU" w:hint="eastAsia"/>
                <w:sz w:val="16"/>
              </w:rPr>
              <w:t>资料来源：</w:t>
            </w:r>
            <w:r>
              <w:rPr>
                <w:sz w:val="16"/>
              </w:rPr>
              <w:t>American Cancer Society 2022</w:t>
            </w:r>
            <w:r>
              <w:rPr>
                <w:rFonts w:ascii="PMingLiU" w:eastAsia="PMingLiU" w:hint="eastAsia"/>
                <w:sz w:val="16"/>
              </w:rPr>
              <w:t>，招银国际证券</w:t>
            </w:r>
          </w:p>
        </w:tc>
      </w:tr>
    </w:tbl>
    <w:p>
      <w:pPr>
        <w:pStyle w:val="BodyText"/>
        <w:spacing w:before="6"/>
        <w:ind w:left="0"/>
        <w:rPr>
          <w:sz w:val="25"/>
        </w:rPr>
      </w:pPr>
    </w:p>
    <w:p>
      <w:pPr>
        <w:pStyle w:val="Heading2"/>
        <w:spacing w:before="0"/>
      </w:pPr>
      <w:bookmarkStart w:name="_bookmark7" w:id="8"/>
      <w:bookmarkEnd w:id="8"/>
      <w:r>
        <w:rPr>
          <w:b w:val="0"/>
        </w:rPr>
      </w:r>
      <w:r>
        <w:rPr>
          <w:color w:val="585858"/>
        </w:rPr>
        <w:t>后线市场稳步增长，</w:t>
      </w:r>
      <w:r>
        <w:rPr>
          <w:rFonts w:ascii="Arial" w:eastAsia="Arial"/>
          <w:color w:val="585858"/>
        </w:rPr>
        <w:t>CAR-T </w:t>
      </w:r>
      <w:r>
        <w:rPr>
          <w:color w:val="585858"/>
        </w:rPr>
        <w:t>疗法向前线迈进</w:t>
      </w:r>
    </w:p>
    <w:p>
      <w:pPr>
        <w:pStyle w:val="BodyText"/>
        <w:spacing w:line="288" w:lineRule="auto" w:before="120"/>
        <w:ind w:right="2814"/>
        <w:jc w:val="both"/>
      </w:pPr>
      <w:r>
        <w:rPr>
          <w:rFonts w:ascii="Arial" w:eastAsia="Arial"/>
        </w:rPr>
        <w:t>CAR-T</w:t>
      </w:r>
      <w:r>
        <w:rPr>
          <w:rFonts w:ascii="Arial" w:eastAsia="Arial"/>
          <w:spacing w:val="-17"/>
        </w:rPr>
        <w:t> </w:t>
      </w:r>
      <w:r>
        <w:rPr>
          <w:spacing w:val="-5"/>
        </w:rPr>
        <w:t>疗效数据优异，具有治愈潜力，市场空间广阔。</w:t>
      </w:r>
      <w:r>
        <w:rPr>
          <w:rFonts w:ascii="Arial" w:eastAsia="Arial"/>
        </w:rPr>
        <w:t>CAR-T</w:t>
      </w:r>
      <w:r>
        <w:rPr>
          <w:rFonts w:ascii="Arial" w:eastAsia="Arial"/>
          <w:spacing w:val="-16"/>
        </w:rPr>
        <w:t> </w:t>
      </w:r>
      <w:r>
        <w:rPr>
          <w:spacing w:val="-4"/>
        </w:rPr>
        <w:t>领域重磅交易频现，</w:t>
      </w:r>
      <w:r>
        <w:rPr>
          <w:rFonts w:ascii="Arial" w:eastAsia="Arial"/>
        </w:rPr>
        <w:t>2017</w:t>
      </w:r>
      <w:r>
        <w:rPr>
          <w:rFonts w:ascii="Arial" w:eastAsia="Arial"/>
          <w:spacing w:val="-23"/>
        </w:rPr>
        <w:t> </w:t>
      </w:r>
      <w:r>
        <w:rPr>
          <w:spacing w:val="-12"/>
        </w:rPr>
        <w:t>年</w:t>
      </w:r>
      <w:r>
        <w:rPr>
          <w:rFonts w:ascii="Arial" w:eastAsia="Arial"/>
        </w:rPr>
        <w:t>8</w:t>
      </w:r>
      <w:r>
        <w:rPr>
          <w:rFonts w:ascii="Arial" w:eastAsia="Arial"/>
          <w:spacing w:val="-18"/>
        </w:rPr>
        <w:t> </w:t>
      </w:r>
      <w:r>
        <w:rPr/>
        <w:t>月，</w:t>
      </w:r>
      <w:r>
        <w:rPr>
          <w:rFonts w:ascii="Arial" w:eastAsia="Arial"/>
        </w:rPr>
        <w:t>Gilead</w:t>
      </w:r>
      <w:r>
        <w:rPr>
          <w:rFonts w:ascii="Arial" w:eastAsia="Arial"/>
          <w:spacing w:val="-22"/>
        </w:rPr>
        <w:t> </w:t>
      </w:r>
      <w:r>
        <w:rPr>
          <w:spacing w:val="-4"/>
        </w:rPr>
        <w:t>以 </w:t>
      </w:r>
      <w:r>
        <w:rPr>
          <w:rFonts w:ascii="Arial" w:eastAsia="Arial"/>
        </w:rPr>
        <w:t>119</w:t>
      </w:r>
      <w:r>
        <w:rPr>
          <w:rFonts w:ascii="Arial" w:eastAsia="Arial"/>
          <w:spacing w:val="-18"/>
        </w:rPr>
        <w:t> </w:t>
      </w:r>
      <w:r>
        <w:rPr>
          <w:spacing w:val="6"/>
        </w:rPr>
        <w:t>亿美元收购</w:t>
      </w:r>
      <w:r>
        <w:rPr>
          <w:rFonts w:ascii="Arial" w:eastAsia="Arial"/>
        </w:rPr>
        <w:t>Kite</w:t>
      </w:r>
      <w:r>
        <w:rPr/>
        <w:t>；</w:t>
      </w:r>
      <w:r>
        <w:rPr>
          <w:rFonts w:ascii="Arial" w:eastAsia="Arial"/>
        </w:rPr>
        <w:t>2018</w:t>
      </w:r>
      <w:r>
        <w:rPr>
          <w:rFonts w:ascii="Arial" w:eastAsia="Arial"/>
          <w:spacing w:val="-23"/>
        </w:rPr>
        <w:t> </w:t>
      </w:r>
      <w:r>
        <w:rPr>
          <w:spacing w:val="-4"/>
        </w:rPr>
        <w:t>年 </w:t>
      </w:r>
      <w:r>
        <w:rPr>
          <w:rFonts w:ascii="Arial" w:eastAsia="Arial"/>
        </w:rPr>
        <w:t>1</w:t>
      </w:r>
      <w:r>
        <w:rPr>
          <w:rFonts w:ascii="Arial" w:eastAsia="Arial"/>
          <w:spacing w:val="-23"/>
        </w:rPr>
        <w:t> </w:t>
      </w:r>
      <w:r>
        <w:rPr/>
        <w:t>月，</w:t>
      </w:r>
      <w:r>
        <w:rPr>
          <w:rFonts w:ascii="Arial" w:eastAsia="Arial"/>
        </w:rPr>
        <w:t>Celgene</w:t>
      </w:r>
      <w:r>
        <w:rPr>
          <w:rFonts w:ascii="Arial" w:eastAsia="Arial"/>
          <w:spacing w:val="-17"/>
        </w:rPr>
        <w:t> </w:t>
      </w:r>
      <w:r>
        <w:rPr>
          <w:spacing w:val="-4"/>
        </w:rPr>
        <w:t>以 </w:t>
      </w:r>
      <w:r>
        <w:rPr>
          <w:rFonts w:ascii="Arial" w:eastAsia="Arial"/>
        </w:rPr>
        <w:t>90</w:t>
      </w:r>
      <w:r>
        <w:rPr>
          <w:rFonts w:ascii="Arial" w:eastAsia="Arial"/>
          <w:spacing w:val="-23"/>
        </w:rPr>
        <w:t> </w:t>
      </w:r>
      <w:r>
        <w:rPr>
          <w:spacing w:val="-4"/>
        </w:rPr>
        <w:t>亿美元收购 </w:t>
      </w:r>
      <w:r>
        <w:rPr>
          <w:rFonts w:ascii="Arial" w:eastAsia="Arial"/>
        </w:rPr>
        <w:t>Juno</w:t>
      </w:r>
      <w:r>
        <w:rPr>
          <w:rFonts w:ascii="Arial" w:eastAsia="Arial"/>
          <w:spacing w:val="-7"/>
        </w:rPr>
        <w:t> (</w:t>
      </w:r>
      <w:r>
        <w:rPr>
          <w:rFonts w:ascii="Arial" w:eastAsia="Arial"/>
        </w:rPr>
        <w:t>2019 </w:t>
      </w:r>
      <w:r>
        <w:rPr/>
        <w:t>年 </w:t>
      </w:r>
      <w:r>
        <w:rPr>
          <w:rFonts w:ascii="Arial" w:eastAsia="Arial"/>
        </w:rPr>
        <w:t>1</w:t>
      </w:r>
      <w:r>
        <w:rPr>
          <w:rFonts w:ascii="Arial" w:eastAsia="Arial"/>
          <w:spacing w:val="-11"/>
        </w:rPr>
        <w:t> </w:t>
      </w:r>
      <w:r>
        <w:rPr/>
        <w:t>月 </w:t>
      </w:r>
      <w:r>
        <w:rPr>
          <w:rFonts w:ascii="Arial" w:eastAsia="Arial"/>
        </w:rPr>
        <w:t>BMS</w:t>
      </w:r>
      <w:r>
        <w:rPr>
          <w:rFonts w:ascii="Arial" w:eastAsia="Arial"/>
          <w:spacing w:val="-8"/>
        </w:rPr>
        <w:t> </w:t>
      </w:r>
      <w:r>
        <w:rPr/>
        <w:t>以 </w:t>
      </w:r>
      <w:r>
        <w:rPr>
          <w:rFonts w:ascii="Arial" w:eastAsia="Arial"/>
        </w:rPr>
        <w:t>740</w:t>
      </w:r>
      <w:r>
        <w:rPr>
          <w:rFonts w:ascii="Arial" w:eastAsia="Arial"/>
          <w:spacing w:val="-11"/>
        </w:rPr>
        <w:t> </w:t>
      </w:r>
      <w:r>
        <w:rPr>
          <w:spacing w:val="9"/>
        </w:rPr>
        <w:t>亿美元收购</w:t>
      </w:r>
      <w:r>
        <w:rPr>
          <w:rFonts w:ascii="Arial" w:eastAsia="Arial"/>
        </w:rPr>
        <w:t>Celgene)</w:t>
      </w:r>
      <w:r>
        <w:rPr>
          <w:spacing w:val="-3"/>
        </w:rPr>
        <w:t>。目前全球范围内共有 </w:t>
      </w:r>
      <w:r>
        <w:rPr>
          <w:rFonts w:ascii="Arial" w:eastAsia="Arial"/>
        </w:rPr>
        <w:t>7</w:t>
      </w:r>
      <w:r>
        <w:rPr>
          <w:rFonts w:ascii="Arial" w:eastAsia="Arial"/>
          <w:spacing w:val="-11"/>
        </w:rPr>
        <w:t> </w:t>
      </w:r>
      <w:r>
        <w:rPr>
          <w:spacing w:val="48"/>
        </w:rPr>
        <w:t>款</w:t>
      </w:r>
      <w:r>
        <w:rPr>
          <w:rFonts w:ascii="Arial" w:eastAsia="Arial"/>
        </w:rPr>
        <w:t>CAR-T</w:t>
      </w:r>
      <w:r>
        <w:rPr>
          <w:rFonts w:ascii="Arial" w:eastAsia="Arial"/>
          <w:spacing w:val="-7"/>
        </w:rPr>
        <w:t> </w:t>
      </w:r>
      <w:r>
        <w:rPr>
          <w:spacing w:val="-3"/>
        </w:rPr>
        <w:t>产品上市，其中 </w:t>
      </w:r>
      <w:r>
        <w:rPr>
          <w:rFonts w:ascii="Arial" w:eastAsia="Arial"/>
        </w:rPr>
        <w:t>5</w:t>
      </w:r>
      <w:r>
        <w:rPr>
          <w:rFonts w:ascii="Arial" w:eastAsia="Arial"/>
          <w:spacing w:val="-15"/>
        </w:rPr>
        <w:t> </w:t>
      </w:r>
      <w:r>
        <w:rPr>
          <w:spacing w:val="-1"/>
        </w:rPr>
        <w:t>款针对 </w:t>
      </w:r>
      <w:r>
        <w:rPr>
          <w:rFonts w:ascii="Arial" w:eastAsia="Arial"/>
        </w:rPr>
        <w:t>CD19</w:t>
      </w:r>
      <w:r>
        <w:rPr>
          <w:rFonts w:ascii="Arial" w:eastAsia="Arial"/>
          <w:spacing w:val="-15"/>
        </w:rPr>
        <w:t> </w:t>
      </w:r>
      <w:r>
        <w:rPr/>
        <w:t>靶点，</w:t>
      </w:r>
      <w:r>
        <w:rPr>
          <w:rFonts w:ascii="Arial" w:eastAsia="Arial"/>
        </w:rPr>
        <w:t>2</w:t>
      </w:r>
      <w:r>
        <w:rPr>
          <w:rFonts w:ascii="Arial" w:eastAsia="Arial"/>
          <w:spacing w:val="-14"/>
        </w:rPr>
        <w:t> </w:t>
      </w:r>
      <w:r>
        <w:rPr>
          <w:spacing w:val="-1"/>
        </w:rPr>
        <w:t>款针对 </w:t>
      </w:r>
      <w:r>
        <w:rPr>
          <w:rFonts w:ascii="Arial" w:eastAsia="Arial"/>
        </w:rPr>
        <w:t>BCMA</w:t>
      </w:r>
      <w:r>
        <w:rPr>
          <w:rFonts w:ascii="Arial" w:eastAsia="Arial"/>
          <w:spacing w:val="-16"/>
        </w:rPr>
        <w:t> </w:t>
      </w:r>
      <w:r>
        <w:rPr>
          <w:spacing w:val="-5"/>
        </w:rPr>
        <w:t>靶点，适应症涵盖多种血液瘤。</w:t>
      </w:r>
    </w:p>
    <w:p>
      <w:pPr>
        <w:pStyle w:val="BodyText"/>
        <w:spacing w:line="285" w:lineRule="auto" w:before="117"/>
        <w:ind w:right="2618"/>
      </w:pPr>
      <w:r>
        <w:rPr/>
        <w:t>目前已上市</w:t>
      </w:r>
      <w:r>
        <w:rPr>
          <w:rFonts w:ascii="Arial" w:eastAsia="Arial"/>
        </w:rPr>
        <w:t>CAR-T </w:t>
      </w:r>
      <w:r>
        <w:rPr/>
        <w:t>产品放量较慢，主要因为：</w:t>
      </w:r>
      <w:r>
        <w:rPr>
          <w:rFonts w:ascii="Arial" w:eastAsia="Arial"/>
        </w:rPr>
        <w:t>1) 2022 </w:t>
      </w:r>
      <w:r>
        <w:rPr/>
        <w:t>年前</w:t>
      </w:r>
      <w:r>
        <w:rPr>
          <w:rFonts w:ascii="Arial" w:eastAsia="Arial"/>
        </w:rPr>
        <w:t>CAR-T </w:t>
      </w:r>
      <w:r>
        <w:rPr/>
        <w:t>产品仅获批末线适应症， 覆盖患者少；</w:t>
      </w:r>
      <w:r>
        <w:rPr>
          <w:rFonts w:ascii="Arial" w:eastAsia="Arial"/>
        </w:rPr>
        <w:t>2) 2021 </w:t>
      </w:r>
      <w:r>
        <w:rPr/>
        <w:t>年前仅有靶向 </w:t>
      </w:r>
      <w:r>
        <w:rPr>
          <w:rFonts w:ascii="Arial" w:eastAsia="Arial"/>
        </w:rPr>
        <w:t>CD19 </w:t>
      </w:r>
      <w:r>
        <w:rPr/>
        <w:t>的 </w:t>
      </w:r>
      <w:r>
        <w:rPr>
          <w:rFonts w:ascii="Arial" w:eastAsia="Arial"/>
        </w:rPr>
        <w:t>CAR-T </w:t>
      </w:r>
      <w:r>
        <w:rPr/>
        <w:t>产品上市，产品同质化严重；</w:t>
      </w:r>
      <w:r>
        <w:rPr>
          <w:rFonts w:ascii="Arial" w:eastAsia="Arial"/>
        </w:rPr>
        <w:t>3) </w:t>
      </w:r>
      <w:r>
        <w:rPr/>
        <w:t>高昂的生产成本导致高定价，患者可及性较差；</w:t>
      </w:r>
      <w:r>
        <w:rPr>
          <w:rFonts w:ascii="Arial" w:eastAsia="Arial"/>
        </w:rPr>
        <w:t>4) CAR-T </w:t>
      </w:r>
      <w:r>
        <w:rPr/>
        <w:t>生产流程复杂，产能释放慢。</w:t>
      </w:r>
    </w:p>
    <w:p>
      <w:pPr>
        <w:spacing w:after="0" w:line="285" w:lineRule="auto"/>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09"/>
        <w:jc w:val="both"/>
      </w:pPr>
      <w:r>
        <w:rPr>
          <w:spacing w:val="-3"/>
        </w:rPr>
        <w:t>根据各公司财报，</w:t>
      </w:r>
      <w:r>
        <w:rPr>
          <w:rFonts w:ascii="Arial" w:eastAsia="Arial"/>
        </w:rPr>
        <w:t>2021</w:t>
      </w:r>
      <w:r>
        <w:rPr>
          <w:rFonts w:ascii="Arial" w:eastAsia="Arial"/>
          <w:spacing w:val="11"/>
        </w:rPr>
        <w:t> </w:t>
      </w:r>
      <w:r>
        <w:rPr>
          <w:spacing w:val="5"/>
        </w:rPr>
        <w:t>年五款 </w:t>
      </w:r>
      <w:r>
        <w:rPr>
          <w:rFonts w:ascii="Arial" w:eastAsia="Arial"/>
        </w:rPr>
        <w:t>FDA</w:t>
      </w:r>
      <w:r>
        <w:rPr>
          <w:rFonts w:ascii="Arial" w:eastAsia="Arial"/>
          <w:spacing w:val="9"/>
        </w:rPr>
        <w:t> </w:t>
      </w:r>
      <w:r>
        <w:rPr>
          <w:spacing w:val="3"/>
        </w:rPr>
        <w:t>批准上市的 </w:t>
      </w:r>
      <w:r>
        <w:rPr>
          <w:rFonts w:ascii="Arial" w:eastAsia="Arial"/>
          <w:spacing w:val="-3"/>
        </w:rPr>
        <w:t>CAR-T</w:t>
      </w:r>
      <w:r>
        <w:rPr>
          <w:rFonts w:ascii="Arial" w:eastAsia="Arial"/>
          <w:spacing w:val="15"/>
        </w:rPr>
        <w:t> </w:t>
      </w:r>
      <w:r>
        <w:rPr>
          <w:spacing w:val="-1"/>
        </w:rPr>
        <w:t>产品销售额合计超过 </w:t>
      </w:r>
      <w:r>
        <w:rPr>
          <w:rFonts w:ascii="Arial" w:eastAsia="Arial"/>
        </w:rPr>
        <w:t>17</w:t>
      </w:r>
      <w:r>
        <w:rPr>
          <w:rFonts w:ascii="Arial" w:eastAsia="Arial"/>
          <w:spacing w:val="11"/>
        </w:rPr>
        <w:t> </w:t>
      </w:r>
      <w:r>
        <w:rPr>
          <w:spacing w:val="-2"/>
        </w:rPr>
        <w:t>亿美元。</w:t>
      </w:r>
      <w:r>
        <w:rPr>
          <w:rFonts w:ascii="Arial" w:eastAsia="Arial"/>
          <w:spacing w:val="-2"/>
        </w:rPr>
        <w:t>2021</w:t>
      </w:r>
      <w:r>
        <w:rPr>
          <w:rFonts w:ascii="Arial" w:eastAsia="Arial"/>
          <w:spacing w:val="-18"/>
        </w:rPr>
        <w:t> </w:t>
      </w:r>
      <w:r>
        <w:rPr>
          <w:spacing w:val="43"/>
        </w:rPr>
        <w:t>年</w:t>
      </w:r>
      <w:r>
        <w:rPr>
          <w:rFonts w:ascii="Arial" w:eastAsia="Arial"/>
        </w:rPr>
        <w:t>Gilead</w:t>
      </w:r>
      <w:r>
        <w:rPr>
          <w:rFonts w:ascii="Arial" w:eastAsia="Arial"/>
          <w:spacing w:val="-18"/>
        </w:rPr>
        <w:t> </w:t>
      </w:r>
      <w:r>
        <w:rPr>
          <w:spacing w:val="-4"/>
        </w:rPr>
        <w:t>凭借靶向 </w:t>
      </w:r>
      <w:r>
        <w:rPr>
          <w:rFonts w:ascii="Arial" w:eastAsia="Arial"/>
        </w:rPr>
        <w:t>CD19</w:t>
      </w:r>
      <w:r>
        <w:rPr>
          <w:rFonts w:ascii="Arial" w:eastAsia="Arial"/>
          <w:spacing w:val="-22"/>
        </w:rPr>
        <w:t> </w:t>
      </w:r>
      <w:r>
        <w:rPr>
          <w:spacing w:val="14"/>
        </w:rPr>
        <w:t>的两款</w:t>
      </w:r>
      <w:r>
        <w:rPr>
          <w:rFonts w:ascii="Arial" w:eastAsia="Arial"/>
        </w:rPr>
        <w:t>CAR-T</w:t>
      </w:r>
      <w:r>
        <w:rPr>
          <w:rFonts w:ascii="Arial" w:eastAsia="Arial"/>
          <w:spacing w:val="-20"/>
        </w:rPr>
        <w:t> </w:t>
      </w:r>
      <w:r>
        <w:rPr/>
        <w:t>产品，</w:t>
      </w:r>
      <w:r>
        <w:rPr>
          <w:rFonts w:ascii="Arial" w:eastAsia="Arial"/>
        </w:rPr>
        <w:t>Yescarta</w:t>
      </w:r>
      <w:r>
        <w:rPr>
          <w:rFonts w:ascii="Arial" w:eastAsia="Arial"/>
          <w:spacing w:val="-18"/>
        </w:rPr>
        <w:t> </w:t>
      </w:r>
      <w:r>
        <w:rPr>
          <w:spacing w:val="-4"/>
        </w:rPr>
        <w:t>和 </w:t>
      </w:r>
      <w:r>
        <w:rPr>
          <w:rFonts w:ascii="Arial" w:eastAsia="Arial"/>
        </w:rPr>
        <w:t>Breyanzi</w:t>
      </w:r>
      <w:r>
        <w:rPr>
          <w:spacing w:val="-3"/>
        </w:rPr>
        <w:t>，共实现 </w:t>
      </w:r>
      <w:r>
        <w:rPr>
          <w:rFonts w:ascii="Arial" w:eastAsia="Arial"/>
        </w:rPr>
        <w:t>8.71</w:t>
      </w:r>
      <w:r>
        <w:rPr>
          <w:rFonts w:ascii="Arial" w:eastAsia="Arial"/>
          <w:spacing w:val="-18"/>
        </w:rPr>
        <w:t> </w:t>
      </w:r>
      <w:r>
        <w:rPr/>
        <w:t>亿</w:t>
      </w:r>
      <w:r>
        <w:rPr>
          <w:spacing w:val="-2"/>
        </w:rPr>
        <w:t>美元的收入。</w:t>
      </w:r>
      <w:r>
        <w:rPr>
          <w:rFonts w:ascii="Arial" w:eastAsia="Arial"/>
        </w:rPr>
        <w:t>Norvartis</w:t>
      </w:r>
      <w:r>
        <w:rPr>
          <w:rFonts w:ascii="Arial" w:eastAsia="Arial"/>
          <w:spacing w:val="-19"/>
        </w:rPr>
        <w:t> </w:t>
      </w:r>
      <w:r>
        <w:rPr>
          <w:spacing w:val="-3"/>
        </w:rPr>
        <w:t>仅有一款 </w:t>
      </w:r>
      <w:r>
        <w:rPr>
          <w:rFonts w:ascii="Arial" w:eastAsia="Arial"/>
        </w:rPr>
        <w:t>Kymriah</w:t>
      </w:r>
      <w:r>
        <w:rPr>
          <w:rFonts w:ascii="Arial" w:eastAsia="Arial"/>
          <w:spacing w:val="-14"/>
        </w:rPr>
        <w:t> </w:t>
      </w:r>
      <w:r>
        <w:rPr>
          <w:spacing w:val="-3"/>
        </w:rPr>
        <w:t>于 </w:t>
      </w:r>
      <w:r>
        <w:rPr>
          <w:rFonts w:ascii="Arial" w:eastAsia="Arial"/>
        </w:rPr>
        <w:t>2017</w:t>
      </w:r>
      <w:r>
        <w:rPr>
          <w:rFonts w:ascii="Arial" w:eastAsia="Arial"/>
          <w:spacing w:val="-16"/>
        </w:rPr>
        <w:t> </w:t>
      </w:r>
      <w:r>
        <w:rPr>
          <w:spacing w:val="-2"/>
        </w:rPr>
        <w:t>年获批上市，</w:t>
      </w:r>
      <w:r>
        <w:rPr>
          <w:rFonts w:ascii="Arial" w:eastAsia="Arial"/>
        </w:rPr>
        <w:t>2021</w:t>
      </w:r>
      <w:r>
        <w:rPr>
          <w:rFonts w:ascii="Arial" w:eastAsia="Arial"/>
          <w:spacing w:val="-15"/>
        </w:rPr>
        <w:t> </w:t>
      </w:r>
      <w:r>
        <w:rPr>
          <w:spacing w:val="-3"/>
        </w:rPr>
        <w:t>年销售额达 </w:t>
      </w:r>
      <w:r>
        <w:rPr>
          <w:rFonts w:ascii="Arial" w:eastAsia="Arial"/>
        </w:rPr>
        <w:t>5.87</w:t>
      </w:r>
      <w:r>
        <w:rPr>
          <w:rFonts w:ascii="Arial" w:eastAsia="Arial"/>
          <w:spacing w:val="-16"/>
        </w:rPr>
        <w:t> </w:t>
      </w:r>
      <w:r>
        <w:rPr>
          <w:spacing w:val="-5"/>
        </w:rPr>
        <w:t>亿美</w:t>
      </w:r>
      <w:r>
        <w:rPr/>
        <w:t>元。</w:t>
      </w:r>
      <w:r>
        <w:rPr>
          <w:rFonts w:ascii="Arial" w:eastAsia="Arial"/>
        </w:rPr>
        <w:t>2021</w:t>
      </w:r>
      <w:r>
        <w:rPr>
          <w:rFonts w:ascii="Arial" w:eastAsia="Arial"/>
          <w:spacing w:val="-15"/>
        </w:rPr>
        <w:t> </w:t>
      </w:r>
      <w:r>
        <w:rPr>
          <w:spacing w:val="-1"/>
        </w:rPr>
        <w:t>年初 </w:t>
      </w:r>
      <w:r>
        <w:rPr>
          <w:rFonts w:ascii="Arial" w:eastAsia="Arial"/>
        </w:rPr>
        <w:t>BMS</w:t>
      </w:r>
      <w:r>
        <w:rPr>
          <w:rFonts w:ascii="Arial" w:eastAsia="Arial"/>
          <w:spacing w:val="-18"/>
        </w:rPr>
        <w:t> </w:t>
      </w:r>
      <w:r>
        <w:rPr>
          <w:spacing w:val="14"/>
        </w:rPr>
        <w:t>的首个</w:t>
      </w:r>
      <w:r>
        <w:rPr>
          <w:rFonts w:ascii="Arial" w:eastAsia="Arial"/>
        </w:rPr>
        <w:t>CAR-T</w:t>
      </w:r>
      <w:r>
        <w:rPr>
          <w:rFonts w:ascii="Arial" w:eastAsia="Arial"/>
          <w:spacing w:val="-10"/>
        </w:rPr>
        <w:t> </w:t>
      </w:r>
      <w:r>
        <w:rPr>
          <w:spacing w:val="-1"/>
        </w:rPr>
        <w:t>产品，也是全球第四款</w:t>
      </w:r>
      <w:r>
        <w:rPr>
          <w:rFonts w:ascii="Arial" w:eastAsia="Arial"/>
        </w:rPr>
        <w:t>CD19</w:t>
      </w:r>
      <w:r>
        <w:rPr>
          <w:rFonts w:ascii="Arial" w:eastAsia="Arial"/>
          <w:spacing w:val="-10"/>
        </w:rPr>
        <w:t> </w:t>
      </w:r>
      <w:r>
        <w:rPr>
          <w:rFonts w:ascii="Arial" w:eastAsia="Arial"/>
        </w:rPr>
        <w:t>CAR-T</w:t>
      </w:r>
      <w:r>
        <w:rPr>
          <w:rFonts w:ascii="Arial" w:eastAsia="Arial"/>
          <w:spacing w:val="-11"/>
        </w:rPr>
        <w:t> </w:t>
      </w:r>
      <w:r>
        <w:rPr>
          <w:spacing w:val="-4"/>
        </w:rPr>
        <w:t>实现商业化，是来</w:t>
      </w:r>
      <w:r>
        <w:rPr>
          <w:spacing w:val="-1"/>
        </w:rPr>
        <w:t>自 </w:t>
      </w:r>
      <w:r>
        <w:rPr>
          <w:rFonts w:ascii="Arial" w:eastAsia="Arial"/>
        </w:rPr>
        <w:t>Juno</w:t>
      </w:r>
      <w:r>
        <w:rPr>
          <w:rFonts w:ascii="Arial" w:eastAsia="Arial"/>
          <w:spacing w:val="-11"/>
        </w:rPr>
        <w:t> </w:t>
      </w:r>
      <w:r>
        <w:rPr>
          <w:spacing w:val="2"/>
        </w:rPr>
        <w:t>的 </w:t>
      </w:r>
      <w:r>
        <w:rPr>
          <w:rFonts w:ascii="Arial" w:eastAsia="Arial"/>
        </w:rPr>
        <w:t>Breyanzi</w:t>
      </w:r>
      <w:r>
        <w:rPr>
          <w:spacing w:val="-5"/>
        </w:rPr>
        <w:t>，然而全年销售额并未过亿。相比之下，</w:t>
      </w:r>
      <w:r>
        <w:rPr>
          <w:rFonts w:ascii="Arial" w:eastAsia="Arial"/>
        </w:rPr>
        <w:t>BMS/</w:t>
      </w:r>
      <w:r>
        <w:rPr>
          <w:rFonts w:ascii="Arial" w:eastAsia="Arial"/>
          <w:spacing w:val="33"/>
        </w:rPr>
        <w:t> </w:t>
      </w:r>
      <w:r>
        <w:rPr>
          <w:rFonts w:ascii="Arial" w:eastAsia="Arial"/>
        </w:rPr>
        <w:t>Bluebird</w:t>
      </w:r>
      <w:r>
        <w:rPr>
          <w:rFonts w:ascii="Arial" w:eastAsia="Arial"/>
          <w:spacing w:val="-10"/>
        </w:rPr>
        <w:t> </w:t>
      </w:r>
      <w:r>
        <w:rPr/>
        <w:t>的 </w:t>
      </w:r>
      <w:r>
        <w:rPr>
          <w:rFonts w:ascii="Arial" w:eastAsia="Arial"/>
        </w:rPr>
        <w:t>Abecma</w:t>
      </w:r>
      <w:r>
        <w:rPr>
          <w:rFonts w:ascii="Arial" w:eastAsia="Arial"/>
          <w:spacing w:val="-11"/>
        </w:rPr>
        <w:t> </w:t>
      </w:r>
      <w:r>
        <w:rPr/>
        <w:t>作</w:t>
      </w:r>
      <w:r>
        <w:rPr>
          <w:spacing w:val="-1"/>
        </w:rPr>
        <w:t>为全球首款 </w:t>
      </w:r>
      <w:r>
        <w:rPr>
          <w:rFonts w:ascii="Arial" w:eastAsia="Arial"/>
        </w:rPr>
        <w:t>BCMA</w:t>
      </w:r>
      <w:r>
        <w:rPr>
          <w:rFonts w:ascii="Arial" w:eastAsia="Arial"/>
          <w:spacing w:val="-5"/>
        </w:rPr>
        <w:t> </w:t>
      </w:r>
      <w:r>
        <w:rPr>
          <w:rFonts w:ascii="Arial" w:eastAsia="Arial"/>
          <w:spacing w:val="-3"/>
        </w:rPr>
        <w:t>CAR-T</w:t>
      </w:r>
      <w:r>
        <w:rPr>
          <w:spacing w:val="-4"/>
        </w:rPr>
        <w:t>，虽然上市时间相比 </w:t>
      </w:r>
      <w:r>
        <w:rPr>
          <w:rFonts w:ascii="Arial" w:eastAsia="Arial"/>
        </w:rPr>
        <w:t>Breyanzi</w:t>
      </w:r>
      <w:r>
        <w:rPr>
          <w:rFonts w:ascii="Arial" w:eastAsia="Arial"/>
          <w:spacing w:val="-7"/>
        </w:rPr>
        <w:t> </w:t>
      </w:r>
      <w:r>
        <w:rPr>
          <w:spacing w:val="-3"/>
        </w:rPr>
        <w:t>晚将近两个月，但其 </w:t>
      </w:r>
      <w:r>
        <w:rPr>
          <w:rFonts w:ascii="Arial" w:eastAsia="Arial"/>
        </w:rPr>
        <w:t>9</w:t>
      </w:r>
      <w:r>
        <w:rPr>
          <w:rFonts w:ascii="Arial" w:eastAsia="Arial"/>
          <w:spacing w:val="-12"/>
        </w:rPr>
        <w:t> </w:t>
      </w:r>
      <w:r>
        <w:rPr>
          <w:spacing w:val="-2"/>
        </w:rPr>
        <w:t>个月销售额</w:t>
      </w:r>
      <w:r>
        <w:rPr>
          <w:spacing w:val="-3"/>
        </w:rPr>
        <w:t>接近于 </w:t>
      </w:r>
      <w:r>
        <w:rPr>
          <w:rFonts w:ascii="Arial" w:eastAsia="Arial"/>
        </w:rPr>
        <w:t>Breyanzi</w:t>
      </w:r>
      <w:r>
        <w:rPr>
          <w:rFonts w:ascii="Arial" w:eastAsia="Arial"/>
          <w:spacing w:val="-14"/>
        </w:rPr>
        <w:t> </w:t>
      </w:r>
      <w:r>
        <w:rPr>
          <w:spacing w:val="-2"/>
        </w:rPr>
        <w:t>的两倍。</w:t>
      </w:r>
    </w:p>
    <w:p>
      <w:pPr>
        <w:pStyle w:val="Heading3"/>
        <w:spacing w:before="65" w:after="9"/>
      </w:pPr>
      <w:r>
        <w:rPr/>
        <w:t>图 </w:t>
      </w:r>
      <w:r>
        <w:rPr>
          <w:rFonts w:ascii="Arial" w:eastAsia="Arial"/>
        </w:rPr>
        <w:t>15: </w:t>
      </w:r>
      <w:r>
        <w:rPr/>
        <w:t>海外获批情况</w:t>
      </w:r>
      <w:r>
        <w:rPr>
          <w:rFonts w:ascii="Arial" w:eastAsia="Arial"/>
        </w:rPr>
        <w:t>/</w:t>
      </w:r>
      <w:r>
        <w:rPr/>
        <w:t>历年销售额一览</w:t>
      </w:r>
    </w:p>
    <w:p>
      <w:pPr>
        <w:pStyle w:val="BodyText"/>
        <w:ind w:left="181"/>
        <w:rPr>
          <w:rFonts w:ascii="Microsoft JhengHei UI"/>
        </w:rPr>
      </w:pPr>
      <w:r>
        <w:rPr>
          <w:rFonts w:ascii="Microsoft JhengHei UI"/>
        </w:rPr>
        <w:drawing>
          <wp:inline distT="0" distB="0" distL="0" distR="0">
            <wp:extent cx="5085660" cy="3910012"/>
            <wp:effectExtent l="0" t="0" r="0" b="0"/>
            <wp:docPr id="13" name="image16.png"/>
            <wp:cNvGraphicFramePr>
              <a:graphicFrameLocks noChangeAspect="1"/>
            </wp:cNvGraphicFramePr>
            <a:graphic>
              <a:graphicData uri="http://schemas.openxmlformats.org/drawingml/2006/picture">
                <pic:pic>
                  <pic:nvPicPr>
                    <pic:cNvPr id="14" name="image16.png"/>
                    <pic:cNvPicPr/>
                  </pic:nvPicPr>
                  <pic:blipFill>
                    <a:blip r:embed="rId23" cstate="print"/>
                    <a:stretch>
                      <a:fillRect/>
                    </a:stretch>
                  </pic:blipFill>
                  <pic:spPr>
                    <a:xfrm>
                      <a:off x="0" y="0"/>
                      <a:ext cx="5085660" cy="3910012"/>
                    </a:xfrm>
                    <a:prstGeom prst="rect">
                      <a:avLst/>
                    </a:prstGeom>
                  </pic:spPr>
                </pic:pic>
              </a:graphicData>
            </a:graphic>
          </wp:inline>
        </w:drawing>
      </w:r>
      <w:r>
        <w:rPr>
          <w:rFonts w:ascii="Microsoft JhengHei UI"/>
        </w:rPr>
      </w:r>
    </w:p>
    <w:p>
      <w:pPr>
        <w:spacing w:before="10"/>
        <w:ind w:left="210" w:right="0" w:firstLine="0"/>
        <w:jc w:val="both"/>
        <w:rPr>
          <w:sz w:val="16"/>
        </w:rPr>
      </w:pPr>
      <w:r>
        <w:rPr>
          <w:sz w:val="16"/>
        </w:rPr>
        <w:t>资料来源：公司年报，</w:t>
      </w:r>
      <w:r>
        <w:rPr>
          <w:rFonts w:ascii="Arial" w:eastAsia="Arial"/>
          <w:sz w:val="16"/>
        </w:rPr>
        <w:t>AJMC, FDA</w:t>
      </w:r>
      <w:r>
        <w:rPr>
          <w:sz w:val="16"/>
        </w:rPr>
        <w:t>，</w:t>
      </w:r>
      <w:r>
        <w:rPr>
          <w:rFonts w:ascii="Arial" w:eastAsia="Arial"/>
          <w:sz w:val="16"/>
        </w:rPr>
        <w:t>EMA, </w:t>
      </w:r>
      <w:r>
        <w:rPr>
          <w:sz w:val="16"/>
        </w:rPr>
        <w:t>招银国际证券</w:t>
      </w:r>
    </w:p>
    <w:p>
      <w:pPr>
        <w:pStyle w:val="BodyText"/>
        <w:spacing w:before="6"/>
        <w:ind w:left="0"/>
        <w:rPr>
          <w:sz w:val="21"/>
        </w:rPr>
      </w:pPr>
    </w:p>
    <w:p>
      <w:pPr>
        <w:pStyle w:val="BodyText"/>
        <w:spacing w:line="288" w:lineRule="auto" w:before="99"/>
        <w:ind w:right="2810"/>
        <w:jc w:val="both"/>
      </w:pPr>
      <w:r>
        <w:rPr>
          <w:spacing w:val="24"/>
        </w:rPr>
        <w:t>近来</w:t>
      </w:r>
      <w:r>
        <w:rPr>
          <w:rFonts w:ascii="Arial" w:eastAsia="Arial"/>
        </w:rPr>
        <w:t>CAR-T </w:t>
      </w:r>
      <w:r>
        <w:rPr>
          <w:spacing w:val="-2"/>
        </w:rPr>
        <w:t>疗法持续取得进展。目前传奇生物的</w:t>
      </w:r>
      <w:r>
        <w:rPr>
          <w:rFonts w:ascii="Arial" w:eastAsia="Arial"/>
        </w:rPr>
        <w:t>Carvykti </w:t>
      </w:r>
      <w:r>
        <w:rPr>
          <w:spacing w:val="9"/>
        </w:rPr>
        <w:t>已经作为</w:t>
      </w:r>
      <w:r>
        <w:rPr>
          <w:rFonts w:ascii="Arial" w:eastAsia="Arial"/>
        </w:rPr>
        <w:t>best-in-class </w:t>
      </w:r>
      <w:r>
        <w:rPr/>
        <w:t>的 </w:t>
      </w:r>
      <w:r>
        <w:rPr>
          <w:rFonts w:ascii="Arial" w:eastAsia="Arial"/>
        </w:rPr>
        <w:t>BCMA CAR-T</w:t>
      </w:r>
      <w:r>
        <w:rPr/>
        <w:t>，获得 </w:t>
      </w:r>
      <w:r>
        <w:rPr>
          <w:rFonts w:ascii="Arial" w:eastAsia="Arial"/>
        </w:rPr>
        <w:t>FDA </w:t>
      </w:r>
      <w:r>
        <w:rPr>
          <w:spacing w:val="5"/>
        </w:rPr>
        <w:t>和 </w:t>
      </w:r>
      <w:r>
        <w:rPr>
          <w:rFonts w:ascii="Arial" w:eastAsia="Arial"/>
        </w:rPr>
        <w:t>EMA </w:t>
      </w:r>
      <w:r>
        <w:rPr>
          <w:spacing w:val="-2"/>
        </w:rPr>
        <w:t>批准上市，用于 </w:t>
      </w:r>
      <w:r>
        <w:rPr>
          <w:rFonts w:ascii="Arial" w:eastAsia="Arial"/>
        </w:rPr>
        <w:t>r/r MM </w:t>
      </w:r>
      <w:r>
        <w:rPr>
          <w:spacing w:val="-2"/>
        </w:rPr>
        <w:t>的治疗。</w:t>
      </w:r>
      <w:r>
        <w:rPr>
          <w:rFonts w:ascii="Arial" w:eastAsia="Arial"/>
        </w:rPr>
        <w:t>Carvykti </w:t>
      </w:r>
      <w:r>
        <w:rPr>
          <w:spacing w:val="-3"/>
        </w:rPr>
        <w:t>大幅刷新疗效数据， </w:t>
      </w:r>
      <w:r>
        <w:rPr>
          <w:rFonts w:ascii="Arial" w:eastAsia="Arial"/>
          <w:spacing w:val="-3"/>
        </w:rPr>
        <w:t>CARTITUDE-1 </w:t>
      </w:r>
      <w:r>
        <w:rPr>
          <w:spacing w:val="-3"/>
        </w:rPr>
        <w:t>中位随访期 </w:t>
      </w:r>
      <w:r>
        <w:rPr>
          <w:rFonts w:ascii="Arial" w:eastAsia="Arial"/>
        </w:rPr>
        <w:t>22 </w:t>
      </w:r>
      <w:r>
        <w:rPr>
          <w:spacing w:val="-2"/>
        </w:rPr>
        <w:t>个月时，</w:t>
      </w:r>
      <w:r>
        <w:rPr>
          <w:rFonts w:ascii="Arial" w:eastAsia="Arial"/>
        </w:rPr>
        <w:t>ORR </w:t>
      </w:r>
      <w:r>
        <w:rPr/>
        <w:t>达 </w:t>
      </w:r>
      <w:r>
        <w:rPr>
          <w:rFonts w:ascii="Arial" w:eastAsia="Arial"/>
          <w:spacing w:val="-3"/>
        </w:rPr>
        <w:t>98%</w:t>
      </w:r>
      <w:r>
        <w:rPr>
          <w:spacing w:val="-2"/>
        </w:rPr>
        <w:t>，其中 </w:t>
      </w:r>
      <w:r>
        <w:rPr>
          <w:rFonts w:ascii="Arial" w:eastAsia="Arial"/>
          <w:spacing w:val="-3"/>
        </w:rPr>
        <w:t>sCR </w:t>
      </w:r>
      <w:r>
        <w:rPr/>
        <w:t>达 </w:t>
      </w:r>
      <w:r>
        <w:rPr>
          <w:rFonts w:ascii="Arial" w:eastAsia="Arial"/>
        </w:rPr>
        <w:t>83%</w:t>
      </w:r>
      <w:r>
        <w:rPr>
          <w:spacing w:val="-3"/>
        </w:rPr>
        <w:t>，本次随访仍未达</w:t>
      </w:r>
      <w:r>
        <w:rPr>
          <w:spacing w:val="48"/>
        </w:rPr>
        <w:t>到</w:t>
      </w:r>
      <w:r>
        <w:rPr>
          <w:rFonts w:ascii="Arial" w:eastAsia="Arial"/>
        </w:rPr>
        <w:t>mPFS </w:t>
      </w:r>
      <w:r>
        <w:rPr>
          <w:spacing w:val="-5"/>
        </w:rPr>
        <w:t>和 </w:t>
      </w:r>
      <w:r>
        <w:rPr>
          <w:rFonts w:ascii="Arial" w:eastAsia="Arial"/>
        </w:rPr>
        <w:t>mOS</w:t>
      </w:r>
      <w:r>
        <w:rPr>
          <w:spacing w:val="-1"/>
        </w:rPr>
        <w:t>，两年 </w:t>
      </w:r>
      <w:r>
        <w:rPr>
          <w:rFonts w:ascii="Arial" w:eastAsia="Arial"/>
        </w:rPr>
        <w:t>PFS </w:t>
      </w:r>
      <w:r>
        <w:rPr>
          <w:spacing w:val="43"/>
        </w:rPr>
        <w:t>和</w:t>
      </w:r>
      <w:r>
        <w:rPr>
          <w:rFonts w:ascii="Arial" w:eastAsia="Arial"/>
        </w:rPr>
        <w:t>OS </w:t>
      </w:r>
      <w:r>
        <w:rPr>
          <w:spacing w:val="-3"/>
        </w:rPr>
        <w:t>分别为 </w:t>
      </w:r>
      <w:r>
        <w:rPr>
          <w:rFonts w:ascii="Arial" w:eastAsia="Arial"/>
          <w:spacing w:val="-2"/>
        </w:rPr>
        <w:t>55%</w:t>
      </w:r>
      <w:r>
        <w:rPr>
          <w:spacing w:val="-2"/>
        </w:rPr>
        <w:t>和 </w:t>
      </w:r>
      <w:r>
        <w:rPr>
          <w:rFonts w:ascii="Arial" w:eastAsia="Arial"/>
          <w:spacing w:val="-2"/>
        </w:rPr>
        <w:t>70%</w:t>
      </w:r>
      <w:r>
        <w:rPr/>
        <w:t>。</w:t>
      </w:r>
    </w:p>
    <w:p>
      <w:pPr>
        <w:pStyle w:val="BodyText"/>
        <w:spacing w:line="288" w:lineRule="auto" w:before="117"/>
        <w:ind w:right="2809"/>
        <w:jc w:val="both"/>
      </w:pPr>
      <w:r>
        <w:rPr>
          <w:spacing w:val="1"/>
        </w:rPr>
        <w:t>今年 </w:t>
      </w:r>
      <w:r>
        <w:rPr>
          <w:rFonts w:ascii="Arial" w:eastAsia="Arial"/>
        </w:rPr>
        <w:t>Yescarta </w:t>
      </w:r>
      <w:r>
        <w:rPr/>
        <w:t>和 </w:t>
      </w:r>
      <w:r>
        <w:rPr>
          <w:rFonts w:ascii="Arial" w:eastAsia="Arial"/>
        </w:rPr>
        <w:t>Breyanzi </w:t>
      </w:r>
      <w:r>
        <w:rPr>
          <w:spacing w:val="-5"/>
        </w:rPr>
        <w:t>也先后攻克前线适应症。上半年 </w:t>
      </w:r>
      <w:r>
        <w:rPr>
          <w:rFonts w:ascii="Arial" w:eastAsia="Arial"/>
        </w:rPr>
        <w:t>Yescarta </w:t>
      </w:r>
      <w:r>
        <w:rPr>
          <w:spacing w:val="48"/>
        </w:rPr>
        <w:t>获</w:t>
      </w:r>
      <w:r>
        <w:rPr>
          <w:rFonts w:ascii="Arial" w:eastAsia="Arial"/>
        </w:rPr>
        <w:t>FDA </w:t>
      </w:r>
      <w:r>
        <w:rPr>
          <w:spacing w:val="-3"/>
        </w:rPr>
        <w:t>批准用于二线</w:t>
      </w:r>
      <w:r>
        <w:rPr>
          <w:spacing w:val="1"/>
        </w:rPr>
        <w:t>及以上治疗 </w:t>
      </w:r>
      <w:r>
        <w:rPr>
          <w:rFonts w:ascii="Arial" w:eastAsia="Arial"/>
        </w:rPr>
        <w:t>LBCL</w:t>
      </w:r>
      <w:r>
        <w:rPr>
          <w:spacing w:val="4"/>
        </w:rPr>
        <w:t>。</w:t>
      </w:r>
      <w:r>
        <w:rPr>
          <w:rFonts w:ascii="Arial" w:eastAsia="Arial"/>
        </w:rPr>
        <w:t>Yescarta </w:t>
      </w:r>
      <w:r>
        <w:rPr>
          <w:spacing w:val="2"/>
        </w:rPr>
        <w:t>与既往标准治疗相比，无事件生存期 </w:t>
      </w:r>
      <w:r>
        <w:rPr>
          <w:rFonts w:ascii="Arial" w:eastAsia="Arial"/>
        </w:rPr>
        <w:t>(EFS</w:t>
      </w:r>
      <w:r>
        <w:rPr>
          <w:rFonts w:ascii="Arial" w:eastAsia="Arial"/>
          <w:spacing w:val="18"/>
        </w:rPr>
        <w:t>) </w:t>
      </w:r>
      <w:r>
        <w:rPr>
          <w:spacing w:val="1"/>
        </w:rPr>
        <w:t>延长 </w:t>
      </w:r>
      <w:r>
        <w:rPr>
          <w:rFonts w:ascii="Arial" w:eastAsia="Arial"/>
        </w:rPr>
        <w:t>6.3 </w:t>
      </w:r>
      <w:r>
        <w:rPr>
          <w:spacing w:val="4"/>
        </w:rPr>
        <w:t>个月</w:t>
      </w:r>
      <w:r>
        <w:rPr>
          <w:rFonts w:ascii="Arial" w:eastAsia="Arial"/>
        </w:rPr>
        <w:t>(SOC</w:t>
      </w:r>
      <w:r>
        <w:rPr>
          <w:rFonts w:ascii="Arial" w:eastAsia="Arial"/>
          <w:spacing w:val="-4"/>
        </w:rPr>
        <w:t>: </w:t>
      </w:r>
      <w:r>
        <w:rPr>
          <w:rFonts w:ascii="Arial" w:eastAsia="Arial"/>
        </w:rPr>
        <w:t>2.0 </w:t>
      </w:r>
      <w:r>
        <w:rPr>
          <w:spacing w:val="-3"/>
        </w:rPr>
        <w:t>个月</w:t>
      </w:r>
      <w:r>
        <w:rPr>
          <w:rFonts w:ascii="Arial" w:eastAsia="Arial"/>
          <w:spacing w:val="-3"/>
        </w:rPr>
        <w:t>), </w:t>
      </w:r>
      <w:r>
        <w:rPr>
          <w:spacing w:val="-4"/>
        </w:rPr>
        <w:t>两年内无疾病进展或无需其他癌症治疗的生存率为</w:t>
      </w:r>
      <w:r>
        <w:rPr>
          <w:rFonts w:ascii="Arial" w:eastAsia="Arial"/>
        </w:rPr>
        <w:t>40.5</w:t>
      </w:r>
      <w:r>
        <w:rPr>
          <w:rFonts w:ascii="Arial" w:eastAsia="Arial"/>
          <w:spacing w:val="-6"/>
        </w:rPr>
        <w:t>% </w:t>
      </w:r>
      <w:r>
        <w:rPr>
          <w:rFonts w:ascii="Arial" w:eastAsia="Arial"/>
        </w:rPr>
        <w:t>(SOC</w:t>
      </w:r>
      <w:r>
        <w:rPr>
          <w:rFonts w:ascii="Arial" w:eastAsia="Arial"/>
          <w:spacing w:val="-2"/>
        </w:rPr>
        <w:t>: </w:t>
      </w:r>
      <w:r>
        <w:rPr>
          <w:rFonts w:ascii="Arial" w:eastAsia="Arial"/>
        </w:rPr>
        <w:t>16.3%)</w:t>
      </w:r>
      <w:r>
        <w:rPr/>
        <w:t>。</w:t>
      </w:r>
      <w:r>
        <w:rPr>
          <w:spacing w:val="-5"/>
        </w:rPr>
        <w:t>随着前线适应症的顺利获批，上半年 </w:t>
      </w:r>
      <w:r>
        <w:rPr>
          <w:rFonts w:ascii="Arial" w:eastAsia="Arial"/>
        </w:rPr>
        <w:t>Yescarta </w:t>
      </w:r>
      <w:r>
        <w:rPr/>
        <w:t>实现 </w:t>
      </w:r>
      <w:r>
        <w:rPr>
          <w:rFonts w:ascii="Arial" w:eastAsia="Arial"/>
        </w:rPr>
        <w:t>5.06 </w:t>
      </w:r>
      <w:r>
        <w:rPr>
          <w:spacing w:val="-2"/>
        </w:rPr>
        <w:t>亿美元的销售，同比增长 </w:t>
      </w:r>
      <w:r>
        <w:rPr>
          <w:rFonts w:ascii="Arial" w:eastAsia="Arial"/>
          <w:spacing w:val="-2"/>
        </w:rPr>
        <w:t>50%</w:t>
      </w:r>
      <w:r>
        <w:rPr/>
        <w:t>。</w:t>
      </w:r>
    </w:p>
    <w:p>
      <w:pPr>
        <w:pStyle w:val="BodyText"/>
        <w:spacing w:line="288" w:lineRule="auto" w:before="117"/>
        <w:ind w:right="2814"/>
        <w:jc w:val="both"/>
      </w:pPr>
      <w:r>
        <w:rPr>
          <w:spacing w:val="-2"/>
        </w:rPr>
        <w:t>此外，各家公司也在积极开发新一代</w:t>
      </w:r>
      <w:r>
        <w:rPr>
          <w:rFonts w:ascii="Arial" w:eastAsia="Arial"/>
        </w:rPr>
        <w:t>CAR-T </w:t>
      </w:r>
      <w:r>
        <w:rPr>
          <w:spacing w:val="-3"/>
        </w:rPr>
        <w:t>生产平台，</w:t>
      </w:r>
      <w:r>
        <w:rPr>
          <w:rFonts w:ascii="Arial" w:eastAsia="Arial"/>
          <w:spacing w:val="-3"/>
        </w:rPr>
        <w:t>21 </w:t>
      </w:r>
      <w:r>
        <w:rPr/>
        <w:t>年 </w:t>
      </w:r>
      <w:r>
        <w:rPr>
          <w:rFonts w:ascii="Arial" w:eastAsia="Arial"/>
        </w:rPr>
        <w:t>12 </w:t>
      </w:r>
      <w:r>
        <w:rPr/>
        <w:t>月，</w:t>
      </w:r>
      <w:r>
        <w:rPr>
          <w:rFonts w:ascii="Arial" w:eastAsia="Arial"/>
        </w:rPr>
        <w:t>Novartis </w:t>
      </w:r>
      <w:r>
        <w:rPr/>
        <w:t>在 </w:t>
      </w:r>
      <w:r>
        <w:rPr>
          <w:rFonts w:ascii="Arial" w:eastAsia="Arial"/>
        </w:rPr>
        <w:t>ASH </w:t>
      </w:r>
      <w:r>
        <w:rPr/>
        <w:t>会议</w:t>
      </w:r>
      <w:r>
        <w:rPr>
          <w:spacing w:val="4"/>
        </w:rPr>
        <w:t>推出 </w:t>
      </w:r>
      <w:r>
        <w:rPr>
          <w:rFonts w:ascii="Arial" w:eastAsia="Arial"/>
        </w:rPr>
        <w:t>T-Charge </w:t>
      </w:r>
      <w:r>
        <w:rPr>
          <w:spacing w:val="2"/>
        </w:rPr>
        <w:t>平台，将 </w:t>
      </w:r>
      <w:r>
        <w:rPr>
          <w:rFonts w:ascii="Arial" w:eastAsia="Arial"/>
        </w:rPr>
        <w:t>CAR-T </w:t>
      </w:r>
      <w:r>
        <w:rPr>
          <w:spacing w:val="-3"/>
        </w:rPr>
        <w:t>生产时间缩短至不到 </w:t>
      </w:r>
      <w:r>
        <w:rPr>
          <w:rFonts w:ascii="Arial" w:eastAsia="Arial"/>
        </w:rPr>
        <w:t>2 </w:t>
      </w:r>
      <w:r>
        <w:rPr>
          <w:spacing w:val="-1"/>
        </w:rPr>
        <w:t>天。亘喜生物的 </w:t>
      </w:r>
      <w:r>
        <w:rPr>
          <w:rFonts w:ascii="Arial" w:eastAsia="Arial"/>
        </w:rPr>
        <w:t>FasTCAR </w:t>
      </w:r>
      <w:r>
        <w:rPr>
          <w:spacing w:val="-2"/>
        </w:rPr>
        <w:t>平台也</w:t>
      </w:r>
      <w:r>
        <w:rPr>
          <w:spacing w:val="10"/>
        </w:rPr>
        <w:t>能将自体</w:t>
      </w:r>
      <w:r>
        <w:rPr>
          <w:rFonts w:ascii="Arial" w:eastAsia="Arial"/>
        </w:rPr>
        <w:t>CAR-T </w:t>
      </w:r>
      <w:r>
        <w:rPr>
          <w:spacing w:val="-3"/>
        </w:rPr>
        <w:t>细胞生产的时间从 </w:t>
      </w:r>
      <w:r>
        <w:rPr>
          <w:rFonts w:ascii="Arial" w:eastAsia="Arial"/>
        </w:rPr>
        <w:t>2 </w:t>
      </w:r>
      <w:r>
        <w:rPr>
          <w:spacing w:val="-2"/>
        </w:rPr>
        <w:t>到 </w:t>
      </w:r>
      <w:r>
        <w:rPr>
          <w:rFonts w:ascii="Arial" w:eastAsia="Arial"/>
        </w:rPr>
        <w:t>6 </w:t>
      </w:r>
      <w:r>
        <w:rPr>
          <w:spacing w:val="-4"/>
        </w:rPr>
        <w:t>周缩短到次日生产完毕。</w:t>
      </w:r>
    </w:p>
    <w:p>
      <w:pPr>
        <w:spacing w:after="0" w:line="288" w:lineRule="auto"/>
        <w:jc w:val="both"/>
        <w:sectPr>
          <w:pgSz w:w="11910" w:h="16840"/>
          <w:pgMar w:header="682" w:footer="358" w:top="1380" w:bottom="540" w:left="640" w:right="300"/>
        </w:sectPr>
      </w:pPr>
    </w:p>
    <w:p>
      <w:pPr>
        <w:pStyle w:val="BodyText"/>
        <w:spacing w:before="9"/>
        <w:ind w:left="0"/>
        <w:rPr>
          <w:sz w:val="12"/>
        </w:rPr>
      </w:pPr>
    </w:p>
    <w:p>
      <w:pPr>
        <w:pStyle w:val="Heading2"/>
      </w:pPr>
      <w:bookmarkStart w:name="_bookmark8" w:id="9"/>
      <w:bookmarkEnd w:id="9"/>
      <w:r>
        <w:rPr>
          <w:b w:val="0"/>
        </w:rPr>
      </w:r>
      <w:r>
        <w:rPr>
          <w:color w:val="585858"/>
        </w:rPr>
        <w:t>靶点选择决定市场规模</w:t>
      </w:r>
    </w:p>
    <w:p>
      <w:pPr>
        <w:pStyle w:val="BodyText"/>
        <w:spacing w:line="288" w:lineRule="auto" w:before="119"/>
        <w:ind w:right="2811"/>
        <w:jc w:val="both"/>
      </w:pPr>
      <w:r>
        <w:rPr>
          <w:spacing w:val="2"/>
        </w:rPr>
        <w:t>由于 </w:t>
      </w:r>
      <w:r>
        <w:rPr>
          <w:rFonts w:ascii="Arial" w:eastAsia="Arial"/>
        </w:rPr>
        <w:t>CD19 </w:t>
      </w:r>
      <w:r>
        <w:rPr>
          <w:spacing w:val="4"/>
        </w:rPr>
        <w:t>与 </w:t>
      </w:r>
      <w:r>
        <w:rPr>
          <w:rFonts w:ascii="Arial" w:eastAsia="Arial"/>
        </w:rPr>
        <w:t>BCMA </w:t>
      </w:r>
      <w:r>
        <w:rPr>
          <w:spacing w:val="4"/>
        </w:rPr>
        <w:t>在 </w:t>
      </w:r>
      <w:r>
        <w:rPr>
          <w:rFonts w:ascii="Arial" w:eastAsia="Arial"/>
        </w:rPr>
        <w:t>B </w:t>
      </w:r>
      <w:r>
        <w:rPr>
          <w:spacing w:val="-5"/>
        </w:rPr>
        <w:t>细胞成熟过程中表达阶段不同，靶向 </w:t>
      </w:r>
      <w:r>
        <w:rPr>
          <w:rFonts w:ascii="Arial" w:eastAsia="Arial"/>
        </w:rPr>
        <w:t>CD19 </w:t>
      </w:r>
      <w:r>
        <w:rPr>
          <w:spacing w:val="4"/>
        </w:rPr>
        <w:t>或 </w:t>
      </w:r>
      <w:r>
        <w:rPr>
          <w:rFonts w:ascii="Arial" w:eastAsia="Arial"/>
        </w:rPr>
        <w:t>BCMA </w:t>
      </w:r>
      <w:r>
        <w:rPr>
          <w:spacing w:val="4"/>
        </w:rPr>
        <w:t>的 </w:t>
      </w:r>
      <w:r>
        <w:rPr>
          <w:rFonts w:ascii="Arial" w:eastAsia="Arial"/>
        </w:rPr>
        <w:t>CAR-T </w:t>
      </w:r>
      <w:r>
        <w:rPr/>
        <w:t>所针对的适应症也不同。目前</w:t>
      </w:r>
      <w:r>
        <w:rPr>
          <w:rFonts w:ascii="Arial" w:eastAsia="Arial"/>
        </w:rPr>
        <w:t>CD19 CAR-T </w:t>
      </w:r>
      <w:r>
        <w:rPr>
          <w:spacing w:val="-3"/>
        </w:rPr>
        <w:t>的获批适应症已覆盖 </w:t>
      </w:r>
      <w:r>
        <w:rPr>
          <w:rFonts w:ascii="Arial" w:eastAsia="Arial"/>
        </w:rPr>
        <w:t>NHL </w:t>
      </w:r>
      <w:r>
        <w:rPr>
          <w:spacing w:val="16"/>
        </w:rPr>
        <w:t>当中的</w:t>
      </w:r>
      <w:r>
        <w:rPr>
          <w:rFonts w:ascii="Arial" w:eastAsia="Arial"/>
        </w:rPr>
        <w:t>LBCL</w:t>
      </w:r>
      <w:r>
        <w:rPr>
          <w:spacing w:val="-5"/>
        </w:rPr>
        <w:t>、</w:t>
      </w:r>
      <w:r>
        <w:rPr>
          <w:rFonts w:ascii="Arial" w:eastAsia="Arial"/>
        </w:rPr>
        <w:t>FL</w:t>
      </w:r>
      <w:r>
        <w:rPr/>
        <w:t>、</w:t>
      </w:r>
      <w:r>
        <w:rPr>
          <w:rFonts w:ascii="Arial" w:eastAsia="Arial"/>
        </w:rPr>
        <w:t>MZL</w:t>
      </w:r>
      <w:r>
        <w:rPr/>
        <w:t>、</w:t>
      </w:r>
      <w:r>
        <w:rPr>
          <w:rFonts w:ascii="Arial" w:eastAsia="Arial"/>
        </w:rPr>
        <w:t>MCL </w:t>
      </w:r>
      <w:r>
        <w:rPr/>
        <w:t>及儿童和成人 </w:t>
      </w:r>
      <w:r>
        <w:rPr>
          <w:rFonts w:ascii="Arial" w:eastAsia="Arial"/>
        </w:rPr>
        <w:t>B </w:t>
      </w:r>
      <w:r>
        <w:rPr/>
        <w:t>细胞急性淋巴性白血病 </w:t>
      </w:r>
      <w:r>
        <w:rPr>
          <w:rFonts w:ascii="Arial" w:eastAsia="Arial"/>
        </w:rPr>
        <w:t>(B-ALL)</w:t>
      </w:r>
      <w:r>
        <w:rPr>
          <w:spacing w:val="-1"/>
        </w:rPr>
        <w:t>，并正在积极探索 </w:t>
      </w:r>
      <w:r>
        <w:rPr>
          <w:rFonts w:ascii="Arial" w:eastAsia="Arial"/>
        </w:rPr>
        <w:t>B </w:t>
      </w:r>
      <w:r>
        <w:rPr>
          <w:spacing w:val="-2"/>
        </w:rPr>
        <w:t>细胞恶性</w:t>
      </w:r>
      <w:r>
        <w:rPr>
          <w:spacing w:val="-5"/>
        </w:rPr>
        <w:t>肿瘤其他亚型的适应症。相比之下，目前 </w:t>
      </w:r>
      <w:r>
        <w:rPr>
          <w:rFonts w:ascii="Arial" w:eastAsia="Arial"/>
        </w:rPr>
        <w:t>BCMA </w:t>
      </w:r>
      <w:r>
        <w:rPr>
          <w:rFonts w:ascii="Arial" w:eastAsia="Arial"/>
          <w:spacing w:val="-3"/>
        </w:rPr>
        <w:t>CAR-T </w:t>
      </w:r>
      <w:r>
        <w:rPr/>
        <w:t>主要覆盖 </w:t>
      </w:r>
      <w:r>
        <w:rPr>
          <w:rFonts w:ascii="Arial" w:eastAsia="Arial"/>
        </w:rPr>
        <w:t>MM </w:t>
      </w:r>
      <w:r>
        <w:rPr>
          <w:spacing w:val="-4"/>
        </w:rPr>
        <w:t>适应症，但也有部分</w:t>
      </w:r>
      <w:r>
        <w:rPr>
          <w:spacing w:val="-5"/>
        </w:rPr>
        <w:t>公司开始探索其在自免领域的应用潜力。</w:t>
      </w:r>
    </w:p>
    <w:p>
      <w:pPr>
        <w:pStyle w:val="BodyText"/>
        <w:spacing w:line="288" w:lineRule="auto" w:before="118"/>
        <w:ind w:right="2814"/>
        <w:jc w:val="both"/>
      </w:pPr>
      <w:r>
        <w:rPr>
          <w:rFonts w:ascii="Arial" w:eastAsia="Arial"/>
        </w:rPr>
        <w:t>CD19</w:t>
      </w:r>
      <w:r>
        <w:rPr>
          <w:rFonts w:ascii="Arial" w:eastAsia="Arial"/>
          <w:spacing w:val="38"/>
        </w:rPr>
        <w:t> </w:t>
      </w:r>
      <w:r>
        <w:rPr>
          <w:spacing w:val="4"/>
        </w:rPr>
        <w:t>是 </w:t>
      </w:r>
      <w:r>
        <w:rPr>
          <w:rFonts w:ascii="Arial" w:eastAsia="Arial"/>
        </w:rPr>
        <w:t>B</w:t>
      </w:r>
      <w:r>
        <w:rPr>
          <w:rFonts w:ascii="Arial" w:eastAsia="Arial"/>
          <w:spacing w:val="40"/>
        </w:rPr>
        <w:t> </w:t>
      </w:r>
      <w:r>
        <w:rPr/>
        <w:t>细胞表面发挥特异性信号转导的受体，在 </w:t>
      </w:r>
      <w:r>
        <w:rPr>
          <w:rFonts w:ascii="Arial" w:eastAsia="Arial"/>
        </w:rPr>
        <w:t>B</w:t>
      </w:r>
      <w:r>
        <w:rPr>
          <w:rFonts w:ascii="Arial" w:eastAsia="Arial"/>
          <w:spacing w:val="40"/>
        </w:rPr>
        <w:t> </w:t>
      </w:r>
      <w:r>
        <w:rPr/>
        <w:t>细胞成熟各阶段均有表达，同时</w:t>
      </w:r>
      <w:r>
        <w:rPr>
          <w:rFonts w:ascii="Arial" w:eastAsia="Arial"/>
        </w:rPr>
        <w:t>CD19</w:t>
      </w:r>
      <w:r>
        <w:rPr>
          <w:rFonts w:ascii="Arial" w:eastAsia="Arial"/>
          <w:spacing w:val="1"/>
        </w:rPr>
        <w:t> </w:t>
      </w:r>
      <w:r>
        <w:rPr>
          <w:spacing w:val="1"/>
        </w:rPr>
        <w:t>也频繁表达于 </w:t>
      </w:r>
      <w:r>
        <w:rPr>
          <w:rFonts w:ascii="Arial" w:eastAsia="Arial"/>
        </w:rPr>
        <w:t>B</w:t>
      </w:r>
      <w:r>
        <w:rPr>
          <w:rFonts w:ascii="Arial" w:eastAsia="Arial"/>
          <w:spacing w:val="4"/>
        </w:rPr>
        <w:t> </w:t>
      </w:r>
      <w:r>
        <w:rPr>
          <w:spacing w:val="-3"/>
        </w:rPr>
        <w:t>细胞恶性肿瘤。</w:t>
      </w:r>
      <w:r>
        <w:rPr>
          <w:rFonts w:ascii="Arial" w:eastAsia="Arial"/>
          <w:spacing w:val="-2"/>
        </w:rPr>
        <w:t>95%</w:t>
      </w:r>
      <w:r>
        <w:rPr>
          <w:spacing w:val="3"/>
        </w:rPr>
        <w:t>以上的 </w:t>
      </w:r>
      <w:r>
        <w:rPr>
          <w:rFonts w:ascii="Arial" w:eastAsia="Arial"/>
        </w:rPr>
        <w:t>B</w:t>
      </w:r>
      <w:r>
        <w:rPr>
          <w:rFonts w:ascii="Arial" w:eastAsia="Arial"/>
          <w:spacing w:val="-2"/>
        </w:rPr>
        <w:t> </w:t>
      </w:r>
      <w:r>
        <w:rPr/>
        <w:t>细胞淋巴瘤和 </w:t>
      </w:r>
      <w:r>
        <w:rPr>
          <w:rFonts w:ascii="Arial" w:eastAsia="Arial"/>
        </w:rPr>
        <w:t>B</w:t>
      </w:r>
      <w:r>
        <w:rPr>
          <w:rFonts w:ascii="Arial" w:eastAsia="Arial"/>
          <w:spacing w:val="35"/>
        </w:rPr>
        <w:t> </w:t>
      </w:r>
      <w:r>
        <w:rPr>
          <w:spacing w:val="-4"/>
        </w:rPr>
        <w:t>淋巴细胞白血病均表</w:t>
      </w:r>
      <w:r>
        <w:rPr>
          <w:spacing w:val="-6"/>
        </w:rPr>
        <w:t>达 </w:t>
      </w:r>
      <w:r>
        <w:rPr>
          <w:rFonts w:ascii="Arial" w:eastAsia="Arial"/>
        </w:rPr>
        <w:t>CD19</w:t>
      </w:r>
      <w:r>
        <w:rPr>
          <w:rFonts w:ascii="Arial" w:eastAsia="Arial"/>
          <w:spacing w:val="-16"/>
        </w:rPr>
        <w:t> </w:t>
      </w:r>
      <w:r>
        <w:rPr>
          <w:spacing w:val="-1"/>
        </w:rPr>
        <w:t>抗原。由于 </w:t>
      </w:r>
      <w:r>
        <w:rPr>
          <w:rFonts w:ascii="Arial" w:eastAsia="Arial"/>
        </w:rPr>
        <w:t>CD19</w:t>
      </w:r>
      <w:r>
        <w:rPr>
          <w:rFonts w:ascii="Arial" w:eastAsia="Arial"/>
          <w:spacing w:val="-17"/>
        </w:rPr>
        <w:t> </w:t>
      </w:r>
      <w:r>
        <w:rPr>
          <w:spacing w:val="-2"/>
        </w:rPr>
        <w:t>的表达程度高于 </w:t>
      </w:r>
      <w:r>
        <w:rPr>
          <w:rFonts w:ascii="Arial" w:eastAsia="Arial"/>
        </w:rPr>
        <w:t>CD20</w:t>
      </w:r>
      <w:r>
        <w:rPr/>
        <w:t>、</w:t>
      </w:r>
      <w:r>
        <w:rPr>
          <w:rFonts w:ascii="Arial" w:eastAsia="Arial"/>
        </w:rPr>
        <w:t>CD22</w:t>
      </w:r>
      <w:r>
        <w:rPr>
          <w:rFonts w:ascii="Arial" w:eastAsia="Arial"/>
          <w:spacing w:val="-17"/>
        </w:rPr>
        <w:t> </w:t>
      </w:r>
      <w:r>
        <w:rPr>
          <w:spacing w:val="-2"/>
        </w:rPr>
        <w:t>等，因此 </w:t>
      </w:r>
      <w:r>
        <w:rPr>
          <w:rFonts w:ascii="Arial" w:eastAsia="Arial"/>
        </w:rPr>
        <w:t>CD19</w:t>
      </w:r>
      <w:r>
        <w:rPr>
          <w:rFonts w:ascii="Arial" w:eastAsia="Arial"/>
          <w:spacing w:val="-17"/>
        </w:rPr>
        <w:t> </w:t>
      </w:r>
      <w:r>
        <w:rPr>
          <w:spacing w:val="14"/>
        </w:rPr>
        <w:t>是治疗</w:t>
      </w:r>
      <w:r>
        <w:rPr>
          <w:rFonts w:ascii="Arial" w:eastAsia="Arial"/>
        </w:rPr>
        <w:t>B-ALL</w:t>
      </w:r>
      <w:r>
        <w:rPr>
          <w:rFonts w:ascii="Arial" w:eastAsia="Arial"/>
          <w:spacing w:val="-16"/>
        </w:rPr>
        <w:t> </w:t>
      </w:r>
      <w:r>
        <w:rPr/>
        <w:t>和</w:t>
      </w:r>
      <w:r>
        <w:rPr>
          <w:rFonts w:ascii="Arial" w:eastAsia="Arial"/>
        </w:rPr>
        <w:t>NHL</w:t>
      </w:r>
      <w:r>
        <w:rPr>
          <w:rFonts w:ascii="Arial" w:eastAsia="Arial"/>
          <w:spacing w:val="4"/>
        </w:rPr>
        <w:t> </w:t>
      </w:r>
      <w:r>
        <w:rPr>
          <w:spacing w:val="1"/>
        </w:rPr>
        <w:t>的一个首选靶点。然而 </w:t>
      </w:r>
      <w:r>
        <w:rPr>
          <w:rFonts w:ascii="Arial" w:eastAsia="Arial"/>
        </w:rPr>
        <w:t>CD19</w:t>
      </w:r>
      <w:r>
        <w:rPr>
          <w:rFonts w:ascii="Arial" w:eastAsia="Arial"/>
          <w:spacing w:val="5"/>
        </w:rPr>
        <w:t> </w:t>
      </w:r>
      <w:r>
        <w:rPr>
          <w:spacing w:val="-1"/>
        </w:rPr>
        <w:t>特异性不强，靶向 </w:t>
      </w:r>
      <w:r>
        <w:rPr>
          <w:rFonts w:ascii="Arial" w:eastAsia="Arial"/>
          <w:spacing w:val="-3"/>
        </w:rPr>
        <w:t>CD19</w:t>
      </w:r>
      <w:r>
        <w:rPr>
          <w:rFonts w:ascii="Arial" w:eastAsia="Arial"/>
          <w:spacing w:val="5"/>
        </w:rPr>
        <w:t> </w:t>
      </w:r>
      <w:r>
        <w:rPr>
          <w:spacing w:val="10"/>
        </w:rPr>
        <w:t>的 </w:t>
      </w:r>
      <w:r>
        <w:rPr>
          <w:rFonts w:ascii="Arial" w:eastAsia="Arial"/>
        </w:rPr>
        <w:t>CAR-T</w:t>
      </w:r>
      <w:r>
        <w:rPr>
          <w:rFonts w:ascii="Arial" w:eastAsia="Arial"/>
          <w:spacing w:val="8"/>
        </w:rPr>
        <w:t> </w:t>
      </w:r>
      <w:r>
        <w:rPr>
          <w:spacing w:val="2"/>
        </w:rPr>
        <w:t>也会清除正常 </w:t>
      </w:r>
      <w:r>
        <w:rPr>
          <w:rFonts w:ascii="Arial" w:eastAsia="Arial"/>
        </w:rPr>
        <w:t>B</w:t>
      </w:r>
      <w:r>
        <w:rPr>
          <w:rFonts w:ascii="Arial" w:eastAsia="Arial"/>
          <w:spacing w:val="6"/>
        </w:rPr>
        <w:t> </w:t>
      </w:r>
      <w:r>
        <w:rPr/>
        <w:t>细</w:t>
      </w:r>
      <w:r>
        <w:rPr>
          <w:spacing w:val="4"/>
        </w:rPr>
        <w:t>胞，导致部分接受</w:t>
      </w:r>
      <w:r>
        <w:rPr>
          <w:rFonts w:ascii="Arial" w:eastAsia="Arial"/>
        </w:rPr>
        <w:t>CD19 CAR-T</w:t>
      </w:r>
      <w:r>
        <w:rPr>
          <w:rFonts w:ascii="Arial" w:eastAsia="Arial"/>
          <w:spacing w:val="-10"/>
        </w:rPr>
        <w:t> </w:t>
      </w:r>
      <w:r>
        <w:rPr>
          <w:spacing w:val="4"/>
        </w:rPr>
        <w:t>治疗的患者出现</w:t>
      </w:r>
      <w:r>
        <w:rPr>
          <w:rFonts w:ascii="Arial" w:eastAsia="Arial"/>
        </w:rPr>
        <w:t>B</w:t>
      </w:r>
      <w:r>
        <w:rPr>
          <w:rFonts w:ascii="Arial" w:eastAsia="Arial"/>
          <w:spacing w:val="-13"/>
        </w:rPr>
        <w:t> </w:t>
      </w:r>
      <w:r>
        <w:rPr>
          <w:spacing w:val="-3"/>
        </w:rPr>
        <w:t>细胞发育不全。</w:t>
      </w:r>
    </w:p>
    <w:p>
      <w:pPr>
        <w:pStyle w:val="BodyText"/>
        <w:spacing w:line="288" w:lineRule="auto" w:before="118"/>
        <w:ind w:right="2810"/>
        <w:jc w:val="both"/>
      </w:pPr>
      <w:r>
        <w:rPr>
          <w:rFonts w:ascii="Arial" w:eastAsia="Arial"/>
        </w:rPr>
        <w:t>B </w:t>
      </w:r>
      <w:r>
        <w:rPr/>
        <w:t>细胞成熟抗原 </w:t>
      </w:r>
      <w:r>
        <w:rPr>
          <w:rFonts w:ascii="Arial" w:eastAsia="Arial"/>
        </w:rPr>
        <w:t>(BCMA) </w:t>
      </w:r>
      <w:r>
        <w:rPr/>
        <w:t>是一种跨膜糖蛋白，通过结合</w:t>
      </w:r>
      <w:r>
        <w:rPr>
          <w:rFonts w:ascii="Arial" w:eastAsia="Arial"/>
        </w:rPr>
        <w:t>B </w:t>
      </w:r>
      <w:r>
        <w:rPr/>
        <w:t>细胞激活因子</w:t>
      </w:r>
      <w:r>
        <w:rPr>
          <w:rFonts w:ascii="Arial" w:eastAsia="Arial"/>
        </w:rPr>
        <w:t>(BAFF)</w:t>
      </w:r>
      <w:r>
        <w:rPr/>
        <w:t>，可激活大量生长及存活信号；通过结合增殖诱导配体 </w:t>
      </w:r>
      <w:r>
        <w:rPr>
          <w:rFonts w:ascii="Arial" w:eastAsia="Arial"/>
        </w:rPr>
        <w:t>(APRIL)</w:t>
      </w:r>
      <w:r>
        <w:rPr/>
        <w:t>，可上调免疫检查点表达水平，制造免疫抑制的肿瘤微环境。</w:t>
      </w:r>
      <w:r>
        <w:rPr>
          <w:rFonts w:ascii="Arial" w:eastAsia="Arial"/>
        </w:rPr>
        <w:t>BCMA </w:t>
      </w:r>
      <w:r>
        <w:rPr/>
        <w:t>主要表达于终末分化的 </w:t>
      </w:r>
      <w:r>
        <w:rPr>
          <w:rFonts w:ascii="Arial" w:eastAsia="Arial"/>
        </w:rPr>
        <w:t>B </w:t>
      </w:r>
      <w:r>
        <w:rPr/>
        <w:t>细胞，在初始 </w:t>
      </w:r>
      <w:r>
        <w:rPr>
          <w:rFonts w:ascii="Arial" w:eastAsia="Arial"/>
        </w:rPr>
        <w:t>B </w:t>
      </w:r>
      <w:r>
        <w:rPr/>
        <w:t>细胞、造血干细胞和正常组织中不表达，因此特异性良好。由于 </w:t>
      </w:r>
      <w:r>
        <w:rPr>
          <w:rFonts w:ascii="Arial" w:eastAsia="Arial"/>
        </w:rPr>
        <w:t>BCMA </w:t>
      </w:r>
      <w:r>
        <w:rPr/>
        <w:t>在 </w:t>
      </w:r>
      <w:r>
        <w:rPr>
          <w:rFonts w:ascii="Arial" w:eastAsia="Arial"/>
        </w:rPr>
        <w:t>MM </w:t>
      </w:r>
      <w:r>
        <w:rPr/>
        <w:t>多阶段表达水平相似，因此在整个疾病过程中都是有效的治疗靶点。</w:t>
      </w:r>
    </w:p>
    <w:p>
      <w:pPr>
        <w:pStyle w:val="Heading3"/>
        <w:spacing w:after="4"/>
        <w:jc w:val="left"/>
      </w:pPr>
      <w:r>
        <w:rPr/>
        <w:t>图 </w:t>
      </w:r>
      <w:r>
        <w:rPr>
          <w:rFonts w:ascii="Arial" w:eastAsia="Arial"/>
        </w:rPr>
        <w:t>16: B </w:t>
      </w:r>
      <w:r>
        <w:rPr/>
        <w:t>细胞发育过程及靶点表达</w:t>
      </w:r>
    </w:p>
    <w:p>
      <w:pPr>
        <w:pStyle w:val="BodyText"/>
        <w:ind w:left="181"/>
        <w:rPr>
          <w:rFonts w:ascii="Microsoft JhengHei UI"/>
        </w:rPr>
      </w:pPr>
      <w:r>
        <w:rPr>
          <w:rFonts w:ascii="Microsoft JhengHei UI"/>
        </w:rPr>
        <w:pict>
          <v:group style="width:400.05pt;height:223.55pt;mso-position-horizontal-relative:char;mso-position-vertical-relative:line" coordorigin="0,0" coordsize="8001,4471">
            <v:shape style="position:absolute;left:0;top:0;width:8001;height:4471" coordorigin="0,0" coordsize="8001,4471" path="m8000,4441l0,4441,0,4470,8000,4470,8000,4441xm8000,0l0,0,0,29,8000,29,8000,0xe" filled="true" fillcolor="#000000" stroked="false">
              <v:path arrowok="t"/>
              <v:fill type="solid"/>
            </v:shape>
            <v:shape style="position:absolute;left:1536;top:26;width:5037;height:4388" type="#_x0000_t75" stroked="false">
              <v:imagedata r:id="rId24" o:title=""/>
            </v:shape>
          </v:group>
        </w:pict>
      </w:r>
      <w:r>
        <w:rPr>
          <w:rFonts w:ascii="Microsoft JhengHei UI"/>
        </w:rPr>
      </w:r>
    </w:p>
    <w:p>
      <w:pPr>
        <w:spacing w:line="202" w:lineRule="exact" w:before="0"/>
        <w:ind w:left="210" w:right="0" w:firstLine="0"/>
        <w:jc w:val="left"/>
        <w:rPr>
          <w:sz w:val="16"/>
        </w:rPr>
      </w:pPr>
      <w:r>
        <w:rPr>
          <w:sz w:val="16"/>
        </w:rPr>
        <w:t>资料来源：</w:t>
      </w:r>
      <w:r>
        <w:rPr>
          <w:rFonts w:ascii="Arial" w:eastAsia="Arial"/>
          <w:sz w:val="16"/>
        </w:rPr>
        <w:t>Milone M.C. et al, Nature Cancer 2021, </w:t>
      </w:r>
      <w:r>
        <w:rPr>
          <w:sz w:val="16"/>
        </w:rPr>
        <w:t>招银国际证券</w:t>
      </w:r>
    </w:p>
    <w:p>
      <w:pPr>
        <w:pStyle w:val="BodyText"/>
        <w:spacing w:before="6"/>
        <w:ind w:left="0"/>
        <w:rPr>
          <w:sz w:val="21"/>
        </w:rPr>
      </w:pPr>
    </w:p>
    <w:p>
      <w:pPr>
        <w:pStyle w:val="BodyText"/>
        <w:spacing w:line="285" w:lineRule="auto" w:before="99"/>
        <w:ind w:right="2810"/>
        <w:jc w:val="both"/>
      </w:pPr>
      <w:r>
        <w:rPr>
          <w:rFonts w:ascii="Arial" w:eastAsia="Arial"/>
        </w:rPr>
        <w:t>NHL </w:t>
      </w:r>
      <w:r>
        <w:rPr/>
        <w:t>亚型众多，主要分为侵袭性 </w:t>
      </w:r>
      <w:r>
        <w:rPr>
          <w:rFonts w:ascii="Arial" w:eastAsia="Arial"/>
        </w:rPr>
        <w:t>(aNHL) </w:t>
      </w:r>
      <w:r>
        <w:rPr/>
        <w:t>和惰性 </w:t>
      </w:r>
      <w:r>
        <w:rPr>
          <w:rFonts w:ascii="Arial" w:eastAsia="Arial"/>
        </w:rPr>
        <w:t>(iNHL)</w:t>
      </w:r>
      <w:r>
        <w:rPr/>
        <w:t>，</w:t>
      </w:r>
      <w:r>
        <w:rPr>
          <w:rFonts w:ascii="Arial" w:eastAsia="Arial"/>
        </w:rPr>
        <w:t>aNHL </w:t>
      </w:r>
      <w:r>
        <w:rPr/>
        <w:t>包括大 </w:t>
      </w:r>
      <w:r>
        <w:rPr>
          <w:rFonts w:ascii="Arial" w:eastAsia="Arial"/>
        </w:rPr>
        <w:t>B </w:t>
      </w:r>
      <w:r>
        <w:rPr/>
        <w:t>细胞淋巴瘤</w:t>
      </w:r>
      <w:r>
        <w:rPr>
          <w:rFonts w:ascii="Arial" w:eastAsia="Arial"/>
        </w:rPr>
        <w:t>(LBCL)</w:t>
      </w:r>
      <w:r>
        <w:rPr/>
        <w:t>、滤泡性淋巴瘤 </w:t>
      </w:r>
      <w:r>
        <w:rPr>
          <w:rFonts w:ascii="Arial" w:eastAsia="Arial"/>
        </w:rPr>
        <w:t>(FL) III </w:t>
      </w:r>
      <w:r>
        <w:rPr/>
        <w:t>级、套细胞淋巴瘤 </w:t>
      </w:r>
      <w:r>
        <w:rPr>
          <w:rFonts w:ascii="Arial" w:eastAsia="Arial"/>
        </w:rPr>
        <w:t>(MCL) </w:t>
      </w:r>
      <w:r>
        <w:rPr/>
        <w:t>等，恶性程度高、生长迅速； </w:t>
      </w:r>
      <w:r>
        <w:rPr>
          <w:rFonts w:ascii="Arial" w:eastAsia="Arial"/>
        </w:rPr>
        <w:t>iNHL </w:t>
      </w:r>
      <w:r>
        <w:rPr/>
        <w:t>包括</w:t>
      </w:r>
      <w:r>
        <w:rPr>
          <w:rFonts w:ascii="Arial" w:eastAsia="Arial"/>
        </w:rPr>
        <w:t>FL I-II </w:t>
      </w:r>
      <w:r>
        <w:rPr/>
        <w:t>级、边缘区淋巴瘤 </w:t>
      </w:r>
      <w:r>
        <w:rPr>
          <w:rFonts w:ascii="Arial" w:eastAsia="Arial"/>
        </w:rPr>
        <w:t>(MZL)</w:t>
      </w:r>
      <w:r>
        <w:rPr/>
        <w:t>等，病程较长、发展缓慢。</w:t>
      </w:r>
    </w:p>
    <w:p>
      <w:pPr>
        <w:pStyle w:val="BodyText"/>
        <w:spacing w:line="288" w:lineRule="auto" w:before="125"/>
        <w:ind w:right="2809"/>
        <w:jc w:val="both"/>
      </w:pPr>
      <w:r>
        <w:rPr/>
        <w:t>中美在血液瘤各亚型上发病率的区别较大。中国</w:t>
      </w:r>
      <w:r>
        <w:rPr>
          <w:rFonts w:ascii="Arial" w:eastAsia="Arial"/>
        </w:rPr>
        <w:t>LBCL </w:t>
      </w:r>
      <w:r>
        <w:rPr/>
        <w:t>发病率约占 </w:t>
      </w:r>
      <w:r>
        <w:rPr>
          <w:rFonts w:ascii="Arial" w:eastAsia="Arial"/>
        </w:rPr>
        <w:t>NHL </w:t>
      </w:r>
      <w:r>
        <w:rPr/>
        <w:t>的 </w:t>
      </w:r>
      <w:r>
        <w:rPr>
          <w:rFonts w:ascii="Arial" w:eastAsia="Arial"/>
        </w:rPr>
        <w:t>41%</w:t>
      </w:r>
      <w:r>
        <w:rPr/>
        <w:t>，相比之下美国 </w:t>
      </w:r>
      <w:r>
        <w:rPr>
          <w:rFonts w:ascii="Arial" w:eastAsia="Arial"/>
        </w:rPr>
        <w:t>LBCL </w:t>
      </w:r>
      <w:r>
        <w:rPr/>
        <w:t>发病率约占 </w:t>
      </w:r>
      <w:r>
        <w:rPr>
          <w:rFonts w:ascii="Arial" w:eastAsia="Arial"/>
        </w:rPr>
        <w:t>NHL </w:t>
      </w:r>
      <w:r>
        <w:rPr/>
        <w:t>的 </w:t>
      </w:r>
      <w:r>
        <w:rPr>
          <w:rFonts w:ascii="Arial" w:eastAsia="Arial"/>
        </w:rPr>
        <w:t>23%</w:t>
      </w:r>
      <w:r>
        <w:rPr/>
        <w:t>。中国急性白血病更多见，尤其急性髓细胞白血病</w:t>
      </w:r>
      <w:r>
        <w:rPr>
          <w:rFonts w:ascii="Arial" w:eastAsia="Arial"/>
        </w:rPr>
        <w:t>(AML) </w:t>
      </w:r>
      <w:r>
        <w:rPr/>
        <w:t>最常见。美国慢性淋巴细胞白血病 </w:t>
      </w:r>
      <w:r>
        <w:rPr>
          <w:rFonts w:ascii="Arial" w:eastAsia="Arial"/>
        </w:rPr>
        <w:t>(CLL/SLL) </w:t>
      </w:r>
      <w:r>
        <w:rPr/>
        <w:t>发病率远高于中国，</w:t>
      </w:r>
      <w:r>
        <w:rPr>
          <w:rFonts w:ascii="Arial" w:eastAsia="Arial"/>
        </w:rPr>
        <w:t>B-ALL </w:t>
      </w:r>
      <w:r>
        <w:rPr/>
        <w:t>发病率远低于中国。</w:t>
      </w:r>
    </w:p>
    <w:p>
      <w:pPr>
        <w:spacing w:after="0" w:line="288" w:lineRule="auto"/>
        <w:jc w:val="both"/>
        <w:sectPr>
          <w:pgSz w:w="11910" w:h="16840"/>
          <w:pgMar w:header="682" w:footer="358" w:top="1380" w:bottom="540" w:left="640" w:right="300"/>
        </w:sectPr>
      </w:pPr>
    </w:p>
    <w:p>
      <w:pPr>
        <w:pStyle w:val="BodyText"/>
        <w:spacing w:before="3"/>
        <w:ind w:left="0"/>
        <w:rPr>
          <w:sz w:val="12"/>
        </w:rPr>
      </w:pPr>
    </w:p>
    <w:p>
      <w:pPr>
        <w:spacing w:line="343" w:lineRule="auto" w:before="45"/>
        <w:ind w:left="210" w:right="3265" w:firstLine="0"/>
        <w:jc w:val="left"/>
        <w:rPr>
          <w:sz w:val="20"/>
        </w:rPr>
      </w:pPr>
      <w:r>
        <w:rPr>
          <w:rFonts w:ascii="Microsoft JhengHei UI" w:eastAsia="Microsoft JhengHei UI" w:hint="eastAsia"/>
          <w:b/>
          <w:sz w:val="20"/>
        </w:rPr>
        <w:t>针对 </w:t>
      </w:r>
      <w:r>
        <w:rPr>
          <w:rFonts w:ascii="Arial" w:eastAsia="Arial"/>
          <w:b/>
          <w:sz w:val="20"/>
        </w:rPr>
        <w:t>NHL/ B-ALL </w:t>
      </w:r>
      <w:r>
        <w:rPr>
          <w:rFonts w:ascii="Microsoft JhengHei UI" w:eastAsia="Microsoft JhengHei UI" w:hint="eastAsia"/>
          <w:b/>
          <w:sz w:val="20"/>
        </w:rPr>
        <w:t>适应症，国内</w:t>
      </w:r>
      <w:r>
        <w:rPr>
          <w:rFonts w:ascii="Arial" w:eastAsia="Arial"/>
          <w:b/>
          <w:sz w:val="20"/>
        </w:rPr>
        <w:t>CD19 CAR-T </w:t>
      </w:r>
      <w:r>
        <w:rPr>
          <w:rFonts w:ascii="Microsoft JhengHei UI" w:eastAsia="Microsoft JhengHei UI" w:hint="eastAsia"/>
          <w:b/>
          <w:sz w:val="20"/>
        </w:rPr>
        <w:t>市场规模有望在 </w:t>
      </w:r>
      <w:r>
        <w:rPr>
          <w:rFonts w:ascii="Arial" w:eastAsia="Arial"/>
          <w:b/>
          <w:sz w:val="20"/>
        </w:rPr>
        <w:t>2030 </w:t>
      </w:r>
      <w:r>
        <w:rPr>
          <w:rFonts w:ascii="Microsoft JhengHei UI" w:eastAsia="Microsoft JhengHei UI" w:hint="eastAsia"/>
          <w:b/>
          <w:sz w:val="20"/>
        </w:rPr>
        <w:t>年突破 </w:t>
      </w:r>
      <w:r>
        <w:rPr>
          <w:rFonts w:ascii="Arial" w:eastAsia="Arial"/>
          <w:b/>
          <w:sz w:val="20"/>
        </w:rPr>
        <w:t>123 </w:t>
      </w:r>
      <w:r>
        <w:rPr>
          <w:rFonts w:ascii="Microsoft JhengHei UI" w:eastAsia="Microsoft JhengHei UI" w:hint="eastAsia"/>
          <w:b/>
          <w:sz w:val="20"/>
        </w:rPr>
        <w:t>亿元</w:t>
      </w:r>
      <w:r>
        <w:rPr>
          <w:sz w:val="20"/>
        </w:rPr>
        <w:t>我们对</w:t>
      </w:r>
      <w:r>
        <w:rPr>
          <w:rFonts w:ascii="Arial" w:eastAsia="Arial"/>
          <w:sz w:val="20"/>
        </w:rPr>
        <w:t>CD19 CAR-T </w:t>
      </w:r>
      <w:r>
        <w:rPr>
          <w:sz w:val="20"/>
        </w:rPr>
        <w:t>市场规模的测算基于如下数据与假设：</w:t>
      </w:r>
    </w:p>
    <w:p>
      <w:pPr>
        <w:pStyle w:val="ListParagraph"/>
        <w:numPr>
          <w:ilvl w:val="0"/>
          <w:numId w:val="2"/>
        </w:numPr>
        <w:tabs>
          <w:tab w:pos="571" w:val="left" w:leader="none"/>
        </w:tabs>
        <w:spacing w:line="273" w:lineRule="auto" w:before="4" w:after="0"/>
        <w:ind w:left="570" w:right="2814" w:hanging="360"/>
        <w:jc w:val="both"/>
        <w:rPr>
          <w:sz w:val="20"/>
        </w:rPr>
      </w:pPr>
      <w:r>
        <w:rPr>
          <w:rFonts w:ascii="Microsoft JhengHei UI" w:eastAsia="Microsoft JhengHei UI" w:hint="eastAsia"/>
          <w:b/>
          <w:sz w:val="20"/>
        </w:rPr>
        <w:t>新增</w:t>
      </w:r>
      <w:r>
        <w:rPr>
          <w:rFonts w:ascii="Arial" w:eastAsia="Arial"/>
          <w:b/>
          <w:sz w:val="20"/>
        </w:rPr>
        <w:t>/</w:t>
      </w:r>
      <w:r>
        <w:rPr>
          <w:rFonts w:ascii="Arial" w:eastAsia="Arial"/>
          <w:b/>
          <w:spacing w:val="14"/>
          <w:sz w:val="20"/>
        </w:rPr>
        <w:t> </w:t>
      </w:r>
      <w:r>
        <w:rPr>
          <w:rFonts w:ascii="Microsoft JhengHei UI" w:eastAsia="Microsoft JhengHei UI" w:hint="eastAsia"/>
          <w:b/>
          <w:sz w:val="20"/>
        </w:rPr>
        <w:t>存量发病率</w:t>
      </w:r>
      <w:r>
        <w:rPr>
          <w:spacing w:val="14"/>
          <w:sz w:val="20"/>
        </w:rPr>
        <w:t>：参考</w:t>
      </w:r>
      <w:r>
        <w:rPr>
          <w:rFonts w:ascii="Arial" w:eastAsia="Arial"/>
          <w:sz w:val="20"/>
        </w:rPr>
        <w:t>GLOBOCAN</w:t>
      </w:r>
      <w:r>
        <w:rPr>
          <w:rFonts w:ascii="Arial" w:eastAsia="Arial"/>
          <w:spacing w:val="20"/>
          <w:sz w:val="20"/>
        </w:rPr>
        <w:t> </w:t>
      </w:r>
      <w:r>
        <w:rPr>
          <w:rFonts w:ascii="Arial" w:eastAsia="Arial"/>
          <w:sz w:val="20"/>
        </w:rPr>
        <w:t>2020</w:t>
      </w:r>
      <w:r>
        <w:rPr>
          <w:rFonts w:ascii="Arial" w:eastAsia="Arial"/>
          <w:spacing w:val="-9"/>
          <w:sz w:val="20"/>
        </w:rPr>
        <w:t> </w:t>
      </w:r>
      <w:r>
        <w:rPr>
          <w:spacing w:val="3"/>
          <w:sz w:val="20"/>
        </w:rPr>
        <w:t>的数据， </w:t>
      </w:r>
      <w:r>
        <w:rPr>
          <w:rFonts w:ascii="Arial" w:eastAsia="Arial"/>
          <w:spacing w:val="-3"/>
          <w:sz w:val="20"/>
        </w:rPr>
        <w:t>2020</w:t>
      </w:r>
      <w:r>
        <w:rPr>
          <w:rFonts w:ascii="Arial" w:eastAsia="Arial"/>
          <w:spacing w:val="-10"/>
          <w:sz w:val="20"/>
        </w:rPr>
        <w:t> </w:t>
      </w:r>
      <w:r>
        <w:rPr>
          <w:sz w:val="20"/>
        </w:rPr>
        <w:t>年 </w:t>
      </w:r>
      <w:r>
        <w:rPr>
          <w:rFonts w:ascii="Arial" w:eastAsia="Arial"/>
          <w:sz w:val="20"/>
        </w:rPr>
        <w:t>NHL</w:t>
      </w:r>
      <w:r>
        <w:rPr>
          <w:rFonts w:ascii="Arial" w:eastAsia="Arial"/>
          <w:spacing w:val="-12"/>
          <w:sz w:val="20"/>
        </w:rPr>
        <w:t> </w:t>
      </w:r>
      <w:r>
        <w:rPr>
          <w:sz w:val="20"/>
        </w:rPr>
        <w:t>的新增患者数</w:t>
      </w:r>
      <w:r>
        <w:rPr>
          <w:rFonts w:ascii="Arial" w:eastAsia="Arial"/>
          <w:sz w:val="20"/>
        </w:rPr>
        <w:t>/</w:t>
      </w:r>
      <w:r>
        <w:rPr>
          <w:spacing w:val="-5"/>
          <w:sz w:val="20"/>
        </w:rPr>
        <w:t>年死</w:t>
      </w:r>
      <w:r>
        <w:rPr>
          <w:sz w:val="20"/>
        </w:rPr>
        <w:t>亡人数</w:t>
      </w:r>
      <w:r>
        <w:rPr>
          <w:rFonts w:ascii="Arial" w:eastAsia="Arial"/>
          <w:spacing w:val="-4"/>
          <w:sz w:val="20"/>
        </w:rPr>
        <w:t>/</w:t>
      </w:r>
      <w:r>
        <w:rPr>
          <w:spacing w:val="1"/>
          <w:sz w:val="20"/>
        </w:rPr>
        <w:t>五年患病数分别为 </w:t>
      </w:r>
      <w:r>
        <w:rPr>
          <w:rFonts w:ascii="Arial" w:eastAsia="Arial"/>
          <w:sz w:val="20"/>
        </w:rPr>
        <w:t>9.28</w:t>
      </w:r>
      <w:r>
        <w:rPr>
          <w:rFonts w:ascii="Arial" w:eastAsia="Arial"/>
          <w:spacing w:val="19"/>
          <w:sz w:val="20"/>
        </w:rPr>
        <w:t> </w:t>
      </w:r>
      <w:r>
        <w:rPr>
          <w:spacing w:val="-3"/>
          <w:sz w:val="20"/>
        </w:rPr>
        <w:t>万人</w:t>
      </w:r>
      <w:r>
        <w:rPr>
          <w:rFonts w:ascii="Arial" w:eastAsia="Arial"/>
          <w:sz w:val="20"/>
        </w:rPr>
        <w:t>/5.44</w:t>
      </w:r>
      <w:r>
        <w:rPr>
          <w:rFonts w:ascii="Arial" w:eastAsia="Arial"/>
          <w:spacing w:val="21"/>
          <w:sz w:val="20"/>
        </w:rPr>
        <w:t> </w:t>
      </w:r>
      <w:r>
        <w:rPr>
          <w:spacing w:val="-3"/>
          <w:sz w:val="20"/>
        </w:rPr>
        <w:t>万人</w:t>
      </w:r>
      <w:r>
        <w:rPr>
          <w:rFonts w:ascii="Arial" w:eastAsia="Arial"/>
          <w:sz w:val="20"/>
        </w:rPr>
        <w:t>/26.06</w:t>
      </w:r>
      <w:r>
        <w:rPr>
          <w:rFonts w:ascii="Arial" w:eastAsia="Arial"/>
          <w:spacing w:val="14"/>
          <w:sz w:val="20"/>
        </w:rPr>
        <w:t> </w:t>
      </w:r>
      <w:r>
        <w:rPr>
          <w:spacing w:val="-4"/>
          <w:sz w:val="20"/>
        </w:rPr>
        <w:t>万人；白血病的新增患者数</w:t>
      </w:r>
      <w:r>
        <w:rPr>
          <w:rFonts w:ascii="Arial" w:eastAsia="Arial"/>
          <w:sz w:val="20"/>
        </w:rPr>
        <w:t>/</w:t>
      </w:r>
      <w:r>
        <w:rPr>
          <w:sz w:val="20"/>
        </w:rPr>
        <w:t>年死亡人数</w:t>
      </w:r>
      <w:r>
        <w:rPr>
          <w:rFonts w:ascii="Arial" w:eastAsia="Arial"/>
          <w:spacing w:val="-4"/>
          <w:sz w:val="20"/>
        </w:rPr>
        <w:t>/</w:t>
      </w:r>
      <w:r>
        <w:rPr>
          <w:spacing w:val="2"/>
          <w:sz w:val="20"/>
        </w:rPr>
        <w:t>五年患病数分别为 </w:t>
      </w:r>
      <w:r>
        <w:rPr>
          <w:rFonts w:ascii="Arial" w:eastAsia="Arial"/>
          <w:sz w:val="20"/>
        </w:rPr>
        <w:t>8.54</w:t>
      </w:r>
      <w:r>
        <w:rPr>
          <w:rFonts w:ascii="Arial" w:eastAsia="Arial"/>
          <w:spacing w:val="34"/>
          <w:sz w:val="20"/>
        </w:rPr>
        <w:t> </w:t>
      </w:r>
      <w:r>
        <w:rPr>
          <w:spacing w:val="-3"/>
          <w:sz w:val="20"/>
        </w:rPr>
        <w:t>万人</w:t>
      </w:r>
      <w:r>
        <w:rPr>
          <w:rFonts w:ascii="Arial" w:eastAsia="Arial"/>
          <w:sz w:val="20"/>
        </w:rPr>
        <w:t>/6.17</w:t>
      </w:r>
      <w:r>
        <w:rPr>
          <w:rFonts w:ascii="Arial" w:eastAsia="Arial"/>
          <w:spacing w:val="35"/>
          <w:sz w:val="20"/>
        </w:rPr>
        <w:t> </w:t>
      </w:r>
      <w:r>
        <w:rPr>
          <w:spacing w:val="-3"/>
          <w:sz w:val="20"/>
        </w:rPr>
        <w:t>万人</w:t>
      </w:r>
      <w:r>
        <w:rPr>
          <w:rFonts w:ascii="Arial" w:eastAsia="Arial"/>
          <w:sz w:val="20"/>
        </w:rPr>
        <w:t>/24.18</w:t>
      </w:r>
      <w:r>
        <w:rPr>
          <w:rFonts w:ascii="Arial" w:eastAsia="Arial"/>
          <w:spacing w:val="28"/>
          <w:sz w:val="20"/>
        </w:rPr>
        <w:t> </w:t>
      </w:r>
      <w:r>
        <w:rPr>
          <w:spacing w:val="-5"/>
          <w:sz w:val="20"/>
        </w:rPr>
        <w:t>万人。参考国家癌症中心发表的</w:t>
      </w:r>
    </w:p>
    <w:p>
      <w:pPr>
        <w:pStyle w:val="BodyText"/>
        <w:spacing w:line="288" w:lineRule="auto" w:before="14"/>
        <w:ind w:left="570" w:right="2814"/>
        <w:jc w:val="both"/>
      </w:pPr>
      <w:r>
        <w:rPr/>
        <w:t>《 </w:t>
      </w:r>
      <w:r>
        <w:rPr>
          <w:rFonts w:ascii="Arial" w:eastAsia="Arial"/>
        </w:rPr>
        <w:t>Cancer statistics in China and United States, 2022: profiles, trends, and determinants</w:t>
      </w:r>
      <w:r>
        <w:rPr>
          <w:spacing w:val="1"/>
        </w:rPr>
        <w:t>》，预计 </w:t>
      </w:r>
      <w:r>
        <w:rPr>
          <w:rFonts w:ascii="Arial" w:eastAsia="Arial"/>
        </w:rPr>
        <w:t>2022 </w:t>
      </w:r>
      <w:r>
        <w:rPr>
          <w:spacing w:val="7"/>
        </w:rPr>
        <w:t>年 </w:t>
      </w:r>
      <w:r>
        <w:rPr>
          <w:rFonts w:ascii="Arial" w:eastAsia="Arial"/>
        </w:rPr>
        <w:t>NHL </w:t>
      </w:r>
      <w:r>
        <w:rPr>
          <w:spacing w:val="-1"/>
        </w:rPr>
        <w:t>新增患者数</w:t>
      </w:r>
      <w:r>
        <w:rPr>
          <w:rFonts w:ascii="Arial" w:eastAsia="Arial"/>
        </w:rPr>
        <w:t>/</w:t>
      </w:r>
      <w:r>
        <w:rPr>
          <w:spacing w:val="-2"/>
        </w:rPr>
        <w:t>年死亡人数分别为 </w:t>
      </w:r>
      <w:r>
        <w:rPr>
          <w:rFonts w:ascii="Arial" w:eastAsia="Arial"/>
        </w:rPr>
        <w:t>9.78 </w:t>
      </w:r>
      <w:r>
        <w:rPr>
          <w:spacing w:val="-3"/>
        </w:rPr>
        <w:t>万人</w:t>
      </w:r>
      <w:r>
        <w:rPr>
          <w:rFonts w:ascii="Arial" w:eastAsia="Arial"/>
        </w:rPr>
        <w:t>/ 5.79 </w:t>
      </w:r>
      <w:r>
        <w:rPr/>
        <w:t>万</w:t>
      </w:r>
      <w:r>
        <w:rPr>
          <w:spacing w:val="-4"/>
        </w:rPr>
        <w:t>人；白血病新增患者数</w:t>
      </w:r>
      <w:r>
        <w:rPr>
          <w:rFonts w:ascii="Arial" w:eastAsia="Arial"/>
        </w:rPr>
        <w:t>/</w:t>
      </w:r>
      <w:r>
        <w:rPr/>
        <w:t>年死亡人数分别为 </w:t>
      </w:r>
      <w:r>
        <w:rPr>
          <w:rFonts w:ascii="Arial" w:eastAsia="Arial"/>
        </w:rPr>
        <w:t>8.82 </w:t>
      </w:r>
      <w:r>
        <w:rPr>
          <w:spacing w:val="-3"/>
        </w:rPr>
        <w:t>万人</w:t>
      </w:r>
      <w:r>
        <w:rPr>
          <w:rFonts w:ascii="Arial" w:eastAsia="Arial"/>
        </w:rPr>
        <w:t>/ 6.45 </w:t>
      </w:r>
      <w:r>
        <w:rPr>
          <w:spacing w:val="1"/>
        </w:rPr>
        <w:t>万人。我们假设 </w:t>
      </w:r>
      <w:r>
        <w:rPr>
          <w:rFonts w:ascii="Arial" w:eastAsia="Arial"/>
        </w:rPr>
        <w:t>NHL </w:t>
      </w:r>
      <w:r>
        <w:rPr>
          <w:spacing w:val="-3"/>
        </w:rPr>
        <w:t>新发</w:t>
      </w:r>
      <w:r>
        <w:rPr>
          <w:rFonts w:ascii="Arial" w:eastAsia="Arial"/>
        </w:rPr>
        <w:t>/ </w:t>
      </w:r>
      <w:r>
        <w:rPr>
          <w:spacing w:val="-2"/>
        </w:rPr>
        <w:t>死亡增长率分别为 </w:t>
      </w:r>
      <w:r>
        <w:rPr>
          <w:rFonts w:ascii="Arial" w:eastAsia="Arial"/>
        </w:rPr>
        <w:t>2.6%/ 2.5%</w:t>
      </w:r>
      <w:r>
        <w:rPr>
          <w:spacing w:val="-3"/>
        </w:rPr>
        <w:t>；白血病新发</w:t>
      </w:r>
      <w:r>
        <w:rPr>
          <w:rFonts w:ascii="Arial" w:eastAsia="Arial"/>
          <w:spacing w:val="-4"/>
        </w:rPr>
        <w:t>/</w:t>
      </w:r>
      <w:r>
        <w:rPr>
          <w:spacing w:val="-3"/>
        </w:rPr>
        <w:t>死亡增长率分别为 </w:t>
      </w:r>
      <w:r>
        <w:rPr>
          <w:rFonts w:ascii="Arial" w:eastAsia="Arial"/>
        </w:rPr>
        <w:t>1.7%/ 1.6%</w:t>
      </w:r>
      <w:r>
        <w:rPr>
          <w:spacing w:val="-2"/>
        </w:rPr>
        <w:t>，五年存量</w:t>
      </w:r>
      <w:r>
        <w:rPr>
          <w:spacing w:val="-4"/>
        </w:rPr>
        <w:t>患者数采用该数值</w:t>
      </w:r>
      <w:r>
        <w:rPr>
          <w:rFonts w:ascii="Arial" w:eastAsia="Arial"/>
          <w:spacing w:val="-3"/>
        </w:rPr>
        <w:t>+</w:t>
      </w:r>
      <w:r>
        <w:rPr>
          <w:spacing w:val="-3"/>
        </w:rPr>
        <w:t>当年新增患者数</w:t>
      </w:r>
      <w:r>
        <w:rPr>
          <w:rFonts w:ascii="Arial" w:eastAsia="Arial"/>
        </w:rPr>
        <w:t>-</w:t>
      </w:r>
      <w:r>
        <w:rPr>
          <w:spacing w:val="-3"/>
        </w:rPr>
        <w:t>死亡数得到。</w:t>
      </w:r>
    </w:p>
    <w:p>
      <w:pPr>
        <w:pStyle w:val="ListParagraph"/>
        <w:numPr>
          <w:ilvl w:val="0"/>
          <w:numId w:val="2"/>
        </w:numPr>
        <w:tabs>
          <w:tab w:pos="571" w:val="left" w:leader="none"/>
        </w:tabs>
        <w:spacing w:line="299" w:lineRule="exact" w:before="0" w:after="0"/>
        <w:ind w:left="570" w:right="0" w:hanging="361"/>
        <w:jc w:val="left"/>
        <w:rPr>
          <w:sz w:val="20"/>
        </w:rPr>
      </w:pPr>
      <w:r>
        <w:rPr>
          <w:rFonts w:ascii="Arial" w:eastAsia="Arial"/>
          <w:b/>
          <w:sz w:val="20"/>
        </w:rPr>
        <w:t>NHL/</w:t>
      </w:r>
      <w:r>
        <w:rPr>
          <w:rFonts w:ascii="Arial" w:eastAsia="Arial"/>
          <w:b/>
          <w:spacing w:val="34"/>
          <w:sz w:val="20"/>
        </w:rPr>
        <w:t> </w:t>
      </w:r>
      <w:r>
        <w:rPr>
          <w:rFonts w:ascii="Arial" w:eastAsia="Arial"/>
          <w:b/>
          <w:spacing w:val="-3"/>
          <w:sz w:val="20"/>
        </w:rPr>
        <w:t>B-ALL</w:t>
      </w:r>
      <w:r>
        <w:rPr>
          <w:rFonts w:ascii="Arial" w:eastAsia="Arial"/>
          <w:b/>
          <w:spacing w:val="19"/>
          <w:sz w:val="20"/>
        </w:rPr>
        <w:t> </w:t>
      </w:r>
      <w:r>
        <w:rPr>
          <w:rFonts w:ascii="Microsoft JhengHei UI" w:eastAsia="Microsoft JhengHei UI" w:hint="eastAsia"/>
          <w:b/>
          <w:sz w:val="20"/>
        </w:rPr>
        <w:t>各亚型发病率</w:t>
      </w:r>
      <w:r>
        <w:rPr>
          <w:spacing w:val="4"/>
          <w:sz w:val="20"/>
        </w:rPr>
        <w:t>：中国 </w:t>
      </w:r>
      <w:r>
        <w:rPr>
          <w:rFonts w:ascii="Arial" w:eastAsia="Arial"/>
          <w:sz w:val="20"/>
        </w:rPr>
        <w:t>NHL</w:t>
      </w:r>
      <w:r>
        <w:rPr>
          <w:rFonts w:ascii="Arial" w:eastAsia="Arial"/>
          <w:spacing w:val="15"/>
          <w:sz w:val="20"/>
        </w:rPr>
        <w:t> </w:t>
      </w:r>
      <w:r>
        <w:rPr>
          <w:spacing w:val="-5"/>
          <w:sz w:val="20"/>
        </w:rPr>
        <w:t>各亚型发病占比参考弗若斯特沙利文的数据，</w:t>
      </w:r>
    </w:p>
    <w:p>
      <w:pPr>
        <w:pStyle w:val="BodyText"/>
        <w:spacing w:line="285" w:lineRule="auto" w:before="35"/>
        <w:ind w:left="570" w:right="2810"/>
        <w:jc w:val="both"/>
      </w:pPr>
      <w:r>
        <w:rPr>
          <w:rFonts w:ascii="Arial" w:eastAsia="Arial"/>
        </w:rPr>
        <w:t>LBCL </w:t>
      </w:r>
      <w:r>
        <w:rPr/>
        <w:t>约占</w:t>
      </w:r>
      <w:r>
        <w:rPr>
          <w:rFonts w:ascii="Arial" w:eastAsia="Arial"/>
        </w:rPr>
        <w:t>41.0%</w:t>
      </w:r>
      <w:r>
        <w:rPr/>
        <w:t>，</w:t>
      </w:r>
      <w:r>
        <w:rPr>
          <w:rFonts w:ascii="Arial" w:eastAsia="Arial"/>
        </w:rPr>
        <w:t>MZL/FL </w:t>
      </w:r>
      <w:r>
        <w:rPr/>
        <w:t>约占</w:t>
      </w:r>
      <w:r>
        <w:rPr>
          <w:rFonts w:ascii="Arial" w:eastAsia="Arial"/>
        </w:rPr>
        <w:t>6.1%</w:t>
      </w:r>
      <w:r>
        <w:rPr/>
        <w:t>，</w:t>
      </w:r>
      <w:r>
        <w:rPr>
          <w:rFonts w:ascii="Arial" w:eastAsia="Arial"/>
        </w:rPr>
        <w:t>MCL </w:t>
      </w:r>
      <w:r>
        <w:rPr/>
        <w:t>约占</w:t>
      </w:r>
      <w:r>
        <w:rPr>
          <w:rFonts w:ascii="Arial" w:eastAsia="Arial"/>
        </w:rPr>
        <w:t>3.4%</w:t>
      </w:r>
      <w:r>
        <w:rPr/>
        <w:t>，</w:t>
      </w:r>
      <w:r>
        <w:rPr>
          <w:rFonts w:ascii="Arial" w:eastAsia="Arial"/>
        </w:rPr>
        <w:t>CLL/SLL </w:t>
      </w:r>
      <w:r>
        <w:rPr/>
        <w:t>约占</w:t>
      </w:r>
      <w:r>
        <w:rPr>
          <w:rFonts w:ascii="Arial" w:eastAsia="Arial"/>
        </w:rPr>
        <w:t>4.6%</w:t>
      </w:r>
      <w:r>
        <w:rPr/>
        <w:t>。此外， 参考《成人急性淋巴细胞白血病诊疗指南 </w:t>
      </w:r>
      <w:r>
        <w:rPr>
          <w:rFonts w:ascii="Arial" w:eastAsia="Arial"/>
        </w:rPr>
        <w:t>2018</w:t>
      </w:r>
      <w:r>
        <w:rPr/>
        <w:t>》，中国 </w:t>
      </w:r>
      <w:r>
        <w:rPr>
          <w:rFonts w:ascii="Arial" w:eastAsia="Arial"/>
        </w:rPr>
        <w:t>ALL </w:t>
      </w:r>
      <w:r>
        <w:rPr/>
        <w:t>的发病率占全部白血病的</w:t>
      </w:r>
      <w:r>
        <w:rPr>
          <w:rFonts w:ascii="Arial" w:eastAsia="Arial"/>
        </w:rPr>
        <w:t>15%</w:t>
      </w:r>
      <w:r>
        <w:rPr/>
        <w:t>；根据弗若斯特沙利文的数据，</w:t>
      </w:r>
      <w:r>
        <w:rPr>
          <w:rFonts w:ascii="Arial" w:eastAsia="Arial"/>
        </w:rPr>
        <w:t>ALL </w:t>
      </w:r>
      <w:r>
        <w:rPr/>
        <w:t>患者中</w:t>
      </w:r>
      <w:r>
        <w:rPr>
          <w:rFonts w:ascii="Arial" w:eastAsia="Arial"/>
        </w:rPr>
        <w:t>75%</w:t>
      </w:r>
      <w:r>
        <w:rPr/>
        <w:t>是具有</w:t>
      </w:r>
      <w:r>
        <w:rPr>
          <w:rFonts w:ascii="Arial" w:eastAsia="Arial"/>
        </w:rPr>
        <w:t>CD19 </w:t>
      </w:r>
      <w:r>
        <w:rPr/>
        <w:t>阳性表达的</w:t>
      </w:r>
      <w:r>
        <w:rPr>
          <w:rFonts w:ascii="Arial" w:eastAsia="Arial"/>
        </w:rPr>
        <w:t>B-ALL</w:t>
      </w:r>
      <w:r>
        <w:rPr/>
        <w:t>。</w:t>
      </w:r>
    </w:p>
    <w:p>
      <w:pPr>
        <w:pStyle w:val="Heading3"/>
        <w:spacing w:line="311" w:lineRule="exact" w:before="0" w:after="4"/>
        <w:jc w:val="left"/>
      </w:pPr>
      <w:r>
        <w:rPr/>
        <w:t>图 </w:t>
      </w:r>
      <w:r>
        <w:rPr>
          <w:rFonts w:ascii="Arial" w:eastAsia="Arial"/>
        </w:rPr>
        <w:t>17: </w:t>
      </w:r>
      <w:r>
        <w:rPr/>
        <w:t>国内 </w:t>
      </w:r>
      <w:r>
        <w:rPr>
          <w:rFonts w:ascii="Arial" w:eastAsia="Arial"/>
        </w:rPr>
        <w:t>CD19 CAR-T </w:t>
      </w:r>
      <w:r>
        <w:rPr/>
        <w:t>市场规模测算</w:t>
      </w:r>
    </w:p>
    <w:tbl>
      <w:tblPr>
        <w:tblW w:w="0" w:type="auto"/>
        <w:jc w:val="left"/>
        <w:tblInd w:w="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43"/>
        <w:gridCol w:w="642"/>
        <w:gridCol w:w="738"/>
        <w:gridCol w:w="774"/>
        <w:gridCol w:w="761"/>
        <w:gridCol w:w="723"/>
        <w:gridCol w:w="738"/>
        <w:gridCol w:w="738"/>
        <w:gridCol w:w="738"/>
        <w:gridCol w:w="738"/>
        <w:gridCol w:w="738"/>
        <w:gridCol w:w="808"/>
      </w:tblGrid>
      <w:tr>
        <w:trPr>
          <w:trHeight w:val="200" w:hRule="atLeast"/>
        </w:trPr>
        <w:tc>
          <w:tcPr>
            <w:tcW w:w="2543" w:type="dxa"/>
            <w:tcBorders>
              <w:top w:val="single" w:sz="12" w:space="0" w:color="000000"/>
            </w:tcBorders>
            <w:shd w:val="clear" w:color="auto" w:fill="C00000"/>
          </w:tcPr>
          <w:p>
            <w:pPr>
              <w:pStyle w:val="TableParagraph"/>
              <w:spacing w:line="181" w:lineRule="exact"/>
              <w:ind w:left="139"/>
              <w:rPr>
                <w:rFonts w:ascii="Microsoft JhengHei UI" w:eastAsia="Microsoft JhengHei UI" w:hint="eastAsia"/>
                <w:b/>
                <w:sz w:val="14"/>
              </w:rPr>
            </w:pPr>
            <w:r>
              <w:rPr>
                <w:rFonts w:ascii="Microsoft JhengHei UI" w:eastAsia="Microsoft JhengHei UI" w:hint="eastAsia"/>
                <w:b/>
                <w:color w:val="FFFFFF"/>
                <w:sz w:val="14"/>
              </w:rPr>
              <w:t>千人</w:t>
            </w:r>
          </w:p>
        </w:tc>
        <w:tc>
          <w:tcPr>
            <w:tcW w:w="642" w:type="dxa"/>
            <w:tcBorders>
              <w:top w:val="single" w:sz="12" w:space="0" w:color="000000"/>
            </w:tcBorders>
            <w:shd w:val="clear" w:color="auto" w:fill="C00000"/>
          </w:tcPr>
          <w:p>
            <w:pPr>
              <w:pStyle w:val="TableParagraph"/>
              <w:spacing w:before="12"/>
              <w:ind w:left="107"/>
              <w:rPr>
                <w:b/>
                <w:sz w:val="14"/>
              </w:rPr>
            </w:pPr>
            <w:r>
              <w:rPr>
                <w:b/>
                <w:color w:val="FFFFFF"/>
                <w:sz w:val="14"/>
              </w:rPr>
              <w:t>2020</w:t>
            </w:r>
          </w:p>
        </w:tc>
        <w:tc>
          <w:tcPr>
            <w:tcW w:w="738" w:type="dxa"/>
            <w:tcBorders>
              <w:top w:val="single" w:sz="12" w:space="0" w:color="000000"/>
            </w:tcBorders>
            <w:shd w:val="clear" w:color="auto" w:fill="C00000"/>
          </w:tcPr>
          <w:p>
            <w:pPr>
              <w:pStyle w:val="TableParagraph"/>
              <w:spacing w:before="12"/>
              <w:ind w:left="168" w:right="186"/>
              <w:jc w:val="center"/>
              <w:rPr>
                <w:b/>
                <w:sz w:val="14"/>
              </w:rPr>
            </w:pPr>
            <w:r>
              <w:rPr>
                <w:b/>
                <w:color w:val="FFFFFF"/>
                <w:sz w:val="14"/>
              </w:rPr>
              <w:t>2021</w:t>
            </w:r>
          </w:p>
        </w:tc>
        <w:tc>
          <w:tcPr>
            <w:tcW w:w="774" w:type="dxa"/>
            <w:tcBorders>
              <w:top w:val="single" w:sz="12" w:space="0" w:color="000000"/>
            </w:tcBorders>
            <w:shd w:val="clear" w:color="auto" w:fill="C00000"/>
          </w:tcPr>
          <w:p>
            <w:pPr>
              <w:pStyle w:val="TableParagraph"/>
              <w:spacing w:before="12"/>
              <w:ind w:left="201"/>
              <w:rPr>
                <w:b/>
                <w:sz w:val="14"/>
              </w:rPr>
            </w:pPr>
            <w:r>
              <w:rPr>
                <w:b/>
                <w:color w:val="FFFFFF"/>
                <w:sz w:val="14"/>
              </w:rPr>
              <w:t>2022E</w:t>
            </w:r>
          </w:p>
        </w:tc>
        <w:tc>
          <w:tcPr>
            <w:tcW w:w="761" w:type="dxa"/>
            <w:tcBorders>
              <w:top w:val="single" w:sz="12" w:space="0" w:color="000000"/>
            </w:tcBorders>
            <w:shd w:val="clear" w:color="auto" w:fill="C00000"/>
          </w:tcPr>
          <w:p>
            <w:pPr>
              <w:pStyle w:val="TableParagraph"/>
              <w:spacing w:before="12"/>
              <w:ind w:left="167"/>
              <w:rPr>
                <w:b/>
                <w:sz w:val="14"/>
              </w:rPr>
            </w:pPr>
            <w:r>
              <w:rPr>
                <w:b/>
                <w:color w:val="FFFFFF"/>
                <w:sz w:val="14"/>
              </w:rPr>
              <w:t>2023E</w:t>
            </w:r>
          </w:p>
        </w:tc>
        <w:tc>
          <w:tcPr>
            <w:tcW w:w="723" w:type="dxa"/>
            <w:tcBorders>
              <w:top w:val="single" w:sz="12" w:space="0" w:color="000000"/>
            </w:tcBorders>
            <w:shd w:val="clear" w:color="auto" w:fill="C00000"/>
          </w:tcPr>
          <w:p>
            <w:pPr>
              <w:pStyle w:val="TableParagraph"/>
              <w:spacing w:before="12"/>
              <w:ind w:left="145"/>
              <w:rPr>
                <w:b/>
                <w:sz w:val="14"/>
              </w:rPr>
            </w:pPr>
            <w:r>
              <w:rPr>
                <w:b/>
                <w:color w:val="FFFFFF"/>
                <w:sz w:val="14"/>
              </w:rPr>
              <w:t>2024E</w:t>
            </w:r>
          </w:p>
        </w:tc>
        <w:tc>
          <w:tcPr>
            <w:tcW w:w="738" w:type="dxa"/>
            <w:tcBorders>
              <w:top w:val="single" w:sz="12" w:space="0" w:color="000000"/>
            </w:tcBorders>
            <w:shd w:val="clear" w:color="auto" w:fill="C00000"/>
          </w:tcPr>
          <w:p>
            <w:pPr>
              <w:pStyle w:val="TableParagraph"/>
              <w:spacing w:before="12"/>
              <w:ind w:left="157"/>
              <w:rPr>
                <w:b/>
                <w:sz w:val="14"/>
              </w:rPr>
            </w:pPr>
            <w:r>
              <w:rPr>
                <w:b/>
                <w:color w:val="FFFFFF"/>
                <w:sz w:val="14"/>
              </w:rPr>
              <w:t>2025E</w:t>
            </w:r>
          </w:p>
        </w:tc>
        <w:tc>
          <w:tcPr>
            <w:tcW w:w="738" w:type="dxa"/>
            <w:tcBorders>
              <w:top w:val="single" w:sz="12" w:space="0" w:color="000000"/>
            </w:tcBorders>
            <w:shd w:val="clear" w:color="auto" w:fill="C00000"/>
          </w:tcPr>
          <w:p>
            <w:pPr>
              <w:pStyle w:val="TableParagraph"/>
              <w:spacing w:before="12"/>
              <w:ind w:left="159"/>
              <w:rPr>
                <w:b/>
                <w:sz w:val="14"/>
              </w:rPr>
            </w:pPr>
            <w:r>
              <w:rPr>
                <w:b/>
                <w:color w:val="FFFFFF"/>
                <w:sz w:val="14"/>
              </w:rPr>
              <w:t>2026E</w:t>
            </w:r>
          </w:p>
        </w:tc>
        <w:tc>
          <w:tcPr>
            <w:tcW w:w="738" w:type="dxa"/>
            <w:tcBorders>
              <w:top w:val="single" w:sz="12" w:space="0" w:color="000000"/>
            </w:tcBorders>
            <w:shd w:val="clear" w:color="auto" w:fill="C00000"/>
          </w:tcPr>
          <w:p>
            <w:pPr>
              <w:pStyle w:val="TableParagraph"/>
              <w:spacing w:before="12"/>
              <w:ind w:left="155"/>
              <w:rPr>
                <w:b/>
                <w:sz w:val="14"/>
              </w:rPr>
            </w:pPr>
            <w:r>
              <w:rPr>
                <w:b/>
                <w:color w:val="FFFFFF"/>
                <w:sz w:val="14"/>
              </w:rPr>
              <w:t>2027E</w:t>
            </w:r>
          </w:p>
        </w:tc>
        <w:tc>
          <w:tcPr>
            <w:tcW w:w="738" w:type="dxa"/>
            <w:tcBorders>
              <w:top w:val="single" w:sz="12" w:space="0" w:color="000000"/>
            </w:tcBorders>
            <w:shd w:val="clear" w:color="auto" w:fill="C00000"/>
          </w:tcPr>
          <w:p>
            <w:pPr>
              <w:pStyle w:val="TableParagraph"/>
              <w:spacing w:before="12"/>
              <w:ind w:left="157"/>
              <w:rPr>
                <w:b/>
                <w:sz w:val="14"/>
              </w:rPr>
            </w:pPr>
            <w:r>
              <w:rPr>
                <w:b/>
                <w:color w:val="FFFFFF"/>
                <w:sz w:val="14"/>
              </w:rPr>
              <w:t>2028E</w:t>
            </w:r>
          </w:p>
        </w:tc>
        <w:tc>
          <w:tcPr>
            <w:tcW w:w="738" w:type="dxa"/>
            <w:tcBorders>
              <w:top w:val="single" w:sz="12" w:space="0" w:color="000000"/>
            </w:tcBorders>
            <w:shd w:val="clear" w:color="auto" w:fill="C00000"/>
          </w:tcPr>
          <w:p>
            <w:pPr>
              <w:pStyle w:val="TableParagraph"/>
              <w:spacing w:before="12"/>
              <w:ind w:left="154"/>
              <w:rPr>
                <w:b/>
                <w:sz w:val="14"/>
              </w:rPr>
            </w:pPr>
            <w:r>
              <w:rPr>
                <w:b/>
                <w:color w:val="FFFFFF"/>
                <w:sz w:val="14"/>
              </w:rPr>
              <w:t>2029E</w:t>
            </w:r>
          </w:p>
        </w:tc>
        <w:tc>
          <w:tcPr>
            <w:tcW w:w="808" w:type="dxa"/>
            <w:tcBorders>
              <w:top w:val="single" w:sz="12" w:space="0" w:color="000000"/>
            </w:tcBorders>
            <w:shd w:val="clear" w:color="auto" w:fill="C00000"/>
          </w:tcPr>
          <w:p>
            <w:pPr>
              <w:pStyle w:val="TableParagraph"/>
              <w:spacing w:before="12"/>
              <w:ind w:left="155"/>
              <w:rPr>
                <w:b/>
                <w:sz w:val="14"/>
              </w:rPr>
            </w:pPr>
            <w:r>
              <w:rPr>
                <w:b/>
                <w:color w:val="FFFFFF"/>
                <w:sz w:val="14"/>
              </w:rPr>
              <w:t>2030E</w:t>
            </w:r>
          </w:p>
        </w:tc>
      </w:tr>
      <w:tr>
        <w:trPr>
          <w:trHeight w:val="206" w:hRule="atLeast"/>
        </w:trPr>
        <w:tc>
          <w:tcPr>
            <w:tcW w:w="2543" w:type="dxa"/>
            <w:shd w:val="clear" w:color="auto" w:fill="F4AF84"/>
          </w:tcPr>
          <w:p>
            <w:pPr>
              <w:pStyle w:val="TableParagraph"/>
              <w:spacing w:line="187" w:lineRule="exact"/>
              <w:ind w:left="139"/>
              <w:rPr>
                <w:sz w:val="14"/>
              </w:rPr>
            </w:pPr>
            <w:r>
              <w:rPr>
                <w:rFonts w:ascii="PMingLiU" w:eastAsia="PMingLiU" w:hint="eastAsia"/>
                <w:sz w:val="14"/>
              </w:rPr>
              <w:t>非霍奇金淋巴瘤 </w:t>
            </w:r>
            <w:r>
              <w:rPr>
                <w:sz w:val="14"/>
              </w:rPr>
              <w:t>(NHL)</w:t>
            </w:r>
          </w:p>
        </w:tc>
        <w:tc>
          <w:tcPr>
            <w:tcW w:w="642"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774" w:type="dxa"/>
            <w:shd w:val="clear" w:color="auto" w:fill="F4AF84"/>
          </w:tcPr>
          <w:p>
            <w:pPr>
              <w:pStyle w:val="TableParagraph"/>
              <w:rPr>
                <w:rFonts w:ascii="Times New Roman"/>
                <w:sz w:val="14"/>
              </w:rPr>
            </w:pPr>
          </w:p>
        </w:tc>
        <w:tc>
          <w:tcPr>
            <w:tcW w:w="761" w:type="dxa"/>
            <w:shd w:val="clear" w:color="auto" w:fill="F4AF84"/>
          </w:tcPr>
          <w:p>
            <w:pPr>
              <w:pStyle w:val="TableParagraph"/>
              <w:rPr>
                <w:rFonts w:ascii="Times New Roman"/>
                <w:sz w:val="14"/>
              </w:rPr>
            </w:pPr>
          </w:p>
        </w:tc>
        <w:tc>
          <w:tcPr>
            <w:tcW w:w="723"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808" w:type="dxa"/>
            <w:shd w:val="clear" w:color="auto" w:fill="F4AF84"/>
          </w:tcPr>
          <w:p>
            <w:pPr>
              <w:pStyle w:val="TableParagraph"/>
              <w:rPr>
                <w:rFonts w:ascii="Times New Roman"/>
                <w:sz w:val="14"/>
              </w:rPr>
            </w:pPr>
          </w:p>
        </w:tc>
      </w:tr>
      <w:tr>
        <w:trPr>
          <w:trHeight w:val="193" w:hRule="atLeast"/>
        </w:trPr>
        <w:tc>
          <w:tcPr>
            <w:tcW w:w="2543" w:type="dxa"/>
          </w:tcPr>
          <w:p>
            <w:pPr>
              <w:pStyle w:val="TableParagraph"/>
              <w:spacing w:line="173" w:lineRule="exact"/>
              <w:ind w:left="139"/>
              <w:rPr>
                <w:rFonts w:ascii="PMingLiU" w:eastAsia="PMingLiU" w:hint="eastAsia"/>
                <w:sz w:val="14"/>
              </w:rPr>
            </w:pPr>
            <w:r>
              <w:rPr>
                <w:sz w:val="14"/>
              </w:rPr>
              <w:t>B-NHL </w:t>
            </w:r>
            <w:r>
              <w:rPr>
                <w:rFonts w:ascii="PMingLiU" w:eastAsia="PMingLiU" w:hint="eastAsia"/>
                <w:sz w:val="14"/>
              </w:rPr>
              <w:t>新增患病人数</w:t>
            </w:r>
          </w:p>
        </w:tc>
        <w:tc>
          <w:tcPr>
            <w:tcW w:w="642" w:type="dxa"/>
          </w:tcPr>
          <w:p>
            <w:pPr>
              <w:pStyle w:val="TableParagraph"/>
              <w:spacing w:line="156" w:lineRule="exact" w:before="17"/>
              <w:ind w:left="107"/>
              <w:rPr>
                <w:sz w:val="14"/>
              </w:rPr>
            </w:pPr>
            <w:r>
              <w:rPr>
                <w:sz w:val="14"/>
              </w:rPr>
              <w:t>92.8</w:t>
            </w:r>
          </w:p>
        </w:tc>
        <w:tc>
          <w:tcPr>
            <w:tcW w:w="738" w:type="dxa"/>
          </w:tcPr>
          <w:p>
            <w:pPr>
              <w:pStyle w:val="TableParagraph"/>
              <w:spacing w:line="156" w:lineRule="exact" w:before="17"/>
              <w:ind w:left="131" w:right="186"/>
              <w:jc w:val="center"/>
              <w:rPr>
                <w:sz w:val="14"/>
              </w:rPr>
            </w:pPr>
            <w:r>
              <w:rPr>
                <w:sz w:val="14"/>
              </w:rPr>
              <w:t>95.3</w:t>
            </w:r>
          </w:p>
        </w:tc>
        <w:tc>
          <w:tcPr>
            <w:tcW w:w="774" w:type="dxa"/>
          </w:tcPr>
          <w:p>
            <w:pPr>
              <w:pStyle w:val="TableParagraph"/>
              <w:spacing w:line="156" w:lineRule="exact" w:before="17"/>
              <w:ind w:left="201"/>
              <w:rPr>
                <w:sz w:val="14"/>
              </w:rPr>
            </w:pPr>
            <w:r>
              <w:rPr>
                <w:sz w:val="14"/>
              </w:rPr>
              <w:t>97.8</w:t>
            </w:r>
          </w:p>
        </w:tc>
        <w:tc>
          <w:tcPr>
            <w:tcW w:w="761" w:type="dxa"/>
          </w:tcPr>
          <w:p>
            <w:pPr>
              <w:pStyle w:val="TableParagraph"/>
              <w:spacing w:line="156" w:lineRule="exact" w:before="17"/>
              <w:ind w:left="167"/>
              <w:rPr>
                <w:sz w:val="14"/>
              </w:rPr>
            </w:pPr>
            <w:r>
              <w:rPr>
                <w:sz w:val="14"/>
              </w:rPr>
              <w:t>100.4</w:t>
            </w:r>
          </w:p>
        </w:tc>
        <w:tc>
          <w:tcPr>
            <w:tcW w:w="723" w:type="dxa"/>
          </w:tcPr>
          <w:p>
            <w:pPr>
              <w:pStyle w:val="TableParagraph"/>
              <w:spacing w:line="156" w:lineRule="exact" w:before="17"/>
              <w:ind w:left="145"/>
              <w:rPr>
                <w:sz w:val="14"/>
              </w:rPr>
            </w:pPr>
            <w:r>
              <w:rPr>
                <w:sz w:val="14"/>
              </w:rPr>
              <w:t>103.0</w:t>
            </w:r>
          </w:p>
        </w:tc>
        <w:tc>
          <w:tcPr>
            <w:tcW w:w="738" w:type="dxa"/>
          </w:tcPr>
          <w:p>
            <w:pPr>
              <w:pStyle w:val="TableParagraph"/>
              <w:spacing w:line="156" w:lineRule="exact" w:before="17"/>
              <w:ind w:left="157"/>
              <w:rPr>
                <w:sz w:val="14"/>
              </w:rPr>
            </w:pPr>
            <w:r>
              <w:rPr>
                <w:sz w:val="14"/>
              </w:rPr>
              <w:t>105.7</w:t>
            </w:r>
          </w:p>
        </w:tc>
        <w:tc>
          <w:tcPr>
            <w:tcW w:w="738" w:type="dxa"/>
          </w:tcPr>
          <w:p>
            <w:pPr>
              <w:pStyle w:val="TableParagraph"/>
              <w:spacing w:line="156" w:lineRule="exact" w:before="17"/>
              <w:ind w:left="159"/>
              <w:rPr>
                <w:sz w:val="14"/>
              </w:rPr>
            </w:pPr>
            <w:r>
              <w:rPr>
                <w:sz w:val="14"/>
              </w:rPr>
              <w:t>108.5</w:t>
            </w:r>
          </w:p>
        </w:tc>
        <w:tc>
          <w:tcPr>
            <w:tcW w:w="738" w:type="dxa"/>
          </w:tcPr>
          <w:p>
            <w:pPr>
              <w:pStyle w:val="TableParagraph"/>
              <w:spacing w:line="156" w:lineRule="exact" w:before="17"/>
              <w:ind w:left="155"/>
              <w:rPr>
                <w:sz w:val="14"/>
              </w:rPr>
            </w:pPr>
            <w:r>
              <w:rPr>
                <w:sz w:val="14"/>
              </w:rPr>
              <w:t>111.4</w:t>
            </w:r>
          </w:p>
        </w:tc>
        <w:tc>
          <w:tcPr>
            <w:tcW w:w="738" w:type="dxa"/>
          </w:tcPr>
          <w:p>
            <w:pPr>
              <w:pStyle w:val="TableParagraph"/>
              <w:spacing w:line="156" w:lineRule="exact" w:before="17"/>
              <w:ind w:left="157"/>
              <w:rPr>
                <w:sz w:val="14"/>
              </w:rPr>
            </w:pPr>
            <w:r>
              <w:rPr>
                <w:sz w:val="14"/>
              </w:rPr>
              <w:t>114.3</w:t>
            </w:r>
          </w:p>
        </w:tc>
        <w:tc>
          <w:tcPr>
            <w:tcW w:w="738" w:type="dxa"/>
          </w:tcPr>
          <w:p>
            <w:pPr>
              <w:pStyle w:val="TableParagraph"/>
              <w:spacing w:line="156" w:lineRule="exact" w:before="17"/>
              <w:ind w:left="154"/>
              <w:rPr>
                <w:sz w:val="14"/>
              </w:rPr>
            </w:pPr>
            <w:r>
              <w:rPr>
                <w:sz w:val="14"/>
              </w:rPr>
              <w:t>117.3</w:t>
            </w:r>
          </w:p>
        </w:tc>
        <w:tc>
          <w:tcPr>
            <w:tcW w:w="808" w:type="dxa"/>
          </w:tcPr>
          <w:p>
            <w:pPr>
              <w:pStyle w:val="TableParagraph"/>
              <w:spacing w:line="156" w:lineRule="exact" w:before="17"/>
              <w:ind w:left="155"/>
              <w:rPr>
                <w:sz w:val="14"/>
              </w:rPr>
            </w:pPr>
            <w:r>
              <w:rPr>
                <w:sz w:val="14"/>
              </w:rPr>
              <w:t>120.4</w:t>
            </w:r>
          </w:p>
        </w:tc>
      </w:tr>
      <w:tr>
        <w:trPr>
          <w:trHeight w:val="214" w:hRule="atLeast"/>
        </w:trPr>
        <w:tc>
          <w:tcPr>
            <w:tcW w:w="2543" w:type="dxa"/>
            <w:tcBorders>
              <w:bottom w:val="single" w:sz="4" w:space="0" w:color="000000"/>
            </w:tcBorders>
          </w:tcPr>
          <w:p>
            <w:pPr>
              <w:pStyle w:val="TableParagraph"/>
              <w:spacing w:line="195" w:lineRule="exact"/>
              <w:ind w:left="139"/>
              <w:rPr>
                <w:rFonts w:ascii="Microsoft JhengHei UI" w:eastAsia="Microsoft JhengHei UI" w:hint="eastAsia"/>
                <w:b/>
                <w:sz w:val="14"/>
              </w:rPr>
            </w:pPr>
            <w:r>
              <w:rPr>
                <w:b/>
                <w:sz w:val="14"/>
              </w:rPr>
              <w:t>NHL </w:t>
            </w:r>
            <w:r>
              <w:rPr>
                <w:rFonts w:ascii="Microsoft JhengHei UI" w:eastAsia="Microsoft JhengHei UI" w:hint="eastAsia"/>
                <w:b/>
                <w:sz w:val="14"/>
              </w:rPr>
              <w:t>五年患病数</w:t>
            </w:r>
          </w:p>
        </w:tc>
        <w:tc>
          <w:tcPr>
            <w:tcW w:w="642" w:type="dxa"/>
            <w:tcBorders>
              <w:bottom w:val="single" w:sz="4" w:space="0" w:color="000000"/>
            </w:tcBorders>
          </w:tcPr>
          <w:p>
            <w:pPr>
              <w:pStyle w:val="TableParagraph"/>
              <w:spacing w:before="30"/>
              <w:ind w:left="107"/>
              <w:rPr>
                <w:b/>
                <w:sz w:val="13"/>
              </w:rPr>
            </w:pPr>
            <w:r>
              <w:rPr>
                <w:b/>
                <w:sz w:val="13"/>
              </w:rPr>
              <w:t>260.6</w:t>
            </w:r>
          </w:p>
        </w:tc>
        <w:tc>
          <w:tcPr>
            <w:tcW w:w="738" w:type="dxa"/>
            <w:tcBorders>
              <w:bottom w:val="single" w:sz="4" w:space="0" w:color="000000"/>
            </w:tcBorders>
          </w:tcPr>
          <w:p>
            <w:pPr>
              <w:pStyle w:val="TableParagraph"/>
              <w:spacing w:before="30"/>
              <w:ind w:left="184" w:right="185"/>
              <w:jc w:val="center"/>
              <w:rPr>
                <w:b/>
                <w:sz w:val="13"/>
              </w:rPr>
            </w:pPr>
            <w:r>
              <w:rPr>
                <w:b/>
                <w:sz w:val="13"/>
              </w:rPr>
              <w:t>300.1</w:t>
            </w:r>
          </w:p>
        </w:tc>
        <w:tc>
          <w:tcPr>
            <w:tcW w:w="774" w:type="dxa"/>
            <w:tcBorders>
              <w:bottom w:val="single" w:sz="4" w:space="0" w:color="000000"/>
            </w:tcBorders>
          </w:tcPr>
          <w:p>
            <w:pPr>
              <w:pStyle w:val="TableParagraph"/>
              <w:spacing w:before="30"/>
              <w:ind w:left="201"/>
              <w:rPr>
                <w:b/>
                <w:sz w:val="13"/>
              </w:rPr>
            </w:pPr>
            <w:r>
              <w:rPr>
                <w:b/>
                <w:sz w:val="13"/>
              </w:rPr>
              <w:t>340.7</w:t>
            </w:r>
          </w:p>
        </w:tc>
        <w:tc>
          <w:tcPr>
            <w:tcW w:w="761" w:type="dxa"/>
            <w:tcBorders>
              <w:bottom w:val="single" w:sz="4" w:space="0" w:color="000000"/>
            </w:tcBorders>
          </w:tcPr>
          <w:p>
            <w:pPr>
              <w:pStyle w:val="TableParagraph"/>
              <w:spacing w:before="30"/>
              <w:ind w:left="167"/>
              <w:rPr>
                <w:b/>
                <w:sz w:val="13"/>
              </w:rPr>
            </w:pPr>
            <w:r>
              <w:rPr>
                <w:b/>
                <w:sz w:val="13"/>
              </w:rPr>
              <w:t>382.5</w:t>
            </w:r>
          </w:p>
        </w:tc>
        <w:tc>
          <w:tcPr>
            <w:tcW w:w="723" w:type="dxa"/>
            <w:tcBorders>
              <w:bottom w:val="single" w:sz="4" w:space="0" w:color="000000"/>
            </w:tcBorders>
          </w:tcPr>
          <w:p>
            <w:pPr>
              <w:pStyle w:val="TableParagraph"/>
              <w:spacing w:before="30"/>
              <w:ind w:left="145"/>
              <w:rPr>
                <w:b/>
                <w:sz w:val="13"/>
              </w:rPr>
            </w:pPr>
            <w:r>
              <w:rPr>
                <w:b/>
                <w:sz w:val="13"/>
              </w:rPr>
              <w:t>425.5</w:t>
            </w:r>
          </w:p>
        </w:tc>
        <w:tc>
          <w:tcPr>
            <w:tcW w:w="738" w:type="dxa"/>
            <w:tcBorders>
              <w:bottom w:val="single" w:sz="4" w:space="0" w:color="000000"/>
            </w:tcBorders>
          </w:tcPr>
          <w:p>
            <w:pPr>
              <w:pStyle w:val="TableParagraph"/>
              <w:spacing w:before="30"/>
              <w:ind w:left="157"/>
              <w:rPr>
                <w:b/>
                <w:sz w:val="13"/>
              </w:rPr>
            </w:pPr>
            <w:r>
              <w:rPr>
                <w:b/>
                <w:sz w:val="13"/>
              </w:rPr>
              <w:t>469.6</w:t>
            </w:r>
          </w:p>
        </w:tc>
        <w:tc>
          <w:tcPr>
            <w:tcW w:w="738" w:type="dxa"/>
            <w:tcBorders>
              <w:bottom w:val="single" w:sz="4" w:space="0" w:color="000000"/>
            </w:tcBorders>
          </w:tcPr>
          <w:p>
            <w:pPr>
              <w:pStyle w:val="TableParagraph"/>
              <w:spacing w:before="30"/>
              <w:ind w:left="159"/>
              <w:rPr>
                <w:b/>
                <w:sz w:val="13"/>
              </w:rPr>
            </w:pPr>
            <w:r>
              <w:rPr>
                <w:b/>
                <w:sz w:val="13"/>
              </w:rPr>
              <w:t>514.9</w:t>
            </w:r>
          </w:p>
        </w:tc>
        <w:tc>
          <w:tcPr>
            <w:tcW w:w="738" w:type="dxa"/>
            <w:tcBorders>
              <w:bottom w:val="single" w:sz="4" w:space="0" w:color="000000"/>
            </w:tcBorders>
          </w:tcPr>
          <w:p>
            <w:pPr>
              <w:pStyle w:val="TableParagraph"/>
              <w:spacing w:before="30"/>
              <w:ind w:left="155"/>
              <w:rPr>
                <w:b/>
                <w:sz w:val="13"/>
              </w:rPr>
            </w:pPr>
            <w:r>
              <w:rPr>
                <w:b/>
                <w:sz w:val="13"/>
              </w:rPr>
              <w:t>561.5</w:t>
            </w:r>
          </w:p>
        </w:tc>
        <w:tc>
          <w:tcPr>
            <w:tcW w:w="738" w:type="dxa"/>
            <w:tcBorders>
              <w:bottom w:val="single" w:sz="4" w:space="0" w:color="000000"/>
            </w:tcBorders>
          </w:tcPr>
          <w:p>
            <w:pPr>
              <w:pStyle w:val="TableParagraph"/>
              <w:spacing w:before="30"/>
              <w:ind w:left="157"/>
              <w:rPr>
                <w:b/>
                <w:sz w:val="13"/>
              </w:rPr>
            </w:pPr>
            <w:r>
              <w:rPr>
                <w:b/>
                <w:sz w:val="13"/>
              </w:rPr>
              <w:t>609.4</w:t>
            </w:r>
          </w:p>
        </w:tc>
        <w:tc>
          <w:tcPr>
            <w:tcW w:w="738" w:type="dxa"/>
            <w:tcBorders>
              <w:bottom w:val="single" w:sz="4" w:space="0" w:color="000000"/>
            </w:tcBorders>
          </w:tcPr>
          <w:p>
            <w:pPr>
              <w:pStyle w:val="TableParagraph"/>
              <w:spacing w:before="30"/>
              <w:ind w:left="154"/>
              <w:rPr>
                <w:b/>
                <w:sz w:val="13"/>
              </w:rPr>
            </w:pPr>
            <w:r>
              <w:rPr>
                <w:b/>
                <w:sz w:val="13"/>
              </w:rPr>
              <w:t>658.7</w:t>
            </w:r>
          </w:p>
        </w:tc>
        <w:tc>
          <w:tcPr>
            <w:tcW w:w="808" w:type="dxa"/>
            <w:tcBorders>
              <w:bottom w:val="single" w:sz="4" w:space="0" w:color="000000"/>
            </w:tcBorders>
          </w:tcPr>
          <w:p>
            <w:pPr>
              <w:pStyle w:val="TableParagraph"/>
              <w:spacing w:before="30"/>
              <w:ind w:left="155"/>
              <w:rPr>
                <w:b/>
                <w:sz w:val="13"/>
              </w:rPr>
            </w:pPr>
            <w:r>
              <w:rPr>
                <w:b/>
                <w:sz w:val="13"/>
              </w:rPr>
              <w:t>709.3</w:t>
            </w:r>
          </w:p>
        </w:tc>
      </w:tr>
      <w:tr>
        <w:trPr>
          <w:trHeight w:val="193" w:hRule="atLeast"/>
        </w:trPr>
        <w:tc>
          <w:tcPr>
            <w:tcW w:w="2543" w:type="dxa"/>
            <w:tcBorders>
              <w:top w:val="single" w:sz="4" w:space="0" w:color="000000"/>
            </w:tcBorders>
          </w:tcPr>
          <w:p>
            <w:pPr>
              <w:pStyle w:val="TableParagraph"/>
              <w:spacing w:line="173" w:lineRule="exact"/>
              <w:ind w:left="215"/>
              <w:rPr>
                <w:rFonts w:ascii="PMingLiU" w:eastAsia="PMingLiU" w:hint="eastAsia"/>
                <w:sz w:val="14"/>
              </w:rPr>
            </w:pPr>
            <w:r>
              <w:rPr>
                <w:sz w:val="14"/>
              </w:rPr>
              <w:t>LBCL </w:t>
            </w:r>
            <w:r>
              <w:rPr>
                <w:rFonts w:ascii="PMingLiU" w:eastAsia="PMingLiU" w:hint="eastAsia"/>
                <w:sz w:val="14"/>
              </w:rPr>
              <w:t>患病人数</w:t>
            </w:r>
          </w:p>
        </w:tc>
        <w:tc>
          <w:tcPr>
            <w:tcW w:w="642" w:type="dxa"/>
            <w:tcBorders>
              <w:top w:val="single" w:sz="4" w:space="0" w:color="000000"/>
            </w:tcBorders>
          </w:tcPr>
          <w:p>
            <w:pPr>
              <w:pStyle w:val="TableParagraph"/>
              <w:spacing w:line="146" w:lineRule="exact" w:before="26"/>
              <w:ind w:left="107"/>
              <w:rPr>
                <w:sz w:val="13"/>
              </w:rPr>
            </w:pPr>
            <w:r>
              <w:rPr>
                <w:sz w:val="13"/>
              </w:rPr>
              <w:t>106.8</w:t>
            </w:r>
          </w:p>
        </w:tc>
        <w:tc>
          <w:tcPr>
            <w:tcW w:w="738" w:type="dxa"/>
            <w:tcBorders>
              <w:top w:val="single" w:sz="4" w:space="0" w:color="000000"/>
            </w:tcBorders>
          </w:tcPr>
          <w:p>
            <w:pPr>
              <w:pStyle w:val="TableParagraph"/>
              <w:spacing w:line="146" w:lineRule="exact" w:before="26"/>
              <w:ind w:left="184" w:right="185"/>
              <w:jc w:val="center"/>
              <w:rPr>
                <w:sz w:val="13"/>
              </w:rPr>
            </w:pPr>
            <w:r>
              <w:rPr>
                <w:sz w:val="13"/>
              </w:rPr>
              <w:t>123.0</w:t>
            </w:r>
          </w:p>
        </w:tc>
        <w:tc>
          <w:tcPr>
            <w:tcW w:w="774" w:type="dxa"/>
            <w:tcBorders>
              <w:top w:val="single" w:sz="4" w:space="0" w:color="000000"/>
            </w:tcBorders>
          </w:tcPr>
          <w:p>
            <w:pPr>
              <w:pStyle w:val="TableParagraph"/>
              <w:spacing w:line="146" w:lineRule="exact" w:before="26"/>
              <w:ind w:left="201"/>
              <w:rPr>
                <w:sz w:val="13"/>
              </w:rPr>
            </w:pPr>
            <w:r>
              <w:rPr>
                <w:sz w:val="13"/>
              </w:rPr>
              <w:t>139.7</w:t>
            </w:r>
          </w:p>
        </w:tc>
        <w:tc>
          <w:tcPr>
            <w:tcW w:w="761" w:type="dxa"/>
            <w:tcBorders>
              <w:top w:val="single" w:sz="4" w:space="0" w:color="000000"/>
            </w:tcBorders>
          </w:tcPr>
          <w:p>
            <w:pPr>
              <w:pStyle w:val="TableParagraph"/>
              <w:spacing w:line="146" w:lineRule="exact" w:before="26"/>
              <w:ind w:left="167"/>
              <w:rPr>
                <w:sz w:val="13"/>
              </w:rPr>
            </w:pPr>
            <w:r>
              <w:rPr>
                <w:sz w:val="13"/>
              </w:rPr>
              <w:t>156.8</w:t>
            </w:r>
          </w:p>
        </w:tc>
        <w:tc>
          <w:tcPr>
            <w:tcW w:w="723" w:type="dxa"/>
            <w:tcBorders>
              <w:top w:val="single" w:sz="4" w:space="0" w:color="000000"/>
            </w:tcBorders>
          </w:tcPr>
          <w:p>
            <w:pPr>
              <w:pStyle w:val="TableParagraph"/>
              <w:spacing w:line="146" w:lineRule="exact" w:before="26"/>
              <w:ind w:left="145"/>
              <w:rPr>
                <w:sz w:val="13"/>
              </w:rPr>
            </w:pPr>
            <w:r>
              <w:rPr>
                <w:sz w:val="13"/>
              </w:rPr>
              <w:t>174.4</w:t>
            </w:r>
          </w:p>
        </w:tc>
        <w:tc>
          <w:tcPr>
            <w:tcW w:w="738" w:type="dxa"/>
            <w:tcBorders>
              <w:top w:val="single" w:sz="4" w:space="0" w:color="000000"/>
            </w:tcBorders>
          </w:tcPr>
          <w:p>
            <w:pPr>
              <w:pStyle w:val="TableParagraph"/>
              <w:spacing w:line="146" w:lineRule="exact" w:before="26"/>
              <w:ind w:left="157"/>
              <w:rPr>
                <w:sz w:val="13"/>
              </w:rPr>
            </w:pPr>
            <w:r>
              <w:rPr>
                <w:sz w:val="13"/>
              </w:rPr>
              <w:t>192.5</w:t>
            </w:r>
          </w:p>
        </w:tc>
        <w:tc>
          <w:tcPr>
            <w:tcW w:w="738" w:type="dxa"/>
            <w:tcBorders>
              <w:top w:val="single" w:sz="4" w:space="0" w:color="000000"/>
            </w:tcBorders>
          </w:tcPr>
          <w:p>
            <w:pPr>
              <w:pStyle w:val="TableParagraph"/>
              <w:spacing w:line="146" w:lineRule="exact" w:before="26"/>
              <w:ind w:left="159"/>
              <w:rPr>
                <w:sz w:val="13"/>
              </w:rPr>
            </w:pPr>
            <w:r>
              <w:rPr>
                <w:sz w:val="13"/>
              </w:rPr>
              <w:t>211.1</w:t>
            </w:r>
          </w:p>
        </w:tc>
        <w:tc>
          <w:tcPr>
            <w:tcW w:w="738" w:type="dxa"/>
            <w:tcBorders>
              <w:top w:val="single" w:sz="4" w:space="0" w:color="000000"/>
            </w:tcBorders>
          </w:tcPr>
          <w:p>
            <w:pPr>
              <w:pStyle w:val="TableParagraph"/>
              <w:spacing w:line="146" w:lineRule="exact" w:before="26"/>
              <w:ind w:left="155"/>
              <w:rPr>
                <w:sz w:val="13"/>
              </w:rPr>
            </w:pPr>
            <w:r>
              <w:rPr>
                <w:sz w:val="13"/>
              </w:rPr>
              <w:t>230.2</w:t>
            </w:r>
          </w:p>
        </w:tc>
        <w:tc>
          <w:tcPr>
            <w:tcW w:w="738" w:type="dxa"/>
            <w:tcBorders>
              <w:top w:val="single" w:sz="4" w:space="0" w:color="000000"/>
            </w:tcBorders>
          </w:tcPr>
          <w:p>
            <w:pPr>
              <w:pStyle w:val="TableParagraph"/>
              <w:spacing w:line="146" w:lineRule="exact" w:before="26"/>
              <w:ind w:left="157"/>
              <w:rPr>
                <w:sz w:val="13"/>
              </w:rPr>
            </w:pPr>
            <w:r>
              <w:rPr>
                <w:sz w:val="13"/>
              </w:rPr>
              <w:t>249.9</w:t>
            </w:r>
          </w:p>
        </w:tc>
        <w:tc>
          <w:tcPr>
            <w:tcW w:w="738" w:type="dxa"/>
            <w:tcBorders>
              <w:top w:val="single" w:sz="4" w:space="0" w:color="000000"/>
            </w:tcBorders>
          </w:tcPr>
          <w:p>
            <w:pPr>
              <w:pStyle w:val="TableParagraph"/>
              <w:spacing w:line="146" w:lineRule="exact" w:before="26"/>
              <w:ind w:left="154"/>
              <w:rPr>
                <w:sz w:val="13"/>
              </w:rPr>
            </w:pPr>
            <w:r>
              <w:rPr>
                <w:sz w:val="13"/>
              </w:rPr>
              <w:t>270.1</w:t>
            </w:r>
          </w:p>
        </w:tc>
        <w:tc>
          <w:tcPr>
            <w:tcW w:w="808" w:type="dxa"/>
            <w:tcBorders>
              <w:top w:val="single" w:sz="4" w:space="0" w:color="000000"/>
            </w:tcBorders>
          </w:tcPr>
          <w:p>
            <w:pPr>
              <w:pStyle w:val="TableParagraph"/>
              <w:spacing w:line="146" w:lineRule="exact" w:before="26"/>
              <w:ind w:left="155"/>
              <w:rPr>
                <w:sz w:val="13"/>
              </w:rPr>
            </w:pPr>
            <w:r>
              <w:rPr>
                <w:sz w:val="13"/>
              </w:rPr>
              <w:t>290.8</w:t>
            </w:r>
          </w:p>
        </w:tc>
      </w:tr>
      <w:tr>
        <w:trPr>
          <w:trHeight w:val="204" w:hRule="atLeast"/>
        </w:trPr>
        <w:tc>
          <w:tcPr>
            <w:tcW w:w="2543" w:type="dxa"/>
          </w:tcPr>
          <w:p>
            <w:pPr>
              <w:pStyle w:val="TableParagraph"/>
              <w:spacing w:line="176" w:lineRule="exact" w:before="7"/>
              <w:ind w:left="215"/>
              <w:rPr>
                <w:rFonts w:ascii="PMingLiU" w:eastAsia="PMingLiU" w:hint="eastAsia"/>
                <w:sz w:val="14"/>
              </w:rPr>
            </w:pPr>
            <w:r>
              <w:rPr>
                <w:sz w:val="14"/>
              </w:rPr>
              <w:t>MZL/FL </w:t>
            </w:r>
            <w:r>
              <w:rPr>
                <w:rFonts w:ascii="PMingLiU" w:eastAsia="PMingLiU" w:hint="eastAsia"/>
                <w:sz w:val="14"/>
              </w:rPr>
              <w:t>患病人数</w:t>
            </w:r>
          </w:p>
        </w:tc>
        <w:tc>
          <w:tcPr>
            <w:tcW w:w="642" w:type="dxa"/>
          </w:tcPr>
          <w:p>
            <w:pPr>
              <w:pStyle w:val="TableParagraph"/>
              <w:spacing w:line="149" w:lineRule="exact" w:before="35"/>
              <w:ind w:left="107"/>
              <w:rPr>
                <w:sz w:val="13"/>
              </w:rPr>
            </w:pPr>
            <w:r>
              <w:rPr>
                <w:sz w:val="13"/>
              </w:rPr>
              <w:t>15.9</w:t>
            </w:r>
          </w:p>
        </w:tc>
        <w:tc>
          <w:tcPr>
            <w:tcW w:w="738" w:type="dxa"/>
          </w:tcPr>
          <w:p>
            <w:pPr>
              <w:pStyle w:val="TableParagraph"/>
              <w:spacing w:line="149" w:lineRule="exact" w:before="35"/>
              <w:ind w:left="115" w:right="186"/>
              <w:jc w:val="center"/>
              <w:rPr>
                <w:sz w:val="13"/>
              </w:rPr>
            </w:pPr>
            <w:r>
              <w:rPr>
                <w:sz w:val="13"/>
              </w:rPr>
              <w:t>18.3</w:t>
            </w:r>
          </w:p>
        </w:tc>
        <w:tc>
          <w:tcPr>
            <w:tcW w:w="774" w:type="dxa"/>
          </w:tcPr>
          <w:p>
            <w:pPr>
              <w:pStyle w:val="TableParagraph"/>
              <w:spacing w:line="149" w:lineRule="exact" w:before="35"/>
              <w:ind w:left="201"/>
              <w:rPr>
                <w:sz w:val="13"/>
              </w:rPr>
            </w:pPr>
            <w:r>
              <w:rPr>
                <w:sz w:val="13"/>
              </w:rPr>
              <w:t>20.8</w:t>
            </w:r>
          </w:p>
        </w:tc>
        <w:tc>
          <w:tcPr>
            <w:tcW w:w="761" w:type="dxa"/>
          </w:tcPr>
          <w:p>
            <w:pPr>
              <w:pStyle w:val="TableParagraph"/>
              <w:spacing w:line="149" w:lineRule="exact" w:before="35"/>
              <w:ind w:left="167"/>
              <w:rPr>
                <w:sz w:val="13"/>
              </w:rPr>
            </w:pPr>
            <w:r>
              <w:rPr>
                <w:sz w:val="13"/>
              </w:rPr>
              <w:t>23.3</w:t>
            </w:r>
          </w:p>
        </w:tc>
        <w:tc>
          <w:tcPr>
            <w:tcW w:w="723" w:type="dxa"/>
          </w:tcPr>
          <w:p>
            <w:pPr>
              <w:pStyle w:val="TableParagraph"/>
              <w:spacing w:line="149" w:lineRule="exact" w:before="35"/>
              <w:ind w:left="145"/>
              <w:rPr>
                <w:sz w:val="13"/>
              </w:rPr>
            </w:pPr>
            <w:r>
              <w:rPr>
                <w:sz w:val="13"/>
              </w:rPr>
              <w:t>26.0</w:t>
            </w:r>
          </w:p>
        </w:tc>
        <w:tc>
          <w:tcPr>
            <w:tcW w:w="738" w:type="dxa"/>
          </w:tcPr>
          <w:p>
            <w:pPr>
              <w:pStyle w:val="TableParagraph"/>
              <w:spacing w:line="149" w:lineRule="exact" w:before="35"/>
              <w:ind w:left="157"/>
              <w:rPr>
                <w:sz w:val="13"/>
              </w:rPr>
            </w:pPr>
            <w:r>
              <w:rPr>
                <w:sz w:val="13"/>
              </w:rPr>
              <w:t>28.6</w:t>
            </w:r>
          </w:p>
        </w:tc>
        <w:tc>
          <w:tcPr>
            <w:tcW w:w="738" w:type="dxa"/>
          </w:tcPr>
          <w:p>
            <w:pPr>
              <w:pStyle w:val="TableParagraph"/>
              <w:spacing w:line="149" w:lineRule="exact" w:before="35"/>
              <w:ind w:left="159"/>
              <w:rPr>
                <w:sz w:val="13"/>
              </w:rPr>
            </w:pPr>
            <w:r>
              <w:rPr>
                <w:sz w:val="13"/>
              </w:rPr>
              <w:t>31.4</w:t>
            </w:r>
          </w:p>
        </w:tc>
        <w:tc>
          <w:tcPr>
            <w:tcW w:w="738" w:type="dxa"/>
          </w:tcPr>
          <w:p>
            <w:pPr>
              <w:pStyle w:val="TableParagraph"/>
              <w:spacing w:line="149" w:lineRule="exact" w:before="35"/>
              <w:ind w:left="155"/>
              <w:rPr>
                <w:sz w:val="13"/>
              </w:rPr>
            </w:pPr>
            <w:r>
              <w:rPr>
                <w:sz w:val="13"/>
              </w:rPr>
              <w:t>34.3</w:t>
            </w:r>
          </w:p>
        </w:tc>
        <w:tc>
          <w:tcPr>
            <w:tcW w:w="738" w:type="dxa"/>
          </w:tcPr>
          <w:p>
            <w:pPr>
              <w:pStyle w:val="TableParagraph"/>
              <w:spacing w:line="149" w:lineRule="exact" w:before="35"/>
              <w:ind w:left="157"/>
              <w:rPr>
                <w:sz w:val="13"/>
              </w:rPr>
            </w:pPr>
            <w:r>
              <w:rPr>
                <w:sz w:val="13"/>
              </w:rPr>
              <w:t>37.2</w:t>
            </w:r>
          </w:p>
        </w:tc>
        <w:tc>
          <w:tcPr>
            <w:tcW w:w="738" w:type="dxa"/>
          </w:tcPr>
          <w:p>
            <w:pPr>
              <w:pStyle w:val="TableParagraph"/>
              <w:spacing w:line="149" w:lineRule="exact" w:before="35"/>
              <w:ind w:left="154"/>
              <w:rPr>
                <w:sz w:val="13"/>
              </w:rPr>
            </w:pPr>
            <w:r>
              <w:rPr>
                <w:sz w:val="13"/>
              </w:rPr>
              <w:t>40.2</w:t>
            </w:r>
          </w:p>
        </w:tc>
        <w:tc>
          <w:tcPr>
            <w:tcW w:w="808" w:type="dxa"/>
          </w:tcPr>
          <w:p>
            <w:pPr>
              <w:pStyle w:val="TableParagraph"/>
              <w:spacing w:line="149" w:lineRule="exact" w:before="35"/>
              <w:ind w:left="155"/>
              <w:rPr>
                <w:sz w:val="13"/>
              </w:rPr>
            </w:pPr>
            <w:r>
              <w:rPr>
                <w:sz w:val="13"/>
              </w:rPr>
              <w:t>43.3</w:t>
            </w:r>
          </w:p>
        </w:tc>
      </w:tr>
      <w:tr>
        <w:trPr>
          <w:trHeight w:val="203" w:hRule="atLeast"/>
        </w:trPr>
        <w:tc>
          <w:tcPr>
            <w:tcW w:w="2543" w:type="dxa"/>
          </w:tcPr>
          <w:p>
            <w:pPr>
              <w:pStyle w:val="TableParagraph"/>
              <w:spacing w:line="174" w:lineRule="exact" w:before="10"/>
              <w:ind w:left="215"/>
              <w:rPr>
                <w:rFonts w:ascii="PMingLiU" w:eastAsia="PMingLiU" w:hint="eastAsia"/>
                <w:sz w:val="14"/>
              </w:rPr>
            </w:pPr>
            <w:r>
              <w:rPr>
                <w:sz w:val="14"/>
              </w:rPr>
              <w:t>MCL </w:t>
            </w:r>
            <w:r>
              <w:rPr>
                <w:rFonts w:ascii="PMingLiU" w:eastAsia="PMingLiU" w:hint="eastAsia"/>
                <w:sz w:val="14"/>
              </w:rPr>
              <w:t>患病人数</w:t>
            </w:r>
          </w:p>
        </w:tc>
        <w:tc>
          <w:tcPr>
            <w:tcW w:w="642" w:type="dxa"/>
          </w:tcPr>
          <w:p>
            <w:pPr>
              <w:pStyle w:val="TableParagraph"/>
              <w:spacing w:before="32"/>
              <w:ind w:left="107"/>
              <w:rPr>
                <w:sz w:val="13"/>
              </w:rPr>
            </w:pPr>
            <w:r>
              <w:rPr>
                <w:sz w:val="13"/>
              </w:rPr>
              <w:t>8.9</w:t>
            </w:r>
          </w:p>
        </w:tc>
        <w:tc>
          <w:tcPr>
            <w:tcW w:w="738" w:type="dxa"/>
          </w:tcPr>
          <w:p>
            <w:pPr>
              <w:pStyle w:val="TableParagraph"/>
              <w:spacing w:before="32"/>
              <w:ind w:left="115" w:right="186"/>
              <w:jc w:val="center"/>
              <w:rPr>
                <w:sz w:val="13"/>
              </w:rPr>
            </w:pPr>
            <w:r>
              <w:rPr>
                <w:sz w:val="13"/>
              </w:rPr>
              <w:t>10.2</w:t>
            </w:r>
          </w:p>
        </w:tc>
        <w:tc>
          <w:tcPr>
            <w:tcW w:w="774" w:type="dxa"/>
          </w:tcPr>
          <w:p>
            <w:pPr>
              <w:pStyle w:val="TableParagraph"/>
              <w:spacing w:before="32"/>
              <w:ind w:left="201"/>
              <w:rPr>
                <w:sz w:val="13"/>
              </w:rPr>
            </w:pPr>
            <w:r>
              <w:rPr>
                <w:sz w:val="13"/>
              </w:rPr>
              <w:t>11.6</w:t>
            </w:r>
          </w:p>
        </w:tc>
        <w:tc>
          <w:tcPr>
            <w:tcW w:w="761" w:type="dxa"/>
          </w:tcPr>
          <w:p>
            <w:pPr>
              <w:pStyle w:val="TableParagraph"/>
              <w:spacing w:before="32"/>
              <w:ind w:left="167"/>
              <w:rPr>
                <w:sz w:val="13"/>
              </w:rPr>
            </w:pPr>
            <w:r>
              <w:rPr>
                <w:sz w:val="13"/>
              </w:rPr>
              <w:t>13.0</w:t>
            </w:r>
          </w:p>
        </w:tc>
        <w:tc>
          <w:tcPr>
            <w:tcW w:w="723" w:type="dxa"/>
          </w:tcPr>
          <w:p>
            <w:pPr>
              <w:pStyle w:val="TableParagraph"/>
              <w:spacing w:before="32"/>
              <w:ind w:left="145"/>
              <w:rPr>
                <w:sz w:val="13"/>
              </w:rPr>
            </w:pPr>
            <w:r>
              <w:rPr>
                <w:sz w:val="13"/>
              </w:rPr>
              <w:t>14.5</w:t>
            </w:r>
          </w:p>
        </w:tc>
        <w:tc>
          <w:tcPr>
            <w:tcW w:w="738" w:type="dxa"/>
          </w:tcPr>
          <w:p>
            <w:pPr>
              <w:pStyle w:val="TableParagraph"/>
              <w:spacing w:before="32"/>
              <w:ind w:left="157"/>
              <w:rPr>
                <w:sz w:val="13"/>
              </w:rPr>
            </w:pPr>
            <w:r>
              <w:rPr>
                <w:sz w:val="13"/>
              </w:rPr>
              <w:t>16.0</w:t>
            </w:r>
          </w:p>
        </w:tc>
        <w:tc>
          <w:tcPr>
            <w:tcW w:w="738" w:type="dxa"/>
          </w:tcPr>
          <w:p>
            <w:pPr>
              <w:pStyle w:val="TableParagraph"/>
              <w:spacing w:before="32"/>
              <w:ind w:left="159"/>
              <w:rPr>
                <w:sz w:val="13"/>
              </w:rPr>
            </w:pPr>
            <w:r>
              <w:rPr>
                <w:sz w:val="13"/>
              </w:rPr>
              <w:t>17.5</w:t>
            </w:r>
          </w:p>
        </w:tc>
        <w:tc>
          <w:tcPr>
            <w:tcW w:w="738" w:type="dxa"/>
          </w:tcPr>
          <w:p>
            <w:pPr>
              <w:pStyle w:val="TableParagraph"/>
              <w:spacing w:before="32"/>
              <w:ind w:left="155"/>
              <w:rPr>
                <w:sz w:val="13"/>
              </w:rPr>
            </w:pPr>
            <w:r>
              <w:rPr>
                <w:sz w:val="13"/>
              </w:rPr>
              <w:t>19.1</w:t>
            </w:r>
          </w:p>
        </w:tc>
        <w:tc>
          <w:tcPr>
            <w:tcW w:w="738" w:type="dxa"/>
          </w:tcPr>
          <w:p>
            <w:pPr>
              <w:pStyle w:val="TableParagraph"/>
              <w:spacing w:before="32"/>
              <w:ind w:left="157"/>
              <w:rPr>
                <w:sz w:val="13"/>
              </w:rPr>
            </w:pPr>
            <w:r>
              <w:rPr>
                <w:sz w:val="13"/>
              </w:rPr>
              <w:t>20.7</w:t>
            </w:r>
          </w:p>
        </w:tc>
        <w:tc>
          <w:tcPr>
            <w:tcW w:w="738" w:type="dxa"/>
          </w:tcPr>
          <w:p>
            <w:pPr>
              <w:pStyle w:val="TableParagraph"/>
              <w:spacing w:before="32"/>
              <w:ind w:left="154"/>
              <w:rPr>
                <w:sz w:val="13"/>
              </w:rPr>
            </w:pPr>
            <w:r>
              <w:rPr>
                <w:sz w:val="13"/>
              </w:rPr>
              <w:t>22.4</w:t>
            </w:r>
          </w:p>
        </w:tc>
        <w:tc>
          <w:tcPr>
            <w:tcW w:w="808" w:type="dxa"/>
          </w:tcPr>
          <w:p>
            <w:pPr>
              <w:pStyle w:val="TableParagraph"/>
              <w:spacing w:before="32"/>
              <w:ind w:left="155"/>
              <w:rPr>
                <w:sz w:val="13"/>
              </w:rPr>
            </w:pPr>
            <w:r>
              <w:rPr>
                <w:sz w:val="13"/>
              </w:rPr>
              <w:t>24.1</w:t>
            </w:r>
          </w:p>
        </w:tc>
      </w:tr>
      <w:tr>
        <w:trPr>
          <w:trHeight w:val="214" w:hRule="atLeast"/>
        </w:trPr>
        <w:tc>
          <w:tcPr>
            <w:tcW w:w="2543" w:type="dxa"/>
            <w:tcBorders>
              <w:bottom w:val="single" w:sz="4" w:space="0" w:color="000000"/>
            </w:tcBorders>
          </w:tcPr>
          <w:p>
            <w:pPr>
              <w:pStyle w:val="TableParagraph"/>
              <w:spacing w:line="187" w:lineRule="exact" w:before="7"/>
              <w:ind w:left="215"/>
              <w:rPr>
                <w:rFonts w:ascii="PMingLiU" w:eastAsia="PMingLiU" w:hint="eastAsia"/>
                <w:sz w:val="14"/>
              </w:rPr>
            </w:pPr>
            <w:r>
              <w:rPr>
                <w:sz w:val="14"/>
              </w:rPr>
              <w:t>CLL/SLL </w:t>
            </w:r>
            <w:r>
              <w:rPr>
                <w:rFonts w:ascii="PMingLiU" w:eastAsia="PMingLiU" w:hint="eastAsia"/>
                <w:sz w:val="14"/>
              </w:rPr>
              <w:t>患病人数</w:t>
            </w:r>
          </w:p>
        </w:tc>
        <w:tc>
          <w:tcPr>
            <w:tcW w:w="642" w:type="dxa"/>
            <w:tcBorders>
              <w:bottom w:val="single" w:sz="4" w:space="0" w:color="000000"/>
            </w:tcBorders>
          </w:tcPr>
          <w:p>
            <w:pPr>
              <w:pStyle w:val="TableParagraph"/>
              <w:spacing w:before="35"/>
              <w:ind w:left="107"/>
              <w:rPr>
                <w:sz w:val="13"/>
              </w:rPr>
            </w:pPr>
            <w:r>
              <w:rPr>
                <w:sz w:val="13"/>
              </w:rPr>
              <w:t>12.0</w:t>
            </w:r>
          </w:p>
        </w:tc>
        <w:tc>
          <w:tcPr>
            <w:tcW w:w="738" w:type="dxa"/>
            <w:tcBorders>
              <w:bottom w:val="single" w:sz="4" w:space="0" w:color="000000"/>
            </w:tcBorders>
          </w:tcPr>
          <w:p>
            <w:pPr>
              <w:pStyle w:val="TableParagraph"/>
              <w:spacing w:before="35"/>
              <w:ind w:left="115" w:right="186"/>
              <w:jc w:val="center"/>
              <w:rPr>
                <w:sz w:val="13"/>
              </w:rPr>
            </w:pPr>
            <w:r>
              <w:rPr>
                <w:sz w:val="13"/>
              </w:rPr>
              <w:t>13.8</w:t>
            </w:r>
          </w:p>
        </w:tc>
        <w:tc>
          <w:tcPr>
            <w:tcW w:w="774" w:type="dxa"/>
            <w:tcBorders>
              <w:bottom w:val="single" w:sz="4" w:space="0" w:color="000000"/>
            </w:tcBorders>
          </w:tcPr>
          <w:p>
            <w:pPr>
              <w:pStyle w:val="TableParagraph"/>
              <w:spacing w:before="35"/>
              <w:ind w:left="201"/>
              <w:rPr>
                <w:sz w:val="13"/>
              </w:rPr>
            </w:pPr>
            <w:r>
              <w:rPr>
                <w:sz w:val="13"/>
              </w:rPr>
              <w:t>15.7</w:t>
            </w:r>
          </w:p>
        </w:tc>
        <w:tc>
          <w:tcPr>
            <w:tcW w:w="761" w:type="dxa"/>
            <w:tcBorders>
              <w:bottom w:val="single" w:sz="4" w:space="0" w:color="000000"/>
            </w:tcBorders>
          </w:tcPr>
          <w:p>
            <w:pPr>
              <w:pStyle w:val="TableParagraph"/>
              <w:spacing w:before="35"/>
              <w:ind w:left="167"/>
              <w:rPr>
                <w:sz w:val="13"/>
              </w:rPr>
            </w:pPr>
            <w:r>
              <w:rPr>
                <w:sz w:val="13"/>
              </w:rPr>
              <w:t>17.6</w:t>
            </w:r>
          </w:p>
        </w:tc>
        <w:tc>
          <w:tcPr>
            <w:tcW w:w="723" w:type="dxa"/>
            <w:tcBorders>
              <w:bottom w:val="single" w:sz="4" w:space="0" w:color="000000"/>
            </w:tcBorders>
          </w:tcPr>
          <w:p>
            <w:pPr>
              <w:pStyle w:val="TableParagraph"/>
              <w:spacing w:before="35"/>
              <w:ind w:left="145"/>
              <w:rPr>
                <w:sz w:val="13"/>
              </w:rPr>
            </w:pPr>
            <w:r>
              <w:rPr>
                <w:sz w:val="13"/>
              </w:rPr>
              <w:t>19.6</w:t>
            </w:r>
          </w:p>
        </w:tc>
        <w:tc>
          <w:tcPr>
            <w:tcW w:w="738" w:type="dxa"/>
            <w:tcBorders>
              <w:bottom w:val="single" w:sz="4" w:space="0" w:color="000000"/>
            </w:tcBorders>
          </w:tcPr>
          <w:p>
            <w:pPr>
              <w:pStyle w:val="TableParagraph"/>
              <w:spacing w:before="35"/>
              <w:ind w:left="157"/>
              <w:rPr>
                <w:sz w:val="13"/>
              </w:rPr>
            </w:pPr>
            <w:r>
              <w:rPr>
                <w:sz w:val="13"/>
              </w:rPr>
              <w:t>21.6</w:t>
            </w:r>
          </w:p>
        </w:tc>
        <w:tc>
          <w:tcPr>
            <w:tcW w:w="738" w:type="dxa"/>
            <w:tcBorders>
              <w:bottom w:val="single" w:sz="4" w:space="0" w:color="000000"/>
            </w:tcBorders>
          </w:tcPr>
          <w:p>
            <w:pPr>
              <w:pStyle w:val="TableParagraph"/>
              <w:spacing w:before="35"/>
              <w:ind w:left="159"/>
              <w:rPr>
                <w:sz w:val="13"/>
              </w:rPr>
            </w:pPr>
            <w:r>
              <w:rPr>
                <w:sz w:val="13"/>
              </w:rPr>
              <w:t>23.7</w:t>
            </w:r>
          </w:p>
        </w:tc>
        <w:tc>
          <w:tcPr>
            <w:tcW w:w="738" w:type="dxa"/>
            <w:tcBorders>
              <w:bottom w:val="single" w:sz="4" w:space="0" w:color="000000"/>
            </w:tcBorders>
          </w:tcPr>
          <w:p>
            <w:pPr>
              <w:pStyle w:val="TableParagraph"/>
              <w:spacing w:before="35"/>
              <w:ind w:left="155"/>
              <w:rPr>
                <w:sz w:val="13"/>
              </w:rPr>
            </w:pPr>
            <w:r>
              <w:rPr>
                <w:sz w:val="13"/>
              </w:rPr>
              <w:t>25.8</w:t>
            </w:r>
          </w:p>
        </w:tc>
        <w:tc>
          <w:tcPr>
            <w:tcW w:w="738" w:type="dxa"/>
            <w:tcBorders>
              <w:bottom w:val="single" w:sz="4" w:space="0" w:color="000000"/>
            </w:tcBorders>
          </w:tcPr>
          <w:p>
            <w:pPr>
              <w:pStyle w:val="TableParagraph"/>
              <w:spacing w:before="35"/>
              <w:ind w:left="157"/>
              <w:rPr>
                <w:sz w:val="13"/>
              </w:rPr>
            </w:pPr>
            <w:r>
              <w:rPr>
                <w:sz w:val="13"/>
              </w:rPr>
              <w:t>28.0</w:t>
            </w:r>
          </w:p>
        </w:tc>
        <w:tc>
          <w:tcPr>
            <w:tcW w:w="738" w:type="dxa"/>
            <w:tcBorders>
              <w:bottom w:val="single" w:sz="4" w:space="0" w:color="000000"/>
            </w:tcBorders>
          </w:tcPr>
          <w:p>
            <w:pPr>
              <w:pStyle w:val="TableParagraph"/>
              <w:spacing w:before="35"/>
              <w:ind w:left="154"/>
              <w:rPr>
                <w:sz w:val="13"/>
              </w:rPr>
            </w:pPr>
            <w:r>
              <w:rPr>
                <w:sz w:val="13"/>
              </w:rPr>
              <w:t>30.3</w:t>
            </w:r>
          </w:p>
        </w:tc>
        <w:tc>
          <w:tcPr>
            <w:tcW w:w="808" w:type="dxa"/>
            <w:tcBorders>
              <w:bottom w:val="single" w:sz="4" w:space="0" w:color="000000"/>
            </w:tcBorders>
          </w:tcPr>
          <w:p>
            <w:pPr>
              <w:pStyle w:val="TableParagraph"/>
              <w:spacing w:before="35"/>
              <w:ind w:left="155"/>
              <w:rPr>
                <w:sz w:val="13"/>
              </w:rPr>
            </w:pPr>
            <w:r>
              <w:rPr>
                <w:sz w:val="13"/>
              </w:rPr>
              <w:t>32.6</w:t>
            </w:r>
          </w:p>
        </w:tc>
      </w:tr>
      <w:tr>
        <w:trPr>
          <w:trHeight w:val="189" w:hRule="atLeast"/>
        </w:trPr>
        <w:tc>
          <w:tcPr>
            <w:tcW w:w="2543" w:type="dxa"/>
            <w:tcBorders>
              <w:top w:val="single" w:sz="4" w:space="0" w:color="000000"/>
            </w:tcBorders>
          </w:tcPr>
          <w:p>
            <w:pPr>
              <w:pStyle w:val="TableParagraph"/>
              <w:spacing w:line="165" w:lineRule="exact" w:before="4"/>
              <w:ind w:left="215"/>
              <w:rPr>
                <w:rFonts w:ascii="PMingLiU" w:eastAsia="PMingLiU" w:hint="eastAsia"/>
                <w:sz w:val="13"/>
              </w:rPr>
            </w:pPr>
            <w:r>
              <w:rPr>
                <w:sz w:val="13"/>
              </w:rPr>
              <w:t>2L+ r/r LBCL </w:t>
            </w:r>
            <w:r>
              <w:rPr>
                <w:rFonts w:ascii="PMingLiU" w:eastAsia="PMingLiU" w:hint="eastAsia"/>
                <w:sz w:val="13"/>
              </w:rPr>
              <w:t>患病人数</w:t>
            </w:r>
          </w:p>
        </w:tc>
        <w:tc>
          <w:tcPr>
            <w:tcW w:w="642" w:type="dxa"/>
            <w:tcBorders>
              <w:top w:val="single" w:sz="4" w:space="0" w:color="000000"/>
            </w:tcBorders>
          </w:tcPr>
          <w:p>
            <w:pPr>
              <w:pStyle w:val="TableParagraph"/>
              <w:spacing w:line="147" w:lineRule="exact" w:before="22"/>
              <w:ind w:left="107"/>
              <w:rPr>
                <w:sz w:val="13"/>
              </w:rPr>
            </w:pPr>
            <w:r>
              <w:rPr>
                <w:sz w:val="13"/>
              </w:rPr>
              <w:t>75.2</w:t>
            </w:r>
          </w:p>
        </w:tc>
        <w:tc>
          <w:tcPr>
            <w:tcW w:w="738" w:type="dxa"/>
            <w:tcBorders>
              <w:top w:val="single" w:sz="4" w:space="0" w:color="000000"/>
            </w:tcBorders>
          </w:tcPr>
          <w:p>
            <w:pPr>
              <w:pStyle w:val="TableParagraph"/>
              <w:spacing w:line="147" w:lineRule="exact" w:before="22"/>
              <w:ind w:left="115" w:right="186"/>
              <w:jc w:val="center"/>
              <w:rPr>
                <w:sz w:val="13"/>
              </w:rPr>
            </w:pPr>
            <w:r>
              <w:rPr>
                <w:sz w:val="13"/>
              </w:rPr>
              <w:t>86.6</w:t>
            </w:r>
          </w:p>
        </w:tc>
        <w:tc>
          <w:tcPr>
            <w:tcW w:w="774" w:type="dxa"/>
            <w:tcBorders>
              <w:top w:val="single" w:sz="4" w:space="0" w:color="000000"/>
            </w:tcBorders>
          </w:tcPr>
          <w:p>
            <w:pPr>
              <w:pStyle w:val="TableParagraph"/>
              <w:spacing w:line="147" w:lineRule="exact" w:before="22"/>
              <w:ind w:left="201"/>
              <w:rPr>
                <w:sz w:val="13"/>
              </w:rPr>
            </w:pPr>
            <w:r>
              <w:rPr>
                <w:sz w:val="13"/>
              </w:rPr>
              <w:t>98.4</w:t>
            </w:r>
          </w:p>
        </w:tc>
        <w:tc>
          <w:tcPr>
            <w:tcW w:w="761" w:type="dxa"/>
            <w:tcBorders>
              <w:top w:val="single" w:sz="4" w:space="0" w:color="000000"/>
            </w:tcBorders>
          </w:tcPr>
          <w:p>
            <w:pPr>
              <w:pStyle w:val="TableParagraph"/>
              <w:spacing w:line="147" w:lineRule="exact" w:before="22"/>
              <w:ind w:left="167"/>
              <w:rPr>
                <w:sz w:val="13"/>
              </w:rPr>
            </w:pPr>
            <w:r>
              <w:rPr>
                <w:sz w:val="13"/>
              </w:rPr>
              <w:t>110.4</w:t>
            </w:r>
          </w:p>
        </w:tc>
        <w:tc>
          <w:tcPr>
            <w:tcW w:w="723" w:type="dxa"/>
            <w:tcBorders>
              <w:top w:val="single" w:sz="4" w:space="0" w:color="000000"/>
            </w:tcBorders>
          </w:tcPr>
          <w:p>
            <w:pPr>
              <w:pStyle w:val="TableParagraph"/>
              <w:spacing w:line="147" w:lineRule="exact" w:before="22"/>
              <w:ind w:left="145"/>
              <w:rPr>
                <w:sz w:val="13"/>
              </w:rPr>
            </w:pPr>
            <w:r>
              <w:rPr>
                <w:sz w:val="13"/>
              </w:rPr>
              <w:t>122.8</w:t>
            </w:r>
          </w:p>
        </w:tc>
        <w:tc>
          <w:tcPr>
            <w:tcW w:w="738" w:type="dxa"/>
            <w:tcBorders>
              <w:top w:val="single" w:sz="4" w:space="0" w:color="000000"/>
            </w:tcBorders>
          </w:tcPr>
          <w:p>
            <w:pPr>
              <w:pStyle w:val="TableParagraph"/>
              <w:spacing w:line="147" w:lineRule="exact" w:before="22"/>
              <w:ind w:left="157"/>
              <w:rPr>
                <w:sz w:val="13"/>
              </w:rPr>
            </w:pPr>
            <w:r>
              <w:rPr>
                <w:sz w:val="13"/>
              </w:rPr>
              <w:t>135.5</w:t>
            </w:r>
          </w:p>
        </w:tc>
        <w:tc>
          <w:tcPr>
            <w:tcW w:w="738" w:type="dxa"/>
            <w:tcBorders>
              <w:top w:val="single" w:sz="4" w:space="0" w:color="000000"/>
            </w:tcBorders>
          </w:tcPr>
          <w:p>
            <w:pPr>
              <w:pStyle w:val="TableParagraph"/>
              <w:spacing w:line="147" w:lineRule="exact" w:before="22"/>
              <w:ind w:left="159"/>
              <w:rPr>
                <w:sz w:val="13"/>
              </w:rPr>
            </w:pPr>
            <w:r>
              <w:rPr>
                <w:sz w:val="13"/>
              </w:rPr>
              <w:t>148.6</w:t>
            </w:r>
          </w:p>
        </w:tc>
        <w:tc>
          <w:tcPr>
            <w:tcW w:w="738" w:type="dxa"/>
            <w:tcBorders>
              <w:top w:val="single" w:sz="4" w:space="0" w:color="000000"/>
            </w:tcBorders>
          </w:tcPr>
          <w:p>
            <w:pPr>
              <w:pStyle w:val="TableParagraph"/>
              <w:spacing w:line="147" w:lineRule="exact" w:before="22"/>
              <w:ind w:left="155"/>
              <w:rPr>
                <w:sz w:val="13"/>
              </w:rPr>
            </w:pPr>
            <w:r>
              <w:rPr>
                <w:sz w:val="13"/>
              </w:rPr>
              <w:t>162.1</w:t>
            </w:r>
          </w:p>
        </w:tc>
        <w:tc>
          <w:tcPr>
            <w:tcW w:w="738" w:type="dxa"/>
            <w:tcBorders>
              <w:top w:val="single" w:sz="4" w:space="0" w:color="000000"/>
            </w:tcBorders>
          </w:tcPr>
          <w:p>
            <w:pPr>
              <w:pStyle w:val="TableParagraph"/>
              <w:spacing w:line="147" w:lineRule="exact" w:before="22"/>
              <w:ind w:left="157"/>
              <w:rPr>
                <w:sz w:val="13"/>
              </w:rPr>
            </w:pPr>
            <w:r>
              <w:rPr>
                <w:sz w:val="13"/>
              </w:rPr>
              <w:t>175.9</w:t>
            </w:r>
          </w:p>
        </w:tc>
        <w:tc>
          <w:tcPr>
            <w:tcW w:w="738" w:type="dxa"/>
            <w:tcBorders>
              <w:top w:val="single" w:sz="4" w:space="0" w:color="000000"/>
            </w:tcBorders>
          </w:tcPr>
          <w:p>
            <w:pPr>
              <w:pStyle w:val="TableParagraph"/>
              <w:spacing w:line="147" w:lineRule="exact" w:before="22"/>
              <w:ind w:left="154"/>
              <w:rPr>
                <w:sz w:val="13"/>
              </w:rPr>
            </w:pPr>
            <w:r>
              <w:rPr>
                <w:sz w:val="13"/>
              </w:rPr>
              <w:t>190.1</w:t>
            </w:r>
          </w:p>
        </w:tc>
        <w:tc>
          <w:tcPr>
            <w:tcW w:w="808" w:type="dxa"/>
            <w:tcBorders>
              <w:top w:val="single" w:sz="4" w:space="0" w:color="000000"/>
            </w:tcBorders>
          </w:tcPr>
          <w:p>
            <w:pPr>
              <w:pStyle w:val="TableParagraph"/>
              <w:spacing w:line="147" w:lineRule="exact" w:before="22"/>
              <w:ind w:left="155"/>
              <w:rPr>
                <w:sz w:val="13"/>
              </w:rPr>
            </w:pPr>
            <w:r>
              <w:rPr>
                <w:sz w:val="13"/>
              </w:rPr>
              <w:t>204.7</w:t>
            </w:r>
          </w:p>
        </w:tc>
      </w:tr>
      <w:tr>
        <w:trPr>
          <w:trHeight w:val="199" w:hRule="atLeast"/>
        </w:trPr>
        <w:tc>
          <w:tcPr>
            <w:tcW w:w="2543" w:type="dxa"/>
          </w:tcPr>
          <w:p>
            <w:pPr>
              <w:pStyle w:val="TableParagraph"/>
              <w:spacing w:line="167" w:lineRule="exact" w:before="12"/>
              <w:ind w:left="215"/>
              <w:rPr>
                <w:rFonts w:ascii="PMingLiU" w:eastAsia="PMingLiU" w:hint="eastAsia"/>
                <w:sz w:val="13"/>
              </w:rPr>
            </w:pPr>
            <w:r>
              <w:rPr>
                <w:sz w:val="13"/>
              </w:rPr>
              <w:t>2L+ r/r MZL/FL </w:t>
            </w:r>
            <w:r>
              <w:rPr>
                <w:rFonts w:ascii="PMingLiU" w:eastAsia="PMingLiU" w:hint="eastAsia"/>
                <w:sz w:val="13"/>
              </w:rPr>
              <w:t>患病人数</w:t>
            </w:r>
          </w:p>
        </w:tc>
        <w:tc>
          <w:tcPr>
            <w:tcW w:w="642" w:type="dxa"/>
          </w:tcPr>
          <w:p>
            <w:pPr>
              <w:pStyle w:val="TableParagraph"/>
              <w:spacing w:before="29"/>
              <w:ind w:left="107"/>
              <w:rPr>
                <w:sz w:val="13"/>
              </w:rPr>
            </w:pPr>
            <w:r>
              <w:rPr>
                <w:sz w:val="13"/>
              </w:rPr>
              <w:t>8.2</w:t>
            </w:r>
          </w:p>
        </w:tc>
        <w:tc>
          <w:tcPr>
            <w:tcW w:w="738" w:type="dxa"/>
          </w:tcPr>
          <w:p>
            <w:pPr>
              <w:pStyle w:val="TableParagraph"/>
              <w:spacing w:before="29"/>
              <w:ind w:left="43" w:right="186"/>
              <w:jc w:val="center"/>
              <w:rPr>
                <w:sz w:val="13"/>
              </w:rPr>
            </w:pPr>
            <w:r>
              <w:rPr>
                <w:sz w:val="13"/>
              </w:rPr>
              <w:t>9.4</w:t>
            </w:r>
          </w:p>
        </w:tc>
        <w:tc>
          <w:tcPr>
            <w:tcW w:w="774" w:type="dxa"/>
          </w:tcPr>
          <w:p>
            <w:pPr>
              <w:pStyle w:val="TableParagraph"/>
              <w:spacing w:before="29"/>
              <w:ind w:left="201"/>
              <w:rPr>
                <w:sz w:val="13"/>
              </w:rPr>
            </w:pPr>
            <w:r>
              <w:rPr>
                <w:sz w:val="13"/>
              </w:rPr>
              <w:t>10.7</w:t>
            </w:r>
          </w:p>
        </w:tc>
        <w:tc>
          <w:tcPr>
            <w:tcW w:w="761" w:type="dxa"/>
          </w:tcPr>
          <w:p>
            <w:pPr>
              <w:pStyle w:val="TableParagraph"/>
              <w:spacing w:before="29"/>
              <w:ind w:left="167"/>
              <w:rPr>
                <w:sz w:val="13"/>
              </w:rPr>
            </w:pPr>
            <w:r>
              <w:rPr>
                <w:sz w:val="13"/>
              </w:rPr>
              <w:t>12.0</w:t>
            </w:r>
          </w:p>
        </w:tc>
        <w:tc>
          <w:tcPr>
            <w:tcW w:w="723" w:type="dxa"/>
          </w:tcPr>
          <w:p>
            <w:pPr>
              <w:pStyle w:val="TableParagraph"/>
              <w:spacing w:before="29"/>
              <w:ind w:left="145"/>
              <w:rPr>
                <w:sz w:val="13"/>
              </w:rPr>
            </w:pPr>
            <w:r>
              <w:rPr>
                <w:sz w:val="13"/>
              </w:rPr>
              <w:t>13.3</w:t>
            </w:r>
          </w:p>
        </w:tc>
        <w:tc>
          <w:tcPr>
            <w:tcW w:w="738" w:type="dxa"/>
          </w:tcPr>
          <w:p>
            <w:pPr>
              <w:pStyle w:val="TableParagraph"/>
              <w:spacing w:before="29"/>
              <w:ind w:left="157"/>
              <w:rPr>
                <w:sz w:val="13"/>
              </w:rPr>
            </w:pPr>
            <w:r>
              <w:rPr>
                <w:sz w:val="13"/>
              </w:rPr>
              <w:t>14.7</w:t>
            </w:r>
          </w:p>
        </w:tc>
        <w:tc>
          <w:tcPr>
            <w:tcW w:w="738" w:type="dxa"/>
          </w:tcPr>
          <w:p>
            <w:pPr>
              <w:pStyle w:val="TableParagraph"/>
              <w:spacing w:before="29"/>
              <w:ind w:left="159"/>
              <w:rPr>
                <w:sz w:val="13"/>
              </w:rPr>
            </w:pPr>
            <w:r>
              <w:rPr>
                <w:sz w:val="13"/>
              </w:rPr>
              <w:t>16.1</w:t>
            </w:r>
          </w:p>
        </w:tc>
        <w:tc>
          <w:tcPr>
            <w:tcW w:w="738" w:type="dxa"/>
          </w:tcPr>
          <w:p>
            <w:pPr>
              <w:pStyle w:val="TableParagraph"/>
              <w:spacing w:before="29"/>
              <w:ind w:left="155"/>
              <w:rPr>
                <w:sz w:val="13"/>
              </w:rPr>
            </w:pPr>
            <w:r>
              <w:rPr>
                <w:sz w:val="13"/>
              </w:rPr>
              <w:t>17.6</w:t>
            </w:r>
          </w:p>
        </w:tc>
        <w:tc>
          <w:tcPr>
            <w:tcW w:w="738" w:type="dxa"/>
          </w:tcPr>
          <w:p>
            <w:pPr>
              <w:pStyle w:val="TableParagraph"/>
              <w:spacing w:before="29"/>
              <w:ind w:left="157"/>
              <w:rPr>
                <w:sz w:val="13"/>
              </w:rPr>
            </w:pPr>
            <w:r>
              <w:rPr>
                <w:sz w:val="13"/>
              </w:rPr>
              <w:t>19.1</w:t>
            </w:r>
          </w:p>
        </w:tc>
        <w:tc>
          <w:tcPr>
            <w:tcW w:w="738" w:type="dxa"/>
          </w:tcPr>
          <w:p>
            <w:pPr>
              <w:pStyle w:val="TableParagraph"/>
              <w:spacing w:before="29"/>
              <w:ind w:left="154"/>
              <w:rPr>
                <w:sz w:val="13"/>
              </w:rPr>
            </w:pPr>
            <w:r>
              <w:rPr>
                <w:sz w:val="13"/>
              </w:rPr>
              <w:t>20.7</w:t>
            </w:r>
          </w:p>
        </w:tc>
        <w:tc>
          <w:tcPr>
            <w:tcW w:w="808" w:type="dxa"/>
          </w:tcPr>
          <w:p>
            <w:pPr>
              <w:pStyle w:val="TableParagraph"/>
              <w:spacing w:before="29"/>
              <w:ind w:left="155"/>
              <w:rPr>
                <w:sz w:val="13"/>
              </w:rPr>
            </w:pPr>
            <w:r>
              <w:rPr>
                <w:sz w:val="13"/>
              </w:rPr>
              <w:t>22.2</w:t>
            </w:r>
          </w:p>
        </w:tc>
      </w:tr>
      <w:tr>
        <w:trPr>
          <w:trHeight w:val="199" w:hRule="atLeast"/>
        </w:trPr>
        <w:tc>
          <w:tcPr>
            <w:tcW w:w="2543" w:type="dxa"/>
          </w:tcPr>
          <w:p>
            <w:pPr>
              <w:pStyle w:val="TableParagraph"/>
              <w:spacing w:line="165" w:lineRule="exact" w:before="14"/>
              <w:ind w:left="215"/>
              <w:rPr>
                <w:rFonts w:ascii="PMingLiU" w:eastAsia="PMingLiU" w:hint="eastAsia"/>
                <w:sz w:val="13"/>
              </w:rPr>
            </w:pPr>
            <w:r>
              <w:rPr>
                <w:sz w:val="13"/>
              </w:rPr>
              <w:t>2L+ r/r MCL </w:t>
            </w:r>
            <w:r>
              <w:rPr>
                <w:rFonts w:ascii="PMingLiU" w:eastAsia="PMingLiU" w:hint="eastAsia"/>
                <w:sz w:val="13"/>
              </w:rPr>
              <w:t>患病人数</w:t>
            </w:r>
          </w:p>
        </w:tc>
        <w:tc>
          <w:tcPr>
            <w:tcW w:w="642" w:type="dxa"/>
          </w:tcPr>
          <w:p>
            <w:pPr>
              <w:pStyle w:val="TableParagraph"/>
              <w:spacing w:before="27"/>
              <w:ind w:left="107"/>
              <w:rPr>
                <w:sz w:val="13"/>
              </w:rPr>
            </w:pPr>
            <w:r>
              <w:rPr>
                <w:sz w:val="13"/>
              </w:rPr>
              <w:t>4.9</w:t>
            </w:r>
          </w:p>
        </w:tc>
        <w:tc>
          <w:tcPr>
            <w:tcW w:w="738" w:type="dxa"/>
          </w:tcPr>
          <w:p>
            <w:pPr>
              <w:pStyle w:val="TableParagraph"/>
              <w:spacing w:before="27"/>
              <w:ind w:left="43" w:right="186"/>
              <w:jc w:val="center"/>
              <w:rPr>
                <w:sz w:val="13"/>
              </w:rPr>
            </w:pPr>
            <w:r>
              <w:rPr>
                <w:sz w:val="13"/>
              </w:rPr>
              <w:t>5.7</w:t>
            </w:r>
          </w:p>
        </w:tc>
        <w:tc>
          <w:tcPr>
            <w:tcW w:w="774" w:type="dxa"/>
          </w:tcPr>
          <w:p>
            <w:pPr>
              <w:pStyle w:val="TableParagraph"/>
              <w:spacing w:before="27"/>
              <w:ind w:left="201"/>
              <w:rPr>
                <w:sz w:val="13"/>
              </w:rPr>
            </w:pPr>
            <w:r>
              <w:rPr>
                <w:sz w:val="13"/>
              </w:rPr>
              <w:t>6.4</w:t>
            </w:r>
          </w:p>
        </w:tc>
        <w:tc>
          <w:tcPr>
            <w:tcW w:w="761" w:type="dxa"/>
          </w:tcPr>
          <w:p>
            <w:pPr>
              <w:pStyle w:val="TableParagraph"/>
              <w:spacing w:before="27"/>
              <w:ind w:left="167"/>
              <w:rPr>
                <w:sz w:val="13"/>
              </w:rPr>
            </w:pPr>
            <w:r>
              <w:rPr>
                <w:sz w:val="13"/>
              </w:rPr>
              <w:t>7.2</w:t>
            </w:r>
          </w:p>
        </w:tc>
        <w:tc>
          <w:tcPr>
            <w:tcW w:w="723" w:type="dxa"/>
          </w:tcPr>
          <w:p>
            <w:pPr>
              <w:pStyle w:val="TableParagraph"/>
              <w:spacing w:before="27"/>
              <w:ind w:left="145"/>
              <w:rPr>
                <w:sz w:val="13"/>
              </w:rPr>
            </w:pPr>
            <w:r>
              <w:rPr>
                <w:sz w:val="13"/>
              </w:rPr>
              <w:t>8.0</w:t>
            </w:r>
          </w:p>
        </w:tc>
        <w:tc>
          <w:tcPr>
            <w:tcW w:w="738" w:type="dxa"/>
          </w:tcPr>
          <w:p>
            <w:pPr>
              <w:pStyle w:val="TableParagraph"/>
              <w:spacing w:before="27"/>
              <w:ind w:left="157"/>
              <w:rPr>
                <w:sz w:val="13"/>
              </w:rPr>
            </w:pPr>
            <w:r>
              <w:rPr>
                <w:sz w:val="13"/>
              </w:rPr>
              <w:t>8.9</w:t>
            </w:r>
          </w:p>
        </w:tc>
        <w:tc>
          <w:tcPr>
            <w:tcW w:w="738" w:type="dxa"/>
          </w:tcPr>
          <w:p>
            <w:pPr>
              <w:pStyle w:val="TableParagraph"/>
              <w:spacing w:before="27"/>
              <w:ind w:left="159"/>
              <w:rPr>
                <w:sz w:val="13"/>
              </w:rPr>
            </w:pPr>
            <w:r>
              <w:rPr>
                <w:sz w:val="13"/>
              </w:rPr>
              <w:t>9.7</w:t>
            </w:r>
          </w:p>
        </w:tc>
        <w:tc>
          <w:tcPr>
            <w:tcW w:w="738" w:type="dxa"/>
          </w:tcPr>
          <w:p>
            <w:pPr>
              <w:pStyle w:val="TableParagraph"/>
              <w:spacing w:before="27"/>
              <w:ind w:left="155"/>
              <w:rPr>
                <w:sz w:val="13"/>
              </w:rPr>
            </w:pPr>
            <w:r>
              <w:rPr>
                <w:sz w:val="13"/>
              </w:rPr>
              <w:t>10.6</w:t>
            </w:r>
          </w:p>
        </w:tc>
        <w:tc>
          <w:tcPr>
            <w:tcW w:w="738" w:type="dxa"/>
          </w:tcPr>
          <w:p>
            <w:pPr>
              <w:pStyle w:val="TableParagraph"/>
              <w:spacing w:before="27"/>
              <w:ind w:left="157"/>
              <w:rPr>
                <w:sz w:val="13"/>
              </w:rPr>
            </w:pPr>
            <w:r>
              <w:rPr>
                <w:sz w:val="13"/>
              </w:rPr>
              <w:t>11.5</w:t>
            </w:r>
          </w:p>
        </w:tc>
        <w:tc>
          <w:tcPr>
            <w:tcW w:w="738" w:type="dxa"/>
          </w:tcPr>
          <w:p>
            <w:pPr>
              <w:pStyle w:val="TableParagraph"/>
              <w:spacing w:before="27"/>
              <w:ind w:left="154"/>
              <w:rPr>
                <w:sz w:val="13"/>
              </w:rPr>
            </w:pPr>
            <w:r>
              <w:rPr>
                <w:sz w:val="13"/>
              </w:rPr>
              <w:t>12.4</w:t>
            </w:r>
          </w:p>
        </w:tc>
        <w:tc>
          <w:tcPr>
            <w:tcW w:w="808" w:type="dxa"/>
          </w:tcPr>
          <w:p>
            <w:pPr>
              <w:pStyle w:val="TableParagraph"/>
              <w:spacing w:before="27"/>
              <w:ind w:left="155"/>
              <w:rPr>
                <w:sz w:val="13"/>
              </w:rPr>
            </w:pPr>
            <w:r>
              <w:rPr>
                <w:sz w:val="13"/>
              </w:rPr>
              <w:t>13.4</w:t>
            </w:r>
          </w:p>
        </w:tc>
      </w:tr>
      <w:tr>
        <w:trPr>
          <w:trHeight w:val="199" w:hRule="atLeast"/>
        </w:trPr>
        <w:tc>
          <w:tcPr>
            <w:tcW w:w="2543" w:type="dxa"/>
            <w:tcBorders>
              <w:bottom w:val="single" w:sz="4" w:space="0" w:color="000000"/>
            </w:tcBorders>
          </w:tcPr>
          <w:p>
            <w:pPr>
              <w:pStyle w:val="TableParagraph"/>
              <w:spacing w:line="167" w:lineRule="exact" w:before="12"/>
              <w:ind w:left="215"/>
              <w:rPr>
                <w:rFonts w:ascii="PMingLiU" w:eastAsia="PMingLiU" w:hint="eastAsia"/>
                <w:sz w:val="13"/>
              </w:rPr>
            </w:pPr>
            <w:r>
              <w:rPr>
                <w:sz w:val="13"/>
              </w:rPr>
              <w:t>2L+ r/r CLL/SLL </w:t>
            </w:r>
            <w:r>
              <w:rPr>
                <w:rFonts w:ascii="PMingLiU" w:eastAsia="PMingLiU" w:hint="eastAsia"/>
                <w:sz w:val="13"/>
              </w:rPr>
              <w:t>患病人数</w:t>
            </w:r>
          </w:p>
        </w:tc>
        <w:tc>
          <w:tcPr>
            <w:tcW w:w="642" w:type="dxa"/>
            <w:tcBorders>
              <w:bottom w:val="single" w:sz="4" w:space="0" w:color="000000"/>
            </w:tcBorders>
          </w:tcPr>
          <w:p>
            <w:pPr>
              <w:pStyle w:val="TableParagraph"/>
              <w:spacing w:before="24"/>
              <w:ind w:left="107"/>
              <w:rPr>
                <w:sz w:val="13"/>
              </w:rPr>
            </w:pPr>
            <w:r>
              <w:rPr>
                <w:sz w:val="13"/>
              </w:rPr>
              <w:t>6.2</w:t>
            </w:r>
          </w:p>
        </w:tc>
        <w:tc>
          <w:tcPr>
            <w:tcW w:w="738" w:type="dxa"/>
            <w:tcBorders>
              <w:bottom w:val="single" w:sz="4" w:space="0" w:color="000000"/>
            </w:tcBorders>
          </w:tcPr>
          <w:p>
            <w:pPr>
              <w:pStyle w:val="TableParagraph"/>
              <w:spacing w:before="24"/>
              <w:ind w:left="43" w:right="186"/>
              <w:jc w:val="center"/>
              <w:rPr>
                <w:sz w:val="13"/>
              </w:rPr>
            </w:pPr>
            <w:r>
              <w:rPr>
                <w:sz w:val="13"/>
              </w:rPr>
              <w:t>7.1</w:t>
            </w:r>
          </w:p>
        </w:tc>
        <w:tc>
          <w:tcPr>
            <w:tcW w:w="774" w:type="dxa"/>
            <w:tcBorders>
              <w:bottom w:val="single" w:sz="4" w:space="0" w:color="000000"/>
            </w:tcBorders>
          </w:tcPr>
          <w:p>
            <w:pPr>
              <w:pStyle w:val="TableParagraph"/>
              <w:spacing w:before="24"/>
              <w:ind w:left="201"/>
              <w:rPr>
                <w:sz w:val="13"/>
              </w:rPr>
            </w:pPr>
            <w:r>
              <w:rPr>
                <w:sz w:val="13"/>
              </w:rPr>
              <w:t>8.1</w:t>
            </w:r>
          </w:p>
        </w:tc>
        <w:tc>
          <w:tcPr>
            <w:tcW w:w="761" w:type="dxa"/>
            <w:tcBorders>
              <w:bottom w:val="single" w:sz="4" w:space="0" w:color="000000"/>
            </w:tcBorders>
          </w:tcPr>
          <w:p>
            <w:pPr>
              <w:pStyle w:val="TableParagraph"/>
              <w:spacing w:before="24"/>
              <w:ind w:left="167"/>
              <w:rPr>
                <w:sz w:val="13"/>
              </w:rPr>
            </w:pPr>
            <w:r>
              <w:rPr>
                <w:sz w:val="13"/>
              </w:rPr>
              <w:t>9.1</w:t>
            </w:r>
          </w:p>
        </w:tc>
        <w:tc>
          <w:tcPr>
            <w:tcW w:w="723" w:type="dxa"/>
            <w:tcBorders>
              <w:bottom w:val="single" w:sz="4" w:space="0" w:color="000000"/>
            </w:tcBorders>
          </w:tcPr>
          <w:p>
            <w:pPr>
              <w:pStyle w:val="TableParagraph"/>
              <w:spacing w:before="24"/>
              <w:ind w:left="145"/>
              <w:rPr>
                <w:sz w:val="13"/>
              </w:rPr>
            </w:pPr>
            <w:r>
              <w:rPr>
                <w:sz w:val="13"/>
              </w:rPr>
              <w:t>10.1</w:t>
            </w:r>
          </w:p>
        </w:tc>
        <w:tc>
          <w:tcPr>
            <w:tcW w:w="738" w:type="dxa"/>
            <w:tcBorders>
              <w:bottom w:val="single" w:sz="4" w:space="0" w:color="000000"/>
            </w:tcBorders>
          </w:tcPr>
          <w:p>
            <w:pPr>
              <w:pStyle w:val="TableParagraph"/>
              <w:spacing w:before="24"/>
              <w:ind w:left="157"/>
              <w:rPr>
                <w:sz w:val="13"/>
              </w:rPr>
            </w:pPr>
            <w:r>
              <w:rPr>
                <w:sz w:val="13"/>
              </w:rPr>
              <w:t>11.1</w:t>
            </w:r>
          </w:p>
        </w:tc>
        <w:tc>
          <w:tcPr>
            <w:tcW w:w="738" w:type="dxa"/>
            <w:tcBorders>
              <w:bottom w:val="single" w:sz="4" w:space="0" w:color="000000"/>
            </w:tcBorders>
          </w:tcPr>
          <w:p>
            <w:pPr>
              <w:pStyle w:val="TableParagraph"/>
              <w:spacing w:before="24"/>
              <w:ind w:left="159"/>
              <w:rPr>
                <w:sz w:val="13"/>
              </w:rPr>
            </w:pPr>
            <w:r>
              <w:rPr>
                <w:sz w:val="13"/>
              </w:rPr>
              <w:t>12.2</w:t>
            </w:r>
          </w:p>
        </w:tc>
        <w:tc>
          <w:tcPr>
            <w:tcW w:w="738" w:type="dxa"/>
            <w:tcBorders>
              <w:bottom w:val="single" w:sz="4" w:space="0" w:color="000000"/>
            </w:tcBorders>
          </w:tcPr>
          <w:p>
            <w:pPr>
              <w:pStyle w:val="TableParagraph"/>
              <w:spacing w:before="24"/>
              <w:ind w:left="155"/>
              <w:rPr>
                <w:sz w:val="13"/>
              </w:rPr>
            </w:pPr>
            <w:r>
              <w:rPr>
                <w:sz w:val="13"/>
              </w:rPr>
              <w:t>13.3</w:t>
            </w:r>
          </w:p>
        </w:tc>
        <w:tc>
          <w:tcPr>
            <w:tcW w:w="738" w:type="dxa"/>
            <w:tcBorders>
              <w:bottom w:val="single" w:sz="4" w:space="0" w:color="000000"/>
            </w:tcBorders>
          </w:tcPr>
          <w:p>
            <w:pPr>
              <w:pStyle w:val="TableParagraph"/>
              <w:spacing w:before="24"/>
              <w:ind w:left="157"/>
              <w:rPr>
                <w:sz w:val="13"/>
              </w:rPr>
            </w:pPr>
            <w:r>
              <w:rPr>
                <w:sz w:val="13"/>
              </w:rPr>
              <w:t>14.5</w:t>
            </w:r>
          </w:p>
        </w:tc>
        <w:tc>
          <w:tcPr>
            <w:tcW w:w="738" w:type="dxa"/>
            <w:tcBorders>
              <w:bottom w:val="single" w:sz="4" w:space="0" w:color="000000"/>
            </w:tcBorders>
          </w:tcPr>
          <w:p>
            <w:pPr>
              <w:pStyle w:val="TableParagraph"/>
              <w:spacing w:before="24"/>
              <w:ind w:left="154"/>
              <w:rPr>
                <w:sz w:val="13"/>
              </w:rPr>
            </w:pPr>
            <w:r>
              <w:rPr>
                <w:sz w:val="13"/>
              </w:rPr>
              <w:t>15.6</w:t>
            </w:r>
          </w:p>
        </w:tc>
        <w:tc>
          <w:tcPr>
            <w:tcW w:w="808" w:type="dxa"/>
            <w:tcBorders>
              <w:bottom w:val="single" w:sz="4" w:space="0" w:color="000000"/>
            </w:tcBorders>
          </w:tcPr>
          <w:p>
            <w:pPr>
              <w:pStyle w:val="TableParagraph"/>
              <w:spacing w:before="24"/>
              <w:ind w:left="155"/>
              <w:rPr>
                <w:sz w:val="13"/>
              </w:rPr>
            </w:pPr>
            <w:r>
              <w:rPr>
                <w:sz w:val="13"/>
              </w:rPr>
              <w:t>16.8</w:t>
            </w:r>
          </w:p>
        </w:tc>
      </w:tr>
      <w:tr>
        <w:trPr>
          <w:trHeight w:val="193" w:hRule="atLeast"/>
        </w:trPr>
        <w:tc>
          <w:tcPr>
            <w:tcW w:w="2543" w:type="dxa"/>
            <w:tcBorders>
              <w:top w:val="single" w:sz="4" w:space="0" w:color="000000"/>
            </w:tcBorders>
          </w:tcPr>
          <w:p>
            <w:pPr>
              <w:pStyle w:val="TableParagraph"/>
              <w:spacing w:line="165" w:lineRule="exact" w:before="9"/>
              <w:ind w:left="215"/>
              <w:rPr>
                <w:rFonts w:ascii="PMingLiU" w:eastAsia="PMingLiU" w:hint="eastAsia"/>
                <w:sz w:val="13"/>
              </w:rPr>
            </w:pPr>
            <w:r>
              <w:rPr>
                <w:sz w:val="13"/>
              </w:rPr>
              <w:t>3L+ r/r LBCL </w:t>
            </w:r>
            <w:r>
              <w:rPr>
                <w:rFonts w:ascii="PMingLiU" w:eastAsia="PMingLiU" w:hint="eastAsia"/>
                <w:sz w:val="13"/>
              </w:rPr>
              <w:t>患病人数</w:t>
            </w:r>
          </w:p>
        </w:tc>
        <w:tc>
          <w:tcPr>
            <w:tcW w:w="642" w:type="dxa"/>
            <w:tcBorders>
              <w:top w:val="single" w:sz="4" w:space="0" w:color="000000"/>
            </w:tcBorders>
          </w:tcPr>
          <w:p>
            <w:pPr>
              <w:pStyle w:val="TableParagraph"/>
              <w:spacing w:before="22"/>
              <w:ind w:left="107"/>
              <w:rPr>
                <w:sz w:val="13"/>
              </w:rPr>
            </w:pPr>
            <w:r>
              <w:rPr>
                <w:sz w:val="13"/>
              </w:rPr>
              <w:t>29.4</w:t>
            </w:r>
          </w:p>
        </w:tc>
        <w:tc>
          <w:tcPr>
            <w:tcW w:w="738" w:type="dxa"/>
            <w:tcBorders>
              <w:top w:val="single" w:sz="4" w:space="0" w:color="000000"/>
            </w:tcBorders>
          </w:tcPr>
          <w:p>
            <w:pPr>
              <w:pStyle w:val="TableParagraph"/>
              <w:spacing w:before="22"/>
              <w:ind w:left="115" w:right="186"/>
              <w:jc w:val="center"/>
              <w:rPr>
                <w:sz w:val="13"/>
              </w:rPr>
            </w:pPr>
            <w:r>
              <w:rPr>
                <w:sz w:val="13"/>
              </w:rPr>
              <w:t>33.9</w:t>
            </w:r>
          </w:p>
        </w:tc>
        <w:tc>
          <w:tcPr>
            <w:tcW w:w="774" w:type="dxa"/>
            <w:tcBorders>
              <w:top w:val="single" w:sz="4" w:space="0" w:color="000000"/>
            </w:tcBorders>
          </w:tcPr>
          <w:p>
            <w:pPr>
              <w:pStyle w:val="TableParagraph"/>
              <w:spacing w:before="22"/>
              <w:ind w:left="201"/>
              <w:rPr>
                <w:sz w:val="13"/>
              </w:rPr>
            </w:pPr>
            <w:r>
              <w:rPr>
                <w:sz w:val="13"/>
              </w:rPr>
              <w:t>38.5</w:t>
            </w:r>
          </w:p>
        </w:tc>
        <w:tc>
          <w:tcPr>
            <w:tcW w:w="761" w:type="dxa"/>
            <w:tcBorders>
              <w:top w:val="single" w:sz="4" w:space="0" w:color="000000"/>
            </w:tcBorders>
          </w:tcPr>
          <w:p>
            <w:pPr>
              <w:pStyle w:val="TableParagraph"/>
              <w:spacing w:before="22"/>
              <w:ind w:left="167"/>
              <w:rPr>
                <w:sz w:val="13"/>
              </w:rPr>
            </w:pPr>
            <w:r>
              <w:rPr>
                <w:sz w:val="13"/>
              </w:rPr>
              <w:t>43.2</w:t>
            </w:r>
          </w:p>
        </w:tc>
        <w:tc>
          <w:tcPr>
            <w:tcW w:w="723" w:type="dxa"/>
            <w:tcBorders>
              <w:top w:val="single" w:sz="4" w:space="0" w:color="000000"/>
            </w:tcBorders>
          </w:tcPr>
          <w:p>
            <w:pPr>
              <w:pStyle w:val="TableParagraph"/>
              <w:spacing w:before="22"/>
              <w:ind w:left="145"/>
              <w:rPr>
                <w:sz w:val="13"/>
              </w:rPr>
            </w:pPr>
            <w:r>
              <w:rPr>
                <w:sz w:val="13"/>
              </w:rPr>
              <w:t>48.1</w:t>
            </w:r>
          </w:p>
        </w:tc>
        <w:tc>
          <w:tcPr>
            <w:tcW w:w="738" w:type="dxa"/>
            <w:tcBorders>
              <w:top w:val="single" w:sz="4" w:space="0" w:color="000000"/>
            </w:tcBorders>
          </w:tcPr>
          <w:p>
            <w:pPr>
              <w:pStyle w:val="TableParagraph"/>
              <w:spacing w:before="22"/>
              <w:ind w:left="157"/>
              <w:rPr>
                <w:sz w:val="13"/>
              </w:rPr>
            </w:pPr>
            <w:r>
              <w:rPr>
                <w:sz w:val="13"/>
              </w:rPr>
              <w:t>53.1</w:t>
            </w:r>
          </w:p>
        </w:tc>
        <w:tc>
          <w:tcPr>
            <w:tcW w:w="738" w:type="dxa"/>
            <w:tcBorders>
              <w:top w:val="single" w:sz="4" w:space="0" w:color="000000"/>
            </w:tcBorders>
          </w:tcPr>
          <w:p>
            <w:pPr>
              <w:pStyle w:val="TableParagraph"/>
              <w:spacing w:before="22"/>
              <w:ind w:left="159"/>
              <w:rPr>
                <w:sz w:val="13"/>
              </w:rPr>
            </w:pPr>
            <w:r>
              <w:rPr>
                <w:sz w:val="13"/>
              </w:rPr>
              <w:t>58.2</w:t>
            </w:r>
          </w:p>
        </w:tc>
        <w:tc>
          <w:tcPr>
            <w:tcW w:w="738" w:type="dxa"/>
            <w:tcBorders>
              <w:top w:val="single" w:sz="4" w:space="0" w:color="000000"/>
            </w:tcBorders>
          </w:tcPr>
          <w:p>
            <w:pPr>
              <w:pStyle w:val="TableParagraph"/>
              <w:spacing w:before="22"/>
              <w:ind w:left="155"/>
              <w:rPr>
                <w:sz w:val="13"/>
              </w:rPr>
            </w:pPr>
            <w:r>
              <w:rPr>
                <w:sz w:val="13"/>
              </w:rPr>
              <w:t>63.5</w:t>
            </w:r>
          </w:p>
        </w:tc>
        <w:tc>
          <w:tcPr>
            <w:tcW w:w="738" w:type="dxa"/>
            <w:tcBorders>
              <w:top w:val="single" w:sz="4" w:space="0" w:color="000000"/>
            </w:tcBorders>
          </w:tcPr>
          <w:p>
            <w:pPr>
              <w:pStyle w:val="TableParagraph"/>
              <w:spacing w:before="22"/>
              <w:ind w:left="157"/>
              <w:rPr>
                <w:sz w:val="13"/>
              </w:rPr>
            </w:pPr>
            <w:r>
              <w:rPr>
                <w:sz w:val="13"/>
              </w:rPr>
              <w:t>68.9</w:t>
            </w:r>
          </w:p>
        </w:tc>
        <w:tc>
          <w:tcPr>
            <w:tcW w:w="738" w:type="dxa"/>
            <w:tcBorders>
              <w:top w:val="single" w:sz="4" w:space="0" w:color="000000"/>
            </w:tcBorders>
          </w:tcPr>
          <w:p>
            <w:pPr>
              <w:pStyle w:val="TableParagraph"/>
              <w:spacing w:before="22"/>
              <w:ind w:left="154"/>
              <w:rPr>
                <w:sz w:val="13"/>
              </w:rPr>
            </w:pPr>
            <w:r>
              <w:rPr>
                <w:sz w:val="13"/>
              </w:rPr>
              <w:t>74.4</w:t>
            </w:r>
          </w:p>
        </w:tc>
        <w:tc>
          <w:tcPr>
            <w:tcW w:w="808" w:type="dxa"/>
            <w:tcBorders>
              <w:top w:val="single" w:sz="4" w:space="0" w:color="000000"/>
            </w:tcBorders>
          </w:tcPr>
          <w:p>
            <w:pPr>
              <w:pStyle w:val="TableParagraph"/>
              <w:spacing w:before="22"/>
              <w:ind w:left="155"/>
              <w:rPr>
                <w:sz w:val="13"/>
              </w:rPr>
            </w:pPr>
            <w:r>
              <w:rPr>
                <w:sz w:val="13"/>
              </w:rPr>
              <w:t>80.2</w:t>
            </w:r>
          </w:p>
        </w:tc>
      </w:tr>
      <w:tr>
        <w:trPr>
          <w:trHeight w:val="196" w:hRule="atLeast"/>
        </w:trPr>
        <w:tc>
          <w:tcPr>
            <w:tcW w:w="2543" w:type="dxa"/>
          </w:tcPr>
          <w:p>
            <w:pPr>
              <w:pStyle w:val="TableParagraph"/>
              <w:spacing w:line="165" w:lineRule="exact" w:before="12"/>
              <w:ind w:left="215"/>
              <w:rPr>
                <w:rFonts w:ascii="PMingLiU" w:eastAsia="PMingLiU" w:hint="eastAsia"/>
                <w:sz w:val="13"/>
              </w:rPr>
            </w:pPr>
            <w:r>
              <w:rPr>
                <w:sz w:val="13"/>
              </w:rPr>
              <w:t>3L+ r/r MZL/FL </w:t>
            </w:r>
            <w:r>
              <w:rPr>
                <w:rFonts w:ascii="PMingLiU" w:eastAsia="PMingLiU" w:hint="eastAsia"/>
                <w:sz w:val="13"/>
              </w:rPr>
              <w:t>患病人数</w:t>
            </w:r>
          </w:p>
        </w:tc>
        <w:tc>
          <w:tcPr>
            <w:tcW w:w="642" w:type="dxa"/>
          </w:tcPr>
          <w:p>
            <w:pPr>
              <w:pStyle w:val="TableParagraph"/>
              <w:spacing w:before="24"/>
              <w:ind w:left="107"/>
              <w:rPr>
                <w:sz w:val="13"/>
              </w:rPr>
            </w:pPr>
            <w:r>
              <w:rPr>
                <w:sz w:val="13"/>
              </w:rPr>
              <w:t>5.3</w:t>
            </w:r>
          </w:p>
        </w:tc>
        <w:tc>
          <w:tcPr>
            <w:tcW w:w="738" w:type="dxa"/>
          </w:tcPr>
          <w:p>
            <w:pPr>
              <w:pStyle w:val="TableParagraph"/>
              <w:spacing w:before="24"/>
              <w:ind w:left="43" w:right="186"/>
              <w:jc w:val="center"/>
              <w:rPr>
                <w:sz w:val="13"/>
              </w:rPr>
            </w:pPr>
            <w:r>
              <w:rPr>
                <w:sz w:val="13"/>
              </w:rPr>
              <w:t>6.1</w:t>
            </w:r>
          </w:p>
        </w:tc>
        <w:tc>
          <w:tcPr>
            <w:tcW w:w="774" w:type="dxa"/>
          </w:tcPr>
          <w:p>
            <w:pPr>
              <w:pStyle w:val="TableParagraph"/>
              <w:spacing w:before="24"/>
              <w:ind w:left="201"/>
              <w:rPr>
                <w:sz w:val="13"/>
              </w:rPr>
            </w:pPr>
            <w:r>
              <w:rPr>
                <w:sz w:val="13"/>
              </w:rPr>
              <w:t>7.0</w:t>
            </w:r>
          </w:p>
        </w:tc>
        <w:tc>
          <w:tcPr>
            <w:tcW w:w="761" w:type="dxa"/>
          </w:tcPr>
          <w:p>
            <w:pPr>
              <w:pStyle w:val="TableParagraph"/>
              <w:spacing w:before="24"/>
              <w:ind w:left="167"/>
              <w:rPr>
                <w:sz w:val="13"/>
              </w:rPr>
            </w:pPr>
            <w:r>
              <w:rPr>
                <w:sz w:val="13"/>
              </w:rPr>
              <w:t>7.8</w:t>
            </w:r>
          </w:p>
        </w:tc>
        <w:tc>
          <w:tcPr>
            <w:tcW w:w="723" w:type="dxa"/>
          </w:tcPr>
          <w:p>
            <w:pPr>
              <w:pStyle w:val="TableParagraph"/>
              <w:spacing w:before="24"/>
              <w:ind w:left="145"/>
              <w:rPr>
                <w:sz w:val="13"/>
              </w:rPr>
            </w:pPr>
            <w:r>
              <w:rPr>
                <w:sz w:val="13"/>
              </w:rPr>
              <w:t>8.7</w:t>
            </w:r>
          </w:p>
        </w:tc>
        <w:tc>
          <w:tcPr>
            <w:tcW w:w="738" w:type="dxa"/>
          </w:tcPr>
          <w:p>
            <w:pPr>
              <w:pStyle w:val="TableParagraph"/>
              <w:spacing w:before="24"/>
              <w:ind w:left="157"/>
              <w:rPr>
                <w:sz w:val="13"/>
              </w:rPr>
            </w:pPr>
            <w:r>
              <w:rPr>
                <w:sz w:val="13"/>
              </w:rPr>
              <w:t>9.6</w:t>
            </w:r>
          </w:p>
        </w:tc>
        <w:tc>
          <w:tcPr>
            <w:tcW w:w="738" w:type="dxa"/>
          </w:tcPr>
          <w:p>
            <w:pPr>
              <w:pStyle w:val="TableParagraph"/>
              <w:spacing w:before="24"/>
              <w:ind w:left="159"/>
              <w:rPr>
                <w:sz w:val="13"/>
              </w:rPr>
            </w:pPr>
            <w:r>
              <w:rPr>
                <w:sz w:val="13"/>
              </w:rPr>
              <w:t>10.5</w:t>
            </w:r>
          </w:p>
        </w:tc>
        <w:tc>
          <w:tcPr>
            <w:tcW w:w="738" w:type="dxa"/>
          </w:tcPr>
          <w:p>
            <w:pPr>
              <w:pStyle w:val="TableParagraph"/>
              <w:spacing w:before="24"/>
              <w:ind w:left="155"/>
              <w:rPr>
                <w:sz w:val="13"/>
              </w:rPr>
            </w:pPr>
            <w:r>
              <w:rPr>
                <w:sz w:val="13"/>
              </w:rPr>
              <w:t>11.5</w:t>
            </w:r>
          </w:p>
        </w:tc>
        <w:tc>
          <w:tcPr>
            <w:tcW w:w="738" w:type="dxa"/>
          </w:tcPr>
          <w:p>
            <w:pPr>
              <w:pStyle w:val="TableParagraph"/>
              <w:spacing w:before="24"/>
              <w:ind w:left="157"/>
              <w:rPr>
                <w:sz w:val="13"/>
              </w:rPr>
            </w:pPr>
            <w:r>
              <w:rPr>
                <w:sz w:val="13"/>
              </w:rPr>
              <w:t>12.5</w:t>
            </w:r>
          </w:p>
        </w:tc>
        <w:tc>
          <w:tcPr>
            <w:tcW w:w="738" w:type="dxa"/>
          </w:tcPr>
          <w:p>
            <w:pPr>
              <w:pStyle w:val="TableParagraph"/>
              <w:spacing w:before="24"/>
              <w:ind w:left="154"/>
              <w:rPr>
                <w:sz w:val="13"/>
              </w:rPr>
            </w:pPr>
            <w:r>
              <w:rPr>
                <w:sz w:val="13"/>
              </w:rPr>
              <w:t>13.5</w:t>
            </w:r>
          </w:p>
        </w:tc>
        <w:tc>
          <w:tcPr>
            <w:tcW w:w="808" w:type="dxa"/>
          </w:tcPr>
          <w:p>
            <w:pPr>
              <w:pStyle w:val="TableParagraph"/>
              <w:spacing w:before="24"/>
              <w:ind w:left="155"/>
              <w:rPr>
                <w:sz w:val="13"/>
              </w:rPr>
            </w:pPr>
            <w:r>
              <w:rPr>
                <w:sz w:val="13"/>
              </w:rPr>
              <w:t>14.5</w:t>
            </w:r>
          </w:p>
        </w:tc>
      </w:tr>
      <w:tr>
        <w:trPr>
          <w:trHeight w:val="196" w:hRule="atLeast"/>
        </w:trPr>
        <w:tc>
          <w:tcPr>
            <w:tcW w:w="2543" w:type="dxa"/>
          </w:tcPr>
          <w:p>
            <w:pPr>
              <w:pStyle w:val="TableParagraph"/>
              <w:spacing w:line="165" w:lineRule="exact" w:before="12"/>
              <w:ind w:left="215"/>
              <w:rPr>
                <w:rFonts w:ascii="PMingLiU" w:eastAsia="PMingLiU" w:hint="eastAsia"/>
                <w:sz w:val="13"/>
              </w:rPr>
            </w:pPr>
            <w:r>
              <w:rPr>
                <w:sz w:val="13"/>
              </w:rPr>
              <w:t>3L+ r/r MCL </w:t>
            </w:r>
            <w:r>
              <w:rPr>
                <w:rFonts w:ascii="PMingLiU" w:eastAsia="PMingLiU" w:hint="eastAsia"/>
                <w:sz w:val="13"/>
              </w:rPr>
              <w:t>患病人数</w:t>
            </w:r>
          </w:p>
        </w:tc>
        <w:tc>
          <w:tcPr>
            <w:tcW w:w="642" w:type="dxa"/>
          </w:tcPr>
          <w:p>
            <w:pPr>
              <w:pStyle w:val="TableParagraph"/>
              <w:spacing w:before="24"/>
              <w:ind w:left="107"/>
              <w:rPr>
                <w:sz w:val="13"/>
              </w:rPr>
            </w:pPr>
            <w:r>
              <w:rPr>
                <w:sz w:val="13"/>
              </w:rPr>
              <w:t>3.5</w:t>
            </w:r>
          </w:p>
        </w:tc>
        <w:tc>
          <w:tcPr>
            <w:tcW w:w="738" w:type="dxa"/>
          </w:tcPr>
          <w:p>
            <w:pPr>
              <w:pStyle w:val="TableParagraph"/>
              <w:spacing w:before="24"/>
              <w:ind w:left="43" w:right="186"/>
              <w:jc w:val="center"/>
              <w:rPr>
                <w:sz w:val="13"/>
              </w:rPr>
            </w:pPr>
            <w:r>
              <w:rPr>
                <w:sz w:val="13"/>
              </w:rPr>
              <w:t>4.0</w:t>
            </w:r>
          </w:p>
        </w:tc>
        <w:tc>
          <w:tcPr>
            <w:tcW w:w="774" w:type="dxa"/>
          </w:tcPr>
          <w:p>
            <w:pPr>
              <w:pStyle w:val="TableParagraph"/>
              <w:spacing w:before="24"/>
              <w:ind w:left="201"/>
              <w:rPr>
                <w:sz w:val="13"/>
              </w:rPr>
            </w:pPr>
            <w:r>
              <w:rPr>
                <w:sz w:val="13"/>
              </w:rPr>
              <w:t>4.6</w:t>
            </w:r>
          </w:p>
        </w:tc>
        <w:tc>
          <w:tcPr>
            <w:tcW w:w="761" w:type="dxa"/>
          </w:tcPr>
          <w:p>
            <w:pPr>
              <w:pStyle w:val="TableParagraph"/>
              <w:spacing w:before="24"/>
              <w:ind w:left="167"/>
              <w:rPr>
                <w:sz w:val="13"/>
              </w:rPr>
            </w:pPr>
            <w:r>
              <w:rPr>
                <w:sz w:val="13"/>
              </w:rPr>
              <w:t>5.1</w:t>
            </w:r>
          </w:p>
        </w:tc>
        <w:tc>
          <w:tcPr>
            <w:tcW w:w="723" w:type="dxa"/>
          </w:tcPr>
          <w:p>
            <w:pPr>
              <w:pStyle w:val="TableParagraph"/>
              <w:spacing w:before="24"/>
              <w:ind w:left="145"/>
              <w:rPr>
                <w:sz w:val="13"/>
              </w:rPr>
            </w:pPr>
            <w:r>
              <w:rPr>
                <w:sz w:val="13"/>
              </w:rPr>
              <w:t>5.7</w:t>
            </w:r>
          </w:p>
        </w:tc>
        <w:tc>
          <w:tcPr>
            <w:tcW w:w="738" w:type="dxa"/>
          </w:tcPr>
          <w:p>
            <w:pPr>
              <w:pStyle w:val="TableParagraph"/>
              <w:spacing w:before="24"/>
              <w:ind w:left="157"/>
              <w:rPr>
                <w:sz w:val="13"/>
              </w:rPr>
            </w:pPr>
            <w:r>
              <w:rPr>
                <w:sz w:val="13"/>
              </w:rPr>
              <w:t>6.3</w:t>
            </w:r>
          </w:p>
        </w:tc>
        <w:tc>
          <w:tcPr>
            <w:tcW w:w="738" w:type="dxa"/>
          </w:tcPr>
          <w:p>
            <w:pPr>
              <w:pStyle w:val="TableParagraph"/>
              <w:spacing w:before="24"/>
              <w:ind w:left="159"/>
              <w:rPr>
                <w:sz w:val="13"/>
              </w:rPr>
            </w:pPr>
            <w:r>
              <w:rPr>
                <w:sz w:val="13"/>
              </w:rPr>
              <w:t>6.9</w:t>
            </w:r>
          </w:p>
        </w:tc>
        <w:tc>
          <w:tcPr>
            <w:tcW w:w="738" w:type="dxa"/>
          </w:tcPr>
          <w:p>
            <w:pPr>
              <w:pStyle w:val="TableParagraph"/>
              <w:spacing w:before="24"/>
              <w:ind w:left="155"/>
              <w:rPr>
                <w:sz w:val="13"/>
              </w:rPr>
            </w:pPr>
            <w:r>
              <w:rPr>
                <w:sz w:val="13"/>
              </w:rPr>
              <w:t>7.5</w:t>
            </w:r>
          </w:p>
        </w:tc>
        <w:tc>
          <w:tcPr>
            <w:tcW w:w="738" w:type="dxa"/>
          </w:tcPr>
          <w:p>
            <w:pPr>
              <w:pStyle w:val="TableParagraph"/>
              <w:spacing w:before="24"/>
              <w:ind w:left="157"/>
              <w:rPr>
                <w:sz w:val="13"/>
              </w:rPr>
            </w:pPr>
            <w:r>
              <w:rPr>
                <w:sz w:val="13"/>
              </w:rPr>
              <w:t>8.2</w:t>
            </w:r>
          </w:p>
        </w:tc>
        <w:tc>
          <w:tcPr>
            <w:tcW w:w="738" w:type="dxa"/>
          </w:tcPr>
          <w:p>
            <w:pPr>
              <w:pStyle w:val="TableParagraph"/>
              <w:spacing w:before="24"/>
              <w:ind w:left="154"/>
              <w:rPr>
                <w:sz w:val="13"/>
              </w:rPr>
            </w:pPr>
            <w:r>
              <w:rPr>
                <w:sz w:val="13"/>
              </w:rPr>
              <w:t>8.8</w:t>
            </w:r>
          </w:p>
        </w:tc>
        <w:tc>
          <w:tcPr>
            <w:tcW w:w="808" w:type="dxa"/>
          </w:tcPr>
          <w:p>
            <w:pPr>
              <w:pStyle w:val="TableParagraph"/>
              <w:spacing w:before="24"/>
              <w:ind w:left="155"/>
              <w:rPr>
                <w:sz w:val="13"/>
              </w:rPr>
            </w:pPr>
            <w:r>
              <w:rPr>
                <w:sz w:val="13"/>
              </w:rPr>
              <w:t>9.5</w:t>
            </w:r>
          </w:p>
        </w:tc>
      </w:tr>
      <w:tr>
        <w:trPr>
          <w:trHeight w:val="199" w:hRule="atLeast"/>
        </w:trPr>
        <w:tc>
          <w:tcPr>
            <w:tcW w:w="2543" w:type="dxa"/>
            <w:tcBorders>
              <w:bottom w:val="single" w:sz="4" w:space="0" w:color="000000"/>
            </w:tcBorders>
          </w:tcPr>
          <w:p>
            <w:pPr>
              <w:pStyle w:val="TableParagraph"/>
              <w:spacing w:line="167" w:lineRule="exact" w:before="12"/>
              <w:ind w:left="215"/>
              <w:rPr>
                <w:rFonts w:ascii="PMingLiU" w:eastAsia="PMingLiU" w:hint="eastAsia"/>
                <w:sz w:val="13"/>
              </w:rPr>
            </w:pPr>
            <w:r>
              <w:rPr>
                <w:sz w:val="13"/>
              </w:rPr>
              <w:t>3L+ r/r CLL/SLL </w:t>
            </w:r>
            <w:r>
              <w:rPr>
                <w:rFonts w:ascii="PMingLiU" w:eastAsia="PMingLiU" w:hint="eastAsia"/>
                <w:sz w:val="13"/>
              </w:rPr>
              <w:t>患病人数</w:t>
            </w:r>
          </w:p>
        </w:tc>
        <w:tc>
          <w:tcPr>
            <w:tcW w:w="642" w:type="dxa"/>
            <w:tcBorders>
              <w:bottom w:val="single" w:sz="4" w:space="0" w:color="000000"/>
            </w:tcBorders>
          </w:tcPr>
          <w:p>
            <w:pPr>
              <w:pStyle w:val="TableParagraph"/>
              <w:spacing w:before="24"/>
              <w:ind w:left="107"/>
              <w:rPr>
                <w:sz w:val="13"/>
              </w:rPr>
            </w:pPr>
            <w:r>
              <w:rPr>
                <w:sz w:val="13"/>
              </w:rPr>
              <w:t>4.7</w:t>
            </w:r>
          </w:p>
        </w:tc>
        <w:tc>
          <w:tcPr>
            <w:tcW w:w="738" w:type="dxa"/>
            <w:tcBorders>
              <w:bottom w:val="single" w:sz="4" w:space="0" w:color="000000"/>
            </w:tcBorders>
          </w:tcPr>
          <w:p>
            <w:pPr>
              <w:pStyle w:val="TableParagraph"/>
              <w:spacing w:before="24"/>
              <w:ind w:left="43" w:right="186"/>
              <w:jc w:val="center"/>
              <w:rPr>
                <w:sz w:val="13"/>
              </w:rPr>
            </w:pPr>
            <w:r>
              <w:rPr>
                <w:sz w:val="13"/>
              </w:rPr>
              <w:t>5.4</w:t>
            </w:r>
          </w:p>
        </w:tc>
        <w:tc>
          <w:tcPr>
            <w:tcW w:w="774" w:type="dxa"/>
            <w:tcBorders>
              <w:bottom w:val="single" w:sz="4" w:space="0" w:color="000000"/>
            </w:tcBorders>
          </w:tcPr>
          <w:p>
            <w:pPr>
              <w:pStyle w:val="TableParagraph"/>
              <w:spacing w:before="24"/>
              <w:ind w:left="201"/>
              <w:rPr>
                <w:sz w:val="13"/>
              </w:rPr>
            </w:pPr>
            <w:r>
              <w:rPr>
                <w:sz w:val="13"/>
              </w:rPr>
              <w:t>6.1</w:t>
            </w:r>
          </w:p>
        </w:tc>
        <w:tc>
          <w:tcPr>
            <w:tcW w:w="761" w:type="dxa"/>
            <w:tcBorders>
              <w:bottom w:val="single" w:sz="4" w:space="0" w:color="000000"/>
            </w:tcBorders>
          </w:tcPr>
          <w:p>
            <w:pPr>
              <w:pStyle w:val="TableParagraph"/>
              <w:spacing w:before="24"/>
              <w:ind w:left="167"/>
              <w:rPr>
                <w:sz w:val="13"/>
              </w:rPr>
            </w:pPr>
            <w:r>
              <w:rPr>
                <w:sz w:val="13"/>
              </w:rPr>
              <w:t>6.9</w:t>
            </w:r>
          </w:p>
        </w:tc>
        <w:tc>
          <w:tcPr>
            <w:tcW w:w="723" w:type="dxa"/>
            <w:tcBorders>
              <w:bottom w:val="single" w:sz="4" w:space="0" w:color="000000"/>
            </w:tcBorders>
          </w:tcPr>
          <w:p>
            <w:pPr>
              <w:pStyle w:val="TableParagraph"/>
              <w:spacing w:before="24"/>
              <w:ind w:left="145"/>
              <w:rPr>
                <w:sz w:val="13"/>
              </w:rPr>
            </w:pPr>
            <w:r>
              <w:rPr>
                <w:sz w:val="13"/>
              </w:rPr>
              <w:t>7.7</w:t>
            </w:r>
          </w:p>
        </w:tc>
        <w:tc>
          <w:tcPr>
            <w:tcW w:w="738" w:type="dxa"/>
            <w:tcBorders>
              <w:bottom w:val="single" w:sz="4" w:space="0" w:color="000000"/>
            </w:tcBorders>
          </w:tcPr>
          <w:p>
            <w:pPr>
              <w:pStyle w:val="TableParagraph"/>
              <w:spacing w:before="24"/>
              <w:ind w:left="157"/>
              <w:rPr>
                <w:sz w:val="13"/>
              </w:rPr>
            </w:pPr>
            <w:r>
              <w:rPr>
                <w:sz w:val="13"/>
              </w:rPr>
              <w:t>8.5</w:t>
            </w:r>
          </w:p>
        </w:tc>
        <w:tc>
          <w:tcPr>
            <w:tcW w:w="738" w:type="dxa"/>
            <w:tcBorders>
              <w:bottom w:val="single" w:sz="4" w:space="0" w:color="000000"/>
            </w:tcBorders>
          </w:tcPr>
          <w:p>
            <w:pPr>
              <w:pStyle w:val="TableParagraph"/>
              <w:spacing w:before="24"/>
              <w:ind w:left="159"/>
              <w:rPr>
                <w:sz w:val="13"/>
              </w:rPr>
            </w:pPr>
            <w:r>
              <w:rPr>
                <w:sz w:val="13"/>
              </w:rPr>
              <w:t>9.3</w:t>
            </w:r>
          </w:p>
        </w:tc>
        <w:tc>
          <w:tcPr>
            <w:tcW w:w="738" w:type="dxa"/>
            <w:tcBorders>
              <w:bottom w:val="single" w:sz="4" w:space="0" w:color="000000"/>
            </w:tcBorders>
          </w:tcPr>
          <w:p>
            <w:pPr>
              <w:pStyle w:val="TableParagraph"/>
              <w:spacing w:before="24"/>
              <w:ind w:left="155"/>
              <w:rPr>
                <w:sz w:val="13"/>
              </w:rPr>
            </w:pPr>
            <w:r>
              <w:rPr>
                <w:sz w:val="13"/>
              </w:rPr>
              <w:t>10.1</w:t>
            </w:r>
          </w:p>
        </w:tc>
        <w:tc>
          <w:tcPr>
            <w:tcW w:w="738" w:type="dxa"/>
            <w:tcBorders>
              <w:bottom w:val="single" w:sz="4" w:space="0" w:color="000000"/>
            </w:tcBorders>
          </w:tcPr>
          <w:p>
            <w:pPr>
              <w:pStyle w:val="TableParagraph"/>
              <w:spacing w:before="24"/>
              <w:ind w:left="157"/>
              <w:rPr>
                <w:sz w:val="13"/>
              </w:rPr>
            </w:pPr>
            <w:r>
              <w:rPr>
                <w:sz w:val="13"/>
              </w:rPr>
              <w:t>11.0</w:t>
            </w:r>
          </w:p>
        </w:tc>
        <w:tc>
          <w:tcPr>
            <w:tcW w:w="738" w:type="dxa"/>
            <w:tcBorders>
              <w:bottom w:val="single" w:sz="4" w:space="0" w:color="000000"/>
            </w:tcBorders>
          </w:tcPr>
          <w:p>
            <w:pPr>
              <w:pStyle w:val="TableParagraph"/>
              <w:spacing w:before="24"/>
              <w:ind w:left="154"/>
              <w:rPr>
                <w:sz w:val="13"/>
              </w:rPr>
            </w:pPr>
            <w:r>
              <w:rPr>
                <w:sz w:val="13"/>
              </w:rPr>
              <w:t>11.9</w:t>
            </w:r>
          </w:p>
        </w:tc>
        <w:tc>
          <w:tcPr>
            <w:tcW w:w="808" w:type="dxa"/>
            <w:tcBorders>
              <w:bottom w:val="single" w:sz="4" w:space="0" w:color="000000"/>
            </w:tcBorders>
          </w:tcPr>
          <w:p>
            <w:pPr>
              <w:pStyle w:val="TableParagraph"/>
              <w:spacing w:before="24"/>
              <w:ind w:left="155"/>
              <w:rPr>
                <w:sz w:val="13"/>
              </w:rPr>
            </w:pPr>
            <w:r>
              <w:rPr>
                <w:sz w:val="13"/>
              </w:rPr>
              <w:t>12.8</w:t>
            </w:r>
          </w:p>
        </w:tc>
      </w:tr>
      <w:tr>
        <w:trPr>
          <w:trHeight w:val="400" w:hRule="atLeast"/>
        </w:trPr>
        <w:tc>
          <w:tcPr>
            <w:tcW w:w="2543" w:type="dxa"/>
            <w:tcBorders>
              <w:top w:val="single" w:sz="4" w:space="0" w:color="000000"/>
            </w:tcBorders>
          </w:tcPr>
          <w:p>
            <w:pPr>
              <w:pStyle w:val="TableParagraph"/>
              <w:spacing w:line="189" w:lineRule="exact"/>
              <w:ind w:left="139"/>
              <w:rPr>
                <w:rFonts w:ascii="Microsoft JhengHei UI" w:eastAsia="Microsoft JhengHei UI" w:hint="eastAsia"/>
                <w:b/>
                <w:sz w:val="14"/>
              </w:rPr>
            </w:pPr>
            <w:r>
              <w:rPr>
                <w:rFonts w:ascii="Microsoft JhengHei UI" w:eastAsia="Microsoft JhengHei UI" w:hint="eastAsia"/>
                <w:b/>
                <w:sz w:val="14"/>
              </w:rPr>
              <w:t>适用于 </w:t>
            </w:r>
            <w:r>
              <w:rPr>
                <w:b/>
                <w:sz w:val="14"/>
              </w:rPr>
              <w:t>CD19 CAR-T </w:t>
            </w:r>
            <w:r>
              <w:rPr>
                <w:rFonts w:ascii="Microsoft JhengHei UI" w:eastAsia="Microsoft JhengHei UI" w:hint="eastAsia"/>
                <w:b/>
                <w:sz w:val="14"/>
              </w:rPr>
              <w:t>治疗的人数</w:t>
            </w:r>
            <w:r>
              <w:rPr>
                <w:b/>
                <w:sz w:val="14"/>
              </w:rPr>
              <w:t>(</w:t>
            </w:r>
            <w:r>
              <w:rPr>
                <w:rFonts w:ascii="Microsoft JhengHei UI" w:eastAsia="Microsoft JhengHei UI" w:hint="eastAsia"/>
                <w:b/>
                <w:sz w:val="14"/>
              </w:rPr>
              <w:t>适</w:t>
            </w:r>
          </w:p>
          <w:p>
            <w:pPr>
              <w:pStyle w:val="TableParagraph"/>
              <w:spacing w:line="191" w:lineRule="exact"/>
              <w:ind w:left="139"/>
              <w:rPr>
                <w:b/>
                <w:sz w:val="14"/>
              </w:rPr>
            </w:pPr>
            <w:r>
              <w:rPr>
                <w:rFonts w:ascii="Microsoft JhengHei UI" w:eastAsia="Microsoft JhengHei UI" w:hint="eastAsia"/>
                <w:b/>
                <w:sz w:val="14"/>
              </w:rPr>
              <w:t>应症逐渐扩大</w:t>
            </w:r>
            <w:r>
              <w:rPr>
                <w:b/>
                <w:sz w:val="14"/>
              </w:rPr>
              <w:t>)</w:t>
            </w:r>
          </w:p>
        </w:tc>
        <w:tc>
          <w:tcPr>
            <w:tcW w:w="642" w:type="dxa"/>
            <w:tcBorders>
              <w:top w:val="single" w:sz="4" w:space="0" w:color="000000"/>
            </w:tcBorders>
          </w:tcPr>
          <w:p>
            <w:pPr>
              <w:pStyle w:val="TableParagraph"/>
              <w:rPr>
                <w:rFonts w:ascii="Times New Roman"/>
                <w:sz w:val="14"/>
              </w:rPr>
            </w:pPr>
          </w:p>
        </w:tc>
        <w:tc>
          <w:tcPr>
            <w:tcW w:w="738" w:type="dxa"/>
            <w:tcBorders>
              <w:top w:val="single" w:sz="4" w:space="0" w:color="000000"/>
            </w:tcBorders>
          </w:tcPr>
          <w:p>
            <w:pPr>
              <w:pStyle w:val="TableParagraph"/>
              <w:spacing w:before="122"/>
              <w:ind w:left="115" w:right="186"/>
              <w:jc w:val="center"/>
              <w:rPr>
                <w:b/>
                <w:sz w:val="13"/>
              </w:rPr>
            </w:pPr>
            <w:r>
              <w:rPr>
                <w:b/>
                <w:sz w:val="13"/>
              </w:rPr>
              <w:t>33.9</w:t>
            </w:r>
          </w:p>
        </w:tc>
        <w:tc>
          <w:tcPr>
            <w:tcW w:w="774" w:type="dxa"/>
            <w:tcBorders>
              <w:top w:val="single" w:sz="4" w:space="0" w:color="000000"/>
            </w:tcBorders>
          </w:tcPr>
          <w:p>
            <w:pPr>
              <w:pStyle w:val="TableParagraph"/>
              <w:spacing w:before="122"/>
              <w:ind w:left="201"/>
              <w:rPr>
                <w:b/>
                <w:sz w:val="13"/>
              </w:rPr>
            </w:pPr>
            <w:r>
              <w:rPr>
                <w:b/>
                <w:sz w:val="13"/>
              </w:rPr>
              <w:t>45.5</w:t>
            </w:r>
          </w:p>
        </w:tc>
        <w:tc>
          <w:tcPr>
            <w:tcW w:w="761" w:type="dxa"/>
            <w:tcBorders>
              <w:top w:val="single" w:sz="4" w:space="0" w:color="000000"/>
            </w:tcBorders>
          </w:tcPr>
          <w:p>
            <w:pPr>
              <w:pStyle w:val="TableParagraph"/>
              <w:spacing w:before="122"/>
              <w:ind w:left="167"/>
              <w:rPr>
                <w:b/>
                <w:sz w:val="13"/>
              </w:rPr>
            </w:pPr>
            <w:r>
              <w:rPr>
                <w:b/>
                <w:sz w:val="13"/>
              </w:rPr>
              <w:t>56.2</w:t>
            </w:r>
          </w:p>
        </w:tc>
        <w:tc>
          <w:tcPr>
            <w:tcW w:w="723" w:type="dxa"/>
            <w:tcBorders>
              <w:top w:val="single" w:sz="4" w:space="0" w:color="000000"/>
            </w:tcBorders>
          </w:tcPr>
          <w:p>
            <w:pPr>
              <w:pStyle w:val="TableParagraph"/>
              <w:spacing w:before="122"/>
              <w:ind w:left="145"/>
              <w:rPr>
                <w:b/>
                <w:sz w:val="13"/>
              </w:rPr>
            </w:pPr>
            <w:r>
              <w:rPr>
                <w:b/>
                <w:sz w:val="13"/>
              </w:rPr>
              <w:t>137.2</w:t>
            </w:r>
          </w:p>
        </w:tc>
        <w:tc>
          <w:tcPr>
            <w:tcW w:w="738" w:type="dxa"/>
            <w:tcBorders>
              <w:top w:val="single" w:sz="4" w:space="0" w:color="000000"/>
            </w:tcBorders>
          </w:tcPr>
          <w:p>
            <w:pPr>
              <w:pStyle w:val="TableParagraph"/>
              <w:spacing w:before="122"/>
              <w:ind w:left="157"/>
              <w:rPr>
                <w:b/>
                <w:sz w:val="13"/>
              </w:rPr>
            </w:pPr>
            <w:r>
              <w:rPr>
                <w:b/>
                <w:sz w:val="13"/>
              </w:rPr>
              <w:t>165.0</w:t>
            </w:r>
          </w:p>
        </w:tc>
        <w:tc>
          <w:tcPr>
            <w:tcW w:w="738" w:type="dxa"/>
            <w:tcBorders>
              <w:top w:val="single" w:sz="4" w:space="0" w:color="000000"/>
            </w:tcBorders>
          </w:tcPr>
          <w:p>
            <w:pPr>
              <w:pStyle w:val="TableParagraph"/>
              <w:spacing w:before="122"/>
              <w:ind w:left="159"/>
              <w:rPr>
                <w:b/>
                <w:sz w:val="13"/>
              </w:rPr>
            </w:pPr>
            <w:r>
              <w:rPr>
                <w:b/>
                <w:sz w:val="13"/>
              </w:rPr>
              <w:t>183.8</w:t>
            </w:r>
          </w:p>
        </w:tc>
        <w:tc>
          <w:tcPr>
            <w:tcW w:w="738" w:type="dxa"/>
            <w:tcBorders>
              <w:top w:val="single" w:sz="4" w:space="0" w:color="000000"/>
            </w:tcBorders>
          </w:tcPr>
          <w:p>
            <w:pPr>
              <w:pStyle w:val="TableParagraph"/>
              <w:spacing w:before="122"/>
              <w:ind w:left="155"/>
              <w:rPr>
                <w:b/>
                <w:sz w:val="13"/>
              </w:rPr>
            </w:pPr>
            <w:r>
              <w:rPr>
                <w:b/>
                <w:sz w:val="13"/>
              </w:rPr>
              <w:t>203.6</w:t>
            </w:r>
          </w:p>
        </w:tc>
        <w:tc>
          <w:tcPr>
            <w:tcW w:w="738" w:type="dxa"/>
            <w:tcBorders>
              <w:top w:val="single" w:sz="4" w:space="0" w:color="000000"/>
            </w:tcBorders>
          </w:tcPr>
          <w:p>
            <w:pPr>
              <w:pStyle w:val="TableParagraph"/>
              <w:spacing w:before="122"/>
              <w:ind w:left="157"/>
              <w:rPr>
                <w:b/>
                <w:sz w:val="13"/>
              </w:rPr>
            </w:pPr>
            <w:r>
              <w:rPr>
                <w:b/>
                <w:sz w:val="13"/>
              </w:rPr>
              <w:t>221.0</w:t>
            </w:r>
          </w:p>
        </w:tc>
        <w:tc>
          <w:tcPr>
            <w:tcW w:w="738" w:type="dxa"/>
            <w:tcBorders>
              <w:top w:val="single" w:sz="4" w:space="0" w:color="000000"/>
            </w:tcBorders>
          </w:tcPr>
          <w:p>
            <w:pPr>
              <w:pStyle w:val="TableParagraph"/>
              <w:spacing w:before="122"/>
              <w:ind w:left="154"/>
              <w:rPr>
                <w:b/>
                <w:sz w:val="13"/>
              </w:rPr>
            </w:pPr>
            <w:r>
              <w:rPr>
                <w:b/>
                <w:sz w:val="13"/>
              </w:rPr>
              <w:t>238.8</w:t>
            </w:r>
          </w:p>
        </w:tc>
        <w:tc>
          <w:tcPr>
            <w:tcW w:w="808" w:type="dxa"/>
            <w:tcBorders>
              <w:top w:val="single" w:sz="4" w:space="0" w:color="000000"/>
            </w:tcBorders>
          </w:tcPr>
          <w:p>
            <w:pPr>
              <w:pStyle w:val="TableParagraph"/>
              <w:spacing w:before="122"/>
              <w:ind w:left="155"/>
              <w:rPr>
                <w:b/>
                <w:sz w:val="13"/>
              </w:rPr>
            </w:pPr>
            <w:r>
              <w:rPr>
                <w:b/>
                <w:sz w:val="13"/>
              </w:rPr>
              <w:t>257.2</w:t>
            </w:r>
          </w:p>
        </w:tc>
      </w:tr>
      <w:tr>
        <w:trPr>
          <w:trHeight w:val="203" w:hRule="atLeast"/>
        </w:trPr>
        <w:tc>
          <w:tcPr>
            <w:tcW w:w="2543" w:type="dxa"/>
          </w:tcPr>
          <w:p>
            <w:pPr>
              <w:pStyle w:val="TableParagraph"/>
              <w:spacing w:line="176" w:lineRule="exact" w:before="7"/>
              <w:ind w:left="139"/>
              <w:rPr>
                <w:rFonts w:ascii="PMingLiU" w:eastAsia="PMingLiU" w:hint="eastAsia"/>
                <w:sz w:val="14"/>
              </w:rPr>
            </w:pPr>
            <w:r>
              <w:rPr>
                <w:sz w:val="14"/>
              </w:rPr>
              <w:t>CD19 CAR-T </w:t>
            </w:r>
            <w:r>
              <w:rPr>
                <w:rFonts w:ascii="PMingLiU" w:eastAsia="PMingLiU" w:hint="eastAsia"/>
                <w:sz w:val="14"/>
              </w:rPr>
              <w:t>渗透率</w:t>
            </w:r>
          </w:p>
        </w:tc>
        <w:tc>
          <w:tcPr>
            <w:tcW w:w="642" w:type="dxa"/>
          </w:tcPr>
          <w:p>
            <w:pPr>
              <w:pStyle w:val="TableParagraph"/>
              <w:rPr>
                <w:rFonts w:ascii="Times New Roman"/>
                <w:sz w:val="14"/>
              </w:rPr>
            </w:pPr>
          </w:p>
        </w:tc>
        <w:tc>
          <w:tcPr>
            <w:tcW w:w="738" w:type="dxa"/>
          </w:tcPr>
          <w:p>
            <w:pPr>
              <w:pStyle w:val="TableParagraph"/>
              <w:spacing w:line="149" w:lineRule="exact" w:before="35"/>
              <w:ind w:left="159" w:right="186"/>
              <w:jc w:val="center"/>
              <w:rPr>
                <w:sz w:val="13"/>
              </w:rPr>
            </w:pPr>
            <w:r>
              <w:rPr>
                <w:sz w:val="13"/>
              </w:rPr>
              <w:t>0.7%</w:t>
            </w:r>
          </w:p>
        </w:tc>
        <w:tc>
          <w:tcPr>
            <w:tcW w:w="774" w:type="dxa"/>
          </w:tcPr>
          <w:p>
            <w:pPr>
              <w:pStyle w:val="TableParagraph"/>
              <w:spacing w:line="149" w:lineRule="exact" w:before="35"/>
              <w:ind w:left="201"/>
              <w:rPr>
                <w:sz w:val="13"/>
              </w:rPr>
            </w:pPr>
            <w:r>
              <w:rPr>
                <w:sz w:val="13"/>
              </w:rPr>
              <w:t>1.0%</w:t>
            </w:r>
          </w:p>
        </w:tc>
        <w:tc>
          <w:tcPr>
            <w:tcW w:w="761" w:type="dxa"/>
          </w:tcPr>
          <w:p>
            <w:pPr>
              <w:pStyle w:val="TableParagraph"/>
              <w:spacing w:line="149" w:lineRule="exact" w:before="35"/>
              <w:ind w:left="167"/>
              <w:rPr>
                <w:sz w:val="13"/>
              </w:rPr>
            </w:pPr>
            <w:r>
              <w:rPr>
                <w:sz w:val="13"/>
              </w:rPr>
              <w:t>2.3%</w:t>
            </w:r>
          </w:p>
        </w:tc>
        <w:tc>
          <w:tcPr>
            <w:tcW w:w="723" w:type="dxa"/>
          </w:tcPr>
          <w:p>
            <w:pPr>
              <w:pStyle w:val="TableParagraph"/>
              <w:spacing w:line="149" w:lineRule="exact" w:before="35"/>
              <w:ind w:left="145"/>
              <w:rPr>
                <w:sz w:val="13"/>
              </w:rPr>
            </w:pPr>
            <w:r>
              <w:rPr>
                <w:sz w:val="13"/>
              </w:rPr>
              <w:t>2.1%</w:t>
            </w:r>
          </w:p>
        </w:tc>
        <w:tc>
          <w:tcPr>
            <w:tcW w:w="738" w:type="dxa"/>
          </w:tcPr>
          <w:p>
            <w:pPr>
              <w:pStyle w:val="TableParagraph"/>
              <w:spacing w:line="149" w:lineRule="exact" w:before="35"/>
              <w:ind w:left="157"/>
              <w:rPr>
                <w:sz w:val="13"/>
              </w:rPr>
            </w:pPr>
            <w:r>
              <w:rPr>
                <w:sz w:val="13"/>
              </w:rPr>
              <w:t>2.7%</w:t>
            </w:r>
          </w:p>
        </w:tc>
        <w:tc>
          <w:tcPr>
            <w:tcW w:w="738" w:type="dxa"/>
          </w:tcPr>
          <w:p>
            <w:pPr>
              <w:pStyle w:val="TableParagraph"/>
              <w:spacing w:line="149" w:lineRule="exact" w:before="35"/>
              <w:ind w:left="159"/>
              <w:rPr>
                <w:sz w:val="13"/>
              </w:rPr>
            </w:pPr>
            <w:r>
              <w:rPr>
                <w:sz w:val="13"/>
              </w:rPr>
              <w:t>3.5%</w:t>
            </w:r>
          </w:p>
        </w:tc>
        <w:tc>
          <w:tcPr>
            <w:tcW w:w="738" w:type="dxa"/>
          </w:tcPr>
          <w:p>
            <w:pPr>
              <w:pStyle w:val="TableParagraph"/>
              <w:spacing w:line="149" w:lineRule="exact" w:before="35"/>
              <w:ind w:left="155"/>
              <w:rPr>
                <w:sz w:val="13"/>
              </w:rPr>
            </w:pPr>
            <w:r>
              <w:rPr>
                <w:sz w:val="13"/>
              </w:rPr>
              <w:t>4.6%</w:t>
            </w:r>
          </w:p>
        </w:tc>
        <w:tc>
          <w:tcPr>
            <w:tcW w:w="738" w:type="dxa"/>
          </w:tcPr>
          <w:p>
            <w:pPr>
              <w:pStyle w:val="TableParagraph"/>
              <w:spacing w:line="149" w:lineRule="exact" w:before="35"/>
              <w:ind w:left="157"/>
              <w:rPr>
                <w:sz w:val="13"/>
              </w:rPr>
            </w:pPr>
            <w:r>
              <w:rPr>
                <w:sz w:val="13"/>
              </w:rPr>
              <w:t>5.8%</w:t>
            </w:r>
          </w:p>
        </w:tc>
        <w:tc>
          <w:tcPr>
            <w:tcW w:w="738" w:type="dxa"/>
          </w:tcPr>
          <w:p>
            <w:pPr>
              <w:pStyle w:val="TableParagraph"/>
              <w:spacing w:line="149" w:lineRule="exact" w:before="35"/>
              <w:ind w:left="154"/>
              <w:rPr>
                <w:sz w:val="13"/>
              </w:rPr>
            </w:pPr>
            <w:r>
              <w:rPr>
                <w:sz w:val="13"/>
              </w:rPr>
              <w:t>7.2%</w:t>
            </w:r>
          </w:p>
        </w:tc>
        <w:tc>
          <w:tcPr>
            <w:tcW w:w="808" w:type="dxa"/>
          </w:tcPr>
          <w:p>
            <w:pPr>
              <w:pStyle w:val="TableParagraph"/>
              <w:spacing w:line="149" w:lineRule="exact" w:before="35"/>
              <w:ind w:left="155"/>
              <w:rPr>
                <w:sz w:val="13"/>
              </w:rPr>
            </w:pPr>
            <w:r>
              <w:rPr>
                <w:sz w:val="13"/>
              </w:rPr>
              <w:t>8.6%</w:t>
            </w:r>
          </w:p>
        </w:tc>
      </w:tr>
      <w:tr>
        <w:trPr>
          <w:trHeight w:val="203" w:hRule="atLeast"/>
        </w:trPr>
        <w:tc>
          <w:tcPr>
            <w:tcW w:w="2543" w:type="dxa"/>
          </w:tcPr>
          <w:p>
            <w:pPr>
              <w:pStyle w:val="TableParagraph"/>
              <w:spacing w:line="174" w:lineRule="exact" w:before="10"/>
              <w:ind w:left="139"/>
              <w:rPr>
                <w:sz w:val="14"/>
              </w:rPr>
            </w:pPr>
            <w:r>
              <w:rPr>
                <w:sz w:val="14"/>
              </w:rPr>
              <w:t>CD19 CAR-T </w:t>
            </w:r>
            <w:r>
              <w:rPr>
                <w:rFonts w:ascii="PMingLiU" w:eastAsia="PMingLiU" w:hint="eastAsia"/>
                <w:sz w:val="14"/>
              </w:rPr>
              <w:t>治疗数 </w:t>
            </w:r>
            <w:r>
              <w:rPr>
                <w:sz w:val="14"/>
              </w:rPr>
              <w:t>(</w:t>
            </w:r>
            <w:r>
              <w:rPr>
                <w:rFonts w:ascii="PMingLiU" w:eastAsia="PMingLiU" w:hint="eastAsia"/>
                <w:sz w:val="14"/>
              </w:rPr>
              <w:t>千例</w:t>
            </w:r>
            <w:r>
              <w:rPr>
                <w:sz w:val="14"/>
              </w:rPr>
              <w:t>)</w:t>
            </w:r>
          </w:p>
        </w:tc>
        <w:tc>
          <w:tcPr>
            <w:tcW w:w="642" w:type="dxa"/>
          </w:tcPr>
          <w:p>
            <w:pPr>
              <w:pStyle w:val="TableParagraph"/>
              <w:rPr>
                <w:rFonts w:ascii="Times New Roman"/>
                <w:sz w:val="14"/>
              </w:rPr>
            </w:pPr>
          </w:p>
        </w:tc>
        <w:tc>
          <w:tcPr>
            <w:tcW w:w="738" w:type="dxa"/>
          </w:tcPr>
          <w:p>
            <w:pPr>
              <w:pStyle w:val="TableParagraph"/>
              <w:spacing w:before="32"/>
              <w:ind w:left="43" w:right="186"/>
              <w:jc w:val="center"/>
              <w:rPr>
                <w:sz w:val="13"/>
              </w:rPr>
            </w:pPr>
            <w:r>
              <w:rPr>
                <w:sz w:val="13"/>
              </w:rPr>
              <w:t>0.3</w:t>
            </w:r>
          </w:p>
        </w:tc>
        <w:tc>
          <w:tcPr>
            <w:tcW w:w="774" w:type="dxa"/>
          </w:tcPr>
          <w:p>
            <w:pPr>
              <w:pStyle w:val="TableParagraph"/>
              <w:spacing w:before="32"/>
              <w:ind w:left="201"/>
              <w:rPr>
                <w:sz w:val="13"/>
              </w:rPr>
            </w:pPr>
            <w:r>
              <w:rPr>
                <w:sz w:val="13"/>
              </w:rPr>
              <w:t>0.5</w:t>
            </w:r>
          </w:p>
        </w:tc>
        <w:tc>
          <w:tcPr>
            <w:tcW w:w="761" w:type="dxa"/>
          </w:tcPr>
          <w:p>
            <w:pPr>
              <w:pStyle w:val="TableParagraph"/>
              <w:spacing w:before="32"/>
              <w:ind w:left="167"/>
              <w:rPr>
                <w:sz w:val="13"/>
              </w:rPr>
            </w:pPr>
            <w:r>
              <w:rPr>
                <w:sz w:val="13"/>
              </w:rPr>
              <w:t>1.3</w:t>
            </w:r>
          </w:p>
        </w:tc>
        <w:tc>
          <w:tcPr>
            <w:tcW w:w="723" w:type="dxa"/>
          </w:tcPr>
          <w:p>
            <w:pPr>
              <w:pStyle w:val="TableParagraph"/>
              <w:spacing w:before="32"/>
              <w:ind w:left="145"/>
              <w:rPr>
                <w:sz w:val="13"/>
              </w:rPr>
            </w:pPr>
            <w:r>
              <w:rPr>
                <w:sz w:val="13"/>
              </w:rPr>
              <w:t>2.9</w:t>
            </w:r>
          </w:p>
        </w:tc>
        <w:tc>
          <w:tcPr>
            <w:tcW w:w="738" w:type="dxa"/>
          </w:tcPr>
          <w:p>
            <w:pPr>
              <w:pStyle w:val="TableParagraph"/>
              <w:spacing w:before="32"/>
              <w:ind w:left="157"/>
              <w:rPr>
                <w:sz w:val="13"/>
              </w:rPr>
            </w:pPr>
            <w:r>
              <w:rPr>
                <w:sz w:val="13"/>
              </w:rPr>
              <w:t>4.5</w:t>
            </w:r>
          </w:p>
        </w:tc>
        <w:tc>
          <w:tcPr>
            <w:tcW w:w="738" w:type="dxa"/>
          </w:tcPr>
          <w:p>
            <w:pPr>
              <w:pStyle w:val="TableParagraph"/>
              <w:spacing w:before="32"/>
              <w:ind w:left="159"/>
              <w:rPr>
                <w:sz w:val="13"/>
              </w:rPr>
            </w:pPr>
            <w:r>
              <w:rPr>
                <w:sz w:val="13"/>
              </w:rPr>
              <w:t>6.5</w:t>
            </w:r>
          </w:p>
        </w:tc>
        <w:tc>
          <w:tcPr>
            <w:tcW w:w="738" w:type="dxa"/>
          </w:tcPr>
          <w:p>
            <w:pPr>
              <w:pStyle w:val="TableParagraph"/>
              <w:spacing w:before="32"/>
              <w:ind w:left="155"/>
              <w:rPr>
                <w:sz w:val="13"/>
              </w:rPr>
            </w:pPr>
            <w:r>
              <w:rPr>
                <w:sz w:val="13"/>
              </w:rPr>
              <w:t>9.4</w:t>
            </w:r>
          </w:p>
        </w:tc>
        <w:tc>
          <w:tcPr>
            <w:tcW w:w="738" w:type="dxa"/>
          </w:tcPr>
          <w:p>
            <w:pPr>
              <w:pStyle w:val="TableParagraph"/>
              <w:spacing w:before="32"/>
              <w:ind w:left="157"/>
              <w:rPr>
                <w:sz w:val="13"/>
              </w:rPr>
            </w:pPr>
            <w:r>
              <w:rPr>
                <w:sz w:val="13"/>
              </w:rPr>
              <w:t>12.7</w:t>
            </w:r>
          </w:p>
        </w:tc>
        <w:tc>
          <w:tcPr>
            <w:tcW w:w="738" w:type="dxa"/>
          </w:tcPr>
          <w:p>
            <w:pPr>
              <w:pStyle w:val="TableParagraph"/>
              <w:spacing w:before="32"/>
              <w:ind w:left="154"/>
              <w:rPr>
                <w:sz w:val="13"/>
              </w:rPr>
            </w:pPr>
            <w:r>
              <w:rPr>
                <w:sz w:val="13"/>
              </w:rPr>
              <w:t>17.2</w:t>
            </w:r>
          </w:p>
        </w:tc>
        <w:tc>
          <w:tcPr>
            <w:tcW w:w="808" w:type="dxa"/>
          </w:tcPr>
          <w:p>
            <w:pPr>
              <w:pStyle w:val="TableParagraph"/>
              <w:spacing w:before="32"/>
              <w:ind w:left="155"/>
              <w:rPr>
                <w:sz w:val="13"/>
              </w:rPr>
            </w:pPr>
            <w:r>
              <w:rPr>
                <w:sz w:val="13"/>
              </w:rPr>
              <w:t>22.2</w:t>
            </w:r>
          </w:p>
        </w:tc>
      </w:tr>
      <w:tr>
        <w:trPr>
          <w:trHeight w:val="209" w:hRule="atLeast"/>
        </w:trPr>
        <w:tc>
          <w:tcPr>
            <w:tcW w:w="2543" w:type="dxa"/>
          </w:tcPr>
          <w:p>
            <w:pPr>
              <w:pStyle w:val="TableParagraph"/>
              <w:spacing w:line="182" w:lineRule="exact" w:before="7"/>
              <w:ind w:left="139"/>
              <w:rPr>
                <w:sz w:val="14"/>
              </w:rPr>
            </w:pPr>
            <w:r>
              <w:rPr>
                <w:sz w:val="14"/>
              </w:rPr>
              <w:t>CD19 CAR-T </w:t>
            </w:r>
            <w:r>
              <w:rPr>
                <w:rFonts w:ascii="PMingLiU" w:eastAsia="PMingLiU" w:hint="eastAsia"/>
                <w:sz w:val="14"/>
              </w:rPr>
              <w:t>定价 </w:t>
            </w:r>
            <w:r>
              <w:rPr>
                <w:sz w:val="14"/>
              </w:rPr>
              <w:t>(</w:t>
            </w:r>
            <w:r>
              <w:rPr>
                <w:rFonts w:ascii="PMingLiU" w:eastAsia="PMingLiU" w:hint="eastAsia"/>
                <w:sz w:val="14"/>
              </w:rPr>
              <w:t>万元</w:t>
            </w:r>
            <w:r>
              <w:rPr>
                <w:sz w:val="14"/>
              </w:rPr>
              <w:t>)</w:t>
            </w:r>
          </w:p>
        </w:tc>
        <w:tc>
          <w:tcPr>
            <w:tcW w:w="642" w:type="dxa"/>
          </w:tcPr>
          <w:p>
            <w:pPr>
              <w:pStyle w:val="TableParagraph"/>
              <w:rPr>
                <w:rFonts w:ascii="Times New Roman"/>
                <w:sz w:val="14"/>
              </w:rPr>
            </w:pPr>
          </w:p>
        </w:tc>
        <w:tc>
          <w:tcPr>
            <w:tcW w:w="738" w:type="dxa"/>
          </w:tcPr>
          <w:p>
            <w:pPr>
              <w:pStyle w:val="TableParagraph"/>
              <w:spacing w:before="35"/>
              <w:ind w:left="184" w:right="185"/>
              <w:jc w:val="center"/>
              <w:rPr>
                <w:sz w:val="13"/>
              </w:rPr>
            </w:pPr>
            <w:r>
              <w:rPr>
                <w:sz w:val="13"/>
              </w:rPr>
              <w:t>124.5</w:t>
            </w:r>
          </w:p>
        </w:tc>
        <w:tc>
          <w:tcPr>
            <w:tcW w:w="774" w:type="dxa"/>
          </w:tcPr>
          <w:p>
            <w:pPr>
              <w:pStyle w:val="TableParagraph"/>
              <w:spacing w:before="35"/>
              <w:ind w:left="201"/>
              <w:rPr>
                <w:sz w:val="13"/>
              </w:rPr>
            </w:pPr>
            <w:r>
              <w:rPr>
                <w:sz w:val="13"/>
              </w:rPr>
              <w:t>124.5</w:t>
            </w:r>
          </w:p>
        </w:tc>
        <w:tc>
          <w:tcPr>
            <w:tcW w:w="761" w:type="dxa"/>
          </w:tcPr>
          <w:p>
            <w:pPr>
              <w:pStyle w:val="TableParagraph"/>
              <w:spacing w:before="35"/>
              <w:ind w:left="167"/>
              <w:rPr>
                <w:sz w:val="13"/>
              </w:rPr>
            </w:pPr>
            <w:r>
              <w:rPr>
                <w:sz w:val="13"/>
              </w:rPr>
              <w:t>124.5</w:t>
            </w:r>
          </w:p>
        </w:tc>
        <w:tc>
          <w:tcPr>
            <w:tcW w:w="723" w:type="dxa"/>
          </w:tcPr>
          <w:p>
            <w:pPr>
              <w:pStyle w:val="TableParagraph"/>
              <w:spacing w:before="35"/>
              <w:ind w:left="145"/>
              <w:rPr>
                <w:sz w:val="13"/>
              </w:rPr>
            </w:pPr>
            <w:r>
              <w:rPr>
                <w:sz w:val="13"/>
              </w:rPr>
              <w:t>112.1</w:t>
            </w:r>
          </w:p>
        </w:tc>
        <w:tc>
          <w:tcPr>
            <w:tcW w:w="738" w:type="dxa"/>
          </w:tcPr>
          <w:p>
            <w:pPr>
              <w:pStyle w:val="TableParagraph"/>
              <w:spacing w:before="35"/>
              <w:ind w:left="157"/>
              <w:rPr>
                <w:sz w:val="13"/>
              </w:rPr>
            </w:pPr>
            <w:r>
              <w:rPr>
                <w:sz w:val="13"/>
              </w:rPr>
              <w:t>100.8</w:t>
            </w:r>
          </w:p>
        </w:tc>
        <w:tc>
          <w:tcPr>
            <w:tcW w:w="738" w:type="dxa"/>
          </w:tcPr>
          <w:p>
            <w:pPr>
              <w:pStyle w:val="TableParagraph"/>
              <w:spacing w:before="35"/>
              <w:ind w:left="159"/>
              <w:rPr>
                <w:sz w:val="13"/>
              </w:rPr>
            </w:pPr>
            <w:r>
              <w:rPr>
                <w:sz w:val="13"/>
              </w:rPr>
              <w:t>90.8</w:t>
            </w:r>
          </w:p>
        </w:tc>
        <w:tc>
          <w:tcPr>
            <w:tcW w:w="738" w:type="dxa"/>
          </w:tcPr>
          <w:p>
            <w:pPr>
              <w:pStyle w:val="TableParagraph"/>
              <w:spacing w:before="35"/>
              <w:ind w:left="155"/>
              <w:rPr>
                <w:sz w:val="13"/>
              </w:rPr>
            </w:pPr>
            <w:r>
              <w:rPr>
                <w:sz w:val="13"/>
              </w:rPr>
              <w:t>81.7</w:t>
            </w:r>
          </w:p>
        </w:tc>
        <w:tc>
          <w:tcPr>
            <w:tcW w:w="738" w:type="dxa"/>
          </w:tcPr>
          <w:p>
            <w:pPr>
              <w:pStyle w:val="TableParagraph"/>
              <w:spacing w:before="35"/>
              <w:ind w:left="157"/>
              <w:rPr>
                <w:sz w:val="13"/>
              </w:rPr>
            </w:pPr>
            <w:r>
              <w:rPr>
                <w:sz w:val="13"/>
              </w:rPr>
              <w:t>69.4</w:t>
            </w:r>
          </w:p>
        </w:tc>
        <w:tc>
          <w:tcPr>
            <w:tcW w:w="738" w:type="dxa"/>
          </w:tcPr>
          <w:p>
            <w:pPr>
              <w:pStyle w:val="TableParagraph"/>
              <w:spacing w:before="35"/>
              <w:ind w:left="154"/>
              <w:rPr>
                <w:sz w:val="13"/>
              </w:rPr>
            </w:pPr>
            <w:r>
              <w:rPr>
                <w:sz w:val="13"/>
              </w:rPr>
              <w:t>59.0</w:t>
            </w:r>
          </w:p>
        </w:tc>
        <w:tc>
          <w:tcPr>
            <w:tcW w:w="808" w:type="dxa"/>
          </w:tcPr>
          <w:p>
            <w:pPr>
              <w:pStyle w:val="TableParagraph"/>
              <w:spacing w:before="35"/>
              <w:ind w:left="155"/>
              <w:rPr>
                <w:sz w:val="13"/>
              </w:rPr>
            </w:pPr>
            <w:r>
              <w:rPr>
                <w:sz w:val="13"/>
              </w:rPr>
              <w:t>50.2</w:t>
            </w:r>
          </w:p>
        </w:tc>
      </w:tr>
      <w:tr>
        <w:trPr>
          <w:trHeight w:val="190" w:hRule="atLeast"/>
        </w:trPr>
        <w:tc>
          <w:tcPr>
            <w:tcW w:w="2543" w:type="dxa"/>
          </w:tcPr>
          <w:p>
            <w:pPr>
              <w:pStyle w:val="TableParagraph"/>
              <w:spacing w:line="157" w:lineRule="exact" w:before="13"/>
              <w:ind w:left="139"/>
              <w:rPr>
                <w:i/>
                <w:sz w:val="14"/>
              </w:rPr>
            </w:pPr>
            <w:r>
              <w:rPr>
                <w:i/>
                <w:sz w:val="14"/>
              </w:rPr>
              <w:t>YoY</w:t>
            </w:r>
          </w:p>
        </w:tc>
        <w:tc>
          <w:tcPr>
            <w:tcW w:w="642" w:type="dxa"/>
          </w:tcPr>
          <w:p>
            <w:pPr>
              <w:pStyle w:val="TableParagraph"/>
              <w:rPr>
                <w:rFonts w:ascii="Times New Roman"/>
                <w:sz w:val="12"/>
              </w:rPr>
            </w:pPr>
          </w:p>
        </w:tc>
        <w:tc>
          <w:tcPr>
            <w:tcW w:w="738" w:type="dxa"/>
          </w:tcPr>
          <w:p>
            <w:pPr>
              <w:pStyle w:val="TableParagraph"/>
              <w:rPr>
                <w:rFonts w:ascii="Times New Roman"/>
                <w:sz w:val="12"/>
              </w:rPr>
            </w:pPr>
          </w:p>
        </w:tc>
        <w:tc>
          <w:tcPr>
            <w:tcW w:w="774" w:type="dxa"/>
          </w:tcPr>
          <w:p>
            <w:pPr>
              <w:pStyle w:val="TableParagraph"/>
              <w:rPr>
                <w:rFonts w:ascii="Times New Roman"/>
                <w:sz w:val="12"/>
              </w:rPr>
            </w:pPr>
          </w:p>
        </w:tc>
        <w:tc>
          <w:tcPr>
            <w:tcW w:w="761" w:type="dxa"/>
          </w:tcPr>
          <w:p>
            <w:pPr>
              <w:pStyle w:val="TableParagraph"/>
              <w:rPr>
                <w:rFonts w:ascii="Times New Roman"/>
                <w:sz w:val="12"/>
              </w:rPr>
            </w:pPr>
          </w:p>
        </w:tc>
        <w:tc>
          <w:tcPr>
            <w:tcW w:w="723" w:type="dxa"/>
          </w:tcPr>
          <w:p>
            <w:pPr>
              <w:pStyle w:val="TableParagraph"/>
              <w:spacing w:line="143" w:lineRule="exact" w:before="27"/>
              <w:ind w:left="145"/>
              <w:rPr>
                <w:sz w:val="13"/>
              </w:rPr>
            </w:pPr>
            <w:r>
              <w:rPr>
                <w:sz w:val="13"/>
              </w:rPr>
              <w:t>-10.0%</w:t>
            </w:r>
          </w:p>
        </w:tc>
        <w:tc>
          <w:tcPr>
            <w:tcW w:w="738" w:type="dxa"/>
          </w:tcPr>
          <w:p>
            <w:pPr>
              <w:pStyle w:val="TableParagraph"/>
              <w:spacing w:line="143" w:lineRule="exact" w:before="27"/>
              <w:ind w:left="157"/>
              <w:rPr>
                <w:sz w:val="13"/>
              </w:rPr>
            </w:pPr>
            <w:r>
              <w:rPr>
                <w:sz w:val="13"/>
              </w:rPr>
              <w:t>-10.0%</w:t>
            </w:r>
          </w:p>
        </w:tc>
        <w:tc>
          <w:tcPr>
            <w:tcW w:w="738" w:type="dxa"/>
          </w:tcPr>
          <w:p>
            <w:pPr>
              <w:pStyle w:val="TableParagraph"/>
              <w:spacing w:line="143" w:lineRule="exact" w:before="27"/>
              <w:ind w:left="159"/>
              <w:rPr>
                <w:sz w:val="13"/>
              </w:rPr>
            </w:pPr>
            <w:r>
              <w:rPr>
                <w:sz w:val="13"/>
              </w:rPr>
              <w:t>-10.0%</w:t>
            </w:r>
          </w:p>
        </w:tc>
        <w:tc>
          <w:tcPr>
            <w:tcW w:w="738" w:type="dxa"/>
          </w:tcPr>
          <w:p>
            <w:pPr>
              <w:pStyle w:val="TableParagraph"/>
              <w:spacing w:line="143" w:lineRule="exact" w:before="27"/>
              <w:ind w:left="155"/>
              <w:rPr>
                <w:sz w:val="13"/>
              </w:rPr>
            </w:pPr>
            <w:r>
              <w:rPr>
                <w:sz w:val="13"/>
              </w:rPr>
              <w:t>-10.0%</w:t>
            </w:r>
          </w:p>
        </w:tc>
        <w:tc>
          <w:tcPr>
            <w:tcW w:w="738" w:type="dxa"/>
          </w:tcPr>
          <w:p>
            <w:pPr>
              <w:pStyle w:val="TableParagraph"/>
              <w:spacing w:line="143" w:lineRule="exact" w:before="27"/>
              <w:ind w:left="157"/>
              <w:rPr>
                <w:sz w:val="13"/>
              </w:rPr>
            </w:pPr>
            <w:r>
              <w:rPr>
                <w:sz w:val="13"/>
              </w:rPr>
              <w:t>-15.0%</w:t>
            </w:r>
          </w:p>
        </w:tc>
        <w:tc>
          <w:tcPr>
            <w:tcW w:w="738" w:type="dxa"/>
          </w:tcPr>
          <w:p>
            <w:pPr>
              <w:pStyle w:val="TableParagraph"/>
              <w:spacing w:line="143" w:lineRule="exact" w:before="27"/>
              <w:ind w:left="154"/>
              <w:rPr>
                <w:sz w:val="13"/>
              </w:rPr>
            </w:pPr>
            <w:r>
              <w:rPr>
                <w:sz w:val="13"/>
              </w:rPr>
              <w:t>-15.0%</w:t>
            </w:r>
          </w:p>
        </w:tc>
        <w:tc>
          <w:tcPr>
            <w:tcW w:w="808" w:type="dxa"/>
          </w:tcPr>
          <w:p>
            <w:pPr>
              <w:pStyle w:val="TableParagraph"/>
              <w:spacing w:line="143" w:lineRule="exact" w:before="27"/>
              <w:ind w:left="155"/>
              <w:rPr>
                <w:sz w:val="13"/>
              </w:rPr>
            </w:pPr>
            <w:r>
              <w:rPr>
                <w:sz w:val="13"/>
              </w:rPr>
              <w:t>-15.0%</w:t>
            </w:r>
          </w:p>
        </w:tc>
      </w:tr>
      <w:tr>
        <w:trPr>
          <w:trHeight w:val="213" w:hRule="atLeast"/>
        </w:trPr>
        <w:tc>
          <w:tcPr>
            <w:tcW w:w="2543" w:type="dxa"/>
          </w:tcPr>
          <w:p>
            <w:pPr>
              <w:pStyle w:val="TableParagraph"/>
              <w:spacing w:line="193" w:lineRule="exact"/>
              <w:ind w:left="139"/>
              <w:rPr>
                <w:b/>
                <w:sz w:val="14"/>
              </w:rPr>
            </w:pPr>
            <w:r>
              <w:rPr>
                <w:b/>
                <w:sz w:val="14"/>
              </w:rPr>
              <w:t>CD19 CAR-T </w:t>
            </w:r>
            <w:r>
              <w:rPr>
                <w:rFonts w:ascii="Microsoft JhengHei UI" w:eastAsia="Microsoft JhengHei UI" w:hint="eastAsia"/>
                <w:b/>
                <w:sz w:val="14"/>
              </w:rPr>
              <w:t>市场规模 </w:t>
            </w:r>
            <w:r>
              <w:rPr>
                <w:b/>
                <w:sz w:val="14"/>
              </w:rPr>
              <w:t>(</w:t>
            </w:r>
            <w:r>
              <w:rPr>
                <w:rFonts w:ascii="Microsoft JhengHei UI" w:eastAsia="Microsoft JhengHei UI" w:hint="eastAsia"/>
                <w:b/>
                <w:sz w:val="14"/>
              </w:rPr>
              <w:t>亿元</w:t>
            </w:r>
            <w:r>
              <w:rPr>
                <w:b/>
                <w:sz w:val="14"/>
              </w:rPr>
              <w:t>)</w:t>
            </w:r>
          </w:p>
        </w:tc>
        <w:tc>
          <w:tcPr>
            <w:tcW w:w="642" w:type="dxa"/>
          </w:tcPr>
          <w:p>
            <w:pPr>
              <w:pStyle w:val="TableParagraph"/>
              <w:rPr>
                <w:rFonts w:ascii="Times New Roman"/>
                <w:sz w:val="14"/>
              </w:rPr>
            </w:pPr>
          </w:p>
        </w:tc>
        <w:tc>
          <w:tcPr>
            <w:tcW w:w="738" w:type="dxa"/>
          </w:tcPr>
          <w:p>
            <w:pPr>
              <w:pStyle w:val="TableParagraph"/>
              <w:spacing w:before="29"/>
              <w:ind w:left="43" w:right="186"/>
              <w:jc w:val="center"/>
              <w:rPr>
                <w:b/>
                <w:sz w:val="13"/>
              </w:rPr>
            </w:pPr>
            <w:r>
              <w:rPr>
                <w:b/>
                <w:sz w:val="13"/>
              </w:rPr>
              <w:t>3.1</w:t>
            </w:r>
          </w:p>
        </w:tc>
        <w:tc>
          <w:tcPr>
            <w:tcW w:w="774" w:type="dxa"/>
          </w:tcPr>
          <w:p>
            <w:pPr>
              <w:pStyle w:val="TableParagraph"/>
              <w:spacing w:before="29"/>
              <w:ind w:left="201"/>
              <w:rPr>
                <w:b/>
                <w:sz w:val="13"/>
              </w:rPr>
            </w:pPr>
            <w:r>
              <w:rPr>
                <w:b/>
                <w:sz w:val="13"/>
              </w:rPr>
              <w:t>5.6</w:t>
            </w:r>
          </w:p>
        </w:tc>
        <w:tc>
          <w:tcPr>
            <w:tcW w:w="761" w:type="dxa"/>
          </w:tcPr>
          <w:p>
            <w:pPr>
              <w:pStyle w:val="TableParagraph"/>
              <w:spacing w:before="29"/>
              <w:ind w:left="167"/>
              <w:rPr>
                <w:b/>
                <w:sz w:val="13"/>
              </w:rPr>
            </w:pPr>
            <w:r>
              <w:rPr>
                <w:b/>
                <w:sz w:val="13"/>
              </w:rPr>
              <w:t>16.3</w:t>
            </w:r>
          </w:p>
        </w:tc>
        <w:tc>
          <w:tcPr>
            <w:tcW w:w="723" w:type="dxa"/>
          </w:tcPr>
          <w:p>
            <w:pPr>
              <w:pStyle w:val="TableParagraph"/>
              <w:spacing w:before="29"/>
              <w:ind w:left="145"/>
              <w:rPr>
                <w:b/>
                <w:sz w:val="13"/>
              </w:rPr>
            </w:pPr>
            <w:r>
              <w:rPr>
                <w:b/>
                <w:sz w:val="13"/>
              </w:rPr>
              <w:t>32.3</w:t>
            </w:r>
          </w:p>
        </w:tc>
        <w:tc>
          <w:tcPr>
            <w:tcW w:w="738" w:type="dxa"/>
          </w:tcPr>
          <w:p>
            <w:pPr>
              <w:pStyle w:val="TableParagraph"/>
              <w:spacing w:before="29"/>
              <w:ind w:left="157"/>
              <w:rPr>
                <w:b/>
                <w:sz w:val="13"/>
              </w:rPr>
            </w:pPr>
            <w:r>
              <w:rPr>
                <w:b/>
                <w:sz w:val="13"/>
              </w:rPr>
              <w:t>45.4</w:t>
            </w:r>
          </w:p>
        </w:tc>
        <w:tc>
          <w:tcPr>
            <w:tcW w:w="738" w:type="dxa"/>
          </w:tcPr>
          <w:p>
            <w:pPr>
              <w:pStyle w:val="TableParagraph"/>
              <w:spacing w:before="29"/>
              <w:ind w:left="159"/>
              <w:rPr>
                <w:b/>
                <w:sz w:val="13"/>
              </w:rPr>
            </w:pPr>
            <w:r>
              <w:rPr>
                <w:b/>
                <w:sz w:val="13"/>
              </w:rPr>
              <w:t>59.2</w:t>
            </w:r>
          </w:p>
        </w:tc>
        <w:tc>
          <w:tcPr>
            <w:tcW w:w="738" w:type="dxa"/>
          </w:tcPr>
          <w:p>
            <w:pPr>
              <w:pStyle w:val="TableParagraph"/>
              <w:spacing w:before="29"/>
              <w:ind w:left="155"/>
              <w:rPr>
                <w:b/>
                <w:sz w:val="13"/>
              </w:rPr>
            </w:pPr>
            <w:r>
              <w:rPr>
                <w:b/>
                <w:sz w:val="13"/>
              </w:rPr>
              <w:t>76.7</w:t>
            </w:r>
          </w:p>
        </w:tc>
        <w:tc>
          <w:tcPr>
            <w:tcW w:w="738" w:type="dxa"/>
          </w:tcPr>
          <w:p>
            <w:pPr>
              <w:pStyle w:val="TableParagraph"/>
              <w:spacing w:before="29"/>
              <w:ind w:left="157"/>
              <w:rPr>
                <w:b/>
                <w:sz w:val="13"/>
              </w:rPr>
            </w:pPr>
            <w:r>
              <w:rPr>
                <w:b/>
                <w:sz w:val="13"/>
              </w:rPr>
              <w:t>88.4</w:t>
            </w:r>
          </w:p>
        </w:tc>
        <w:tc>
          <w:tcPr>
            <w:tcW w:w="738" w:type="dxa"/>
          </w:tcPr>
          <w:p>
            <w:pPr>
              <w:pStyle w:val="TableParagraph"/>
              <w:spacing w:before="29"/>
              <w:ind w:left="154"/>
              <w:rPr>
                <w:b/>
                <w:sz w:val="13"/>
              </w:rPr>
            </w:pPr>
            <w:r>
              <w:rPr>
                <w:b/>
                <w:sz w:val="13"/>
              </w:rPr>
              <w:t>101.5</w:t>
            </w:r>
          </w:p>
        </w:tc>
        <w:tc>
          <w:tcPr>
            <w:tcW w:w="808" w:type="dxa"/>
          </w:tcPr>
          <w:p>
            <w:pPr>
              <w:pStyle w:val="TableParagraph"/>
              <w:spacing w:before="29"/>
              <w:ind w:left="155"/>
              <w:rPr>
                <w:b/>
                <w:sz w:val="13"/>
              </w:rPr>
            </w:pPr>
            <w:r>
              <w:rPr>
                <w:b/>
                <w:sz w:val="13"/>
              </w:rPr>
              <w:t>111.5</w:t>
            </w:r>
          </w:p>
        </w:tc>
      </w:tr>
      <w:tr>
        <w:trPr>
          <w:trHeight w:val="197" w:hRule="atLeast"/>
        </w:trPr>
        <w:tc>
          <w:tcPr>
            <w:tcW w:w="2543" w:type="dxa"/>
          </w:tcPr>
          <w:p>
            <w:pPr>
              <w:pStyle w:val="TableParagraph"/>
              <w:spacing w:before="13"/>
              <w:ind w:left="139"/>
              <w:rPr>
                <w:i/>
                <w:sz w:val="14"/>
              </w:rPr>
            </w:pPr>
            <w:r>
              <w:rPr>
                <w:i/>
                <w:sz w:val="14"/>
              </w:rPr>
              <w:t>YoY</w:t>
            </w:r>
          </w:p>
        </w:tc>
        <w:tc>
          <w:tcPr>
            <w:tcW w:w="642" w:type="dxa"/>
          </w:tcPr>
          <w:p>
            <w:pPr>
              <w:pStyle w:val="TableParagraph"/>
              <w:rPr>
                <w:rFonts w:ascii="Times New Roman"/>
                <w:sz w:val="12"/>
              </w:rPr>
            </w:pPr>
          </w:p>
        </w:tc>
        <w:tc>
          <w:tcPr>
            <w:tcW w:w="738" w:type="dxa"/>
          </w:tcPr>
          <w:p>
            <w:pPr>
              <w:pStyle w:val="TableParagraph"/>
              <w:rPr>
                <w:rFonts w:ascii="Times New Roman"/>
                <w:sz w:val="12"/>
              </w:rPr>
            </w:pPr>
          </w:p>
        </w:tc>
        <w:tc>
          <w:tcPr>
            <w:tcW w:w="774" w:type="dxa"/>
          </w:tcPr>
          <w:p>
            <w:pPr>
              <w:pStyle w:val="TableParagraph"/>
              <w:spacing w:before="22"/>
              <w:ind w:left="201"/>
              <w:rPr>
                <w:sz w:val="13"/>
              </w:rPr>
            </w:pPr>
            <w:r>
              <w:rPr>
                <w:sz w:val="13"/>
              </w:rPr>
              <w:t>80.0%</w:t>
            </w:r>
          </w:p>
        </w:tc>
        <w:tc>
          <w:tcPr>
            <w:tcW w:w="761" w:type="dxa"/>
          </w:tcPr>
          <w:p>
            <w:pPr>
              <w:pStyle w:val="TableParagraph"/>
              <w:spacing w:before="22"/>
              <w:ind w:left="167"/>
              <w:rPr>
                <w:sz w:val="13"/>
              </w:rPr>
            </w:pPr>
            <w:r>
              <w:rPr>
                <w:sz w:val="13"/>
              </w:rPr>
              <w:t>191.1%</w:t>
            </w:r>
          </w:p>
        </w:tc>
        <w:tc>
          <w:tcPr>
            <w:tcW w:w="723" w:type="dxa"/>
          </w:tcPr>
          <w:p>
            <w:pPr>
              <w:pStyle w:val="TableParagraph"/>
              <w:spacing w:before="22"/>
              <w:ind w:left="145"/>
              <w:rPr>
                <w:sz w:val="13"/>
              </w:rPr>
            </w:pPr>
            <w:r>
              <w:rPr>
                <w:sz w:val="13"/>
              </w:rPr>
              <w:t>97.8%</w:t>
            </w:r>
          </w:p>
        </w:tc>
        <w:tc>
          <w:tcPr>
            <w:tcW w:w="738" w:type="dxa"/>
          </w:tcPr>
          <w:p>
            <w:pPr>
              <w:pStyle w:val="TableParagraph"/>
              <w:spacing w:before="22"/>
              <w:ind w:left="157"/>
              <w:rPr>
                <w:sz w:val="13"/>
              </w:rPr>
            </w:pPr>
            <w:r>
              <w:rPr>
                <w:sz w:val="13"/>
              </w:rPr>
              <w:t>40.7%</w:t>
            </w:r>
          </w:p>
        </w:tc>
        <w:tc>
          <w:tcPr>
            <w:tcW w:w="738" w:type="dxa"/>
          </w:tcPr>
          <w:p>
            <w:pPr>
              <w:pStyle w:val="TableParagraph"/>
              <w:spacing w:before="22"/>
              <w:ind w:left="159"/>
              <w:rPr>
                <w:sz w:val="13"/>
              </w:rPr>
            </w:pPr>
            <w:r>
              <w:rPr>
                <w:sz w:val="13"/>
              </w:rPr>
              <w:t>30.3%</w:t>
            </w:r>
          </w:p>
        </w:tc>
        <w:tc>
          <w:tcPr>
            <w:tcW w:w="738" w:type="dxa"/>
          </w:tcPr>
          <w:p>
            <w:pPr>
              <w:pStyle w:val="TableParagraph"/>
              <w:spacing w:before="22"/>
              <w:ind w:left="155"/>
              <w:rPr>
                <w:sz w:val="13"/>
              </w:rPr>
            </w:pPr>
            <w:r>
              <w:rPr>
                <w:sz w:val="13"/>
              </w:rPr>
              <w:t>29.6%</w:t>
            </w:r>
          </w:p>
        </w:tc>
        <w:tc>
          <w:tcPr>
            <w:tcW w:w="738" w:type="dxa"/>
          </w:tcPr>
          <w:p>
            <w:pPr>
              <w:pStyle w:val="TableParagraph"/>
              <w:spacing w:before="22"/>
              <w:ind w:left="157"/>
              <w:rPr>
                <w:sz w:val="13"/>
              </w:rPr>
            </w:pPr>
            <w:r>
              <w:rPr>
                <w:sz w:val="13"/>
              </w:rPr>
              <w:t>15.3%</w:t>
            </w:r>
          </w:p>
        </w:tc>
        <w:tc>
          <w:tcPr>
            <w:tcW w:w="738" w:type="dxa"/>
          </w:tcPr>
          <w:p>
            <w:pPr>
              <w:pStyle w:val="TableParagraph"/>
              <w:spacing w:before="22"/>
              <w:ind w:left="154"/>
              <w:rPr>
                <w:sz w:val="13"/>
              </w:rPr>
            </w:pPr>
            <w:r>
              <w:rPr>
                <w:sz w:val="13"/>
              </w:rPr>
              <w:t>14.8%</w:t>
            </w:r>
          </w:p>
        </w:tc>
        <w:tc>
          <w:tcPr>
            <w:tcW w:w="808" w:type="dxa"/>
          </w:tcPr>
          <w:p>
            <w:pPr>
              <w:pStyle w:val="TableParagraph"/>
              <w:spacing w:before="22"/>
              <w:ind w:left="155"/>
              <w:rPr>
                <w:sz w:val="13"/>
              </w:rPr>
            </w:pPr>
            <w:r>
              <w:rPr>
                <w:sz w:val="13"/>
              </w:rPr>
              <w:t>9.8%</w:t>
            </w:r>
          </w:p>
        </w:tc>
      </w:tr>
      <w:tr>
        <w:trPr>
          <w:trHeight w:val="206" w:hRule="atLeast"/>
        </w:trPr>
        <w:tc>
          <w:tcPr>
            <w:tcW w:w="2543" w:type="dxa"/>
            <w:shd w:val="clear" w:color="auto" w:fill="F4AF84"/>
          </w:tcPr>
          <w:p>
            <w:pPr>
              <w:pStyle w:val="TableParagraph"/>
              <w:spacing w:line="186" w:lineRule="exact"/>
              <w:ind w:left="139"/>
              <w:rPr>
                <w:sz w:val="14"/>
              </w:rPr>
            </w:pPr>
            <w:r>
              <w:rPr>
                <w:rFonts w:ascii="PMingLiU" w:eastAsia="PMingLiU" w:hint="eastAsia"/>
                <w:sz w:val="14"/>
              </w:rPr>
              <w:t>急性淋巴细胞白血病 </w:t>
            </w:r>
            <w:r>
              <w:rPr>
                <w:sz w:val="14"/>
              </w:rPr>
              <w:t>(ALL)</w:t>
            </w:r>
          </w:p>
        </w:tc>
        <w:tc>
          <w:tcPr>
            <w:tcW w:w="642" w:type="dxa"/>
            <w:shd w:val="clear" w:color="auto" w:fill="F4AF84"/>
          </w:tcPr>
          <w:p>
            <w:pPr>
              <w:pStyle w:val="TableParagraph"/>
              <w:rPr>
                <w:rFonts w:ascii="Times New Roman"/>
                <w:sz w:val="14"/>
              </w:rPr>
            </w:pPr>
          </w:p>
        </w:tc>
        <w:tc>
          <w:tcPr>
            <w:tcW w:w="738" w:type="dxa"/>
            <w:shd w:val="clear" w:color="auto" w:fill="F4AF84"/>
          </w:tcPr>
          <w:p>
            <w:pPr>
              <w:pStyle w:val="TableParagraph"/>
              <w:spacing w:line="186" w:lineRule="exact"/>
              <w:ind w:right="186"/>
              <w:jc w:val="center"/>
              <w:rPr>
                <w:rFonts w:ascii="PMingLiU" w:eastAsia="PMingLiU" w:hint="eastAsia"/>
                <w:sz w:val="14"/>
              </w:rPr>
            </w:pPr>
            <w:r>
              <w:rPr>
                <w:rFonts w:ascii="PMingLiU" w:eastAsia="PMingLiU" w:hint="eastAsia"/>
                <w:w w:val="99"/>
                <w:sz w:val="14"/>
              </w:rPr>
              <w:t>、</w:t>
            </w:r>
          </w:p>
        </w:tc>
        <w:tc>
          <w:tcPr>
            <w:tcW w:w="774" w:type="dxa"/>
            <w:shd w:val="clear" w:color="auto" w:fill="F4AF84"/>
          </w:tcPr>
          <w:p>
            <w:pPr>
              <w:pStyle w:val="TableParagraph"/>
              <w:rPr>
                <w:rFonts w:ascii="Times New Roman"/>
                <w:sz w:val="14"/>
              </w:rPr>
            </w:pPr>
          </w:p>
        </w:tc>
        <w:tc>
          <w:tcPr>
            <w:tcW w:w="761" w:type="dxa"/>
            <w:shd w:val="clear" w:color="auto" w:fill="F4AF84"/>
          </w:tcPr>
          <w:p>
            <w:pPr>
              <w:pStyle w:val="TableParagraph"/>
              <w:rPr>
                <w:rFonts w:ascii="Times New Roman"/>
                <w:sz w:val="14"/>
              </w:rPr>
            </w:pPr>
          </w:p>
        </w:tc>
        <w:tc>
          <w:tcPr>
            <w:tcW w:w="723"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738" w:type="dxa"/>
            <w:shd w:val="clear" w:color="auto" w:fill="F4AF84"/>
          </w:tcPr>
          <w:p>
            <w:pPr>
              <w:pStyle w:val="TableParagraph"/>
              <w:rPr>
                <w:rFonts w:ascii="Times New Roman"/>
                <w:sz w:val="14"/>
              </w:rPr>
            </w:pPr>
          </w:p>
        </w:tc>
        <w:tc>
          <w:tcPr>
            <w:tcW w:w="808" w:type="dxa"/>
            <w:shd w:val="clear" w:color="auto" w:fill="F4AF84"/>
          </w:tcPr>
          <w:p>
            <w:pPr>
              <w:pStyle w:val="TableParagraph"/>
              <w:rPr>
                <w:rFonts w:ascii="Times New Roman"/>
                <w:sz w:val="14"/>
              </w:rPr>
            </w:pPr>
          </w:p>
        </w:tc>
      </w:tr>
      <w:tr>
        <w:trPr>
          <w:trHeight w:val="193" w:hRule="atLeast"/>
        </w:trPr>
        <w:tc>
          <w:tcPr>
            <w:tcW w:w="2543" w:type="dxa"/>
          </w:tcPr>
          <w:p>
            <w:pPr>
              <w:pStyle w:val="TableParagraph"/>
              <w:spacing w:line="174" w:lineRule="exact"/>
              <w:ind w:left="139"/>
              <w:rPr>
                <w:rFonts w:ascii="PMingLiU" w:eastAsia="PMingLiU" w:hint="eastAsia"/>
                <w:sz w:val="14"/>
              </w:rPr>
            </w:pPr>
            <w:r>
              <w:rPr>
                <w:sz w:val="14"/>
              </w:rPr>
              <w:t>B-ALL </w:t>
            </w:r>
            <w:r>
              <w:rPr>
                <w:rFonts w:ascii="PMingLiU" w:eastAsia="PMingLiU" w:hint="eastAsia"/>
                <w:sz w:val="14"/>
              </w:rPr>
              <w:t>新增患病数</w:t>
            </w:r>
          </w:p>
        </w:tc>
        <w:tc>
          <w:tcPr>
            <w:tcW w:w="642" w:type="dxa"/>
          </w:tcPr>
          <w:p>
            <w:pPr>
              <w:pStyle w:val="TableParagraph"/>
              <w:spacing w:line="156" w:lineRule="exact" w:before="18"/>
              <w:ind w:left="107"/>
              <w:rPr>
                <w:sz w:val="14"/>
              </w:rPr>
            </w:pPr>
            <w:r>
              <w:rPr>
                <w:sz w:val="14"/>
              </w:rPr>
              <w:t>12.8</w:t>
            </w:r>
          </w:p>
        </w:tc>
        <w:tc>
          <w:tcPr>
            <w:tcW w:w="738" w:type="dxa"/>
          </w:tcPr>
          <w:p>
            <w:pPr>
              <w:pStyle w:val="TableParagraph"/>
              <w:spacing w:line="156" w:lineRule="exact" w:before="18"/>
              <w:ind w:left="131" w:right="186"/>
              <w:jc w:val="center"/>
              <w:rPr>
                <w:sz w:val="14"/>
              </w:rPr>
            </w:pPr>
            <w:r>
              <w:rPr>
                <w:sz w:val="14"/>
              </w:rPr>
              <w:t>13.0</w:t>
            </w:r>
          </w:p>
        </w:tc>
        <w:tc>
          <w:tcPr>
            <w:tcW w:w="774" w:type="dxa"/>
          </w:tcPr>
          <w:p>
            <w:pPr>
              <w:pStyle w:val="TableParagraph"/>
              <w:spacing w:line="156" w:lineRule="exact" w:before="18"/>
              <w:ind w:left="201"/>
              <w:rPr>
                <w:sz w:val="14"/>
              </w:rPr>
            </w:pPr>
            <w:r>
              <w:rPr>
                <w:sz w:val="14"/>
              </w:rPr>
              <w:t>13.2</w:t>
            </w:r>
          </w:p>
        </w:tc>
        <w:tc>
          <w:tcPr>
            <w:tcW w:w="761" w:type="dxa"/>
          </w:tcPr>
          <w:p>
            <w:pPr>
              <w:pStyle w:val="TableParagraph"/>
              <w:spacing w:line="156" w:lineRule="exact" w:before="18"/>
              <w:ind w:left="167"/>
              <w:rPr>
                <w:sz w:val="14"/>
              </w:rPr>
            </w:pPr>
            <w:r>
              <w:rPr>
                <w:sz w:val="14"/>
              </w:rPr>
              <w:t>13.5</w:t>
            </w:r>
          </w:p>
        </w:tc>
        <w:tc>
          <w:tcPr>
            <w:tcW w:w="723" w:type="dxa"/>
          </w:tcPr>
          <w:p>
            <w:pPr>
              <w:pStyle w:val="TableParagraph"/>
              <w:spacing w:line="156" w:lineRule="exact" w:before="18"/>
              <w:ind w:left="145"/>
              <w:rPr>
                <w:sz w:val="14"/>
              </w:rPr>
            </w:pPr>
            <w:r>
              <w:rPr>
                <w:sz w:val="14"/>
              </w:rPr>
              <w:t>13.7</w:t>
            </w:r>
          </w:p>
        </w:tc>
        <w:tc>
          <w:tcPr>
            <w:tcW w:w="738" w:type="dxa"/>
          </w:tcPr>
          <w:p>
            <w:pPr>
              <w:pStyle w:val="TableParagraph"/>
              <w:spacing w:line="156" w:lineRule="exact" w:before="18"/>
              <w:ind w:left="157"/>
              <w:rPr>
                <w:sz w:val="14"/>
              </w:rPr>
            </w:pPr>
            <w:r>
              <w:rPr>
                <w:sz w:val="14"/>
              </w:rPr>
              <w:t>13.9</w:t>
            </w:r>
          </w:p>
        </w:tc>
        <w:tc>
          <w:tcPr>
            <w:tcW w:w="738" w:type="dxa"/>
          </w:tcPr>
          <w:p>
            <w:pPr>
              <w:pStyle w:val="TableParagraph"/>
              <w:spacing w:line="156" w:lineRule="exact" w:before="18"/>
              <w:ind w:left="159"/>
              <w:rPr>
                <w:sz w:val="14"/>
              </w:rPr>
            </w:pPr>
            <w:r>
              <w:rPr>
                <w:sz w:val="14"/>
              </w:rPr>
              <w:t>14.1</w:t>
            </w:r>
          </w:p>
        </w:tc>
        <w:tc>
          <w:tcPr>
            <w:tcW w:w="738" w:type="dxa"/>
          </w:tcPr>
          <w:p>
            <w:pPr>
              <w:pStyle w:val="TableParagraph"/>
              <w:spacing w:line="156" w:lineRule="exact" w:before="18"/>
              <w:ind w:left="155"/>
              <w:rPr>
                <w:sz w:val="14"/>
              </w:rPr>
            </w:pPr>
            <w:r>
              <w:rPr>
                <w:sz w:val="14"/>
              </w:rPr>
              <w:t>14.4</w:t>
            </w:r>
          </w:p>
        </w:tc>
        <w:tc>
          <w:tcPr>
            <w:tcW w:w="738" w:type="dxa"/>
          </w:tcPr>
          <w:p>
            <w:pPr>
              <w:pStyle w:val="TableParagraph"/>
              <w:spacing w:line="156" w:lineRule="exact" w:before="18"/>
              <w:ind w:left="157"/>
              <w:rPr>
                <w:sz w:val="14"/>
              </w:rPr>
            </w:pPr>
            <w:r>
              <w:rPr>
                <w:sz w:val="14"/>
              </w:rPr>
              <w:t>14.6</w:t>
            </w:r>
          </w:p>
        </w:tc>
        <w:tc>
          <w:tcPr>
            <w:tcW w:w="738" w:type="dxa"/>
          </w:tcPr>
          <w:p>
            <w:pPr>
              <w:pStyle w:val="TableParagraph"/>
              <w:spacing w:line="156" w:lineRule="exact" w:before="18"/>
              <w:ind w:left="154"/>
              <w:rPr>
                <w:sz w:val="14"/>
              </w:rPr>
            </w:pPr>
            <w:r>
              <w:rPr>
                <w:sz w:val="14"/>
              </w:rPr>
              <w:t>14.8</w:t>
            </w:r>
          </w:p>
        </w:tc>
        <w:tc>
          <w:tcPr>
            <w:tcW w:w="808" w:type="dxa"/>
          </w:tcPr>
          <w:p>
            <w:pPr>
              <w:pStyle w:val="TableParagraph"/>
              <w:spacing w:line="156" w:lineRule="exact" w:before="18"/>
              <w:ind w:left="155"/>
              <w:rPr>
                <w:sz w:val="14"/>
              </w:rPr>
            </w:pPr>
            <w:r>
              <w:rPr>
                <w:sz w:val="14"/>
              </w:rPr>
              <w:t>15.1</w:t>
            </w:r>
          </w:p>
        </w:tc>
      </w:tr>
      <w:tr>
        <w:trPr>
          <w:trHeight w:val="203" w:hRule="atLeast"/>
        </w:trPr>
        <w:tc>
          <w:tcPr>
            <w:tcW w:w="2543" w:type="dxa"/>
          </w:tcPr>
          <w:p>
            <w:pPr>
              <w:pStyle w:val="TableParagraph"/>
              <w:spacing w:line="184" w:lineRule="exact"/>
              <w:ind w:left="139"/>
              <w:rPr>
                <w:rFonts w:ascii="Microsoft JhengHei UI" w:eastAsia="Microsoft JhengHei UI" w:hint="eastAsia"/>
                <w:b/>
                <w:sz w:val="14"/>
              </w:rPr>
            </w:pPr>
            <w:r>
              <w:rPr>
                <w:b/>
                <w:sz w:val="14"/>
              </w:rPr>
              <w:t>B-ALL </w:t>
            </w:r>
            <w:r>
              <w:rPr>
                <w:rFonts w:ascii="Microsoft JhengHei UI" w:eastAsia="Microsoft JhengHei UI" w:hint="eastAsia"/>
                <w:b/>
                <w:sz w:val="14"/>
              </w:rPr>
              <w:t>五年患病数</w:t>
            </w:r>
          </w:p>
        </w:tc>
        <w:tc>
          <w:tcPr>
            <w:tcW w:w="642" w:type="dxa"/>
          </w:tcPr>
          <w:p>
            <w:pPr>
              <w:pStyle w:val="TableParagraph"/>
              <w:spacing w:before="30"/>
              <w:ind w:left="107"/>
              <w:rPr>
                <w:b/>
                <w:sz w:val="13"/>
              </w:rPr>
            </w:pPr>
            <w:r>
              <w:rPr>
                <w:b/>
                <w:sz w:val="13"/>
              </w:rPr>
              <w:t>36.3</w:t>
            </w:r>
          </w:p>
        </w:tc>
        <w:tc>
          <w:tcPr>
            <w:tcW w:w="738" w:type="dxa"/>
          </w:tcPr>
          <w:p>
            <w:pPr>
              <w:pStyle w:val="TableParagraph"/>
              <w:spacing w:before="30"/>
              <w:ind w:left="115" w:right="186"/>
              <w:jc w:val="center"/>
              <w:rPr>
                <w:b/>
                <w:sz w:val="13"/>
              </w:rPr>
            </w:pPr>
            <w:r>
              <w:rPr>
                <w:b/>
                <w:sz w:val="13"/>
              </w:rPr>
              <w:t>39.9</w:t>
            </w:r>
          </w:p>
        </w:tc>
        <w:tc>
          <w:tcPr>
            <w:tcW w:w="774" w:type="dxa"/>
          </w:tcPr>
          <w:p>
            <w:pPr>
              <w:pStyle w:val="TableParagraph"/>
              <w:spacing w:before="30"/>
              <w:ind w:left="201"/>
              <w:rPr>
                <w:b/>
                <w:sz w:val="13"/>
              </w:rPr>
            </w:pPr>
            <w:r>
              <w:rPr>
                <w:b/>
                <w:sz w:val="13"/>
              </w:rPr>
              <w:t>43.6</w:t>
            </w:r>
          </w:p>
        </w:tc>
        <w:tc>
          <w:tcPr>
            <w:tcW w:w="761" w:type="dxa"/>
          </w:tcPr>
          <w:p>
            <w:pPr>
              <w:pStyle w:val="TableParagraph"/>
              <w:spacing w:before="30"/>
              <w:ind w:left="167"/>
              <w:rPr>
                <w:b/>
                <w:sz w:val="13"/>
              </w:rPr>
            </w:pPr>
            <w:r>
              <w:rPr>
                <w:b/>
                <w:sz w:val="13"/>
              </w:rPr>
              <w:t>47.3</w:t>
            </w:r>
          </w:p>
        </w:tc>
        <w:tc>
          <w:tcPr>
            <w:tcW w:w="723" w:type="dxa"/>
          </w:tcPr>
          <w:p>
            <w:pPr>
              <w:pStyle w:val="TableParagraph"/>
              <w:spacing w:before="30"/>
              <w:ind w:left="145"/>
              <w:rPr>
                <w:b/>
                <w:sz w:val="13"/>
              </w:rPr>
            </w:pPr>
            <w:r>
              <w:rPr>
                <w:b/>
                <w:sz w:val="13"/>
              </w:rPr>
              <w:t>51.2</w:t>
            </w:r>
          </w:p>
        </w:tc>
        <w:tc>
          <w:tcPr>
            <w:tcW w:w="738" w:type="dxa"/>
          </w:tcPr>
          <w:p>
            <w:pPr>
              <w:pStyle w:val="TableParagraph"/>
              <w:spacing w:before="30"/>
              <w:ind w:left="157"/>
              <w:rPr>
                <w:b/>
                <w:sz w:val="13"/>
              </w:rPr>
            </w:pPr>
            <w:r>
              <w:rPr>
                <w:b/>
                <w:sz w:val="13"/>
              </w:rPr>
              <w:t>55.1</w:t>
            </w:r>
          </w:p>
        </w:tc>
        <w:tc>
          <w:tcPr>
            <w:tcW w:w="738" w:type="dxa"/>
          </w:tcPr>
          <w:p>
            <w:pPr>
              <w:pStyle w:val="TableParagraph"/>
              <w:spacing w:before="30"/>
              <w:ind w:left="159"/>
              <w:rPr>
                <w:b/>
                <w:sz w:val="13"/>
              </w:rPr>
            </w:pPr>
            <w:r>
              <w:rPr>
                <w:b/>
                <w:sz w:val="13"/>
              </w:rPr>
              <w:t>59.1</w:t>
            </w:r>
          </w:p>
        </w:tc>
        <w:tc>
          <w:tcPr>
            <w:tcW w:w="738" w:type="dxa"/>
          </w:tcPr>
          <w:p>
            <w:pPr>
              <w:pStyle w:val="TableParagraph"/>
              <w:spacing w:before="30"/>
              <w:ind w:left="155"/>
              <w:rPr>
                <w:b/>
                <w:sz w:val="13"/>
              </w:rPr>
            </w:pPr>
            <w:r>
              <w:rPr>
                <w:b/>
                <w:sz w:val="13"/>
              </w:rPr>
              <w:t>63.1</w:t>
            </w:r>
          </w:p>
        </w:tc>
        <w:tc>
          <w:tcPr>
            <w:tcW w:w="738" w:type="dxa"/>
          </w:tcPr>
          <w:p>
            <w:pPr>
              <w:pStyle w:val="TableParagraph"/>
              <w:spacing w:before="30"/>
              <w:ind w:left="157"/>
              <w:rPr>
                <w:b/>
                <w:sz w:val="13"/>
              </w:rPr>
            </w:pPr>
            <w:r>
              <w:rPr>
                <w:b/>
                <w:sz w:val="13"/>
              </w:rPr>
              <w:t>67.3</w:t>
            </w:r>
          </w:p>
        </w:tc>
        <w:tc>
          <w:tcPr>
            <w:tcW w:w="738" w:type="dxa"/>
          </w:tcPr>
          <w:p>
            <w:pPr>
              <w:pStyle w:val="TableParagraph"/>
              <w:spacing w:before="30"/>
              <w:ind w:left="154"/>
              <w:rPr>
                <w:b/>
                <w:sz w:val="13"/>
              </w:rPr>
            </w:pPr>
            <w:r>
              <w:rPr>
                <w:b/>
                <w:sz w:val="13"/>
              </w:rPr>
              <w:t>71.5</w:t>
            </w:r>
          </w:p>
        </w:tc>
        <w:tc>
          <w:tcPr>
            <w:tcW w:w="808" w:type="dxa"/>
          </w:tcPr>
          <w:p>
            <w:pPr>
              <w:pStyle w:val="TableParagraph"/>
              <w:spacing w:before="30"/>
              <w:ind w:left="155"/>
              <w:rPr>
                <w:b/>
                <w:sz w:val="13"/>
              </w:rPr>
            </w:pPr>
            <w:r>
              <w:rPr>
                <w:b/>
                <w:sz w:val="13"/>
              </w:rPr>
              <w:t>75.8</w:t>
            </w:r>
          </w:p>
        </w:tc>
      </w:tr>
      <w:tr>
        <w:trPr>
          <w:trHeight w:val="212" w:hRule="atLeast"/>
        </w:trPr>
        <w:tc>
          <w:tcPr>
            <w:tcW w:w="2543" w:type="dxa"/>
            <w:tcBorders>
              <w:bottom w:val="single" w:sz="4" w:space="0" w:color="000000"/>
            </w:tcBorders>
          </w:tcPr>
          <w:p>
            <w:pPr>
              <w:pStyle w:val="TableParagraph"/>
              <w:spacing w:line="182" w:lineRule="exact" w:before="10"/>
              <w:ind w:left="139"/>
              <w:rPr>
                <w:rFonts w:ascii="PMingLiU" w:eastAsia="PMingLiU" w:hint="eastAsia"/>
                <w:sz w:val="14"/>
              </w:rPr>
            </w:pPr>
            <w:r>
              <w:rPr>
                <w:sz w:val="14"/>
              </w:rPr>
              <w:t>CD19+ r/r B-ALL </w:t>
            </w:r>
            <w:r>
              <w:rPr>
                <w:rFonts w:ascii="PMingLiU" w:eastAsia="PMingLiU" w:hint="eastAsia"/>
                <w:sz w:val="14"/>
              </w:rPr>
              <w:t>人数</w:t>
            </w:r>
          </w:p>
        </w:tc>
        <w:tc>
          <w:tcPr>
            <w:tcW w:w="642" w:type="dxa"/>
            <w:tcBorders>
              <w:bottom w:val="single" w:sz="4" w:space="0" w:color="000000"/>
            </w:tcBorders>
          </w:tcPr>
          <w:p>
            <w:pPr>
              <w:pStyle w:val="TableParagraph"/>
              <w:spacing w:before="32"/>
              <w:ind w:left="107"/>
              <w:rPr>
                <w:sz w:val="13"/>
              </w:rPr>
            </w:pPr>
            <w:r>
              <w:rPr>
                <w:sz w:val="13"/>
              </w:rPr>
              <w:t>27.2</w:t>
            </w:r>
          </w:p>
        </w:tc>
        <w:tc>
          <w:tcPr>
            <w:tcW w:w="738" w:type="dxa"/>
            <w:tcBorders>
              <w:bottom w:val="single" w:sz="4" w:space="0" w:color="000000"/>
            </w:tcBorders>
          </w:tcPr>
          <w:p>
            <w:pPr>
              <w:pStyle w:val="TableParagraph"/>
              <w:spacing w:before="32"/>
              <w:ind w:left="115" w:right="186"/>
              <w:jc w:val="center"/>
              <w:rPr>
                <w:sz w:val="13"/>
              </w:rPr>
            </w:pPr>
            <w:r>
              <w:rPr>
                <w:sz w:val="13"/>
              </w:rPr>
              <w:t>29.9</w:t>
            </w:r>
          </w:p>
        </w:tc>
        <w:tc>
          <w:tcPr>
            <w:tcW w:w="774" w:type="dxa"/>
            <w:tcBorders>
              <w:bottom w:val="single" w:sz="4" w:space="0" w:color="000000"/>
            </w:tcBorders>
          </w:tcPr>
          <w:p>
            <w:pPr>
              <w:pStyle w:val="TableParagraph"/>
              <w:spacing w:before="32"/>
              <w:ind w:left="201"/>
              <w:rPr>
                <w:sz w:val="13"/>
              </w:rPr>
            </w:pPr>
            <w:r>
              <w:rPr>
                <w:sz w:val="13"/>
              </w:rPr>
              <w:t>32.7</w:t>
            </w:r>
          </w:p>
        </w:tc>
        <w:tc>
          <w:tcPr>
            <w:tcW w:w="761" w:type="dxa"/>
            <w:tcBorders>
              <w:bottom w:val="single" w:sz="4" w:space="0" w:color="000000"/>
            </w:tcBorders>
          </w:tcPr>
          <w:p>
            <w:pPr>
              <w:pStyle w:val="TableParagraph"/>
              <w:spacing w:before="32"/>
              <w:ind w:left="167"/>
              <w:rPr>
                <w:sz w:val="13"/>
              </w:rPr>
            </w:pPr>
            <w:r>
              <w:rPr>
                <w:sz w:val="13"/>
              </w:rPr>
              <w:t>35.5</w:t>
            </w:r>
          </w:p>
        </w:tc>
        <w:tc>
          <w:tcPr>
            <w:tcW w:w="723" w:type="dxa"/>
            <w:tcBorders>
              <w:bottom w:val="single" w:sz="4" w:space="0" w:color="000000"/>
            </w:tcBorders>
          </w:tcPr>
          <w:p>
            <w:pPr>
              <w:pStyle w:val="TableParagraph"/>
              <w:spacing w:before="32"/>
              <w:ind w:left="145"/>
              <w:rPr>
                <w:sz w:val="13"/>
              </w:rPr>
            </w:pPr>
            <w:r>
              <w:rPr>
                <w:sz w:val="13"/>
              </w:rPr>
              <w:t>38.4</w:t>
            </w:r>
          </w:p>
        </w:tc>
        <w:tc>
          <w:tcPr>
            <w:tcW w:w="738" w:type="dxa"/>
            <w:tcBorders>
              <w:bottom w:val="single" w:sz="4" w:space="0" w:color="000000"/>
            </w:tcBorders>
          </w:tcPr>
          <w:p>
            <w:pPr>
              <w:pStyle w:val="TableParagraph"/>
              <w:spacing w:before="32"/>
              <w:ind w:left="157"/>
              <w:rPr>
                <w:sz w:val="13"/>
              </w:rPr>
            </w:pPr>
            <w:r>
              <w:rPr>
                <w:sz w:val="13"/>
              </w:rPr>
              <w:t>41.3</w:t>
            </w:r>
          </w:p>
        </w:tc>
        <w:tc>
          <w:tcPr>
            <w:tcW w:w="738" w:type="dxa"/>
            <w:tcBorders>
              <w:bottom w:val="single" w:sz="4" w:space="0" w:color="000000"/>
            </w:tcBorders>
          </w:tcPr>
          <w:p>
            <w:pPr>
              <w:pStyle w:val="TableParagraph"/>
              <w:spacing w:before="32"/>
              <w:ind w:left="159"/>
              <w:rPr>
                <w:sz w:val="13"/>
              </w:rPr>
            </w:pPr>
            <w:r>
              <w:rPr>
                <w:sz w:val="13"/>
              </w:rPr>
              <w:t>44.3</w:t>
            </w:r>
          </w:p>
        </w:tc>
        <w:tc>
          <w:tcPr>
            <w:tcW w:w="738" w:type="dxa"/>
            <w:tcBorders>
              <w:bottom w:val="single" w:sz="4" w:space="0" w:color="000000"/>
            </w:tcBorders>
          </w:tcPr>
          <w:p>
            <w:pPr>
              <w:pStyle w:val="TableParagraph"/>
              <w:spacing w:before="32"/>
              <w:ind w:left="155"/>
              <w:rPr>
                <w:sz w:val="13"/>
              </w:rPr>
            </w:pPr>
            <w:r>
              <w:rPr>
                <w:sz w:val="13"/>
              </w:rPr>
              <w:t>47.4</w:t>
            </w:r>
          </w:p>
        </w:tc>
        <w:tc>
          <w:tcPr>
            <w:tcW w:w="738" w:type="dxa"/>
            <w:tcBorders>
              <w:bottom w:val="single" w:sz="4" w:space="0" w:color="000000"/>
            </w:tcBorders>
          </w:tcPr>
          <w:p>
            <w:pPr>
              <w:pStyle w:val="TableParagraph"/>
              <w:spacing w:before="32"/>
              <w:ind w:left="157"/>
              <w:rPr>
                <w:sz w:val="13"/>
              </w:rPr>
            </w:pPr>
            <w:r>
              <w:rPr>
                <w:sz w:val="13"/>
              </w:rPr>
              <w:t>50.5</w:t>
            </w:r>
          </w:p>
        </w:tc>
        <w:tc>
          <w:tcPr>
            <w:tcW w:w="738" w:type="dxa"/>
            <w:tcBorders>
              <w:bottom w:val="single" w:sz="4" w:space="0" w:color="000000"/>
            </w:tcBorders>
          </w:tcPr>
          <w:p>
            <w:pPr>
              <w:pStyle w:val="TableParagraph"/>
              <w:spacing w:before="32"/>
              <w:ind w:left="154"/>
              <w:rPr>
                <w:sz w:val="13"/>
              </w:rPr>
            </w:pPr>
            <w:r>
              <w:rPr>
                <w:sz w:val="13"/>
              </w:rPr>
              <w:t>53.6</w:t>
            </w:r>
          </w:p>
        </w:tc>
        <w:tc>
          <w:tcPr>
            <w:tcW w:w="808" w:type="dxa"/>
            <w:tcBorders>
              <w:bottom w:val="single" w:sz="4" w:space="0" w:color="000000"/>
            </w:tcBorders>
          </w:tcPr>
          <w:p>
            <w:pPr>
              <w:pStyle w:val="TableParagraph"/>
              <w:spacing w:before="32"/>
              <w:ind w:left="155"/>
              <w:rPr>
                <w:sz w:val="13"/>
              </w:rPr>
            </w:pPr>
            <w:r>
              <w:rPr>
                <w:sz w:val="13"/>
              </w:rPr>
              <w:t>56.8</w:t>
            </w:r>
          </w:p>
        </w:tc>
      </w:tr>
      <w:tr>
        <w:trPr>
          <w:trHeight w:val="195" w:hRule="atLeast"/>
        </w:trPr>
        <w:tc>
          <w:tcPr>
            <w:tcW w:w="2543" w:type="dxa"/>
            <w:tcBorders>
              <w:top w:val="single" w:sz="4" w:space="0" w:color="000000"/>
            </w:tcBorders>
          </w:tcPr>
          <w:p>
            <w:pPr>
              <w:pStyle w:val="TableParagraph"/>
              <w:spacing w:line="175" w:lineRule="exact"/>
              <w:ind w:left="139"/>
              <w:rPr>
                <w:rFonts w:ascii="Microsoft JhengHei UI" w:eastAsia="Microsoft JhengHei UI" w:hint="eastAsia"/>
                <w:b/>
                <w:sz w:val="14"/>
              </w:rPr>
            </w:pPr>
            <w:r>
              <w:rPr>
                <w:rFonts w:ascii="Microsoft JhengHei UI" w:eastAsia="Microsoft JhengHei UI" w:hint="eastAsia"/>
                <w:b/>
                <w:sz w:val="14"/>
              </w:rPr>
              <w:t>适用于 </w:t>
            </w:r>
            <w:r>
              <w:rPr>
                <w:b/>
                <w:sz w:val="14"/>
              </w:rPr>
              <w:t>CD19 CAR-T </w:t>
            </w:r>
            <w:r>
              <w:rPr>
                <w:rFonts w:ascii="Microsoft JhengHei UI" w:eastAsia="Microsoft JhengHei UI" w:hint="eastAsia"/>
                <w:b/>
                <w:sz w:val="14"/>
              </w:rPr>
              <w:t>治疗的人数</w:t>
            </w:r>
          </w:p>
        </w:tc>
        <w:tc>
          <w:tcPr>
            <w:tcW w:w="642" w:type="dxa"/>
            <w:tcBorders>
              <w:top w:val="single" w:sz="4" w:space="0" w:color="000000"/>
            </w:tcBorders>
          </w:tcPr>
          <w:p>
            <w:pPr>
              <w:pStyle w:val="TableParagraph"/>
              <w:spacing w:before="22"/>
              <w:ind w:left="107"/>
              <w:rPr>
                <w:b/>
                <w:sz w:val="13"/>
              </w:rPr>
            </w:pPr>
            <w:r>
              <w:rPr>
                <w:b/>
                <w:sz w:val="13"/>
              </w:rPr>
              <w:t>18.2</w:t>
            </w:r>
          </w:p>
        </w:tc>
        <w:tc>
          <w:tcPr>
            <w:tcW w:w="738" w:type="dxa"/>
            <w:tcBorders>
              <w:top w:val="single" w:sz="4" w:space="0" w:color="000000"/>
            </w:tcBorders>
          </w:tcPr>
          <w:p>
            <w:pPr>
              <w:pStyle w:val="TableParagraph"/>
              <w:spacing w:before="22"/>
              <w:ind w:left="115" w:right="186"/>
              <w:jc w:val="center"/>
              <w:rPr>
                <w:b/>
                <w:sz w:val="13"/>
              </w:rPr>
            </w:pPr>
            <w:r>
              <w:rPr>
                <w:b/>
                <w:sz w:val="13"/>
              </w:rPr>
              <w:t>20.0</w:t>
            </w:r>
          </w:p>
        </w:tc>
        <w:tc>
          <w:tcPr>
            <w:tcW w:w="774" w:type="dxa"/>
            <w:tcBorders>
              <w:top w:val="single" w:sz="4" w:space="0" w:color="000000"/>
            </w:tcBorders>
          </w:tcPr>
          <w:p>
            <w:pPr>
              <w:pStyle w:val="TableParagraph"/>
              <w:spacing w:before="22"/>
              <w:ind w:left="201"/>
              <w:rPr>
                <w:b/>
                <w:sz w:val="13"/>
              </w:rPr>
            </w:pPr>
            <w:r>
              <w:rPr>
                <w:b/>
                <w:sz w:val="13"/>
              </w:rPr>
              <w:t>21.9</w:t>
            </w:r>
          </w:p>
        </w:tc>
        <w:tc>
          <w:tcPr>
            <w:tcW w:w="761" w:type="dxa"/>
            <w:tcBorders>
              <w:top w:val="single" w:sz="4" w:space="0" w:color="000000"/>
            </w:tcBorders>
          </w:tcPr>
          <w:p>
            <w:pPr>
              <w:pStyle w:val="TableParagraph"/>
              <w:spacing w:before="22"/>
              <w:ind w:left="167"/>
              <w:rPr>
                <w:b/>
                <w:sz w:val="13"/>
              </w:rPr>
            </w:pPr>
            <w:r>
              <w:rPr>
                <w:b/>
                <w:sz w:val="13"/>
              </w:rPr>
              <w:t>23.8</w:t>
            </w:r>
          </w:p>
        </w:tc>
        <w:tc>
          <w:tcPr>
            <w:tcW w:w="723" w:type="dxa"/>
            <w:tcBorders>
              <w:top w:val="single" w:sz="4" w:space="0" w:color="000000"/>
            </w:tcBorders>
          </w:tcPr>
          <w:p>
            <w:pPr>
              <w:pStyle w:val="TableParagraph"/>
              <w:spacing w:before="22"/>
              <w:ind w:left="145"/>
              <w:rPr>
                <w:b/>
                <w:sz w:val="13"/>
              </w:rPr>
            </w:pPr>
            <w:r>
              <w:rPr>
                <w:b/>
                <w:sz w:val="13"/>
              </w:rPr>
              <w:t>25.7</w:t>
            </w:r>
          </w:p>
        </w:tc>
        <w:tc>
          <w:tcPr>
            <w:tcW w:w="738" w:type="dxa"/>
            <w:tcBorders>
              <w:top w:val="single" w:sz="4" w:space="0" w:color="000000"/>
            </w:tcBorders>
          </w:tcPr>
          <w:p>
            <w:pPr>
              <w:pStyle w:val="TableParagraph"/>
              <w:spacing w:before="22"/>
              <w:ind w:left="157"/>
              <w:rPr>
                <w:b/>
                <w:sz w:val="13"/>
              </w:rPr>
            </w:pPr>
            <w:r>
              <w:rPr>
                <w:b/>
                <w:sz w:val="13"/>
              </w:rPr>
              <w:t>27.7</w:t>
            </w:r>
          </w:p>
        </w:tc>
        <w:tc>
          <w:tcPr>
            <w:tcW w:w="738" w:type="dxa"/>
            <w:tcBorders>
              <w:top w:val="single" w:sz="4" w:space="0" w:color="000000"/>
            </w:tcBorders>
          </w:tcPr>
          <w:p>
            <w:pPr>
              <w:pStyle w:val="TableParagraph"/>
              <w:spacing w:before="22"/>
              <w:ind w:left="159"/>
              <w:rPr>
                <w:b/>
                <w:sz w:val="13"/>
              </w:rPr>
            </w:pPr>
            <w:r>
              <w:rPr>
                <w:b/>
                <w:sz w:val="13"/>
              </w:rPr>
              <w:t>29.7</w:t>
            </w:r>
          </w:p>
        </w:tc>
        <w:tc>
          <w:tcPr>
            <w:tcW w:w="738" w:type="dxa"/>
            <w:tcBorders>
              <w:top w:val="single" w:sz="4" w:space="0" w:color="000000"/>
            </w:tcBorders>
          </w:tcPr>
          <w:p>
            <w:pPr>
              <w:pStyle w:val="TableParagraph"/>
              <w:spacing w:before="22"/>
              <w:ind w:left="155"/>
              <w:rPr>
                <w:b/>
                <w:sz w:val="13"/>
              </w:rPr>
            </w:pPr>
            <w:r>
              <w:rPr>
                <w:b/>
                <w:sz w:val="13"/>
              </w:rPr>
              <w:t>31.7</w:t>
            </w:r>
          </w:p>
        </w:tc>
        <w:tc>
          <w:tcPr>
            <w:tcW w:w="738" w:type="dxa"/>
            <w:tcBorders>
              <w:top w:val="single" w:sz="4" w:space="0" w:color="000000"/>
            </w:tcBorders>
          </w:tcPr>
          <w:p>
            <w:pPr>
              <w:pStyle w:val="TableParagraph"/>
              <w:spacing w:before="22"/>
              <w:ind w:left="157"/>
              <w:rPr>
                <w:b/>
                <w:sz w:val="13"/>
              </w:rPr>
            </w:pPr>
            <w:r>
              <w:rPr>
                <w:b/>
                <w:sz w:val="13"/>
              </w:rPr>
              <w:t>33.8</w:t>
            </w:r>
          </w:p>
        </w:tc>
        <w:tc>
          <w:tcPr>
            <w:tcW w:w="738" w:type="dxa"/>
            <w:tcBorders>
              <w:top w:val="single" w:sz="4" w:space="0" w:color="000000"/>
            </w:tcBorders>
          </w:tcPr>
          <w:p>
            <w:pPr>
              <w:pStyle w:val="TableParagraph"/>
              <w:spacing w:before="22"/>
              <w:ind w:left="154"/>
              <w:rPr>
                <w:b/>
                <w:sz w:val="13"/>
              </w:rPr>
            </w:pPr>
            <w:r>
              <w:rPr>
                <w:b/>
                <w:sz w:val="13"/>
              </w:rPr>
              <w:t>35.9</w:t>
            </w:r>
          </w:p>
        </w:tc>
        <w:tc>
          <w:tcPr>
            <w:tcW w:w="808" w:type="dxa"/>
            <w:tcBorders>
              <w:top w:val="single" w:sz="4" w:space="0" w:color="000000"/>
            </w:tcBorders>
          </w:tcPr>
          <w:p>
            <w:pPr>
              <w:pStyle w:val="TableParagraph"/>
              <w:spacing w:before="22"/>
              <w:ind w:left="155"/>
              <w:rPr>
                <w:b/>
                <w:sz w:val="13"/>
              </w:rPr>
            </w:pPr>
            <w:r>
              <w:rPr>
                <w:b/>
                <w:sz w:val="13"/>
              </w:rPr>
              <w:t>38.1</w:t>
            </w:r>
          </w:p>
        </w:tc>
      </w:tr>
      <w:tr>
        <w:trPr>
          <w:trHeight w:val="203" w:hRule="atLeast"/>
        </w:trPr>
        <w:tc>
          <w:tcPr>
            <w:tcW w:w="2543" w:type="dxa"/>
          </w:tcPr>
          <w:p>
            <w:pPr>
              <w:pStyle w:val="TableParagraph"/>
              <w:spacing w:line="174" w:lineRule="exact" w:before="10"/>
              <w:ind w:left="139"/>
              <w:rPr>
                <w:rFonts w:ascii="PMingLiU" w:eastAsia="PMingLiU" w:hint="eastAsia"/>
                <w:sz w:val="14"/>
              </w:rPr>
            </w:pPr>
            <w:r>
              <w:rPr>
                <w:sz w:val="14"/>
              </w:rPr>
              <w:t>CD19 CAR-T </w:t>
            </w:r>
            <w:r>
              <w:rPr>
                <w:rFonts w:ascii="PMingLiU" w:eastAsia="PMingLiU" w:hint="eastAsia"/>
                <w:sz w:val="14"/>
              </w:rPr>
              <w:t>渗透率</w:t>
            </w:r>
          </w:p>
        </w:tc>
        <w:tc>
          <w:tcPr>
            <w:tcW w:w="642" w:type="dxa"/>
          </w:tcPr>
          <w:p>
            <w:pPr>
              <w:pStyle w:val="TableParagraph"/>
              <w:rPr>
                <w:rFonts w:ascii="Times New Roman"/>
                <w:sz w:val="14"/>
              </w:rPr>
            </w:pPr>
          </w:p>
        </w:tc>
        <w:tc>
          <w:tcPr>
            <w:tcW w:w="738" w:type="dxa"/>
          </w:tcPr>
          <w:p>
            <w:pPr>
              <w:pStyle w:val="TableParagraph"/>
              <w:rPr>
                <w:rFonts w:ascii="Times New Roman"/>
                <w:sz w:val="14"/>
              </w:rPr>
            </w:pPr>
          </w:p>
        </w:tc>
        <w:tc>
          <w:tcPr>
            <w:tcW w:w="774" w:type="dxa"/>
          </w:tcPr>
          <w:p>
            <w:pPr>
              <w:pStyle w:val="TableParagraph"/>
              <w:rPr>
                <w:rFonts w:ascii="Times New Roman"/>
                <w:sz w:val="14"/>
              </w:rPr>
            </w:pPr>
          </w:p>
        </w:tc>
        <w:tc>
          <w:tcPr>
            <w:tcW w:w="761" w:type="dxa"/>
          </w:tcPr>
          <w:p>
            <w:pPr>
              <w:pStyle w:val="TableParagraph"/>
              <w:rPr>
                <w:rFonts w:ascii="Times New Roman"/>
                <w:sz w:val="14"/>
              </w:rPr>
            </w:pPr>
          </w:p>
        </w:tc>
        <w:tc>
          <w:tcPr>
            <w:tcW w:w="723" w:type="dxa"/>
          </w:tcPr>
          <w:p>
            <w:pPr>
              <w:pStyle w:val="TableParagraph"/>
              <w:rPr>
                <w:rFonts w:ascii="Times New Roman"/>
                <w:sz w:val="14"/>
              </w:rPr>
            </w:pPr>
          </w:p>
        </w:tc>
        <w:tc>
          <w:tcPr>
            <w:tcW w:w="738" w:type="dxa"/>
          </w:tcPr>
          <w:p>
            <w:pPr>
              <w:pStyle w:val="TableParagraph"/>
              <w:spacing w:before="32"/>
              <w:ind w:left="157"/>
              <w:rPr>
                <w:sz w:val="13"/>
              </w:rPr>
            </w:pPr>
            <w:r>
              <w:rPr>
                <w:sz w:val="13"/>
              </w:rPr>
              <w:t>1.4%</w:t>
            </w:r>
          </w:p>
        </w:tc>
        <w:tc>
          <w:tcPr>
            <w:tcW w:w="738" w:type="dxa"/>
          </w:tcPr>
          <w:p>
            <w:pPr>
              <w:pStyle w:val="TableParagraph"/>
              <w:spacing w:before="32"/>
              <w:ind w:left="159"/>
              <w:rPr>
                <w:sz w:val="13"/>
              </w:rPr>
            </w:pPr>
            <w:r>
              <w:rPr>
                <w:sz w:val="13"/>
              </w:rPr>
              <w:t>1.8%</w:t>
            </w:r>
          </w:p>
        </w:tc>
        <w:tc>
          <w:tcPr>
            <w:tcW w:w="738" w:type="dxa"/>
          </w:tcPr>
          <w:p>
            <w:pPr>
              <w:pStyle w:val="TableParagraph"/>
              <w:spacing w:before="32"/>
              <w:ind w:left="155"/>
              <w:rPr>
                <w:sz w:val="13"/>
              </w:rPr>
            </w:pPr>
            <w:r>
              <w:rPr>
                <w:sz w:val="13"/>
              </w:rPr>
              <w:t>2.3%</w:t>
            </w:r>
          </w:p>
        </w:tc>
        <w:tc>
          <w:tcPr>
            <w:tcW w:w="738" w:type="dxa"/>
          </w:tcPr>
          <w:p>
            <w:pPr>
              <w:pStyle w:val="TableParagraph"/>
              <w:spacing w:before="32"/>
              <w:ind w:left="157"/>
              <w:rPr>
                <w:sz w:val="13"/>
              </w:rPr>
            </w:pPr>
            <w:r>
              <w:rPr>
                <w:sz w:val="13"/>
              </w:rPr>
              <w:t>3.0%</w:t>
            </w:r>
          </w:p>
        </w:tc>
        <w:tc>
          <w:tcPr>
            <w:tcW w:w="738" w:type="dxa"/>
          </w:tcPr>
          <w:p>
            <w:pPr>
              <w:pStyle w:val="TableParagraph"/>
              <w:spacing w:before="32"/>
              <w:ind w:left="154"/>
              <w:rPr>
                <w:sz w:val="13"/>
              </w:rPr>
            </w:pPr>
            <w:r>
              <w:rPr>
                <w:sz w:val="13"/>
              </w:rPr>
              <w:t>3.9%</w:t>
            </w:r>
          </w:p>
        </w:tc>
        <w:tc>
          <w:tcPr>
            <w:tcW w:w="808" w:type="dxa"/>
          </w:tcPr>
          <w:p>
            <w:pPr>
              <w:pStyle w:val="TableParagraph"/>
              <w:spacing w:before="32"/>
              <w:ind w:left="155"/>
              <w:rPr>
                <w:sz w:val="13"/>
              </w:rPr>
            </w:pPr>
            <w:r>
              <w:rPr>
                <w:sz w:val="13"/>
              </w:rPr>
              <w:t>5.1%</w:t>
            </w:r>
          </w:p>
        </w:tc>
      </w:tr>
      <w:tr>
        <w:trPr>
          <w:trHeight w:val="203" w:hRule="atLeast"/>
        </w:trPr>
        <w:tc>
          <w:tcPr>
            <w:tcW w:w="2543" w:type="dxa"/>
          </w:tcPr>
          <w:p>
            <w:pPr>
              <w:pStyle w:val="TableParagraph"/>
              <w:spacing w:line="176" w:lineRule="exact" w:before="7"/>
              <w:ind w:left="139"/>
              <w:rPr>
                <w:sz w:val="14"/>
              </w:rPr>
            </w:pPr>
            <w:r>
              <w:rPr>
                <w:sz w:val="14"/>
              </w:rPr>
              <w:t>CD19 CAR-T </w:t>
            </w:r>
            <w:r>
              <w:rPr>
                <w:rFonts w:ascii="PMingLiU" w:eastAsia="PMingLiU" w:hint="eastAsia"/>
                <w:sz w:val="14"/>
              </w:rPr>
              <w:t>治疗数 </w:t>
            </w:r>
            <w:r>
              <w:rPr>
                <w:sz w:val="14"/>
              </w:rPr>
              <w:t>(</w:t>
            </w:r>
            <w:r>
              <w:rPr>
                <w:rFonts w:ascii="PMingLiU" w:eastAsia="PMingLiU" w:hint="eastAsia"/>
                <w:sz w:val="14"/>
              </w:rPr>
              <w:t>千例</w:t>
            </w:r>
            <w:r>
              <w:rPr>
                <w:sz w:val="14"/>
              </w:rPr>
              <w:t>)</w:t>
            </w:r>
          </w:p>
        </w:tc>
        <w:tc>
          <w:tcPr>
            <w:tcW w:w="642" w:type="dxa"/>
          </w:tcPr>
          <w:p>
            <w:pPr>
              <w:pStyle w:val="TableParagraph"/>
              <w:rPr>
                <w:rFonts w:ascii="Times New Roman"/>
                <w:sz w:val="14"/>
              </w:rPr>
            </w:pPr>
          </w:p>
        </w:tc>
        <w:tc>
          <w:tcPr>
            <w:tcW w:w="738" w:type="dxa"/>
          </w:tcPr>
          <w:p>
            <w:pPr>
              <w:pStyle w:val="TableParagraph"/>
              <w:rPr>
                <w:rFonts w:ascii="Times New Roman"/>
                <w:sz w:val="14"/>
              </w:rPr>
            </w:pPr>
          </w:p>
        </w:tc>
        <w:tc>
          <w:tcPr>
            <w:tcW w:w="774" w:type="dxa"/>
          </w:tcPr>
          <w:p>
            <w:pPr>
              <w:pStyle w:val="TableParagraph"/>
              <w:rPr>
                <w:rFonts w:ascii="Times New Roman"/>
                <w:sz w:val="14"/>
              </w:rPr>
            </w:pPr>
          </w:p>
        </w:tc>
        <w:tc>
          <w:tcPr>
            <w:tcW w:w="761" w:type="dxa"/>
          </w:tcPr>
          <w:p>
            <w:pPr>
              <w:pStyle w:val="TableParagraph"/>
              <w:rPr>
                <w:rFonts w:ascii="Times New Roman"/>
                <w:sz w:val="14"/>
              </w:rPr>
            </w:pPr>
          </w:p>
        </w:tc>
        <w:tc>
          <w:tcPr>
            <w:tcW w:w="723" w:type="dxa"/>
          </w:tcPr>
          <w:p>
            <w:pPr>
              <w:pStyle w:val="TableParagraph"/>
              <w:rPr>
                <w:rFonts w:ascii="Times New Roman"/>
                <w:sz w:val="14"/>
              </w:rPr>
            </w:pPr>
          </w:p>
        </w:tc>
        <w:tc>
          <w:tcPr>
            <w:tcW w:w="738" w:type="dxa"/>
          </w:tcPr>
          <w:p>
            <w:pPr>
              <w:pStyle w:val="TableParagraph"/>
              <w:spacing w:line="149" w:lineRule="exact" w:before="35"/>
              <w:ind w:left="157"/>
              <w:rPr>
                <w:sz w:val="13"/>
              </w:rPr>
            </w:pPr>
            <w:r>
              <w:rPr>
                <w:sz w:val="13"/>
              </w:rPr>
              <w:t>0.4</w:t>
            </w:r>
          </w:p>
        </w:tc>
        <w:tc>
          <w:tcPr>
            <w:tcW w:w="738" w:type="dxa"/>
          </w:tcPr>
          <w:p>
            <w:pPr>
              <w:pStyle w:val="TableParagraph"/>
              <w:spacing w:line="149" w:lineRule="exact" w:before="35"/>
              <w:ind w:left="159"/>
              <w:rPr>
                <w:sz w:val="13"/>
              </w:rPr>
            </w:pPr>
            <w:r>
              <w:rPr>
                <w:sz w:val="13"/>
              </w:rPr>
              <w:t>0.5</w:t>
            </w:r>
          </w:p>
        </w:tc>
        <w:tc>
          <w:tcPr>
            <w:tcW w:w="738" w:type="dxa"/>
          </w:tcPr>
          <w:p>
            <w:pPr>
              <w:pStyle w:val="TableParagraph"/>
              <w:spacing w:line="149" w:lineRule="exact" w:before="35"/>
              <w:ind w:left="155"/>
              <w:rPr>
                <w:sz w:val="13"/>
              </w:rPr>
            </w:pPr>
            <w:r>
              <w:rPr>
                <w:sz w:val="13"/>
              </w:rPr>
              <w:t>0.7</w:t>
            </w:r>
          </w:p>
        </w:tc>
        <w:tc>
          <w:tcPr>
            <w:tcW w:w="738" w:type="dxa"/>
          </w:tcPr>
          <w:p>
            <w:pPr>
              <w:pStyle w:val="TableParagraph"/>
              <w:spacing w:line="149" w:lineRule="exact" w:before="35"/>
              <w:ind w:left="157"/>
              <w:rPr>
                <w:sz w:val="13"/>
              </w:rPr>
            </w:pPr>
            <w:r>
              <w:rPr>
                <w:sz w:val="13"/>
              </w:rPr>
              <w:t>1.0</w:t>
            </w:r>
          </w:p>
        </w:tc>
        <w:tc>
          <w:tcPr>
            <w:tcW w:w="738" w:type="dxa"/>
          </w:tcPr>
          <w:p>
            <w:pPr>
              <w:pStyle w:val="TableParagraph"/>
              <w:spacing w:line="149" w:lineRule="exact" w:before="35"/>
              <w:ind w:left="154"/>
              <w:rPr>
                <w:sz w:val="13"/>
              </w:rPr>
            </w:pPr>
            <w:r>
              <w:rPr>
                <w:sz w:val="13"/>
              </w:rPr>
              <w:t>1.4</w:t>
            </w:r>
          </w:p>
        </w:tc>
        <w:tc>
          <w:tcPr>
            <w:tcW w:w="808" w:type="dxa"/>
          </w:tcPr>
          <w:p>
            <w:pPr>
              <w:pStyle w:val="TableParagraph"/>
              <w:spacing w:line="149" w:lineRule="exact" w:before="35"/>
              <w:ind w:left="155"/>
              <w:rPr>
                <w:sz w:val="13"/>
              </w:rPr>
            </w:pPr>
            <w:r>
              <w:rPr>
                <w:sz w:val="13"/>
              </w:rPr>
              <w:t>1.9</w:t>
            </w:r>
          </w:p>
        </w:tc>
      </w:tr>
      <w:tr>
        <w:trPr>
          <w:trHeight w:val="212" w:hRule="atLeast"/>
        </w:trPr>
        <w:tc>
          <w:tcPr>
            <w:tcW w:w="2543" w:type="dxa"/>
          </w:tcPr>
          <w:p>
            <w:pPr>
              <w:pStyle w:val="TableParagraph"/>
              <w:spacing w:line="182" w:lineRule="exact" w:before="10"/>
              <w:ind w:left="139"/>
              <w:rPr>
                <w:sz w:val="14"/>
              </w:rPr>
            </w:pPr>
            <w:r>
              <w:rPr>
                <w:sz w:val="14"/>
              </w:rPr>
              <w:t>CD19 CAR-T </w:t>
            </w:r>
            <w:r>
              <w:rPr>
                <w:rFonts w:ascii="PMingLiU" w:eastAsia="PMingLiU" w:hint="eastAsia"/>
                <w:sz w:val="14"/>
              </w:rPr>
              <w:t>定价 </w:t>
            </w:r>
            <w:r>
              <w:rPr>
                <w:sz w:val="14"/>
              </w:rPr>
              <w:t>(</w:t>
            </w:r>
            <w:r>
              <w:rPr>
                <w:rFonts w:ascii="PMingLiU" w:eastAsia="PMingLiU" w:hint="eastAsia"/>
                <w:sz w:val="14"/>
              </w:rPr>
              <w:t>万元</w:t>
            </w:r>
            <w:r>
              <w:rPr>
                <w:sz w:val="14"/>
              </w:rPr>
              <w:t>)</w:t>
            </w:r>
          </w:p>
        </w:tc>
        <w:tc>
          <w:tcPr>
            <w:tcW w:w="642" w:type="dxa"/>
          </w:tcPr>
          <w:p>
            <w:pPr>
              <w:pStyle w:val="TableParagraph"/>
              <w:rPr>
                <w:rFonts w:ascii="Times New Roman"/>
                <w:sz w:val="14"/>
              </w:rPr>
            </w:pPr>
          </w:p>
        </w:tc>
        <w:tc>
          <w:tcPr>
            <w:tcW w:w="738" w:type="dxa"/>
          </w:tcPr>
          <w:p>
            <w:pPr>
              <w:pStyle w:val="TableParagraph"/>
              <w:rPr>
                <w:rFonts w:ascii="Times New Roman"/>
                <w:sz w:val="14"/>
              </w:rPr>
            </w:pPr>
          </w:p>
        </w:tc>
        <w:tc>
          <w:tcPr>
            <w:tcW w:w="774" w:type="dxa"/>
          </w:tcPr>
          <w:p>
            <w:pPr>
              <w:pStyle w:val="TableParagraph"/>
              <w:rPr>
                <w:rFonts w:ascii="Times New Roman"/>
                <w:sz w:val="14"/>
              </w:rPr>
            </w:pPr>
          </w:p>
        </w:tc>
        <w:tc>
          <w:tcPr>
            <w:tcW w:w="761" w:type="dxa"/>
          </w:tcPr>
          <w:p>
            <w:pPr>
              <w:pStyle w:val="TableParagraph"/>
              <w:rPr>
                <w:rFonts w:ascii="Times New Roman"/>
                <w:sz w:val="14"/>
              </w:rPr>
            </w:pPr>
          </w:p>
        </w:tc>
        <w:tc>
          <w:tcPr>
            <w:tcW w:w="723" w:type="dxa"/>
          </w:tcPr>
          <w:p>
            <w:pPr>
              <w:pStyle w:val="TableParagraph"/>
              <w:rPr>
                <w:rFonts w:ascii="Times New Roman"/>
                <w:sz w:val="14"/>
              </w:rPr>
            </w:pPr>
          </w:p>
        </w:tc>
        <w:tc>
          <w:tcPr>
            <w:tcW w:w="738" w:type="dxa"/>
          </w:tcPr>
          <w:p>
            <w:pPr>
              <w:pStyle w:val="TableParagraph"/>
              <w:spacing w:before="32"/>
              <w:ind w:left="157"/>
              <w:rPr>
                <w:sz w:val="13"/>
              </w:rPr>
            </w:pPr>
            <w:r>
              <w:rPr>
                <w:sz w:val="13"/>
              </w:rPr>
              <w:t>128.1</w:t>
            </w:r>
          </w:p>
        </w:tc>
        <w:tc>
          <w:tcPr>
            <w:tcW w:w="738" w:type="dxa"/>
          </w:tcPr>
          <w:p>
            <w:pPr>
              <w:pStyle w:val="TableParagraph"/>
              <w:spacing w:before="32"/>
              <w:ind w:left="159"/>
              <w:rPr>
                <w:sz w:val="13"/>
              </w:rPr>
            </w:pPr>
            <w:r>
              <w:rPr>
                <w:sz w:val="13"/>
              </w:rPr>
              <w:t>115.3</w:t>
            </w:r>
          </w:p>
        </w:tc>
        <w:tc>
          <w:tcPr>
            <w:tcW w:w="738" w:type="dxa"/>
          </w:tcPr>
          <w:p>
            <w:pPr>
              <w:pStyle w:val="TableParagraph"/>
              <w:spacing w:before="32"/>
              <w:ind w:left="155"/>
              <w:rPr>
                <w:sz w:val="13"/>
              </w:rPr>
            </w:pPr>
            <w:r>
              <w:rPr>
                <w:sz w:val="13"/>
              </w:rPr>
              <w:t>103.7</w:t>
            </w:r>
          </w:p>
        </w:tc>
        <w:tc>
          <w:tcPr>
            <w:tcW w:w="738" w:type="dxa"/>
          </w:tcPr>
          <w:p>
            <w:pPr>
              <w:pStyle w:val="TableParagraph"/>
              <w:spacing w:before="32"/>
              <w:ind w:left="157"/>
              <w:rPr>
                <w:sz w:val="13"/>
              </w:rPr>
            </w:pPr>
            <w:r>
              <w:rPr>
                <w:sz w:val="13"/>
              </w:rPr>
              <w:t>88.2</w:t>
            </w:r>
          </w:p>
        </w:tc>
        <w:tc>
          <w:tcPr>
            <w:tcW w:w="738" w:type="dxa"/>
          </w:tcPr>
          <w:p>
            <w:pPr>
              <w:pStyle w:val="TableParagraph"/>
              <w:spacing w:before="32"/>
              <w:ind w:left="154"/>
              <w:rPr>
                <w:sz w:val="13"/>
              </w:rPr>
            </w:pPr>
            <w:r>
              <w:rPr>
                <w:sz w:val="13"/>
              </w:rPr>
              <w:t>75.0</w:t>
            </w:r>
          </w:p>
        </w:tc>
        <w:tc>
          <w:tcPr>
            <w:tcW w:w="808" w:type="dxa"/>
          </w:tcPr>
          <w:p>
            <w:pPr>
              <w:pStyle w:val="TableParagraph"/>
              <w:spacing w:before="32"/>
              <w:ind w:left="155"/>
              <w:rPr>
                <w:sz w:val="13"/>
              </w:rPr>
            </w:pPr>
            <w:r>
              <w:rPr>
                <w:sz w:val="13"/>
              </w:rPr>
              <w:t>63.7</w:t>
            </w:r>
          </w:p>
        </w:tc>
      </w:tr>
      <w:tr>
        <w:trPr>
          <w:trHeight w:val="186" w:hRule="atLeast"/>
        </w:trPr>
        <w:tc>
          <w:tcPr>
            <w:tcW w:w="2543" w:type="dxa"/>
          </w:tcPr>
          <w:p>
            <w:pPr>
              <w:pStyle w:val="TableParagraph"/>
              <w:spacing w:line="154" w:lineRule="exact" w:before="13"/>
              <w:ind w:left="139"/>
              <w:rPr>
                <w:i/>
                <w:sz w:val="14"/>
              </w:rPr>
            </w:pPr>
            <w:r>
              <w:rPr>
                <w:i/>
                <w:sz w:val="14"/>
              </w:rPr>
              <w:t>YoY</w:t>
            </w:r>
          </w:p>
        </w:tc>
        <w:tc>
          <w:tcPr>
            <w:tcW w:w="642" w:type="dxa"/>
          </w:tcPr>
          <w:p>
            <w:pPr>
              <w:pStyle w:val="TableParagraph"/>
              <w:rPr>
                <w:rFonts w:ascii="Times New Roman"/>
                <w:sz w:val="12"/>
              </w:rPr>
            </w:pPr>
          </w:p>
        </w:tc>
        <w:tc>
          <w:tcPr>
            <w:tcW w:w="738" w:type="dxa"/>
          </w:tcPr>
          <w:p>
            <w:pPr>
              <w:pStyle w:val="TableParagraph"/>
              <w:rPr>
                <w:rFonts w:ascii="Times New Roman"/>
                <w:sz w:val="12"/>
              </w:rPr>
            </w:pPr>
          </w:p>
        </w:tc>
        <w:tc>
          <w:tcPr>
            <w:tcW w:w="774" w:type="dxa"/>
          </w:tcPr>
          <w:p>
            <w:pPr>
              <w:pStyle w:val="TableParagraph"/>
              <w:rPr>
                <w:rFonts w:ascii="Times New Roman"/>
                <w:sz w:val="12"/>
              </w:rPr>
            </w:pPr>
          </w:p>
        </w:tc>
        <w:tc>
          <w:tcPr>
            <w:tcW w:w="761" w:type="dxa"/>
          </w:tcPr>
          <w:p>
            <w:pPr>
              <w:pStyle w:val="TableParagraph"/>
              <w:rPr>
                <w:rFonts w:ascii="Times New Roman"/>
                <w:sz w:val="12"/>
              </w:rPr>
            </w:pPr>
          </w:p>
        </w:tc>
        <w:tc>
          <w:tcPr>
            <w:tcW w:w="723" w:type="dxa"/>
          </w:tcPr>
          <w:p>
            <w:pPr>
              <w:pStyle w:val="TableParagraph"/>
              <w:rPr>
                <w:rFonts w:ascii="Times New Roman"/>
                <w:sz w:val="12"/>
              </w:rPr>
            </w:pPr>
          </w:p>
        </w:tc>
        <w:tc>
          <w:tcPr>
            <w:tcW w:w="738" w:type="dxa"/>
          </w:tcPr>
          <w:p>
            <w:pPr>
              <w:pStyle w:val="TableParagraph"/>
              <w:rPr>
                <w:rFonts w:ascii="Times New Roman"/>
                <w:sz w:val="12"/>
              </w:rPr>
            </w:pPr>
          </w:p>
        </w:tc>
        <w:tc>
          <w:tcPr>
            <w:tcW w:w="738" w:type="dxa"/>
          </w:tcPr>
          <w:p>
            <w:pPr>
              <w:pStyle w:val="TableParagraph"/>
              <w:spacing w:line="144" w:lineRule="exact" w:before="22"/>
              <w:ind w:left="159"/>
              <w:rPr>
                <w:sz w:val="13"/>
              </w:rPr>
            </w:pPr>
            <w:r>
              <w:rPr>
                <w:sz w:val="13"/>
              </w:rPr>
              <w:t>-10.0%</w:t>
            </w:r>
          </w:p>
        </w:tc>
        <w:tc>
          <w:tcPr>
            <w:tcW w:w="738" w:type="dxa"/>
          </w:tcPr>
          <w:p>
            <w:pPr>
              <w:pStyle w:val="TableParagraph"/>
              <w:spacing w:line="144" w:lineRule="exact" w:before="22"/>
              <w:ind w:left="155"/>
              <w:rPr>
                <w:sz w:val="13"/>
              </w:rPr>
            </w:pPr>
            <w:r>
              <w:rPr>
                <w:sz w:val="13"/>
              </w:rPr>
              <w:t>-10.0%</w:t>
            </w:r>
          </w:p>
        </w:tc>
        <w:tc>
          <w:tcPr>
            <w:tcW w:w="738" w:type="dxa"/>
          </w:tcPr>
          <w:p>
            <w:pPr>
              <w:pStyle w:val="TableParagraph"/>
              <w:spacing w:line="144" w:lineRule="exact" w:before="22"/>
              <w:ind w:left="157"/>
              <w:rPr>
                <w:sz w:val="13"/>
              </w:rPr>
            </w:pPr>
            <w:r>
              <w:rPr>
                <w:sz w:val="13"/>
              </w:rPr>
              <w:t>-15.0%</w:t>
            </w:r>
          </w:p>
        </w:tc>
        <w:tc>
          <w:tcPr>
            <w:tcW w:w="738" w:type="dxa"/>
          </w:tcPr>
          <w:p>
            <w:pPr>
              <w:pStyle w:val="TableParagraph"/>
              <w:spacing w:line="144" w:lineRule="exact" w:before="22"/>
              <w:ind w:left="154"/>
              <w:rPr>
                <w:sz w:val="13"/>
              </w:rPr>
            </w:pPr>
            <w:r>
              <w:rPr>
                <w:sz w:val="13"/>
              </w:rPr>
              <w:t>-15.0%</w:t>
            </w:r>
          </w:p>
        </w:tc>
        <w:tc>
          <w:tcPr>
            <w:tcW w:w="808" w:type="dxa"/>
          </w:tcPr>
          <w:p>
            <w:pPr>
              <w:pStyle w:val="TableParagraph"/>
              <w:spacing w:line="144" w:lineRule="exact" w:before="22"/>
              <w:ind w:left="155"/>
              <w:rPr>
                <w:sz w:val="13"/>
              </w:rPr>
            </w:pPr>
            <w:r>
              <w:rPr>
                <w:sz w:val="13"/>
              </w:rPr>
              <w:t>-15.0%</w:t>
            </w:r>
          </w:p>
        </w:tc>
      </w:tr>
      <w:tr>
        <w:trPr>
          <w:trHeight w:val="212" w:hRule="atLeast"/>
        </w:trPr>
        <w:tc>
          <w:tcPr>
            <w:tcW w:w="2543" w:type="dxa"/>
          </w:tcPr>
          <w:p>
            <w:pPr>
              <w:pStyle w:val="TableParagraph"/>
              <w:spacing w:line="192" w:lineRule="exact"/>
              <w:ind w:left="139"/>
              <w:rPr>
                <w:b/>
                <w:sz w:val="14"/>
              </w:rPr>
            </w:pPr>
            <w:r>
              <w:rPr>
                <w:b/>
                <w:sz w:val="14"/>
              </w:rPr>
              <w:t>CD19 CAR-T </w:t>
            </w:r>
            <w:r>
              <w:rPr>
                <w:rFonts w:ascii="Microsoft JhengHei UI" w:eastAsia="Microsoft JhengHei UI" w:hint="eastAsia"/>
                <w:b/>
                <w:sz w:val="14"/>
              </w:rPr>
              <w:t>市场规模 </w:t>
            </w:r>
            <w:r>
              <w:rPr>
                <w:b/>
                <w:sz w:val="14"/>
              </w:rPr>
              <w:t>(</w:t>
            </w:r>
            <w:r>
              <w:rPr>
                <w:rFonts w:ascii="Microsoft JhengHei UI" w:eastAsia="Microsoft JhengHei UI" w:hint="eastAsia"/>
                <w:b/>
                <w:sz w:val="14"/>
              </w:rPr>
              <w:t>亿元</w:t>
            </w:r>
            <w:r>
              <w:rPr>
                <w:b/>
                <w:sz w:val="14"/>
              </w:rPr>
              <w:t>)</w:t>
            </w:r>
          </w:p>
        </w:tc>
        <w:tc>
          <w:tcPr>
            <w:tcW w:w="642" w:type="dxa"/>
          </w:tcPr>
          <w:p>
            <w:pPr>
              <w:pStyle w:val="TableParagraph"/>
              <w:rPr>
                <w:rFonts w:ascii="Times New Roman"/>
                <w:sz w:val="14"/>
              </w:rPr>
            </w:pPr>
          </w:p>
        </w:tc>
        <w:tc>
          <w:tcPr>
            <w:tcW w:w="738" w:type="dxa"/>
          </w:tcPr>
          <w:p>
            <w:pPr>
              <w:pStyle w:val="TableParagraph"/>
              <w:rPr>
                <w:rFonts w:ascii="Times New Roman"/>
                <w:sz w:val="14"/>
              </w:rPr>
            </w:pPr>
          </w:p>
        </w:tc>
        <w:tc>
          <w:tcPr>
            <w:tcW w:w="774" w:type="dxa"/>
          </w:tcPr>
          <w:p>
            <w:pPr>
              <w:pStyle w:val="TableParagraph"/>
              <w:rPr>
                <w:rFonts w:ascii="Times New Roman"/>
                <w:sz w:val="14"/>
              </w:rPr>
            </w:pPr>
          </w:p>
        </w:tc>
        <w:tc>
          <w:tcPr>
            <w:tcW w:w="761" w:type="dxa"/>
          </w:tcPr>
          <w:p>
            <w:pPr>
              <w:pStyle w:val="TableParagraph"/>
              <w:rPr>
                <w:rFonts w:ascii="Times New Roman"/>
                <w:sz w:val="14"/>
              </w:rPr>
            </w:pPr>
          </w:p>
        </w:tc>
        <w:tc>
          <w:tcPr>
            <w:tcW w:w="723" w:type="dxa"/>
          </w:tcPr>
          <w:p>
            <w:pPr>
              <w:pStyle w:val="TableParagraph"/>
              <w:rPr>
                <w:rFonts w:ascii="Times New Roman"/>
                <w:sz w:val="14"/>
              </w:rPr>
            </w:pPr>
          </w:p>
        </w:tc>
        <w:tc>
          <w:tcPr>
            <w:tcW w:w="738" w:type="dxa"/>
          </w:tcPr>
          <w:p>
            <w:pPr>
              <w:pStyle w:val="TableParagraph"/>
              <w:spacing w:before="33"/>
              <w:ind w:left="157"/>
              <w:rPr>
                <w:b/>
                <w:sz w:val="13"/>
              </w:rPr>
            </w:pPr>
            <w:r>
              <w:rPr>
                <w:b/>
                <w:sz w:val="13"/>
              </w:rPr>
              <w:t>4.8</w:t>
            </w:r>
          </w:p>
        </w:tc>
        <w:tc>
          <w:tcPr>
            <w:tcW w:w="738" w:type="dxa"/>
          </w:tcPr>
          <w:p>
            <w:pPr>
              <w:pStyle w:val="TableParagraph"/>
              <w:spacing w:before="33"/>
              <w:ind w:left="159"/>
              <w:rPr>
                <w:b/>
                <w:sz w:val="13"/>
              </w:rPr>
            </w:pPr>
            <w:r>
              <w:rPr>
                <w:b/>
                <w:sz w:val="13"/>
              </w:rPr>
              <w:t>6.1</w:t>
            </w:r>
          </w:p>
        </w:tc>
        <w:tc>
          <w:tcPr>
            <w:tcW w:w="738" w:type="dxa"/>
          </w:tcPr>
          <w:p>
            <w:pPr>
              <w:pStyle w:val="TableParagraph"/>
              <w:spacing w:before="33"/>
              <w:ind w:left="155"/>
              <w:rPr>
                <w:b/>
                <w:sz w:val="13"/>
              </w:rPr>
            </w:pPr>
            <w:r>
              <w:rPr>
                <w:b/>
                <w:sz w:val="13"/>
              </w:rPr>
              <w:t>7.6</w:t>
            </w:r>
          </w:p>
        </w:tc>
        <w:tc>
          <w:tcPr>
            <w:tcW w:w="738" w:type="dxa"/>
          </w:tcPr>
          <w:p>
            <w:pPr>
              <w:pStyle w:val="TableParagraph"/>
              <w:spacing w:before="33"/>
              <w:ind w:left="157"/>
              <w:rPr>
                <w:b/>
                <w:sz w:val="13"/>
              </w:rPr>
            </w:pPr>
            <w:r>
              <w:rPr>
                <w:b/>
                <w:sz w:val="13"/>
              </w:rPr>
              <w:t>8.9</w:t>
            </w:r>
          </w:p>
        </w:tc>
        <w:tc>
          <w:tcPr>
            <w:tcW w:w="738" w:type="dxa"/>
          </w:tcPr>
          <w:p>
            <w:pPr>
              <w:pStyle w:val="TableParagraph"/>
              <w:spacing w:before="33"/>
              <w:ind w:left="154"/>
              <w:rPr>
                <w:b/>
                <w:sz w:val="13"/>
              </w:rPr>
            </w:pPr>
            <w:r>
              <w:rPr>
                <w:b/>
                <w:sz w:val="13"/>
              </w:rPr>
              <w:t>10.5</w:t>
            </w:r>
          </w:p>
        </w:tc>
        <w:tc>
          <w:tcPr>
            <w:tcW w:w="808" w:type="dxa"/>
          </w:tcPr>
          <w:p>
            <w:pPr>
              <w:pStyle w:val="TableParagraph"/>
              <w:spacing w:before="33"/>
              <w:ind w:left="155"/>
              <w:rPr>
                <w:b/>
                <w:sz w:val="13"/>
              </w:rPr>
            </w:pPr>
            <w:r>
              <w:rPr>
                <w:b/>
                <w:sz w:val="13"/>
              </w:rPr>
              <w:t>12.3</w:t>
            </w:r>
          </w:p>
        </w:tc>
      </w:tr>
      <w:tr>
        <w:trPr>
          <w:trHeight w:val="201" w:hRule="atLeast"/>
        </w:trPr>
        <w:tc>
          <w:tcPr>
            <w:tcW w:w="2543" w:type="dxa"/>
            <w:tcBorders>
              <w:bottom w:val="single" w:sz="8" w:space="0" w:color="000000"/>
            </w:tcBorders>
          </w:tcPr>
          <w:p>
            <w:pPr>
              <w:pStyle w:val="TableParagraph"/>
              <w:spacing w:before="13"/>
              <w:ind w:left="139"/>
              <w:rPr>
                <w:i/>
                <w:sz w:val="14"/>
              </w:rPr>
            </w:pPr>
            <w:r>
              <w:rPr>
                <w:i/>
                <w:sz w:val="14"/>
              </w:rPr>
              <w:t>YoY</w:t>
            </w:r>
          </w:p>
        </w:tc>
        <w:tc>
          <w:tcPr>
            <w:tcW w:w="642" w:type="dxa"/>
            <w:tcBorders>
              <w:bottom w:val="single" w:sz="8" w:space="0" w:color="000000"/>
            </w:tcBorders>
          </w:tcPr>
          <w:p>
            <w:pPr>
              <w:pStyle w:val="TableParagraph"/>
              <w:rPr>
                <w:rFonts w:ascii="Times New Roman"/>
                <w:sz w:val="14"/>
              </w:rPr>
            </w:pPr>
          </w:p>
        </w:tc>
        <w:tc>
          <w:tcPr>
            <w:tcW w:w="738" w:type="dxa"/>
            <w:tcBorders>
              <w:bottom w:val="single" w:sz="8" w:space="0" w:color="000000"/>
            </w:tcBorders>
          </w:tcPr>
          <w:p>
            <w:pPr>
              <w:pStyle w:val="TableParagraph"/>
              <w:rPr>
                <w:rFonts w:ascii="Times New Roman"/>
                <w:sz w:val="14"/>
              </w:rPr>
            </w:pPr>
          </w:p>
        </w:tc>
        <w:tc>
          <w:tcPr>
            <w:tcW w:w="774" w:type="dxa"/>
            <w:tcBorders>
              <w:bottom w:val="single" w:sz="8" w:space="0" w:color="000000"/>
            </w:tcBorders>
          </w:tcPr>
          <w:p>
            <w:pPr>
              <w:pStyle w:val="TableParagraph"/>
              <w:rPr>
                <w:rFonts w:ascii="Times New Roman"/>
                <w:sz w:val="14"/>
              </w:rPr>
            </w:pPr>
          </w:p>
        </w:tc>
        <w:tc>
          <w:tcPr>
            <w:tcW w:w="761" w:type="dxa"/>
            <w:tcBorders>
              <w:bottom w:val="single" w:sz="8" w:space="0" w:color="000000"/>
            </w:tcBorders>
          </w:tcPr>
          <w:p>
            <w:pPr>
              <w:pStyle w:val="TableParagraph"/>
              <w:rPr>
                <w:rFonts w:ascii="Times New Roman"/>
                <w:sz w:val="14"/>
              </w:rPr>
            </w:pPr>
          </w:p>
        </w:tc>
        <w:tc>
          <w:tcPr>
            <w:tcW w:w="723" w:type="dxa"/>
            <w:tcBorders>
              <w:bottom w:val="single" w:sz="8" w:space="0" w:color="000000"/>
            </w:tcBorders>
          </w:tcPr>
          <w:p>
            <w:pPr>
              <w:pStyle w:val="TableParagraph"/>
              <w:rPr>
                <w:rFonts w:ascii="Times New Roman"/>
                <w:sz w:val="14"/>
              </w:rPr>
            </w:pPr>
          </w:p>
        </w:tc>
        <w:tc>
          <w:tcPr>
            <w:tcW w:w="738" w:type="dxa"/>
            <w:tcBorders>
              <w:bottom w:val="single" w:sz="8" w:space="0" w:color="000000"/>
            </w:tcBorders>
          </w:tcPr>
          <w:p>
            <w:pPr>
              <w:pStyle w:val="TableParagraph"/>
              <w:rPr>
                <w:rFonts w:ascii="Times New Roman"/>
                <w:sz w:val="14"/>
              </w:rPr>
            </w:pPr>
          </w:p>
        </w:tc>
        <w:tc>
          <w:tcPr>
            <w:tcW w:w="738" w:type="dxa"/>
            <w:tcBorders>
              <w:bottom w:val="single" w:sz="8" w:space="0" w:color="000000"/>
            </w:tcBorders>
          </w:tcPr>
          <w:p>
            <w:pPr>
              <w:pStyle w:val="TableParagraph"/>
              <w:spacing w:before="27"/>
              <w:ind w:left="159"/>
              <w:rPr>
                <w:sz w:val="13"/>
              </w:rPr>
            </w:pPr>
            <w:r>
              <w:rPr>
                <w:sz w:val="13"/>
              </w:rPr>
              <w:t>25.5%</w:t>
            </w:r>
          </w:p>
        </w:tc>
        <w:tc>
          <w:tcPr>
            <w:tcW w:w="738" w:type="dxa"/>
            <w:tcBorders>
              <w:bottom w:val="single" w:sz="8" w:space="0" w:color="000000"/>
            </w:tcBorders>
          </w:tcPr>
          <w:p>
            <w:pPr>
              <w:pStyle w:val="TableParagraph"/>
              <w:spacing w:before="27"/>
              <w:ind w:left="155"/>
              <w:rPr>
                <w:sz w:val="13"/>
              </w:rPr>
            </w:pPr>
            <w:r>
              <w:rPr>
                <w:sz w:val="13"/>
              </w:rPr>
              <w:t>25.0%</w:t>
            </w:r>
          </w:p>
        </w:tc>
        <w:tc>
          <w:tcPr>
            <w:tcW w:w="738" w:type="dxa"/>
            <w:tcBorders>
              <w:bottom w:val="single" w:sz="8" w:space="0" w:color="000000"/>
            </w:tcBorders>
          </w:tcPr>
          <w:p>
            <w:pPr>
              <w:pStyle w:val="TableParagraph"/>
              <w:spacing w:before="27"/>
              <w:ind w:left="157"/>
              <w:rPr>
                <w:sz w:val="13"/>
              </w:rPr>
            </w:pPr>
            <w:r>
              <w:rPr>
                <w:sz w:val="13"/>
              </w:rPr>
              <w:t>17.7%</w:t>
            </w:r>
          </w:p>
        </w:tc>
        <w:tc>
          <w:tcPr>
            <w:tcW w:w="738" w:type="dxa"/>
            <w:tcBorders>
              <w:bottom w:val="single" w:sz="8" w:space="0" w:color="000000"/>
            </w:tcBorders>
          </w:tcPr>
          <w:p>
            <w:pPr>
              <w:pStyle w:val="TableParagraph"/>
              <w:spacing w:before="27"/>
              <w:ind w:left="154"/>
              <w:rPr>
                <w:sz w:val="13"/>
              </w:rPr>
            </w:pPr>
            <w:r>
              <w:rPr>
                <w:sz w:val="13"/>
              </w:rPr>
              <w:t>17.4%</w:t>
            </w:r>
          </w:p>
        </w:tc>
        <w:tc>
          <w:tcPr>
            <w:tcW w:w="808" w:type="dxa"/>
            <w:tcBorders>
              <w:bottom w:val="single" w:sz="8" w:space="0" w:color="000000"/>
            </w:tcBorders>
          </w:tcPr>
          <w:p>
            <w:pPr>
              <w:pStyle w:val="TableParagraph"/>
              <w:spacing w:before="27"/>
              <w:ind w:left="155"/>
              <w:rPr>
                <w:sz w:val="13"/>
              </w:rPr>
            </w:pPr>
            <w:r>
              <w:rPr>
                <w:sz w:val="13"/>
              </w:rPr>
              <w:t>17.1%</w:t>
            </w:r>
          </w:p>
        </w:tc>
      </w:tr>
      <w:tr>
        <w:trPr>
          <w:trHeight w:val="218" w:hRule="atLeast"/>
        </w:trPr>
        <w:tc>
          <w:tcPr>
            <w:tcW w:w="2543" w:type="dxa"/>
            <w:tcBorders>
              <w:top w:val="single" w:sz="8" w:space="0" w:color="000000"/>
            </w:tcBorders>
          </w:tcPr>
          <w:p>
            <w:pPr>
              <w:pStyle w:val="TableParagraph"/>
              <w:spacing w:line="199" w:lineRule="exact"/>
              <w:ind w:left="139"/>
              <w:rPr>
                <w:b/>
                <w:sz w:val="13"/>
              </w:rPr>
            </w:pPr>
            <w:r>
              <w:rPr>
                <w:b/>
                <w:sz w:val="13"/>
              </w:rPr>
              <w:t>CD19 CAR-T </w:t>
            </w:r>
            <w:r>
              <w:rPr>
                <w:rFonts w:ascii="Microsoft JhengHei UI" w:eastAsia="Microsoft JhengHei UI" w:hint="eastAsia"/>
                <w:b/>
                <w:sz w:val="13"/>
              </w:rPr>
              <w:t>的整体市场规模 </w:t>
            </w:r>
            <w:r>
              <w:rPr>
                <w:b/>
                <w:sz w:val="13"/>
              </w:rPr>
              <w:t>(</w:t>
            </w:r>
            <w:r>
              <w:rPr>
                <w:rFonts w:ascii="Microsoft JhengHei UI" w:eastAsia="Microsoft JhengHei UI" w:hint="eastAsia"/>
                <w:b/>
                <w:sz w:val="13"/>
              </w:rPr>
              <w:t>亿元</w:t>
            </w:r>
            <w:r>
              <w:rPr>
                <w:b/>
                <w:sz w:val="13"/>
              </w:rPr>
              <w:t>)</w:t>
            </w:r>
          </w:p>
        </w:tc>
        <w:tc>
          <w:tcPr>
            <w:tcW w:w="642" w:type="dxa"/>
            <w:tcBorders>
              <w:top w:val="single" w:sz="8" w:space="0" w:color="000000"/>
            </w:tcBorders>
          </w:tcPr>
          <w:p>
            <w:pPr>
              <w:pStyle w:val="TableParagraph"/>
              <w:rPr>
                <w:rFonts w:ascii="Times New Roman"/>
                <w:sz w:val="14"/>
              </w:rPr>
            </w:pPr>
          </w:p>
        </w:tc>
        <w:tc>
          <w:tcPr>
            <w:tcW w:w="738" w:type="dxa"/>
            <w:tcBorders>
              <w:top w:val="single" w:sz="8" w:space="0" w:color="000000"/>
            </w:tcBorders>
          </w:tcPr>
          <w:p>
            <w:pPr>
              <w:pStyle w:val="TableParagraph"/>
              <w:spacing w:before="41"/>
              <w:ind w:left="43" w:right="186"/>
              <w:jc w:val="center"/>
              <w:rPr>
                <w:b/>
                <w:sz w:val="13"/>
              </w:rPr>
            </w:pPr>
            <w:r>
              <w:rPr>
                <w:b/>
                <w:sz w:val="13"/>
              </w:rPr>
              <w:t>3.1</w:t>
            </w:r>
          </w:p>
        </w:tc>
        <w:tc>
          <w:tcPr>
            <w:tcW w:w="774" w:type="dxa"/>
            <w:tcBorders>
              <w:top w:val="single" w:sz="8" w:space="0" w:color="000000"/>
            </w:tcBorders>
          </w:tcPr>
          <w:p>
            <w:pPr>
              <w:pStyle w:val="TableParagraph"/>
              <w:spacing w:before="41"/>
              <w:ind w:left="201"/>
              <w:rPr>
                <w:b/>
                <w:sz w:val="13"/>
              </w:rPr>
            </w:pPr>
            <w:r>
              <w:rPr>
                <w:b/>
                <w:sz w:val="13"/>
              </w:rPr>
              <w:t>5.6</w:t>
            </w:r>
          </w:p>
        </w:tc>
        <w:tc>
          <w:tcPr>
            <w:tcW w:w="761" w:type="dxa"/>
            <w:tcBorders>
              <w:top w:val="single" w:sz="8" w:space="0" w:color="000000"/>
            </w:tcBorders>
          </w:tcPr>
          <w:p>
            <w:pPr>
              <w:pStyle w:val="TableParagraph"/>
              <w:spacing w:before="41"/>
              <w:ind w:left="167"/>
              <w:rPr>
                <w:b/>
                <w:sz w:val="13"/>
              </w:rPr>
            </w:pPr>
            <w:r>
              <w:rPr>
                <w:b/>
                <w:sz w:val="13"/>
              </w:rPr>
              <w:t>16.3</w:t>
            </w:r>
          </w:p>
        </w:tc>
        <w:tc>
          <w:tcPr>
            <w:tcW w:w="723" w:type="dxa"/>
            <w:tcBorders>
              <w:top w:val="single" w:sz="8" w:space="0" w:color="000000"/>
            </w:tcBorders>
          </w:tcPr>
          <w:p>
            <w:pPr>
              <w:pStyle w:val="TableParagraph"/>
              <w:spacing w:before="41"/>
              <w:ind w:left="145"/>
              <w:rPr>
                <w:b/>
                <w:sz w:val="13"/>
              </w:rPr>
            </w:pPr>
            <w:r>
              <w:rPr>
                <w:b/>
                <w:sz w:val="13"/>
              </w:rPr>
              <w:t>32.3</w:t>
            </w:r>
          </w:p>
        </w:tc>
        <w:tc>
          <w:tcPr>
            <w:tcW w:w="738" w:type="dxa"/>
            <w:tcBorders>
              <w:top w:val="single" w:sz="8" w:space="0" w:color="000000"/>
            </w:tcBorders>
          </w:tcPr>
          <w:p>
            <w:pPr>
              <w:pStyle w:val="TableParagraph"/>
              <w:spacing w:before="41"/>
              <w:ind w:left="157"/>
              <w:rPr>
                <w:b/>
                <w:sz w:val="13"/>
              </w:rPr>
            </w:pPr>
            <w:r>
              <w:rPr>
                <w:b/>
                <w:sz w:val="13"/>
              </w:rPr>
              <w:t>50.2</w:t>
            </w:r>
          </w:p>
        </w:tc>
        <w:tc>
          <w:tcPr>
            <w:tcW w:w="738" w:type="dxa"/>
            <w:tcBorders>
              <w:top w:val="single" w:sz="8" w:space="0" w:color="000000"/>
            </w:tcBorders>
          </w:tcPr>
          <w:p>
            <w:pPr>
              <w:pStyle w:val="TableParagraph"/>
              <w:spacing w:before="41"/>
              <w:ind w:left="159"/>
              <w:rPr>
                <w:b/>
                <w:sz w:val="13"/>
              </w:rPr>
            </w:pPr>
            <w:r>
              <w:rPr>
                <w:b/>
                <w:sz w:val="13"/>
              </w:rPr>
              <w:t>65.2</w:t>
            </w:r>
          </w:p>
        </w:tc>
        <w:tc>
          <w:tcPr>
            <w:tcW w:w="738" w:type="dxa"/>
            <w:tcBorders>
              <w:top w:val="single" w:sz="8" w:space="0" w:color="000000"/>
            </w:tcBorders>
          </w:tcPr>
          <w:p>
            <w:pPr>
              <w:pStyle w:val="TableParagraph"/>
              <w:spacing w:before="41"/>
              <w:ind w:left="155"/>
              <w:rPr>
                <w:b/>
                <w:sz w:val="13"/>
              </w:rPr>
            </w:pPr>
            <w:r>
              <w:rPr>
                <w:b/>
                <w:sz w:val="13"/>
              </w:rPr>
              <w:t>84.3</w:t>
            </w:r>
          </w:p>
        </w:tc>
        <w:tc>
          <w:tcPr>
            <w:tcW w:w="738" w:type="dxa"/>
            <w:tcBorders>
              <w:top w:val="single" w:sz="8" w:space="0" w:color="000000"/>
            </w:tcBorders>
          </w:tcPr>
          <w:p>
            <w:pPr>
              <w:pStyle w:val="TableParagraph"/>
              <w:spacing w:before="41"/>
              <w:ind w:left="157"/>
              <w:rPr>
                <w:b/>
                <w:sz w:val="13"/>
              </w:rPr>
            </w:pPr>
            <w:r>
              <w:rPr>
                <w:b/>
                <w:sz w:val="13"/>
              </w:rPr>
              <w:t>97.3</w:t>
            </w:r>
          </w:p>
        </w:tc>
        <w:tc>
          <w:tcPr>
            <w:tcW w:w="738" w:type="dxa"/>
            <w:tcBorders>
              <w:top w:val="single" w:sz="8" w:space="0" w:color="000000"/>
            </w:tcBorders>
          </w:tcPr>
          <w:p>
            <w:pPr>
              <w:pStyle w:val="TableParagraph"/>
              <w:spacing w:before="41"/>
              <w:ind w:left="154"/>
              <w:rPr>
                <w:b/>
                <w:sz w:val="13"/>
              </w:rPr>
            </w:pPr>
            <w:r>
              <w:rPr>
                <w:b/>
                <w:sz w:val="13"/>
              </w:rPr>
              <w:t>112.0</w:t>
            </w:r>
          </w:p>
        </w:tc>
        <w:tc>
          <w:tcPr>
            <w:tcW w:w="808" w:type="dxa"/>
            <w:tcBorders>
              <w:top w:val="single" w:sz="8" w:space="0" w:color="000000"/>
            </w:tcBorders>
          </w:tcPr>
          <w:p>
            <w:pPr>
              <w:pStyle w:val="TableParagraph"/>
              <w:spacing w:before="41"/>
              <w:ind w:left="155"/>
              <w:rPr>
                <w:b/>
                <w:sz w:val="13"/>
              </w:rPr>
            </w:pPr>
            <w:r>
              <w:rPr>
                <w:b/>
                <w:sz w:val="13"/>
              </w:rPr>
              <w:t>123.8</w:t>
            </w:r>
          </w:p>
        </w:tc>
      </w:tr>
      <w:tr>
        <w:trPr>
          <w:trHeight w:val="173" w:hRule="atLeast"/>
        </w:trPr>
        <w:tc>
          <w:tcPr>
            <w:tcW w:w="2543" w:type="dxa"/>
            <w:tcBorders>
              <w:bottom w:val="single" w:sz="12" w:space="0" w:color="000000"/>
            </w:tcBorders>
          </w:tcPr>
          <w:p>
            <w:pPr>
              <w:pStyle w:val="TableParagraph"/>
              <w:spacing w:line="130" w:lineRule="exact" w:before="23"/>
              <w:ind w:left="139"/>
              <w:rPr>
                <w:i/>
                <w:sz w:val="13"/>
              </w:rPr>
            </w:pPr>
            <w:r>
              <w:rPr>
                <w:i/>
                <w:sz w:val="13"/>
              </w:rPr>
              <w:t>YoY</w:t>
            </w:r>
          </w:p>
        </w:tc>
        <w:tc>
          <w:tcPr>
            <w:tcW w:w="642" w:type="dxa"/>
            <w:tcBorders>
              <w:bottom w:val="single" w:sz="12" w:space="0" w:color="000000"/>
            </w:tcBorders>
          </w:tcPr>
          <w:p>
            <w:pPr>
              <w:pStyle w:val="TableParagraph"/>
              <w:rPr>
                <w:rFonts w:ascii="Times New Roman"/>
                <w:sz w:val="10"/>
              </w:rPr>
            </w:pPr>
          </w:p>
        </w:tc>
        <w:tc>
          <w:tcPr>
            <w:tcW w:w="738" w:type="dxa"/>
            <w:tcBorders>
              <w:bottom w:val="single" w:sz="12" w:space="0" w:color="000000"/>
            </w:tcBorders>
          </w:tcPr>
          <w:p>
            <w:pPr>
              <w:pStyle w:val="TableParagraph"/>
              <w:rPr>
                <w:rFonts w:ascii="Times New Roman"/>
                <w:sz w:val="10"/>
              </w:rPr>
            </w:pPr>
          </w:p>
        </w:tc>
        <w:tc>
          <w:tcPr>
            <w:tcW w:w="774" w:type="dxa"/>
            <w:tcBorders>
              <w:bottom w:val="single" w:sz="12" w:space="0" w:color="000000"/>
            </w:tcBorders>
          </w:tcPr>
          <w:p>
            <w:pPr>
              <w:pStyle w:val="TableParagraph"/>
              <w:spacing w:line="130" w:lineRule="exact" w:before="23"/>
              <w:ind w:left="201"/>
              <w:rPr>
                <w:sz w:val="13"/>
              </w:rPr>
            </w:pPr>
            <w:r>
              <w:rPr>
                <w:sz w:val="13"/>
              </w:rPr>
              <w:t>80.0%</w:t>
            </w:r>
          </w:p>
        </w:tc>
        <w:tc>
          <w:tcPr>
            <w:tcW w:w="761" w:type="dxa"/>
            <w:tcBorders>
              <w:bottom w:val="single" w:sz="12" w:space="0" w:color="000000"/>
            </w:tcBorders>
          </w:tcPr>
          <w:p>
            <w:pPr>
              <w:pStyle w:val="TableParagraph"/>
              <w:spacing w:line="130" w:lineRule="exact" w:before="23"/>
              <w:ind w:left="167"/>
              <w:rPr>
                <w:sz w:val="13"/>
              </w:rPr>
            </w:pPr>
            <w:r>
              <w:rPr>
                <w:sz w:val="13"/>
              </w:rPr>
              <w:t>191.1%</w:t>
            </w:r>
          </w:p>
        </w:tc>
        <w:tc>
          <w:tcPr>
            <w:tcW w:w="723" w:type="dxa"/>
            <w:tcBorders>
              <w:bottom w:val="single" w:sz="12" w:space="0" w:color="000000"/>
            </w:tcBorders>
          </w:tcPr>
          <w:p>
            <w:pPr>
              <w:pStyle w:val="TableParagraph"/>
              <w:spacing w:line="130" w:lineRule="exact" w:before="23"/>
              <w:ind w:left="145"/>
              <w:rPr>
                <w:sz w:val="13"/>
              </w:rPr>
            </w:pPr>
            <w:r>
              <w:rPr>
                <w:sz w:val="13"/>
              </w:rPr>
              <w:t>97.8%</w:t>
            </w:r>
          </w:p>
        </w:tc>
        <w:tc>
          <w:tcPr>
            <w:tcW w:w="738" w:type="dxa"/>
            <w:tcBorders>
              <w:bottom w:val="single" w:sz="12" w:space="0" w:color="000000"/>
            </w:tcBorders>
          </w:tcPr>
          <w:p>
            <w:pPr>
              <w:pStyle w:val="TableParagraph"/>
              <w:spacing w:line="130" w:lineRule="exact" w:before="23"/>
              <w:ind w:left="157"/>
              <w:rPr>
                <w:sz w:val="13"/>
              </w:rPr>
            </w:pPr>
            <w:r>
              <w:rPr>
                <w:sz w:val="13"/>
              </w:rPr>
              <w:t>55.7%</w:t>
            </w:r>
          </w:p>
        </w:tc>
        <w:tc>
          <w:tcPr>
            <w:tcW w:w="738" w:type="dxa"/>
            <w:tcBorders>
              <w:bottom w:val="single" w:sz="12" w:space="0" w:color="000000"/>
            </w:tcBorders>
          </w:tcPr>
          <w:p>
            <w:pPr>
              <w:pStyle w:val="TableParagraph"/>
              <w:spacing w:line="130" w:lineRule="exact" w:before="23"/>
              <w:ind w:left="159"/>
              <w:rPr>
                <w:sz w:val="13"/>
              </w:rPr>
            </w:pPr>
            <w:r>
              <w:rPr>
                <w:sz w:val="13"/>
              </w:rPr>
              <w:t>29.8%</w:t>
            </w:r>
          </w:p>
        </w:tc>
        <w:tc>
          <w:tcPr>
            <w:tcW w:w="738" w:type="dxa"/>
            <w:tcBorders>
              <w:bottom w:val="single" w:sz="12" w:space="0" w:color="000000"/>
            </w:tcBorders>
          </w:tcPr>
          <w:p>
            <w:pPr>
              <w:pStyle w:val="TableParagraph"/>
              <w:spacing w:line="130" w:lineRule="exact" w:before="23"/>
              <w:ind w:left="155"/>
              <w:rPr>
                <w:sz w:val="13"/>
              </w:rPr>
            </w:pPr>
            <w:r>
              <w:rPr>
                <w:sz w:val="13"/>
              </w:rPr>
              <w:t>29.2%</w:t>
            </w:r>
          </w:p>
        </w:tc>
        <w:tc>
          <w:tcPr>
            <w:tcW w:w="738" w:type="dxa"/>
            <w:tcBorders>
              <w:bottom w:val="single" w:sz="12" w:space="0" w:color="000000"/>
            </w:tcBorders>
          </w:tcPr>
          <w:p>
            <w:pPr>
              <w:pStyle w:val="TableParagraph"/>
              <w:spacing w:line="130" w:lineRule="exact" w:before="23"/>
              <w:ind w:left="157"/>
              <w:rPr>
                <w:sz w:val="13"/>
              </w:rPr>
            </w:pPr>
            <w:r>
              <w:rPr>
                <w:sz w:val="13"/>
              </w:rPr>
              <w:t>15.5%</w:t>
            </w:r>
          </w:p>
        </w:tc>
        <w:tc>
          <w:tcPr>
            <w:tcW w:w="738" w:type="dxa"/>
            <w:tcBorders>
              <w:bottom w:val="single" w:sz="12" w:space="0" w:color="000000"/>
            </w:tcBorders>
          </w:tcPr>
          <w:p>
            <w:pPr>
              <w:pStyle w:val="TableParagraph"/>
              <w:spacing w:line="130" w:lineRule="exact" w:before="23"/>
              <w:ind w:left="154"/>
              <w:rPr>
                <w:sz w:val="13"/>
              </w:rPr>
            </w:pPr>
            <w:r>
              <w:rPr>
                <w:sz w:val="13"/>
              </w:rPr>
              <w:t>15.1%</w:t>
            </w:r>
          </w:p>
        </w:tc>
        <w:tc>
          <w:tcPr>
            <w:tcW w:w="808" w:type="dxa"/>
            <w:tcBorders>
              <w:bottom w:val="single" w:sz="12" w:space="0" w:color="000000"/>
            </w:tcBorders>
          </w:tcPr>
          <w:p>
            <w:pPr>
              <w:pStyle w:val="TableParagraph"/>
              <w:spacing w:line="130" w:lineRule="exact" w:before="23"/>
              <w:ind w:left="155"/>
              <w:rPr>
                <w:sz w:val="13"/>
              </w:rPr>
            </w:pPr>
            <w:r>
              <w:rPr>
                <w:sz w:val="13"/>
              </w:rPr>
              <w:t>10.5%</w:t>
            </w:r>
          </w:p>
        </w:tc>
      </w:tr>
    </w:tbl>
    <w:p>
      <w:pPr>
        <w:spacing w:before="17"/>
        <w:ind w:left="210" w:right="0" w:firstLine="0"/>
        <w:jc w:val="left"/>
        <w:rPr>
          <w:sz w:val="16"/>
        </w:rPr>
      </w:pPr>
      <w:r>
        <w:rPr>
          <w:sz w:val="16"/>
        </w:rPr>
        <w:t>资料来源</w:t>
      </w:r>
      <w:r>
        <w:rPr>
          <w:rFonts w:ascii="Arial" w:eastAsia="Arial"/>
          <w:sz w:val="16"/>
        </w:rPr>
        <w:t>: GLOBOCAN</w:t>
      </w:r>
      <w:r>
        <w:rPr>
          <w:sz w:val="16"/>
        </w:rPr>
        <w:t>，弗若斯特沙利文，招银国际证券</w:t>
      </w:r>
    </w:p>
    <w:p>
      <w:pPr>
        <w:spacing w:after="0"/>
        <w:jc w:val="left"/>
        <w:rPr>
          <w:sz w:val="16"/>
        </w:rPr>
        <w:sectPr>
          <w:pgSz w:w="11910" w:h="16840"/>
          <w:pgMar w:header="682" w:footer="358" w:top="1380" w:bottom="540" w:left="640" w:right="300"/>
        </w:sectPr>
      </w:pPr>
    </w:p>
    <w:p>
      <w:pPr>
        <w:pStyle w:val="BodyText"/>
        <w:spacing w:before="3"/>
        <w:ind w:left="0"/>
        <w:rPr>
          <w:sz w:val="12"/>
        </w:rPr>
      </w:pPr>
    </w:p>
    <w:p>
      <w:pPr>
        <w:pStyle w:val="ListParagraph"/>
        <w:numPr>
          <w:ilvl w:val="0"/>
          <w:numId w:val="2"/>
        </w:numPr>
        <w:tabs>
          <w:tab w:pos="571" w:val="left" w:leader="none"/>
        </w:tabs>
        <w:spacing w:line="285" w:lineRule="auto" w:before="45" w:after="0"/>
        <w:ind w:left="570" w:right="2614" w:hanging="360"/>
        <w:jc w:val="left"/>
        <w:rPr>
          <w:sz w:val="20"/>
        </w:rPr>
      </w:pPr>
      <w:r>
        <w:rPr>
          <w:rFonts w:ascii="Microsoft JhengHei UI" w:eastAsia="Microsoft JhengHei UI" w:hint="eastAsia"/>
          <w:b/>
          <w:spacing w:val="7"/>
          <w:sz w:val="20"/>
        </w:rPr>
        <w:t>适用于 </w:t>
      </w:r>
      <w:r>
        <w:rPr>
          <w:rFonts w:ascii="Arial" w:eastAsia="Arial"/>
          <w:b/>
          <w:sz w:val="20"/>
        </w:rPr>
        <w:t>CD19</w:t>
      </w:r>
      <w:r>
        <w:rPr>
          <w:rFonts w:ascii="Arial" w:eastAsia="Arial"/>
          <w:b/>
          <w:spacing w:val="23"/>
          <w:sz w:val="20"/>
        </w:rPr>
        <w:t> </w:t>
      </w:r>
      <w:r>
        <w:rPr>
          <w:rFonts w:ascii="Arial" w:eastAsia="Arial"/>
          <w:b/>
          <w:spacing w:val="-3"/>
          <w:sz w:val="20"/>
        </w:rPr>
        <w:t>CAR-T</w:t>
      </w:r>
      <w:r>
        <w:rPr>
          <w:rFonts w:ascii="Arial" w:eastAsia="Arial"/>
          <w:b/>
          <w:spacing w:val="22"/>
          <w:sz w:val="20"/>
        </w:rPr>
        <w:t> </w:t>
      </w:r>
      <w:r>
        <w:rPr>
          <w:rFonts w:ascii="Microsoft JhengHei UI" w:eastAsia="Microsoft JhengHei UI" w:hint="eastAsia"/>
          <w:b/>
          <w:sz w:val="20"/>
        </w:rPr>
        <w:t>治疗的人数</w:t>
      </w:r>
      <w:r>
        <w:rPr>
          <w:sz w:val="20"/>
        </w:rPr>
        <w:t>：</w:t>
      </w:r>
      <w:r>
        <w:rPr>
          <w:rFonts w:ascii="Arial" w:eastAsia="Arial"/>
          <w:sz w:val="20"/>
        </w:rPr>
        <w:t>NHL</w:t>
      </w:r>
      <w:r>
        <w:rPr>
          <w:rFonts w:ascii="Arial" w:eastAsia="Arial"/>
          <w:spacing w:val="-6"/>
          <w:sz w:val="20"/>
        </w:rPr>
        <w:t> </w:t>
      </w:r>
      <w:r>
        <w:rPr>
          <w:spacing w:val="-5"/>
          <w:sz w:val="20"/>
        </w:rPr>
        <w:t>各亚型复发患者比例参考弗若斯特沙利文报告， 各适应症获批年份参考国内临床进度。</w:t>
      </w:r>
      <w:r>
        <w:rPr>
          <w:rFonts w:ascii="Arial" w:eastAsia="Arial"/>
          <w:sz w:val="20"/>
        </w:rPr>
        <w:t>2021</w:t>
      </w:r>
      <w:r>
        <w:rPr>
          <w:rFonts w:ascii="Arial" w:eastAsia="Arial"/>
          <w:spacing w:val="-2"/>
          <w:sz w:val="20"/>
        </w:rPr>
        <w:t> </w:t>
      </w:r>
      <w:r>
        <w:rPr>
          <w:spacing w:val="5"/>
          <w:sz w:val="20"/>
        </w:rPr>
        <w:t>年 </w:t>
      </w:r>
      <w:r>
        <w:rPr>
          <w:rFonts w:ascii="Arial" w:eastAsia="Arial"/>
          <w:sz w:val="20"/>
        </w:rPr>
        <w:t>3L</w:t>
      </w:r>
      <w:r>
        <w:rPr>
          <w:rFonts w:ascii="Arial" w:eastAsia="Arial"/>
          <w:spacing w:val="31"/>
          <w:sz w:val="20"/>
        </w:rPr>
        <w:t> </w:t>
      </w:r>
      <w:r>
        <w:rPr>
          <w:rFonts w:ascii="Arial" w:eastAsia="Arial"/>
          <w:sz w:val="20"/>
        </w:rPr>
        <w:t>LBCL</w:t>
      </w:r>
      <w:r>
        <w:rPr>
          <w:rFonts w:ascii="Arial" w:eastAsia="Arial"/>
          <w:spacing w:val="-1"/>
          <w:sz w:val="20"/>
        </w:rPr>
        <w:t> </w:t>
      </w:r>
      <w:r>
        <w:rPr>
          <w:spacing w:val="-3"/>
          <w:sz w:val="20"/>
        </w:rPr>
        <w:t>适应症首次在中国获批，我们预</w:t>
      </w:r>
      <w:r>
        <w:rPr>
          <w:spacing w:val="-4"/>
          <w:sz w:val="20"/>
        </w:rPr>
        <w:t>测 </w:t>
      </w:r>
      <w:r>
        <w:rPr>
          <w:rFonts w:ascii="Arial" w:eastAsia="Arial"/>
          <w:sz w:val="20"/>
        </w:rPr>
        <w:t>3L</w:t>
      </w:r>
      <w:r>
        <w:rPr>
          <w:rFonts w:ascii="Arial" w:eastAsia="Arial"/>
          <w:spacing w:val="-19"/>
          <w:sz w:val="20"/>
        </w:rPr>
        <w:t> </w:t>
      </w:r>
      <w:r>
        <w:rPr>
          <w:rFonts w:ascii="Arial" w:eastAsia="Arial"/>
          <w:sz w:val="20"/>
        </w:rPr>
        <w:t>FL/</w:t>
      </w:r>
      <w:r>
        <w:rPr>
          <w:rFonts w:ascii="Arial" w:eastAsia="Arial"/>
          <w:spacing w:val="-11"/>
          <w:sz w:val="20"/>
        </w:rPr>
        <w:t> </w:t>
      </w:r>
      <w:r>
        <w:rPr>
          <w:rFonts w:ascii="Arial" w:eastAsia="Arial"/>
          <w:sz w:val="20"/>
        </w:rPr>
        <w:t>3L</w:t>
      </w:r>
      <w:r>
        <w:rPr>
          <w:rFonts w:ascii="Arial" w:eastAsia="Arial"/>
          <w:spacing w:val="-19"/>
          <w:sz w:val="20"/>
        </w:rPr>
        <w:t> </w:t>
      </w:r>
      <w:r>
        <w:rPr>
          <w:rFonts w:ascii="Arial" w:eastAsia="Arial"/>
          <w:sz w:val="20"/>
        </w:rPr>
        <w:t>MCL/</w:t>
      </w:r>
      <w:r>
        <w:rPr>
          <w:rFonts w:ascii="Arial" w:eastAsia="Arial"/>
          <w:spacing w:val="-11"/>
          <w:sz w:val="20"/>
        </w:rPr>
        <w:t> </w:t>
      </w:r>
      <w:r>
        <w:rPr>
          <w:rFonts w:ascii="Arial" w:eastAsia="Arial"/>
          <w:sz w:val="20"/>
        </w:rPr>
        <w:t>3L</w:t>
      </w:r>
      <w:r>
        <w:rPr>
          <w:rFonts w:ascii="Arial" w:eastAsia="Arial"/>
          <w:spacing w:val="-15"/>
          <w:sz w:val="20"/>
        </w:rPr>
        <w:t> </w:t>
      </w:r>
      <w:r>
        <w:rPr>
          <w:rFonts w:ascii="Arial" w:eastAsia="Arial"/>
          <w:sz w:val="20"/>
        </w:rPr>
        <w:t>CLL</w:t>
      </w:r>
      <w:r>
        <w:rPr>
          <w:rFonts w:ascii="Arial" w:eastAsia="Arial"/>
          <w:spacing w:val="-18"/>
          <w:sz w:val="20"/>
        </w:rPr>
        <w:t> </w:t>
      </w:r>
      <w:r>
        <w:rPr>
          <w:spacing w:val="-4"/>
          <w:sz w:val="20"/>
        </w:rPr>
        <w:t>适应症分别于 </w:t>
      </w:r>
      <w:r>
        <w:rPr>
          <w:rFonts w:ascii="Arial" w:eastAsia="Arial"/>
          <w:sz w:val="20"/>
        </w:rPr>
        <w:t>2022E/</w:t>
      </w:r>
      <w:r>
        <w:rPr>
          <w:rFonts w:ascii="Arial" w:eastAsia="Arial"/>
          <w:spacing w:val="-11"/>
          <w:sz w:val="20"/>
        </w:rPr>
        <w:t> </w:t>
      </w:r>
      <w:r>
        <w:rPr>
          <w:rFonts w:ascii="Arial" w:eastAsia="Arial"/>
          <w:sz w:val="20"/>
        </w:rPr>
        <w:t>2023E/</w:t>
      </w:r>
      <w:r>
        <w:rPr>
          <w:rFonts w:ascii="Arial" w:eastAsia="Arial"/>
          <w:spacing w:val="-11"/>
          <w:sz w:val="20"/>
        </w:rPr>
        <w:t> </w:t>
      </w:r>
      <w:r>
        <w:rPr>
          <w:rFonts w:ascii="Arial" w:eastAsia="Arial"/>
          <w:sz w:val="20"/>
        </w:rPr>
        <w:t>2024E</w:t>
      </w:r>
      <w:r>
        <w:rPr>
          <w:rFonts w:ascii="Arial" w:eastAsia="Arial"/>
          <w:spacing w:val="-16"/>
          <w:sz w:val="20"/>
        </w:rPr>
        <w:t> </w:t>
      </w:r>
      <w:r>
        <w:rPr>
          <w:spacing w:val="-3"/>
          <w:sz w:val="20"/>
        </w:rPr>
        <w:t>获批，预计 </w:t>
      </w:r>
      <w:r>
        <w:rPr>
          <w:rFonts w:ascii="Arial" w:eastAsia="Arial"/>
          <w:sz w:val="20"/>
        </w:rPr>
        <w:t>2L</w:t>
      </w:r>
      <w:r>
        <w:rPr>
          <w:rFonts w:ascii="Arial" w:eastAsia="Arial"/>
          <w:spacing w:val="-14"/>
          <w:sz w:val="20"/>
        </w:rPr>
        <w:t> </w:t>
      </w:r>
      <w:r>
        <w:rPr>
          <w:rFonts w:ascii="Arial" w:eastAsia="Arial"/>
          <w:sz w:val="20"/>
        </w:rPr>
        <w:t>LBCL/ 2L</w:t>
      </w:r>
      <w:r>
        <w:rPr>
          <w:rFonts w:ascii="Arial" w:eastAsia="Arial"/>
          <w:spacing w:val="7"/>
          <w:sz w:val="20"/>
        </w:rPr>
        <w:t> </w:t>
      </w:r>
      <w:r>
        <w:rPr>
          <w:rFonts w:ascii="Arial" w:eastAsia="Arial"/>
          <w:sz w:val="20"/>
        </w:rPr>
        <w:t>FL</w:t>
      </w:r>
      <w:r>
        <w:rPr>
          <w:rFonts w:ascii="Arial" w:eastAsia="Arial"/>
          <w:spacing w:val="7"/>
          <w:sz w:val="20"/>
        </w:rPr>
        <w:t> </w:t>
      </w:r>
      <w:r>
        <w:rPr>
          <w:rFonts w:ascii="Arial" w:eastAsia="Arial"/>
          <w:sz w:val="20"/>
        </w:rPr>
        <w:t>/</w:t>
      </w:r>
      <w:r>
        <w:rPr>
          <w:rFonts w:ascii="Arial" w:eastAsia="Arial"/>
          <w:spacing w:val="11"/>
          <w:sz w:val="20"/>
        </w:rPr>
        <w:t> </w:t>
      </w:r>
      <w:r>
        <w:rPr>
          <w:rFonts w:ascii="Arial" w:eastAsia="Arial"/>
          <w:sz w:val="20"/>
        </w:rPr>
        <w:t>2L</w:t>
      </w:r>
      <w:r>
        <w:rPr>
          <w:rFonts w:ascii="Arial" w:eastAsia="Arial"/>
          <w:spacing w:val="7"/>
          <w:sz w:val="20"/>
        </w:rPr>
        <w:t> </w:t>
      </w:r>
      <w:r>
        <w:rPr>
          <w:rFonts w:ascii="Arial" w:eastAsia="Arial"/>
          <w:sz w:val="20"/>
        </w:rPr>
        <w:t>MCL/</w:t>
      </w:r>
      <w:r>
        <w:rPr>
          <w:rFonts w:ascii="Arial" w:eastAsia="Arial"/>
          <w:spacing w:val="11"/>
          <w:sz w:val="20"/>
        </w:rPr>
        <w:t> </w:t>
      </w:r>
      <w:r>
        <w:rPr>
          <w:rFonts w:ascii="Arial" w:eastAsia="Arial"/>
          <w:sz w:val="20"/>
        </w:rPr>
        <w:t>2L</w:t>
      </w:r>
      <w:r>
        <w:rPr>
          <w:rFonts w:ascii="Arial" w:eastAsia="Arial"/>
          <w:spacing w:val="7"/>
          <w:sz w:val="20"/>
        </w:rPr>
        <w:t> </w:t>
      </w:r>
      <w:r>
        <w:rPr>
          <w:rFonts w:ascii="Arial" w:eastAsia="Arial"/>
          <w:sz w:val="20"/>
        </w:rPr>
        <w:t>CLL</w:t>
      </w:r>
      <w:r>
        <w:rPr>
          <w:rFonts w:ascii="Arial" w:eastAsia="Arial"/>
          <w:spacing w:val="-12"/>
          <w:sz w:val="20"/>
        </w:rPr>
        <w:t> </w:t>
      </w:r>
      <w:r>
        <w:rPr>
          <w:spacing w:val="-2"/>
          <w:sz w:val="20"/>
        </w:rPr>
        <w:t>适应症分别于 </w:t>
      </w:r>
      <w:r>
        <w:rPr>
          <w:rFonts w:ascii="Arial" w:eastAsia="Arial"/>
          <w:sz w:val="20"/>
        </w:rPr>
        <w:t>2024E/</w:t>
      </w:r>
      <w:r>
        <w:rPr>
          <w:rFonts w:ascii="Arial" w:eastAsia="Arial"/>
          <w:spacing w:val="9"/>
          <w:sz w:val="20"/>
        </w:rPr>
        <w:t> </w:t>
      </w:r>
      <w:r>
        <w:rPr>
          <w:rFonts w:ascii="Arial" w:eastAsia="Arial"/>
          <w:sz w:val="20"/>
        </w:rPr>
        <w:t>2025E/</w:t>
      </w:r>
      <w:r>
        <w:rPr>
          <w:rFonts w:ascii="Arial" w:eastAsia="Arial"/>
          <w:spacing w:val="6"/>
          <w:sz w:val="20"/>
        </w:rPr>
        <w:t> </w:t>
      </w:r>
      <w:r>
        <w:rPr>
          <w:rFonts w:ascii="Arial" w:eastAsia="Arial"/>
          <w:sz w:val="20"/>
        </w:rPr>
        <w:t>2026E/</w:t>
      </w:r>
      <w:r>
        <w:rPr>
          <w:rFonts w:ascii="Arial" w:eastAsia="Arial"/>
          <w:spacing w:val="9"/>
          <w:sz w:val="20"/>
        </w:rPr>
        <w:t> </w:t>
      </w:r>
      <w:r>
        <w:rPr>
          <w:rFonts w:ascii="Arial" w:eastAsia="Arial"/>
          <w:sz w:val="20"/>
        </w:rPr>
        <w:t>2027E</w:t>
      </w:r>
      <w:r>
        <w:rPr>
          <w:rFonts w:ascii="Arial" w:eastAsia="Arial"/>
          <w:spacing w:val="-10"/>
          <w:sz w:val="20"/>
        </w:rPr>
        <w:t> </w:t>
      </w:r>
      <w:r>
        <w:rPr>
          <w:spacing w:val="-1"/>
          <w:sz w:val="20"/>
        </w:rPr>
        <w:t>获批。历年适用于</w:t>
      </w:r>
      <w:r>
        <w:rPr>
          <w:spacing w:val="47"/>
          <w:sz w:val="20"/>
        </w:rPr>
        <w:t> </w:t>
      </w:r>
      <w:r>
        <w:rPr>
          <w:rFonts w:ascii="Arial" w:eastAsia="Arial"/>
          <w:sz w:val="20"/>
        </w:rPr>
        <w:t>CD19</w:t>
      </w:r>
      <w:r>
        <w:rPr>
          <w:rFonts w:ascii="Arial" w:eastAsia="Arial"/>
          <w:spacing w:val="42"/>
          <w:sz w:val="20"/>
        </w:rPr>
        <w:t> </w:t>
      </w:r>
      <w:r>
        <w:rPr>
          <w:rFonts w:ascii="Arial" w:eastAsia="Arial"/>
          <w:sz w:val="20"/>
        </w:rPr>
        <w:t>CAR-T</w:t>
      </w:r>
      <w:r>
        <w:rPr>
          <w:rFonts w:ascii="Arial" w:eastAsia="Arial"/>
          <w:spacing w:val="40"/>
          <w:sz w:val="20"/>
        </w:rPr>
        <w:t> </w:t>
      </w:r>
      <w:r>
        <w:rPr>
          <w:spacing w:val="-5"/>
          <w:sz w:val="20"/>
        </w:rPr>
        <w:t>治疗的人数根据各适应症存量患病人数进行加总得到。</w:t>
      </w:r>
      <w:r>
        <w:rPr>
          <w:rFonts w:ascii="Arial" w:eastAsia="Arial"/>
          <w:sz w:val="20"/>
        </w:rPr>
        <w:t>ALL</w:t>
      </w:r>
      <w:r>
        <w:rPr>
          <w:rFonts w:ascii="Arial" w:eastAsia="Arial"/>
          <w:spacing w:val="1"/>
          <w:sz w:val="20"/>
        </w:rPr>
        <w:t> </w:t>
      </w:r>
      <w:r>
        <w:rPr>
          <w:spacing w:val="-1"/>
          <w:sz w:val="20"/>
        </w:rPr>
        <w:t>复发比例 参考</w:t>
      </w:r>
      <w:r>
        <w:rPr>
          <w:sz w:val="20"/>
        </w:rPr>
        <w:t>中国医学科学院血液病医院白血病诊疗中心发表的《成年人复发</w:t>
      </w:r>
      <w:r>
        <w:rPr>
          <w:rFonts w:ascii="Arial" w:eastAsia="Arial"/>
          <w:spacing w:val="6"/>
          <w:sz w:val="20"/>
        </w:rPr>
        <w:t>/</w:t>
      </w:r>
      <w:r>
        <w:rPr>
          <w:sz w:val="20"/>
        </w:rPr>
        <w:t>难治性急性淋巴  细胞</w:t>
      </w:r>
      <w:r>
        <w:rPr>
          <w:spacing w:val="-4"/>
          <w:sz w:val="20"/>
        </w:rPr>
        <w:t>白血病的研究进展》。由于目前国内 </w:t>
      </w:r>
      <w:r>
        <w:rPr>
          <w:rFonts w:ascii="Arial" w:eastAsia="Arial"/>
          <w:sz w:val="20"/>
        </w:rPr>
        <w:t>CD19</w:t>
      </w:r>
      <w:r>
        <w:rPr>
          <w:rFonts w:ascii="Arial" w:eastAsia="Arial"/>
          <w:spacing w:val="39"/>
          <w:sz w:val="20"/>
        </w:rPr>
        <w:t> </w:t>
      </w:r>
      <w:r>
        <w:rPr>
          <w:rFonts w:ascii="Arial" w:eastAsia="Arial"/>
          <w:sz w:val="20"/>
        </w:rPr>
        <w:t>CAR-T</w:t>
      </w:r>
      <w:r>
        <w:rPr>
          <w:rFonts w:ascii="Arial" w:eastAsia="Arial"/>
          <w:spacing w:val="-2"/>
          <w:sz w:val="20"/>
        </w:rPr>
        <w:t> </w:t>
      </w:r>
      <w:r>
        <w:rPr>
          <w:spacing w:val="3"/>
          <w:sz w:val="20"/>
        </w:rPr>
        <w:t>产品在 </w:t>
      </w:r>
      <w:r>
        <w:rPr>
          <w:rFonts w:ascii="Arial" w:eastAsia="Arial"/>
          <w:sz w:val="20"/>
        </w:rPr>
        <w:t>B-ALL</w:t>
      </w:r>
      <w:r>
        <w:rPr>
          <w:rFonts w:ascii="Arial" w:eastAsia="Arial"/>
          <w:spacing w:val="4"/>
          <w:sz w:val="20"/>
        </w:rPr>
        <w:t> </w:t>
      </w:r>
      <w:r>
        <w:rPr>
          <w:spacing w:val="-3"/>
          <w:sz w:val="20"/>
        </w:rPr>
        <w:t>适应症方面布局 慢于</w:t>
      </w:r>
      <w:r>
        <w:rPr>
          <w:spacing w:val="5"/>
          <w:sz w:val="20"/>
        </w:rPr>
        <w:t> </w:t>
      </w:r>
      <w:r>
        <w:rPr>
          <w:rFonts w:ascii="Arial" w:eastAsia="Arial"/>
          <w:sz w:val="20"/>
        </w:rPr>
        <w:t>NHL</w:t>
      </w:r>
      <w:r>
        <w:rPr>
          <w:spacing w:val="-4"/>
          <w:sz w:val="20"/>
        </w:rPr>
        <w:t>，我们预测该适应症获批时间在 </w:t>
      </w:r>
      <w:r>
        <w:rPr>
          <w:rFonts w:ascii="Arial" w:eastAsia="Arial"/>
          <w:sz w:val="20"/>
        </w:rPr>
        <w:t>2025E</w:t>
      </w:r>
      <w:r>
        <w:rPr>
          <w:rFonts w:ascii="Arial" w:eastAsia="Arial"/>
          <w:spacing w:val="-4"/>
          <w:sz w:val="20"/>
        </w:rPr>
        <w:t> </w:t>
      </w:r>
      <w:r>
        <w:rPr>
          <w:sz w:val="20"/>
        </w:rPr>
        <w:t>左右，考虑到现有后线对于</w:t>
      </w:r>
      <w:r>
        <w:rPr>
          <w:rFonts w:ascii="Arial" w:eastAsia="Arial"/>
          <w:sz w:val="20"/>
        </w:rPr>
        <w:t>r/r</w:t>
      </w:r>
      <w:r>
        <w:rPr>
          <w:rFonts w:ascii="Arial" w:eastAsia="Arial"/>
          <w:spacing w:val="16"/>
          <w:sz w:val="20"/>
        </w:rPr>
        <w:t> </w:t>
      </w:r>
      <w:r>
        <w:rPr>
          <w:rFonts w:ascii="Arial" w:eastAsia="Arial"/>
          <w:sz w:val="20"/>
        </w:rPr>
        <w:t>B-ALL </w:t>
      </w:r>
      <w:r>
        <w:rPr>
          <w:spacing w:val="4"/>
          <w:sz w:val="20"/>
        </w:rPr>
        <w:t>的疗</w:t>
      </w:r>
      <w:r>
        <w:rPr>
          <w:spacing w:val="3"/>
          <w:sz w:val="20"/>
        </w:rPr>
        <w:t>法疗效不佳，及随着患者对 </w:t>
      </w:r>
      <w:r>
        <w:rPr>
          <w:rFonts w:ascii="Arial" w:eastAsia="Arial"/>
          <w:sz w:val="20"/>
        </w:rPr>
        <w:t>CAR-T</w:t>
      </w:r>
      <w:r>
        <w:rPr>
          <w:rFonts w:ascii="Arial" w:eastAsia="Arial"/>
          <w:spacing w:val="44"/>
          <w:sz w:val="20"/>
        </w:rPr>
        <w:t> </w:t>
      </w:r>
      <w:r>
        <w:rPr>
          <w:spacing w:val="4"/>
          <w:sz w:val="20"/>
        </w:rPr>
        <w:t>疗法接受度的提升，我们估算适用于 </w:t>
      </w:r>
      <w:r>
        <w:rPr>
          <w:rFonts w:ascii="Arial" w:eastAsia="Arial"/>
          <w:sz w:val="20"/>
        </w:rPr>
        <w:t>CD19 CAR-T</w:t>
      </w:r>
      <w:r>
        <w:rPr>
          <w:rFonts w:ascii="Arial" w:eastAsia="Arial"/>
          <w:spacing w:val="4"/>
          <w:sz w:val="20"/>
        </w:rPr>
        <w:t> </w:t>
      </w:r>
      <w:r>
        <w:rPr>
          <w:spacing w:val="4"/>
          <w:sz w:val="20"/>
        </w:rPr>
        <w:t>治疗的人数约占</w:t>
      </w:r>
      <w:r>
        <w:rPr>
          <w:rFonts w:ascii="Arial" w:eastAsia="Arial"/>
          <w:sz w:val="20"/>
        </w:rPr>
        <w:t>CD19</w:t>
      </w:r>
      <w:r>
        <w:rPr>
          <w:rFonts w:ascii="Arial" w:eastAsia="Arial"/>
          <w:spacing w:val="-1"/>
          <w:sz w:val="20"/>
        </w:rPr>
        <w:t>+ </w:t>
      </w:r>
      <w:r>
        <w:rPr>
          <w:rFonts w:ascii="Arial" w:eastAsia="Arial"/>
          <w:sz w:val="20"/>
        </w:rPr>
        <w:t>r/r</w:t>
      </w:r>
      <w:r>
        <w:rPr>
          <w:rFonts w:ascii="Arial" w:eastAsia="Arial"/>
          <w:spacing w:val="-2"/>
          <w:sz w:val="20"/>
        </w:rPr>
        <w:t> </w:t>
      </w:r>
      <w:r>
        <w:rPr>
          <w:rFonts w:ascii="Arial" w:eastAsia="Arial"/>
          <w:sz w:val="20"/>
        </w:rPr>
        <w:t>B-ALL</w:t>
      </w:r>
      <w:r>
        <w:rPr>
          <w:rFonts w:ascii="Arial" w:eastAsia="Arial"/>
          <w:spacing w:val="-14"/>
          <w:sz w:val="20"/>
        </w:rPr>
        <w:t> </w:t>
      </w:r>
      <w:r>
        <w:rPr>
          <w:spacing w:val="-3"/>
          <w:sz w:val="20"/>
        </w:rPr>
        <w:t>人数的 </w:t>
      </w:r>
      <w:r>
        <w:rPr>
          <w:rFonts w:ascii="Arial" w:eastAsia="Arial"/>
          <w:spacing w:val="-2"/>
          <w:sz w:val="20"/>
        </w:rPr>
        <w:t>67%</w:t>
      </w:r>
      <w:r>
        <w:rPr>
          <w:sz w:val="20"/>
        </w:rPr>
        <w:t>。</w:t>
      </w:r>
    </w:p>
    <w:p>
      <w:pPr>
        <w:pStyle w:val="ListParagraph"/>
        <w:numPr>
          <w:ilvl w:val="0"/>
          <w:numId w:val="2"/>
        </w:numPr>
        <w:tabs>
          <w:tab w:pos="571" w:val="left" w:leader="none"/>
        </w:tabs>
        <w:spacing w:line="288" w:lineRule="exact" w:before="0" w:after="0"/>
        <w:ind w:left="570" w:right="0" w:hanging="361"/>
        <w:jc w:val="both"/>
        <w:rPr>
          <w:sz w:val="20"/>
        </w:rPr>
      </w:pPr>
      <w:r>
        <w:rPr>
          <w:rFonts w:ascii="Microsoft JhengHei UI" w:eastAsia="Microsoft JhengHei UI" w:hint="eastAsia"/>
          <w:b/>
          <w:spacing w:val="1"/>
          <w:sz w:val="20"/>
        </w:rPr>
        <w:t>渗透率</w:t>
      </w:r>
      <w:r>
        <w:rPr>
          <w:sz w:val="20"/>
        </w:rPr>
        <w:t>：</w:t>
      </w:r>
      <w:r>
        <w:rPr>
          <w:rFonts w:ascii="Arial" w:eastAsia="Arial"/>
          <w:sz w:val="20"/>
        </w:rPr>
        <w:t>2021</w:t>
      </w:r>
      <w:r>
        <w:rPr>
          <w:rFonts w:ascii="Arial" w:eastAsia="Arial"/>
          <w:spacing w:val="30"/>
          <w:sz w:val="20"/>
        </w:rPr>
        <w:t> </w:t>
      </w:r>
      <w:r>
        <w:rPr>
          <w:spacing w:val="-1"/>
          <w:sz w:val="20"/>
        </w:rPr>
        <w:t>年销售数量参考复星凯特阿基仑赛及药明巨诺瑞基奥仑赛上市后实际销</w:t>
      </w:r>
    </w:p>
    <w:p>
      <w:pPr>
        <w:pStyle w:val="BodyText"/>
        <w:spacing w:line="288" w:lineRule="auto" w:before="35"/>
        <w:ind w:left="570" w:right="2809"/>
        <w:jc w:val="both"/>
      </w:pPr>
      <w:r>
        <w:rPr>
          <w:spacing w:val="-4"/>
        </w:rPr>
        <w:t>售情况进行全年换算得到。</w:t>
      </w:r>
      <w:r>
        <w:rPr>
          <w:rFonts w:ascii="Arial" w:eastAsia="Arial"/>
        </w:rPr>
        <w:t>2021 </w:t>
      </w:r>
      <w:r>
        <w:rPr>
          <w:spacing w:val="21"/>
        </w:rPr>
        <w:t>年 </w:t>
      </w:r>
      <w:r>
        <w:rPr>
          <w:rFonts w:ascii="Arial" w:eastAsia="Arial"/>
        </w:rPr>
        <w:t>6 </w:t>
      </w:r>
      <w:r>
        <w:rPr>
          <w:spacing w:val="-5"/>
        </w:rPr>
        <w:t>月阿基仑赛注射液获批上市，半年收入不足一亿</w:t>
      </w:r>
      <w:r>
        <w:rPr>
          <w:spacing w:val="-2"/>
        </w:rPr>
        <w:t>元，假设实际回输 </w:t>
      </w:r>
      <w:r>
        <w:rPr>
          <w:rFonts w:ascii="Arial" w:eastAsia="Arial"/>
        </w:rPr>
        <w:t>80 </w:t>
      </w:r>
      <w:r>
        <w:rPr/>
        <w:t>例，折合全年约 </w:t>
      </w:r>
      <w:r>
        <w:rPr>
          <w:rFonts w:ascii="Arial" w:eastAsia="Arial"/>
        </w:rPr>
        <w:t>160 </w:t>
      </w:r>
      <w:r>
        <w:rPr/>
        <w:t>例；</w:t>
      </w:r>
      <w:r>
        <w:rPr>
          <w:rFonts w:ascii="Arial" w:eastAsia="Arial"/>
        </w:rPr>
        <w:t>2021 </w:t>
      </w:r>
      <w:r>
        <w:rPr>
          <w:spacing w:val="13"/>
        </w:rPr>
        <w:t>年 </w:t>
      </w:r>
      <w:r>
        <w:rPr>
          <w:rFonts w:ascii="Arial" w:eastAsia="Arial"/>
        </w:rPr>
        <w:t>9 </w:t>
      </w:r>
      <w:r>
        <w:rPr>
          <w:spacing w:val="-5"/>
        </w:rPr>
        <w:t>月瑞基奥仑赛注射液获批上</w:t>
      </w:r>
      <w:r>
        <w:rPr>
          <w:spacing w:val="-4"/>
        </w:rPr>
        <w:t>市，四个月完成回输 </w:t>
      </w:r>
      <w:r>
        <w:rPr>
          <w:rFonts w:ascii="Arial" w:eastAsia="Arial"/>
        </w:rPr>
        <w:t>30 </w:t>
      </w:r>
      <w:r>
        <w:rPr>
          <w:spacing w:val="-4"/>
        </w:rPr>
        <w:t>例，折合全年约 </w:t>
      </w:r>
      <w:r>
        <w:rPr>
          <w:rFonts w:ascii="Arial" w:eastAsia="Arial"/>
        </w:rPr>
        <w:t>90 </w:t>
      </w:r>
      <w:r>
        <w:rPr/>
        <w:t>例，</w:t>
      </w:r>
      <w:r>
        <w:rPr>
          <w:rFonts w:ascii="Arial" w:eastAsia="Arial"/>
        </w:rPr>
        <w:t>2021 </w:t>
      </w:r>
      <w:r>
        <w:rPr>
          <w:spacing w:val="-3"/>
        </w:rPr>
        <w:t>年渗透率约为 </w:t>
      </w:r>
      <w:r>
        <w:rPr>
          <w:rFonts w:ascii="Arial" w:eastAsia="Arial"/>
          <w:spacing w:val="-3"/>
        </w:rPr>
        <w:t>0.7%</w:t>
      </w:r>
      <w:r>
        <w:rPr>
          <w:spacing w:val="-2"/>
        </w:rPr>
        <w:t>。假设瑞基奥</w:t>
      </w:r>
      <w:r>
        <w:rPr>
          <w:spacing w:val="14"/>
        </w:rPr>
        <w:t>仑赛 </w:t>
      </w:r>
      <w:r>
        <w:rPr>
          <w:rFonts w:ascii="Arial" w:eastAsia="Arial"/>
        </w:rPr>
        <w:t>2022E </w:t>
      </w:r>
      <w:r>
        <w:rPr>
          <w:spacing w:val="5"/>
        </w:rPr>
        <w:t>回输数量增长 </w:t>
      </w:r>
      <w:r>
        <w:rPr>
          <w:rFonts w:ascii="Arial" w:eastAsia="Arial"/>
        </w:rPr>
        <w:t>50%</w:t>
      </w:r>
      <w:r>
        <w:rPr>
          <w:spacing w:val="-1"/>
        </w:rPr>
        <w:t>，阿基仑赛增长略快，预计 </w:t>
      </w:r>
      <w:r>
        <w:rPr>
          <w:rFonts w:ascii="Arial" w:eastAsia="Arial"/>
        </w:rPr>
        <w:t>2022E </w:t>
      </w:r>
      <w:r>
        <w:rPr>
          <w:spacing w:val="9"/>
        </w:rPr>
        <w:t>渗透率达 </w:t>
      </w:r>
      <w:r>
        <w:rPr>
          <w:rFonts w:ascii="Arial" w:eastAsia="Arial"/>
        </w:rPr>
        <w:t>1.0%</w:t>
      </w:r>
      <w:r>
        <w:rPr/>
        <w:t>。</w:t>
      </w:r>
      <w:r>
        <w:rPr>
          <w:rFonts w:ascii="Arial" w:eastAsia="Arial"/>
        </w:rPr>
        <w:t>2023E </w:t>
      </w:r>
      <w:r>
        <w:rPr>
          <w:spacing w:val="-5"/>
        </w:rPr>
        <w:t>随着各家产能就位及患者接受度提升，预计渗透率大幅增长达 </w:t>
      </w:r>
      <w:r>
        <w:rPr>
          <w:rFonts w:ascii="Arial" w:eastAsia="Arial"/>
        </w:rPr>
        <w:t>2.3%</w:t>
      </w:r>
      <w:r>
        <w:rPr/>
        <w:t>；</w:t>
      </w:r>
      <w:r>
        <w:rPr>
          <w:rFonts w:ascii="Arial" w:eastAsia="Arial"/>
        </w:rPr>
        <w:t>2024E </w:t>
      </w:r>
      <w:r>
        <w:rPr/>
        <w:t>由</w:t>
      </w:r>
      <w:r>
        <w:rPr>
          <w:spacing w:val="-5"/>
        </w:rPr>
        <w:t>于前线治疗获批，患者基数显著提升，预计渗透率稍有下降；我们预测 </w:t>
      </w:r>
      <w:r>
        <w:rPr>
          <w:rFonts w:ascii="Arial" w:eastAsia="Arial"/>
        </w:rPr>
        <w:t>2030 </w:t>
      </w:r>
      <w:r>
        <w:rPr>
          <w:spacing w:val="33"/>
        </w:rPr>
        <w:t>年</w:t>
      </w:r>
      <w:r>
        <w:rPr>
          <w:rFonts w:ascii="Arial" w:eastAsia="Arial"/>
        </w:rPr>
        <w:t>NHL </w:t>
      </w:r>
      <w:r>
        <w:rPr/>
        <w:t>渗</w:t>
      </w:r>
      <w:r>
        <w:rPr>
          <w:spacing w:val="1"/>
        </w:rPr>
        <w:t>透率将达到 </w:t>
      </w:r>
      <w:r>
        <w:rPr>
          <w:rFonts w:ascii="Arial" w:eastAsia="Arial"/>
          <w:spacing w:val="-3"/>
        </w:rPr>
        <w:t>8.6%</w:t>
      </w:r>
      <w:r>
        <w:rPr/>
        <w:t>。</w:t>
      </w:r>
      <w:r>
        <w:rPr>
          <w:rFonts w:ascii="Arial" w:eastAsia="Arial"/>
        </w:rPr>
        <w:t>B-ALL </w:t>
      </w:r>
      <w:r>
        <w:rPr>
          <w:spacing w:val="-5"/>
        </w:rPr>
        <w:t>适应症上市较晚，市场教育相对充分，我们预测其上市时渗透率达 </w:t>
      </w:r>
      <w:r>
        <w:rPr>
          <w:rFonts w:ascii="Arial" w:eastAsia="Arial"/>
        </w:rPr>
        <w:t>1.4%</w:t>
      </w:r>
      <w:r>
        <w:rPr/>
        <w:t>，</w:t>
      </w:r>
      <w:r>
        <w:rPr>
          <w:rFonts w:ascii="Arial" w:eastAsia="Arial"/>
        </w:rPr>
        <w:t>2030 </w:t>
      </w:r>
      <w:r>
        <w:rPr>
          <w:spacing w:val="-3"/>
        </w:rPr>
        <w:t>年渗透率达到 </w:t>
      </w:r>
      <w:r>
        <w:rPr>
          <w:rFonts w:ascii="Arial" w:eastAsia="Arial"/>
        </w:rPr>
        <w:t>5.1%</w:t>
      </w:r>
      <w:r>
        <w:rPr/>
        <w:t>。</w:t>
      </w:r>
    </w:p>
    <w:p>
      <w:pPr>
        <w:pStyle w:val="ListParagraph"/>
        <w:numPr>
          <w:ilvl w:val="0"/>
          <w:numId w:val="2"/>
        </w:numPr>
        <w:tabs>
          <w:tab w:pos="571" w:val="left" w:leader="none"/>
        </w:tabs>
        <w:spacing w:line="296" w:lineRule="exact" w:before="0" w:after="0"/>
        <w:ind w:left="570" w:right="0" w:hanging="361"/>
        <w:jc w:val="both"/>
        <w:rPr>
          <w:sz w:val="20"/>
        </w:rPr>
      </w:pPr>
      <w:r>
        <w:rPr>
          <w:rFonts w:ascii="Microsoft JhengHei UI" w:eastAsia="Microsoft JhengHei UI" w:hint="eastAsia"/>
          <w:b/>
          <w:sz w:val="20"/>
        </w:rPr>
        <w:t>产品定价</w:t>
      </w:r>
      <w:r>
        <w:rPr>
          <w:spacing w:val="-4"/>
          <w:sz w:val="20"/>
        </w:rPr>
        <w:t>：目前阿基仑赛售价 </w:t>
      </w:r>
      <w:r>
        <w:rPr>
          <w:rFonts w:ascii="Arial" w:eastAsia="Arial"/>
          <w:sz w:val="20"/>
        </w:rPr>
        <w:t>120</w:t>
      </w:r>
      <w:r>
        <w:rPr>
          <w:rFonts w:ascii="Arial" w:eastAsia="Arial"/>
          <w:spacing w:val="-13"/>
          <w:sz w:val="20"/>
        </w:rPr>
        <w:t> </w:t>
      </w:r>
      <w:r>
        <w:rPr>
          <w:sz w:val="20"/>
        </w:rPr>
        <w:t>万元</w:t>
      </w:r>
      <w:r>
        <w:rPr>
          <w:rFonts w:ascii="Arial" w:eastAsia="Arial"/>
          <w:spacing w:val="-4"/>
          <w:sz w:val="20"/>
        </w:rPr>
        <w:t>/</w:t>
      </w:r>
      <w:r>
        <w:rPr>
          <w:spacing w:val="-4"/>
          <w:sz w:val="20"/>
        </w:rPr>
        <w:t>针，瑞基奥仑赛注售价 </w:t>
      </w:r>
      <w:r>
        <w:rPr>
          <w:rFonts w:ascii="Arial" w:eastAsia="Arial"/>
          <w:sz w:val="20"/>
        </w:rPr>
        <w:t>129</w:t>
      </w:r>
      <w:r>
        <w:rPr>
          <w:rFonts w:ascii="Arial" w:eastAsia="Arial"/>
          <w:spacing w:val="-10"/>
          <w:sz w:val="20"/>
        </w:rPr>
        <w:t> </w:t>
      </w:r>
      <w:r>
        <w:rPr>
          <w:spacing w:val="-3"/>
          <w:sz w:val="20"/>
        </w:rPr>
        <w:t>万元</w:t>
      </w:r>
      <w:r>
        <w:rPr>
          <w:rFonts w:ascii="Arial" w:eastAsia="Arial"/>
          <w:spacing w:val="-4"/>
          <w:sz w:val="20"/>
        </w:rPr>
        <w:t>/</w:t>
      </w:r>
      <w:r>
        <w:rPr>
          <w:sz w:val="20"/>
        </w:rPr>
        <w:t>针。</w:t>
      </w:r>
      <w:r>
        <w:rPr>
          <w:rFonts w:ascii="Arial" w:eastAsia="Arial"/>
          <w:sz w:val="20"/>
        </w:rPr>
        <w:t>B-ALL</w:t>
      </w:r>
      <w:r>
        <w:rPr>
          <w:rFonts w:ascii="Arial" w:eastAsia="Arial"/>
          <w:spacing w:val="-9"/>
          <w:sz w:val="20"/>
        </w:rPr>
        <w:t> </w:t>
      </w:r>
      <w:r>
        <w:rPr>
          <w:sz w:val="20"/>
        </w:rPr>
        <w:t>适</w:t>
      </w:r>
    </w:p>
    <w:p>
      <w:pPr>
        <w:pStyle w:val="BodyText"/>
        <w:spacing w:line="288" w:lineRule="auto" w:before="29"/>
        <w:ind w:left="570" w:right="2813"/>
        <w:jc w:val="both"/>
      </w:pPr>
      <w:r>
        <w:rPr/>
        <w:t>应症方面，儿童患者比例高，平均发病年龄较低，患者付费意愿强。参考海外 </w:t>
      </w:r>
      <w:r>
        <w:rPr>
          <w:rFonts w:ascii="Arial" w:eastAsia="Arial"/>
        </w:rPr>
        <w:t>Kymriah </w:t>
      </w:r>
      <w:r>
        <w:rPr/>
        <w:t>对于</w:t>
      </w:r>
      <w:r>
        <w:rPr>
          <w:rFonts w:ascii="Arial" w:eastAsia="Arial"/>
        </w:rPr>
        <w:t>LBCL (37.3 </w:t>
      </w:r>
      <w:r>
        <w:rPr/>
        <w:t>万美元</w:t>
      </w:r>
      <w:r>
        <w:rPr>
          <w:rFonts w:ascii="Arial" w:eastAsia="Arial"/>
        </w:rPr>
        <w:t>/</w:t>
      </w:r>
      <w:r>
        <w:rPr/>
        <w:t>针</w:t>
      </w:r>
      <w:r>
        <w:rPr>
          <w:rFonts w:ascii="Arial" w:eastAsia="Arial"/>
        </w:rPr>
        <w:t>) </w:t>
      </w:r>
      <w:r>
        <w:rPr/>
        <w:t>和</w:t>
      </w:r>
      <w:r>
        <w:rPr>
          <w:rFonts w:ascii="Arial" w:eastAsia="Arial"/>
        </w:rPr>
        <w:t>B-ALL (47.5 </w:t>
      </w:r>
      <w:r>
        <w:rPr/>
        <w:t>万美元</w:t>
      </w:r>
      <w:r>
        <w:rPr>
          <w:rFonts w:ascii="Arial" w:eastAsia="Arial"/>
        </w:rPr>
        <w:t>/</w:t>
      </w:r>
      <w:r>
        <w:rPr/>
        <w:t>针</w:t>
      </w:r>
      <w:r>
        <w:rPr>
          <w:rFonts w:ascii="Arial" w:eastAsia="Arial"/>
        </w:rPr>
        <w:t>) </w:t>
      </w:r>
      <w:r>
        <w:rPr/>
        <w:t>适应症不同的定价策略，我们假设 </w:t>
      </w:r>
      <w:r>
        <w:rPr>
          <w:rFonts w:ascii="Arial" w:eastAsia="Arial"/>
        </w:rPr>
        <w:t>ALL </w:t>
      </w:r>
      <w:r>
        <w:rPr/>
        <w:t>适应症的价格约为当年 </w:t>
      </w:r>
      <w:r>
        <w:rPr>
          <w:rFonts w:ascii="Arial" w:eastAsia="Arial"/>
        </w:rPr>
        <w:t>LBCL </w:t>
      </w:r>
      <w:r>
        <w:rPr/>
        <w:t>适应症价格的 </w:t>
      </w:r>
      <w:r>
        <w:rPr>
          <w:rFonts w:ascii="Arial" w:eastAsia="Arial"/>
        </w:rPr>
        <w:t>1.3 </w:t>
      </w:r>
      <w:r>
        <w:rPr/>
        <w:t>倍。降幅方面，假设 </w:t>
      </w:r>
      <w:r>
        <w:rPr>
          <w:rFonts w:ascii="Arial" w:eastAsia="Arial"/>
        </w:rPr>
        <w:t>2028E </w:t>
      </w:r>
      <w:r>
        <w:rPr/>
        <w:t>前每年价格降幅为 </w:t>
      </w:r>
      <w:r>
        <w:rPr>
          <w:rFonts w:ascii="Arial" w:eastAsia="Arial"/>
        </w:rPr>
        <w:t>10%</w:t>
      </w:r>
      <w:r>
        <w:rPr/>
        <w:t>，</w:t>
      </w:r>
      <w:r>
        <w:rPr>
          <w:rFonts w:ascii="Arial" w:eastAsia="Arial"/>
        </w:rPr>
        <w:t>2028E </w:t>
      </w:r>
      <w:r>
        <w:rPr/>
        <w:t>及以后每年价格降幅为 </w:t>
      </w:r>
      <w:r>
        <w:rPr>
          <w:rFonts w:ascii="Arial" w:eastAsia="Arial"/>
        </w:rPr>
        <w:t>15%</w:t>
      </w:r>
      <w:r>
        <w:rPr/>
        <w:t>，预计 </w:t>
      </w:r>
      <w:r>
        <w:rPr>
          <w:rFonts w:ascii="Arial" w:eastAsia="Arial"/>
        </w:rPr>
        <w:t>2030 </w:t>
      </w:r>
      <w:r>
        <w:rPr/>
        <w:t>年 </w:t>
      </w:r>
      <w:r>
        <w:rPr>
          <w:rFonts w:ascii="Arial" w:eastAsia="Arial"/>
        </w:rPr>
        <w:t>LBCL/ ALL </w:t>
      </w:r>
      <w:r>
        <w:rPr/>
        <w:t>适应症单针价格分别为 </w:t>
      </w:r>
      <w:r>
        <w:rPr>
          <w:rFonts w:ascii="Arial" w:eastAsia="Arial"/>
        </w:rPr>
        <w:t>50.2 </w:t>
      </w:r>
      <w:r>
        <w:rPr/>
        <w:t>万元</w:t>
      </w:r>
      <w:r>
        <w:rPr>
          <w:rFonts w:ascii="Arial" w:eastAsia="Arial"/>
        </w:rPr>
        <w:t>/ 63.7 </w:t>
      </w:r>
      <w:r>
        <w:rPr/>
        <w:t>万元。</w:t>
      </w:r>
    </w:p>
    <w:p>
      <w:pPr>
        <w:pStyle w:val="ListParagraph"/>
        <w:numPr>
          <w:ilvl w:val="0"/>
          <w:numId w:val="2"/>
        </w:numPr>
        <w:tabs>
          <w:tab w:pos="571" w:val="left" w:leader="none"/>
        </w:tabs>
        <w:spacing w:line="299" w:lineRule="exact" w:before="0" w:after="0"/>
        <w:ind w:left="570" w:right="0" w:hanging="361"/>
        <w:jc w:val="both"/>
        <w:rPr>
          <w:sz w:val="20"/>
        </w:rPr>
      </w:pPr>
      <w:r>
        <w:rPr>
          <w:rFonts w:ascii="Microsoft JhengHei UI" w:eastAsia="Microsoft JhengHei UI" w:hint="eastAsia"/>
          <w:b/>
          <w:sz w:val="20"/>
        </w:rPr>
        <w:t>海外市场</w:t>
      </w:r>
      <w:r>
        <w:rPr>
          <w:spacing w:val="-1"/>
          <w:sz w:val="20"/>
        </w:rPr>
        <w:t>：目前海外已经有四款 </w:t>
      </w:r>
      <w:r>
        <w:rPr>
          <w:rFonts w:ascii="Arial" w:eastAsia="Arial"/>
          <w:sz w:val="20"/>
        </w:rPr>
        <w:t>CD19</w:t>
      </w:r>
      <w:r>
        <w:rPr>
          <w:rFonts w:ascii="Arial" w:eastAsia="Arial"/>
          <w:spacing w:val="30"/>
          <w:sz w:val="20"/>
        </w:rPr>
        <w:t> </w:t>
      </w:r>
      <w:r>
        <w:rPr>
          <w:rFonts w:ascii="Arial" w:eastAsia="Arial"/>
          <w:sz w:val="20"/>
        </w:rPr>
        <w:t>CAR-T</w:t>
      </w:r>
      <w:r>
        <w:rPr>
          <w:rFonts w:ascii="Arial" w:eastAsia="Arial"/>
          <w:spacing w:val="28"/>
          <w:sz w:val="20"/>
        </w:rPr>
        <w:t> </w:t>
      </w:r>
      <w:r>
        <w:rPr>
          <w:spacing w:val="-5"/>
          <w:sz w:val="20"/>
        </w:rPr>
        <w:t>产品上市，同质化较为严重，其中最晚</w:t>
      </w:r>
    </w:p>
    <w:p>
      <w:pPr>
        <w:pStyle w:val="BodyText"/>
        <w:spacing w:line="288" w:lineRule="auto" w:before="35"/>
        <w:ind w:left="570" w:right="2810"/>
        <w:jc w:val="both"/>
      </w:pPr>
      <w:r>
        <w:rPr/>
        <w:t>上市的 </w:t>
      </w:r>
      <w:r>
        <w:rPr>
          <w:rFonts w:ascii="Arial" w:eastAsia="Arial"/>
        </w:rPr>
        <w:t>Breyanzi </w:t>
      </w:r>
      <w:r>
        <w:rPr/>
        <w:t>上市首年销售不足一亿元，欧美 </w:t>
      </w:r>
      <w:r>
        <w:rPr>
          <w:rFonts w:ascii="Arial" w:eastAsia="Arial"/>
        </w:rPr>
        <w:t>CD19 CAR-T </w:t>
      </w:r>
      <w:r>
        <w:rPr/>
        <w:t>市场竞争之激烈可见一斑。考虑到</w:t>
      </w:r>
      <w:r>
        <w:rPr>
          <w:rFonts w:ascii="Arial" w:eastAsia="Arial"/>
        </w:rPr>
        <w:t>FDA </w:t>
      </w:r>
      <w:r>
        <w:rPr/>
        <w:t>对于同质化严重的产品稍显消极的审评态度，及海外</w:t>
      </w:r>
      <w:r>
        <w:rPr>
          <w:rFonts w:ascii="Arial" w:eastAsia="Arial"/>
        </w:rPr>
        <w:t>CD19 CAR-T </w:t>
      </w:r>
      <w:r>
        <w:rPr/>
        <w:t>市场激烈的竞争格局，我们暂未测算</w:t>
      </w:r>
      <w:r>
        <w:rPr>
          <w:rFonts w:ascii="Arial" w:eastAsia="Arial"/>
        </w:rPr>
        <w:t>CD19 CAR-T </w:t>
      </w:r>
      <w:r>
        <w:rPr/>
        <w:t>的海外市场空间。</w:t>
      </w:r>
    </w:p>
    <w:p>
      <w:pPr>
        <w:pStyle w:val="Heading3"/>
        <w:spacing w:line="288" w:lineRule="exact" w:before="0"/>
        <w:jc w:val="left"/>
      </w:pPr>
      <w:r>
        <w:rPr/>
        <w:t>针对 </w:t>
      </w:r>
      <w:r>
        <w:rPr>
          <w:rFonts w:ascii="Arial" w:eastAsia="Arial"/>
        </w:rPr>
        <w:t>MM </w:t>
      </w:r>
      <w:r>
        <w:rPr/>
        <w:t>适应症，美</w:t>
      </w:r>
      <w:r>
        <w:rPr>
          <w:rFonts w:ascii="Arial" w:eastAsia="Arial"/>
        </w:rPr>
        <w:t>/</w:t>
      </w:r>
      <w:r>
        <w:rPr/>
        <w:t>中 </w:t>
      </w:r>
      <w:r>
        <w:rPr>
          <w:rFonts w:ascii="Arial" w:eastAsia="Arial"/>
        </w:rPr>
        <w:t>BCMA CAR-T </w:t>
      </w:r>
      <w:r>
        <w:rPr/>
        <w:t>市场规模分别有望在 </w:t>
      </w:r>
      <w:r>
        <w:rPr>
          <w:rFonts w:ascii="Arial" w:eastAsia="Arial"/>
        </w:rPr>
        <w:t>2030 </w:t>
      </w:r>
      <w:r>
        <w:rPr/>
        <w:t>年达到 </w:t>
      </w:r>
      <w:r>
        <w:rPr>
          <w:rFonts w:ascii="Arial" w:eastAsia="Arial"/>
        </w:rPr>
        <w:t>96 </w:t>
      </w:r>
      <w:r>
        <w:rPr/>
        <w:t>亿美元</w:t>
      </w:r>
      <w:r>
        <w:rPr>
          <w:rFonts w:ascii="Arial" w:eastAsia="Arial"/>
        </w:rPr>
        <w:t>/62 </w:t>
      </w:r>
      <w:r>
        <w:rPr/>
        <w:t>亿</w:t>
      </w:r>
    </w:p>
    <w:p>
      <w:pPr>
        <w:spacing w:line="346" w:lineRule="exact" w:before="0"/>
        <w:ind w:left="210" w:right="0" w:firstLine="0"/>
        <w:jc w:val="left"/>
        <w:rPr>
          <w:rFonts w:ascii="Microsoft JhengHei UI" w:eastAsia="Microsoft JhengHei UI" w:hint="eastAsia"/>
          <w:b/>
          <w:sz w:val="20"/>
        </w:rPr>
      </w:pPr>
      <w:r>
        <w:rPr>
          <w:rFonts w:ascii="Microsoft JhengHei UI" w:eastAsia="Microsoft JhengHei UI" w:hint="eastAsia"/>
          <w:b/>
          <w:sz w:val="20"/>
        </w:rPr>
        <w:t>元人民币</w:t>
      </w:r>
    </w:p>
    <w:p>
      <w:pPr>
        <w:pStyle w:val="BodyText"/>
        <w:spacing w:before="154"/>
        <w:jc w:val="both"/>
      </w:pPr>
      <w:r>
        <w:rPr/>
        <w:t>我们对 </w:t>
      </w:r>
      <w:r>
        <w:rPr>
          <w:rFonts w:ascii="Arial" w:eastAsia="Arial"/>
        </w:rPr>
        <w:t>BCMA CAR-T </w:t>
      </w:r>
      <w:r>
        <w:rPr/>
        <w:t>市场规模的测算基于如下数据与假设：</w:t>
      </w:r>
    </w:p>
    <w:p>
      <w:pPr>
        <w:pStyle w:val="ListParagraph"/>
        <w:numPr>
          <w:ilvl w:val="0"/>
          <w:numId w:val="3"/>
        </w:numPr>
        <w:tabs>
          <w:tab w:pos="571" w:val="left" w:leader="none"/>
        </w:tabs>
        <w:spacing w:line="280" w:lineRule="auto" w:before="123" w:after="0"/>
        <w:ind w:left="570" w:right="2809" w:hanging="360"/>
        <w:jc w:val="both"/>
        <w:rPr>
          <w:sz w:val="20"/>
        </w:rPr>
      </w:pPr>
      <w:r>
        <w:rPr>
          <w:rFonts w:ascii="Microsoft JhengHei UI" w:eastAsia="Microsoft JhengHei UI" w:hint="eastAsia"/>
          <w:b/>
          <w:sz w:val="20"/>
        </w:rPr>
        <w:t>新增</w:t>
      </w:r>
      <w:r>
        <w:rPr>
          <w:rFonts w:ascii="Arial" w:eastAsia="Arial"/>
          <w:b/>
          <w:spacing w:val="-4"/>
          <w:sz w:val="20"/>
        </w:rPr>
        <w:t>/</w:t>
      </w:r>
      <w:r>
        <w:rPr>
          <w:rFonts w:ascii="Microsoft JhengHei UI" w:eastAsia="Microsoft JhengHei UI" w:hint="eastAsia"/>
          <w:b/>
          <w:sz w:val="20"/>
        </w:rPr>
        <w:t>存量发病</w:t>
      </w:r>
      <w:r>
        <w:rPr>
          <w:spacing w:val="-3"/>
          <w:sz w:val="20"/>
        </w:rPr>
        <w:t>：数据来源与计算方式与 </w:t>
      </w:r>
      <w:r>
        <w:rPr>
          <w:rFonts w:ascii="Arial" w:eastAsia="Arial"/>
          <w:sz w:val="20"/>
        </w:rPr>
        <w:t>CD19</w:t>
      </w:r>
      <w:r>
        <w:rPr>
          <w:rFonts w:ascii="Arial" w:eastAsia="Arial"/>
          <w:spacing w:val="36"/>
          <w:sz w:val="20"/>
        </w:rPr>
        <w:t> </w:t>
      </w:r>
      <w:r>
        <w:rPr>
          <w:rFonts w:ascii="Arial" w:eastAsia="Arial"/>
          <w:sz w:val="20"/>
        </w:rPr>
        <w:t>CAR-T</w:t>
      </w:r>
      <w:r>
        <w:rPr>
          <w:rFonts w:ascii="Arial" w:eastAsia="Arial"/>
          <w:spacing w:val="9"/>
          <w:sz w:val="20"/>
        </w:rPr>
        <w:t> </w:t>
      </w:r>
      <w:r>
        <w:rPr>
          <w:sz w:val="20"/>
        </w:rPr>
        <w:t>相同，</w:t>
      </w:r>
      <w:r>
        <w:rPr>
          <w:rFonts w:ascii="Arial" w:eastAsia="Arial"/>
          <w:sz w:val="20"/>
        </w:rPr>
        <w:t>2020</w:t>
      </w:r>
      <w:r>
        <w:rPr>
          <w:rFonts w:ascii="Arial" w:eastAsia="Arial"/>
          <w:spacing w:val="11"/>
          <w:sz w:val="20"/>
        </w:rPr>
        <w:t> </w:t>
      </w:r>
      <w:r>
        <w:rPr>
          <w:spacing w:val="6"/>
          <w:sz w:val="20"/>
        </w:rPr>
        <w:t>年美国 </w:t>
      </w:r>
      <w:r>
        <w:rPr>
          <w:rFonts w:ascii="Arial" w:eastAsia="Arial"/>
          <w:sz w:val="20"/>
        </w:rPr>
        <w:t>MM</w:t>
      </w:r>
      <w:r>
        <w:rPr>
          <w:rFonts w:ascii="Arial" w:eastAsia="Arial"/>
          <w:spacing w:val="8"/>
          <w:sz w:val="20"/>
        </w:rPr>
        <w:t> </w:t>
      </w:r>
      <w:r>
        <w:rPr>
          <w:sz w:val="20"/>
        </w:rPr>
        <w:t>新增患者数</w:t>
      </w:r>
      <w:r>
        <w:rPr>
          <w:rFonts w:ascii="Arial" w:eastAsia="Arial"/>
          <w:sz w:val="20"/>
        </w:rPr>
        <w:t>/</w:t>
      </w:r>
      <w:r>
        <w:rPr>
          <w:spacing w:val="-3"/>
          <w:sz w:val="20"/>
        </w:rPr>
        <w:t>年死亡人数</w:t>
      </w:r>
      <w:r>
        <w:rPr>
          <w:rFonts w:ascii="Arial" w:eastAsia="Arial"/>
          <w:spacing w:val="-4"/>
          <w:sz w:val="20"/>
        </w:rPr>
        <w:t>/</w:t>
      </w:r>
      <w:r>
        <w:rPr>
          <w:spacing w:val="-2"/>
          <w:sz w:val="20"/>
        </w:rPr>
        <w:t>五年患病数分别为 </w:t>
      </w:r>
      <w:r>
        <w:rPr>
          <w:rFonts w:ascii="Arial" w:eastAsia="Arial"/>
          <w:sz w:val="20"/>
        </w:rPr>
        <w:t>3.21</w:t>
      </w:r>
      <w:r>
        <w:rPr>
          <w:rFonts w:ascii="Arial" w:eastAsia="Arial"/>
          <w:spacing w:val="-11"/>
          <w:sz w:val="20"/>
        </w:rPr>
        <w:t> </w:t>
      </w:r>
      <w:r>
        <w:rPr>
          <w:sz w:val="20"/>
        </w:rPr>
        <w:t>万人</w:t>
      </w:r>
      <w:r>
        <w:rPr>
          <w:rFonts w:ascii="Arial" w:eastAsia="Arial"/>
          <w:sz w:val="20"/>
        </w:rPr>
        <w:t>/1.34</w:t>
      </w:r>
      <w:r>
        <w:rPr>
          <w:rFonts w:ascii="Arial" w:eastAsia="Arial"/>
          <w:spacing w:val="-11"/>
          <w:sz w:val="20"/>
        </w:rPr>
        <w:t> </w:t>
      </w:r>
      <w:r>
        <w:rPr>
          <w:spacing w:val="-3"/>
          <w:sz w:val="20"/>
        </w:rPr>
        <w:t>万人</w:t>
      </w:r>
      <w:r>
        <w:rPr>
          <w:rFonts w:ascii="Arial" w:eastAsia="Arial"/>
          <w:sz w:val="20"/>
        </w:rPr>
        <w:t>/9.14</w:t>
      </w:r>
      <w:r>
        <w:rPr>
          <w:rFonts w:ascii="Arial" w:eastAsia="Arial"/>
          <w:spacing w:val="-11"/>
          <w:sz w:val="20"/>
        </w:rPr>
        <w:t> </w:t>
      </w:r>
      <w:r>
        <w:rPr>
          <w:spacing w:val="8"/>
          <w:sz w:val="20"/>
        </w:rPr>
        <w:t>万人；国内</w:t>
      </w:r>
      <w:r>
        <w:rPr>
          <w:rFonts w:ascii="Arial" w:eastAsia="Arial"/>
          <w:sz w:val="20"/>
        </w:rPr>
        <w:t>MM</w:t>
      </w:r>
      <w:r>
        <w:rPr>
          <w:rFonts w:ascii="Arial" w:eastAsia="Arial"/>
          <w:spacing w:val="-14"/>
          <w:sz w:val="20"/>
        </w:rPr>
        <w:t> </w:t>
      </w:r>
      <w:r>
        <w:rPr>
          <w:spacing w:val="-2"/>
          <w:sz w:val="20"/>
        </w:rPr>
        <w:t>新增患者数</w:t>
      </w:r>
      <w:r>
        <w:rPr>
          <w:rFonts w:ascii="Arial" w:eastAsia="Arial"/>
          <w:spacing w:val="-2"/>
          <w:sz w:val="20"/>
        </w:rPr>
        <w:t>/</w:t>
      </w:r>
      <w:r>
        <w:rPr>
          <w:spacing w:val="-4"/>
          <w:sz w:val="20"/>
        </w:rPr>
        <w:t>年死亡人数</w:t>
      </w:r>
      <w:r>
        <w:rPr>
          <w:rFonts w:ascii="Arial" w:eastAsia="Arial"/>
          <w:sz w:val="20"/>
        </w:rPr>
        <w:t>/</w:t>
      </w:r>
      <w:r>
        <w:rPr>
          <w:spacing w:val="-3"/>
          <w:sz w:val="20"/>
        </w:rPr>
        <w:t>五年患病数分别为 </w:t>
      </w:r>
      <w:r>
        <w:rPr>
          <w:rFonts w:ascii="Arial" w:eastAsia="Arial"/>
          <w:sz w:val="20"/>
        </w:rPr>
        <w:t>2.11</w:t>
      </w:r>
      <w:r>
        <w:rPr>
          <w:rFonts w:ascii="Arial" w:eastAsia="Arial"/>
          <w:spacing w:val="-11"/>
          <w:sz w:val="20"/>
        </w:rPr>
        <w:t> </w:t>
      </w:r>
      <w:r>
        <w:rPr>
          <w:spacing w:val="-3"/>
          <w:sz w:val="20"/>
        </w:rPr>
        <w:t>万人</w:t>
      </w:r>
      <w:r>
        <w:rPr>
          <w:rFonts w:ascii="Arial" w:eastAsia="Arial"/>
          <w:sz w:val="20"/>
        </w:rPr>
        <w:t>/1.62</w:t>
      </w:r>
      <w:r>
        <w:rPr>
          <w:rFonts w:ascii="Arial" w:eastAsia="Arial"/>
          <w:spacing w:val="-10"/>
          <w:sz w:val="20"/>
        </w:rPr>
        <w:t> </w:t>
      </w:r>
      <w:r>
        <w:rPr>
          <w:sz w:val="20"/>
        </w:rPr>
        <w:t>万人</w:t>
      </w:r>
      <w:r>
        <w:rPr>
          <w:rFonts w:ascii="Arial" w:eastAsia="Arial"/>
          <w:sz w:val="20"/>
        </w:rPr>
        <w:t>/5.14</w:t>
      </w:r>
      <w:r>
        <w:rPr>
          <w:rFonts w:ascii="Arial" w:eastAsia="Arial"/>
          <w:spacing w:val="-11"/>
          <w:sz w:val="20"/>
        </w:rPr>
        <w:t> </w:t>
      </w:r>
      <w:r>
        <w:rPr>
          <w:spacing w:val="3"/>
          <w:sz w:val="20"/>
        </w:rPr>
        <w:t>万人。我们假设美国</w:t>
      </w:r>
      <w:r>
        <w:rPr>
          <w:rFonts w:ascii="Arial" w:eastAsia="Arial"/>
          <w:sz w:val="20"/>
        </w:rPr>
        <w:t>MM</w:t>
      </w:r>
      <w:r>
        <w:rPr>
          <w:rFonts w:ascii="Arial" w:eastAsia="Arial"/>
          <w:spacing w:val="-9"/>
          <w:sz w:val="20"/>
        </w:rPr>
        <w:t> </w:t>
      </w:r>
      <w:r>
        <w:rPr>
          <w:sz w:val="20"/>
        </w:rPr>
        <w:t>新发</w:t>
      </w:r>
      <w:r>
        <w:rPr>
          <w:rFonts w:ascii="Arial" w:eastAsia="Arial"/>
          <w:sz w:val="20"/>
        </w:rPr>
        <w:t>/</w:t>
      </w:r>
      <w:r>
        <w:rPr>
          <w:spacing w:val="-3"/>
          <w:sz w:val="20"/>
        </w:rPr>
        <w:t>死亡增长率分别为 </w:t>
      </w:r>
      <w:r>
        <w:rPr>
          <w:rFonts w:ascii="Arial" w:eastAsia="Arial"/>
          <w:sz w:val="20"/>
        </w:rPr>
        <w:t>2.1%/2.0%</w:t>
      </w:r>
      <w:r>
        <w:rPr>
          <w:sz w:val="20"/>
        </w:rPr>
        <w:t>；中国 </w:t>
      </w:r>
      <w:r>
        <w:rPr>
          <w:rFonts w:ascii="Arial" w:eastAsia="Arial"/>
          <w:sz w:val="20"/>
        </w:rPr>
        <w:t>MM</w:t>
      </w:r>
      <w:r>
        <w:rPr>
          <w:rFonts w:ascii="Arial" w:eastAsia="Arial"/>
          <w:spacing w:val="-8"/>
          <w:sz w:val="20"/>
        </w:rPr>
        <w:t> </w:t>
      </w:r>
      <w:r>
        <w:rPr>
          <w:spacing w:val="-3"/>
          <w:sz w:val="20"/>
        </w:rPr>
        <w:t>新发</w:t>
      </w:r>
      <w:r>
        <w:rPr>
          <w:rFonts w:ascii="Arial" w:eastAsia="Arial"/>
          <w:sz w:val="20"/>
        </w:rPr>
        <w:t>/</w:t>
      </w:r>
      <w:r>
        <w:rPr>
          <w:spacing w:val="-3"/>
          <w:sz w:val="20"/>
        </w:rPr>
        <w:t>死亡增长率分别为 </w:t>
      </w:r>
      <w:r>
        <w:rPr>
          <w:rFonts w:ascii="Arial" w:eastAsia="Arial"/>
          <w:sz w:val="20"/>
        </w:rPr>
        <w:t>3.1%/3.0%</w:t>
      </w:r>
      <w:r>
        <w:rPr>
          <w:sz w:val="20"/>
        </w:rPr>
        <w:t>，五年</w:t>
      </w:r>
      <w:r>
        <w:rPr>
          <w:spacing w:val="-4"/>
          <w:sz w:val="20"/>
        </w:rPr>
        <w:t>存量患者数采用该数值</w:t>
      </w:r>
      <w:r>
        <w:rPr>
          <w:rFonts w:ascii="Arial" w:eastAsia="Arial"/>
          <w:sz w:val="20"/>
        </w:rPr>
        <w:t>+</w:t>
      </w:r>
      <w:r>
        <w:rPr>
          <w:spacing w:val="-4"/>
          <w:sz w:val="20"/>
        </w:rPr>
        <w:t>当年新增患者数</w:t>
      </w:r>
      <w:r>
        <w:rPr>
          <w:rFonts w:ascii="Arial" w:eastAsia="Arial"/>
          <w:sz w:val="20"/>
        </w:rPr>
        <w:t>-</w:t>
      </w:r>
      <w:r>
        <w:rPr>
          <w:spacing w:val="-3"/>
          <w:sz w:val="20"/>
        </w:rPr>
        <w:t>死亡数得出。</w:t>
      </w:r>
    </w:p>
    <w:p>
      <w:pPr>
        <w:pStyle w:val="ListParagraph"/>
        <w:numPr>
          <w:ilvl w:val="0"/>
          <w:numId w:val="3"/>
        </w:numPr>
        <w:tabs>
          <w:tab w:pos="571" w:val="left" w:leader="none"/>
        </w:tabs>
        <w:spacing w:line="306" w:lineRule="exact" w:before="0" w:after="0"/>
        <w:ind w:left="570" w:right="0" w:hanging="361"/>
        <w:jc w:val="both"/>
        <w:rPr>
          <w:sz w:val="20"/>
        </w:rPr>
      </w:pPr>
      <w:r>
        <w:rPr>
          <w:rFonts w:ascii="Microsoft JhengHei UI" w:eastAsia="Microsoft JhengHei UI" w:hint="eastAsia"/>
          <w:b/>
          <w:spacing w:val="9"/>
          <w:sz w:val="20"/>
        </w:rPr>
        <w:t>适用于 </w:t>
      </w:r>
      <w:r>
        <w:rPr>
          <w:rFonts w:ascii="Arial" w:eastAsia="Arial"/>
          <w:b/>
          <w:sz w:val="20"/>
        </w:rPr>
        <w:t>BCMA</w:t>
      </w:r>
      <w:r>
        <w:rPr>
          <w:rFonts w:ascii="Arial" w:eastAsia="Arial"/>
          <w:b/>
          <w:spacing w:val="25"/>
          <w:sz w:val="20"/>
        </w:rPr>
        <w:t> </w:t>
      </w:r>
      <w:r>
        <w:rPr>
          <w:rFonts w:ascii="Arial" w:eastAsia="Arial"/>
          <w:b/>
          <w:sz w:val="20"/>
        </w:rPr>
        <w:t>CAR-T</w:t>
      </w:r>
      <w:r>
        <w:rPr>
          <w:rFonts w:ascii="Arial" w:eastAsia="Arial"/>
          <w:b/>
          <w:spacing w:val="28"/>
          <w:sz w:val="20"/>
        </w:rPr>
        <w:t> </w:t>
      </w:r>
      <w:r>
        <w:rPr>
          <w:rFonts w:ascii="Microsoft JhengHei UI" w:eastAsia="Microsoft JhengHei UI" w:hint="eastAsia"/>
          <w:b/>
          <w:spacing w:val="1"/>
          <w:sz w:val="20"/>
        </w:rPr>
        <w:t>治疗的人数</w:t>
      </w:r>
      <w:r>
        <w:rPr>
          <w:sz w:val="20"/>
        </w:rPr>
        <w:t>：</w:t>
      </w:r>
      <w:r>
        <w:rPr>
          <w:rFonts w:ascii="Arial" w:eastAsia="Arial"/>
          <w:sz w:val="20"/>
        </w:rPr>
        <w:t>MM</w:t>
      </w:r>
      <w:r>
        <w:rPr>
          <w:rFonts w:ascii="Arial" w:eastAsia="Arial"/>
          <w:spacing w:val="31"/>
          <w:sz w:val="20"/>
        </w:rPr>
        <w:t> </w:t>
      </w:r>
      <w:r>
        <w:rPr>
          <w:spacing w:val="-2"/>
          <w:sz w:val="20"/>
        </w:rPr>
        <w:t>复发比例参考弗若斯特沙利文报告，中国</w:t>
      </w:r>
      <w:r>
        <w:rPr>
          <w:rFonts w:ascii="Arial" w:eastAsia="Arial"/>
          <w:sz w:val="20"/>
        </w:rPr>
        <w:t>/</w:t>
      </w:r>
      <w:r>
        <w:rPr>
          <w:sz w:val="20"/>
        </w:rPr>
        <w:t>美</w:t>
      </w:r>
    </w:p>
    <w:p>
      <w:pPr>
        <w:pStyle w:val="BodyText"/>
        <w:spacing w:before="29"/>
        <w:ind w:left="570"/>
        <w:jc w:val="both"/>
      </w:pPr>
      <w:r>
        <w:rPr/>
        <w:t>国既往接受三线全身系统治疗失败的 </w:t>
      </w:r>
      <w:r>
        <w:rPr>
          <w:rFonts w:ascii="Arial" w:eastAsia="Arial"/>
        </w:rPr>
        <w:t>MM </w:t>
      </w:r>
      <w:r>
        <w:rPr/>
        <w:t>患者比例分别为 </w:t>
      </w:r>
      <w:r>
        <w:rPr>
          <w:rFonts w:ascii="Arial" w:eastAsia="Arial"/>
        </w:rPr>
        <w:t>10%~20% / 10%~15%</w:t>
      </w:r>
      <w:r>
        <w:rPr/>
        <w:t>，我</w:t>
      </w:r>
    </w:p>
    <w:p>
      <w:pPr>
        <w:spacing w:after="0"/>
        <w:jc w:val="both"/>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left="570" w:right="2814"/>
      </w:pPr>
      <w:r>
        <w:rPr/>
        <w:t>们分别对其取中值进行测算。我们预计美国</w:t>
      </w:r>
      <w:r>
        <w:rPr>
          <w:rFonts w:ascii="Arial" w:eastAsia="Arial"/>
        </w:rPr>
        <w:t>/</w:t>
      </w:r>
      <w:r>
        <w:rPr/>
        <w:t>中国将分别于 </w:t>
      </w:r>
      <w:r>
        <w:rPr>
          <w:rFonts w:ascii="Arial" w:eastAsia="Arial"/>
        </w:rPr>
        <w:t>2026E/ 2028E </w:t>
      </w:r>
      <w:r>
        <w:rPr/>
        <w:t>批准 </w:t>
      </w:r>
      <w:r>
        <w:rPr>
          <w:rFonts w:ascii="Arial" w:eastAsia="Arial"/>
        </w:rPr>
        <w:t>BCMA CAR-T </w:t>
      </w:r>
      <w:r>
        <w:rPr/>
        <w:t>用于</w:t>
      </w:r>
      <w:r>
        <w:rPr>
          <w:rFonts w:ascii="Arial" w:eastAsia="Arial"/>
        </w:rPr>
        <w:t>MM </w:t>
      </w:r>
      <w:r>
        <w:rPr/>
        <w:t>的 </w:t>
      </w:r>
      <w:r>
        <w:rPr>
          <w:rFonts w:ascii="Arial" w:eastAsia="Arial"/>
        </w:rPr>
        <w:t>1~3 </w:t>
      </w:r>
      <w:r>
        <w:rPr/>
        <w:t>线治疗。</w:t>
      </w:r>
    </w:p>
    <w:p>
      <w:pPr>
        <w:pStyle w:val="Heading3"/>
        <w:spacing w:line="308" w:lineRule="exact" w:before="0" w:after="4"/>
        <w:jc w:val="left"/>
      </w:pPr>
      <w:r>
        <w:rPr/>
        <w:t>图 </w:t>
      </w:r>
      <w:r>
        <w:rPr>
          <w:rFonts w:ascii="Arial" w:eastAsia="Arial"/>
        </w:rPr>
        <w:t>18: BCMA CAR-T </w:t>
      </w:r>
      <w:r>
        <w:rPr/>
        <w:t>中美市场规模测算</w:t>
      </w:r>
    </w:p>
    <w:tbl>
      <w:tblPr>
        <w:tblW w:w="0" w:type="auto"/>
        <w:jc w:val="left"/>
        <w:tblInd w:w="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5"/>
        <w:gridCol w:w="686"/>
        <w:gridCol w:w="756"/>
        <w:gridCol w:w="797"/>
        <w:gridCol w:w="704"/>
        <w:gridCol w:w="771"/>
        <w:gridCol w:w="704"/>
        <w:gridCol w:w="771"/>
        <w:gridCol w:w="723"/>
        <w:gridCol w:w="752"/>
        <w:gridCol w:w="723"/>
        <w:gridCol w:w="810"/>
      </w:tblGrid>
      <w:tr>
        <w:trPr>
          <w:trHeight w:val="196" w:hRule="atLeast"/>
        </w:trPr>
        <w:tc>
          <w:tcPr>
            <w:tcW w:w="2475" w:type="dxa"/>
            <w:tcBorders>
              <w:top w:val="single" w:sz="12" w:space="0" w:color="000000"/>
            </w:tcBorders>
            <w:shd w:val="clear" w:color="auto" w:fill="C00000"/>
          </w:tcPr>
          <w:p>
            <w:pPr>
              <w:pStyle w:val="TableParagraph"/>
              <w:spacing w:line="176" w:lineRule="exact"/>
              <w:ind w:left="139"/>
              <w:rPr>
                <w:rFonts w:ascii="Microsoft JhengHei UI" w:eastAsia="Microsoft JhengHei UI" w:hint="eastAsia"/>
                <w:b/>
                <w:sz w:val="13"/>
              </w:rPr>
            </w:pPr>
            <w:r>
              <w:rPr>
                <w:rFonts w:ascii="Microsoft JhengHei UI" w:eastAsia="Microsoft JhengHei UI" w:hint="eastAsia"/>
                <w:b/>
                <w:color w:val="FFFFFF"/>
                <w:sz w:val="13"/>
              </w:rPr>
              <w:t>千人</w:t>
            </w:r>
          </w:p>
        </w:tc>
        <w:tc>
          <w:tcPr>
            <w:tcW w:w="686" w:type="dxa"/>
            <w:tcBorders>
              <w:top w:val="single" w:sz="12" w:space="0" w:color="000000"/>
            </w:tcBorders>
            <w:shd w:val="clear" w:color="auto" w:fill="C00000"/>
          </w:tcPr>
          <w:p>
            <w:pPr>
              <w:pStyle w:val="TableParagraph"/>
              <w:spacing w:line="136" w:lineRule="exact" w:before="40"/>
              <w:ind w:left="175"/>
              <w:rPr>
                <w:b/>
                <w:sz w:val="13"/>
              </w:rPr>
            </w:pPr>
            <w:r>
              <w:rPr>
                <w:b/>
                <w:color w:val="FFFFFF"/>
                <w:sz w:val="13"/>
              </w:rPr>
              <w:t>2020</w:t>
            </w:r>
          </w:p>
        </w:tc>
        <w:tc>
          <w:tcPr>
            <w:tcW w:w="756" w:type="dxa"/>
            <w:tcBorders>
              <w:top w:val="single" w:sz="12" w:space="0" w:color="000000"/>
            </w:tcBorders>
            <w:shd w:val="clear" w:color="auto" w:fill="C00000"/>
          </w:tcPr>
          <w:p>
            <w:pPr>
              <w:pStyle w:val="TableParagraph"/>
              <w:spacing w:line="136" w:lineRule="exact" w:before="40"/>
              <w:ind w:left="169" w:right="185"/>
              <w:jc w:val="center"/>
              <w:rPr>
                <w:b/>
                <w:sz w:val="13"/>
              </w:rPr>
            </w:pPr>
            <w:r>
              <w:rPr>
                <w:b/>
                <w:color w:val="FFFFFF"/>
                <w:sz w:val="13"/>
              </w:rPr>
              <w:t>2021</w:t>
            </w:r>
          </w:p>
        </w:tc>
        <w:tc>
          <w:tcPr>
            <w:tcW w:w="797" w:type="dxa"/>
            <w:tcBorders>
              <w:top w:val="single" w:sz="12" w:space="0" w:color="000000"/>
            </w:tcBorders>
            <w:shd w:val="clear" w:color="auto" w:fill="C00000"/>
          </w:tcPr>
          <w:p>
            <w:pPr>
              <w:pStyle w:val="TableParagraph"/>
              <w:spacing w:line="136" w:lineRule="exact" w:before="40"/>
              <w:ind w:left="207"/>
              <w:rPr>
                <w:b/>
                <w:sz w:val="13"/>
              </w:rPr>
            </w:pPr>
            <w:r>
              <w:rPr>
                <w:b/>
                <w:color w:val="FFFFFF"/>
                <w:sz w:val="13"/>
              </w:rPr>
              <w:t>2022E</w:t>
            </w:r>
          </w:p>
        </w:tc>
        <w:tc>
          <w:tcPr>
            <w:tcW w:w="704" w:type="dxa"/>
            <w:tcBorders>
              <w:top w:val="single" w:sz="12" w:space="0" w:color="000000"/>
            </w:tcBorders>
            <w:shd w:val="clear" w:color="auto" w:fill="C00000"/>
          </w:tcPr>
          <w:p>
            <w:pPr>
              <w:pStyle w:val="TableParagraph"/>
              <w:spacing w:line="136" w:lineRule="exact" w:before="40"/>
              <w:ind w:left="150"/>
              <w:rPr>
                <w:b/>
                <w:sz w:val="13"/>
              </w:rPr>
            </w:pPr>
            <w:r>
              <w:rPr>
                <w:b/>
                <w:color w:val="FFFFFF"/>
                <w:sz w:val="13"/>
              </w:rPr>
              <w:t>2023E</w:t>
            </w:r>
          </w:p>
        </w:tc>
        <w:tc>
          <w:tcPr>
            <w:tcW w:w="771" w:type="dxa"/>
            <w:tcBorders>
              <w:top w:val="single" w:sz="12" w:space="0" w:color="000000"/>
            </w:tcBorders>
            <w:shd w:val="clear" w:color="auto" w:fill="C00000"/>
          </w:tcPr>
          <w:p>
            <w:pPr>
              <w:pStyle w:val="TableParagraph"/>
              <w:spacing w:line="136" w:lineRule="exact" w:before="40"/>
              <w:ind w:left="181"/>
              <w:rPr>
                <w:b/>
                <w:sz w:val="13"/>
              </w:rPr>
            </w:pPr>
            <w:r>
              <w:rPr>
                <w:b/>
                <w:color w:val="FFFFFF"/>
                <w:sz w:val="13"/>
              </w:rPr>
              <w:t>2024E</w:t>
            </w:r>
          </w:p>
        </w:tc>
        <w:tc>
          <w:tcPr>
            <w:tcW w:w="704" w:type="dxa"/>
            <w:tcBorders>
              <w:top w:val="single" w:sz="12" w:space="0" w:color="000000"/>
            </w:tcBorders>
            <w:shd w:val="clear" w:color="auto" w:fill="C00000"/>
          </w:tcPr>
          <w:p>
            <w:pPr>
              <w:pStyle w:val="TableParagraph"/>
              <w:spacing w:line="136" w:lineRule="exact" w:before="40"/>
              <w:ind w:left="149"/>
              <w:rPr>
                <w:b/>
                <w:sz w:val="13"/>
              </w:rPr>
            </w:pPr>
            <w:r>
              <w:rPr>
                <w:b/>
                <w:color w:val="FFFFFF"/>
                <w:sz w:val="13"/>
              </w:rPr>
              <w:t>2025E</w:t>
            </w:r>
          </w:p>
        </w:tc>
        <w:tc>
          <w:tcPr>
            <w:tcW w:w="771" w:type="dxa"/>
            <w:tcBorders>
              <w:top w:val="single" w:sz="12" w:space="0" w:color="000000"/>
            </w:tcBorders>
            <w:shd w:val="clear" w:color="auto" w:fill="C00000"/>
          </w:tcPr>
          <w:p>
            <w:pPr>
              <w:pStyle w:val="TableParagraph"/>
              <w:spacing w:line="136" w:lineRule="exact" w:before="40"/>
              <w:ind w:left="180"/>
              <w:rPr>
                <w:b/>
                <w:sz w:val="13"/>
              </w:rPr>
            </w:pPr>
            <w:r>
              <w:rPr>
                <w:b/>
                <w:color w:val="FFFFFF"/>
                <w:sz w:val="13"/>
              </w:rPr>
              <w:t>2026E</w:t>
            </w:r>
          </w:p>
        </w:tc>
        <w:tc>
          <w:tcPr>
            <w:tcW w:w="723" w:type="dxa"/>
            <w:tcBorders>
              <w:top w:val="single" w:sz="12" w:space="0" w:color="000000"/>
            </w:tcBorders>
            <w:shd w:val="clear" w:color="auto" w:fill="C00000"/>
          </w:tcPr>
          <w:p>
            <w:pPr>
              <w:pStyle w:val="TableParagraph"/>
              <w:spacing w:line="136" w:lineRule="exact" w:before="40"/>
              <w:ind w:left="148"/>
              <w:rPr>
                <w:b/>
                <w:sz w:val="13"/>
              </w:rPr>
            </w:pPr>
            <w:r>
              <w:rPr>
                <w:b/>
                <w:color w:val="FFFFFF"/>
                <w:sz w:val="13"/>
              </w:rPr>
              <w:t>2027E</w:t>
            </w:r>
          </w:p>
        </w:tc>
        <w:tc>
          <w:tcPr>
            <w:tcW w:w="752" w:type="dxa"/>
            <w:tcBorders>
              <w:top w:val="single" w:sz="12" w:space="0" w:color="000000"/>
            </w:tcBorders>
            <w:shd w:val="clear" w:color="auto" w:fill="C00000"/>
          </w:tcPr>
          <w:p>
            <w:pPr>
              <w:pStyle w:val="TableParagraph"/>
              <w:spacing w:line="136" w:lineRule="exact" w:before="40"/>
              <w:ind w:left="160"/>
              <w:rPr>
                <w:b/>
                <w:sz w:val="13"/>
              </w:rPr>
            </w:pPr>
            <w:r>
              <w:rPr>
                <w:b/>
                <w:color w:val="FFFFFF"/>
                <w:sz w:val="13"/>
              </w:rPr>
              <w:t>2028E</w:t>
            </w:r>
          </w:p>
        </w:tc>
        <w:tc>
          <w:tcPr>
            <w:tcW w:w="723" w:type="dxa"/>
            <w:tcBorders>
              <w:top w:val="single" w:sz="12" w:space="0" w:color="000000"/>
            </w:tcBorders>
            <w:shd w:val="clear" w:color="auto" w:fill="C00000"/>
          </w:tcPr>
          <w:p>
            <w:pPr>
              <w:pStyle w:val="TableParagraph"/>
              <w:spacing w:line="136" w:lineRule="exact" w:before="40"/>
              <w:ind w:left="148"/>
              <w:rPr>
                <w:b/>
                <w:sz w:val="13"/>
              </w:rPr>
            </w:pPr>
            <w:r>
              <w:rPr>
                <w:b/>
                <w:color w:val="FFFFFF"/>
                <w:sz w:val="13"/>
              </w:rPr>
              <w:t>2029E</w:t>
            </w:r>
          </w:p>
        </w:tc>
        <w:tc>
          <w:tcPr>
            <w:tcW w:w="810" w:type="dxa"/>
            <w:tcBorders>
              <w:top w:val="single" w:sz="12" w:space="0" w:color="000000"/>
            </w:tcBorders>
            <w:shd w:val="clear" w:color="auto" w:fill="C00000"/>
          </w:tcPr>
          <w:p>
            <w:pPr>
              <w:pStyle w:val="TableParagraph"/>
              <w:spacing w:line="136" w:lineRule="exact" w:before="40"/>
              <w:ind w:left="159"/>
              <w:rPr>
                <w:b/>
                <w:sz w:val="13"/>
              </w:rPr>
            </w:pPr>
            <w:r>
              <w:rPr>
                <w:b/>
                <w:color w:val="FFFFFF"/>
                <w:sz w:val="13"/>
              </w:rPr>
              <w:t>2030E</w:t>
            </w:r>
          </w:p>
        </w:tc>
      </w:tr>
      <w:tr>
        <w:trPr>
          <w:trHeight w:val="196" w:hRule="atLeast"/>
        </w:trPr>
        <w:tc>
          <w:tcPr>
            <w:tcW w:w="2475" w:type="dxa"/>
            <w:shd w:val="clear" w:color="auto" w:fill="F4AF84"/>
          </w:tcPr>
          <w:p>
            <w:pPr>
              <w:pStyle w:val="TableParagraph"/>
              <w:spacing w:line="168" w:lineRule="exact" w:before="9"/>
              <w:ind w:left="139"/>
              <w:rPr>
                <w:rFonts w:ascii="PMingLiU" w:eastAsia="PMingLiU" w:hint="eastAsia"/>
                <w:sz w:val="13"/>
              </w:rPr>
            </w:pPr>
            <w:r>
              <w:rPr>
                <w:rFonts w:ascii="PMingLiU" w:eastAsia="PMingLiU" w:hint="eastAsia"/>
                <w:sz w:val="13"/>
              </w:rPr>
              <w:t>美国</w:t>
            </w:r>
          </w:p>
        </w:tc>
        <w:tc>
          <w:tcPr>
            <w:tcW w:w="686" w:type="dxa"/>
            <w:shd w:val="clear" w:color="auto" w:fill="F4AF84"/>
          </w:tcPr>
          <w:p>
            <w:pPr>
              <w:pStyle w:val="TableParagraph"/>
              <w:rPr>
                <w:rFonts w:ascii="Times New Roman"/>
                <w:sz w:val="12"/>
              </w:rPr>
            </w:pPr>
          </w:p>
        </w:tc>
        <w:tc>
          <w:tcPr>
            <w:tcW w:w="756" w:type="dxa"/>
            <w:shd w:val="clear" w:color="auto" w:fill="F4AF84"/>
          </w:tcPr>
          <w:p>
            <w:pPr>
              <w:pStyle w:val="TableParagraph"/>
              <w:rPr>
                <w:rFonts w:ascii="Times New Roman"/>
                <w:sz w:val="12"/>
              </w:rPr>
            </w:pPr>
          </w:p>
        </w:tc>
        <w:tc>
          <w:tcPr>
            <w:tcW w:w="797" w:type="dxa"/>
            <w:shd w:val="clear" w:color="auto" w:fill="F4AF84"/>
          </w:tcPr>
          <w:p>
            <w:pPr>
              <w:pStyle w:val="TableParagraph"/>
              <w:rPr>
                <w:rFonts w:ascii="Times New Roman"/>
                <w:sz w:val="12"/>
              </w:rPr>
            </w:pPr>
          </w:p>
        </w:tc>
        <w:tc>
          <w:tcPr>
            <w:tcW w:w="704" w:type="dxa"/>
            <w:shd w:val="clear" w:color="auto" w:fill="F4AF84"/>
          </w:tcPr>
          <w:p>
            <w:pPr>
              <w:pStyle w:val="TableParagraph"/>
              <w:rPr>
                <w:rFonts w:ascii="Times New Roman"/>
                <w:sz w:val="12"/>
              </w:rPr>
            </w:pPr>
          </w:p>
        </w:tc>
        <w:tc>
          <w:tcPr>
            <w:tcW w:w="771" w:type="dxa"/>
            <w:shd w:val="clear" w:color="auto" w:fill="F4AF84"/>
          </w:tcPr>
          <w:p>
            <w:pPr>
              <w:pStyle w:val="TableParagraph"/>
              <w:rPr>
                <w:rFonts w:ascii="Times New Roman"/>
                <w:sz w:val="12"/>
              </w:rPr>
            </w:pPr>
          </w:p>
        </w:tc>
        <w:tc>
          <w:tcPr>
            <w:tcW w:w="704" w:type="dxa"/>
            <w:shd w:val="clear" w:color="auto" w:fill="F4AF84"/>
          </w:tcPr>
          <w:p>
            <w:pPr>
              <w:pStyle w:val="TableParagraph"/>
              <w:rPr>
                <w:rFonts w:ascii="Times New Roman"/>
                <w:sz w:val="12"/>
              </w:rPr>
            </w:pPr>
          </w:p>
        </w:tc>
        <w:tc>
          <w:tcPr>
            <w:tcW w:w="771" w:type="dxa"/>
            <w:shd w:val="clear" w:color="auto" w:fill="F4AF84"/>
          </w:tcPr>
          <w:p>
            <w:pPr>
              <w:pStyle w:val="TableParagraph"/>
              <w:rPr>
                <w:rFonts w:ascii="Times New Roman"/>
                <w:sz w:val="12"/>
              </w:rPr>
            </w:pPr>
          </w:p>
        </w:tc>
        <w:tc>
          <w:tcPr>
            <w:tcW w:w="723" w:type="dxa"/>
            <w:shd w:val="clear" w:color="auto" w:fill="F4AF84"/>
          </w:tcPr>
          <w:p>
            <w:pPr>
              <w:pStyle w:val="TableParagraph"/>
              <w:rPr>
                <w:rFonts w:ascii="Times New Roman"/>
                <w:sz w:val="12"/>
              </w:rPr>
            </w:pPr>
          </w:p>
        </w:tc>
        <w:tc>
          <w:tcPr>
            <w:tcW w:w="752" w:type="dxa"/>
            <w:shd w:val="clear" w:color="auto" w:fill="F4AF84"/>
          </w:tcPr>
          <w:p>
            <w:pPr>
              <w:pStyle w:val="TableParagraph"/>
              <w:rPr>
                <w:rFonts w:ascii="Times New Roman"/>
                <w:sz w:val="12"/>
              </w:rPr>
            </w:pPr>
          </w:p>
        </w:tc>
        <w:tc>
          <w:tcPr>
            <w:tcW w:w="723" w:type="dxa"/>
            <w:shd w:val="clear" w:color="auto" w:fill="F4AF84"/>
          </w:tcPr>
          <w:p>
            <w:pPr>
              <w:pStyle w:val="TableParagraph"/>
              <w:rPr>
                <w:rFonts w:ascii="Times New Roman"/>
                <w:sz w:val="12"/>
              </w:rPr>
            </w:pPr>
          </w:p>
        </w:tc>
        <w:tc>
          <w:tcPr>
            <w:tcW w:w="810" w:type="dxa"/>
            <w:shd w:val="clear" w:color="auto" w:fill="F4AF84"/>
          </w:tcPr>
          <w:p>
            <w:pPr>
              <w:pStyle w:val="TableParagraph"/>
              <w:rPr>
                <w:rFonts w:ascii="Times New Roman"/>
                <w:sz w:val="12"/>
              </w:rPr>
            </w:pPr>
          </w:p>
        </w:tc>
      </w:tr>
      <w:tr>
        <w:trPr>
          <w:trHeight w:val="194" w:hRule="atLeast"/>
        </w:trPr>
        <w:tc>
          <w:tcPr>
            <w:tcW w:w="2475" w:type="dxa"/>
          </w:tcPr>
          <w:p>
            <w:pPr>
              <w:pStyle w:val="TableParagraph"/>
              <w:spacing w:line="165" w:lineRule="exact" w:before="9"/>
              <w:ind w:left="139"/>
              <w:rPr>
                <w:rFonts w:ascii="PMingLiU" w:eastAsia="PMingLiU" w:hint="eastAsia"/>
                <w:sz w:val="13"/>
              </w:rPr>
            </w:pPr>
            <w:r>
              <w:rPr>
                <w:sz w:val="13"/>
              </w:rPr>
              <w:t>MM </w:t>
            </w:r>
            <w:r>
              <w:rPr>
                <w:rFonts w:ascii="PMingLiU" w:eastAsia="PMingLiU" w:hint="eastAsia"/>
                <w:sz w:val="13"/>
              </w:rPr>
              <w:t>新增患病人数</w:t>
            </w:r>
          </w:p>
        </w:tc>
        <w:tc>
          <w:tcPr>
            <w:tcW w:w="686" w:type="dxa"/>
          </w:tcPr>
          <w:p>
            <w:pPr>
              <w:pStyle w:val="TableParagraph"/>
              <w:spacing w:line="157" w:lineRule="exact" w:before="17"/>
              <w:ind w:left="175"/>
              <w:rPr>
                <w:sz w:val="14"/>
              </w:rPr>
            </w:pPr>
            <w:r>
              <w:rPr>
                <w:sz w:val="14"/>
              </w:rPr>
              <w:t>32.1</w:t>
            </w:r>
          </w:p>
        </w:tc>
        <w:tc>
          <w:tcPr>
            <w:tcW w:w="756" w:type="dxa"/>
          </w:tcPr>
          <w:p>
            <w:pPr>
              <w:pStyle w:val="TableParagraph"/>
              <w:spacing w:line="157" w:lineRule="exact" w:before="17"/>
              <w:ind w:left="150" w:right="185"/>
              <w:jc w:val="center"/>
              <w:rPr>
                <w:sz w:val="14"/>
              </w:rPr>
            </w:pPr>
            <w:r>
              <w:rPr>
                <w:sz w:val="14"/>
              </w:rPr>
              <w:t>32.8</w:t>
            </w:r>
          </w:p>
        </w:tc>
        <w:tc>
          <w:tcPr>
            <w:tcW w:w="797" w:type="dxa"/>
          </w:tcPr>
          <w:p>
            <w:pPr>
              <w:pStyle w:val="TableParagraph"/>
              <w:spacing w:line="157" w:lineRule="exact" w:before="17"/>
              <w:ind w:left="207"/>
              <w:rPr>
                <w:sz w:val="14"/>
              </w:rPr>
            </w:pPr>
            <w:r>
              <w:rPr>
                <w:sz w:val="14"/>
              </w:rPr>
              <w:t>33.5</w:t>
            </w:r>
          </w:p>
        </w:tc>
        <w:tc>
          <w:tcPr>
            <w:tcW w:w="704" w:type="dxa"/>
          </w:tcPr>
          <w:p>
            <w:pPr>
              <w:pStyle w:val="TableParagraph"/>
              <w:spacing w:line="157" w:lineRule="exact" w:before="17"/>
              <w:ind w:left="150"/>
              <w:rPr>
                <w:sz w:val="14"/>
              </w:rPr>
            </w:pPr>
            <w:r>
              <w:rPr>
                <w:sz w:val="14"/>
              </w:rPr>
              <w:t>34.2</w:t>
            </w:r>
          </w:p>
        </w:tc>
        <w:tc>
          <w:tcPr>
            <w:tcW w:w="771" w:type="dxa"/>
          </w:tcPr>
          <w:p>
            <w:pPr>
              <w:pStyle w:val="TableParagraph"/>
              <w:spacing w:line="157" w:lineRule="exact" w:before="17"/>
              <w:ind w:left="181"/>
              <w:rPr>
                <w:sz w:val="14"/>
              </w:rPr>
            </w:pPr>
            <w:r>
              <w:rPr>
                <w:sz w:val="14"/>
              </w:rPr>
              <w:t>34.9</w:t>
            </w:r>
          </w:p>
        </w:tc>
        <w:tc>
          <w:tcPr>
            <w:tcW w:w="704" w:type="dxa"/>
          </w:tcPr>
          <w:p>
            <w:pPr>
              <w:pStyle w:val="TableParagraph"/>
              <w:spacing w:line="157" w:lineRule="exact" w:before="17"/>
              <w:ind w:left="149"/>
              <w:rPr>
                <w:sz w:val="14"/>
              </w:rPr>
            </w:pPr>
            <w:r>
              <w:rPr>
                <w:sz w:val="14"/>
              </w:rPr>
              <w:t>35.6</w:t>
            </w:r>
          </w:p>
        </w:tc>
        <w:tc>
          <w:tcPr>
            <w:tcW w:w="771" w:type="dxa"/>
          </w:tcPr>
          <w:p>
            <w:pPr>
              <w:pStyle w:val="TableParagraph"/>
              <w:spacing w:line="157" w:lineRule="exact" w:before="17"/>
              <w:ind w:left="180"/>
              <w:rPr>
                <w:sz w:val="14"/>
              </w:rPr>
            </w:pPr>
            <w:r>
              <w:rPr>
                <w:sz w:val="14"/>
              </w:rPr>
              <w:t>36.3</w:t>
            </w:r>
          </w:p>
        </w:tc>
        <w:tc>
          <w:tcPr>
            <w:tcW w:w="723" w:type="dxa"/>
          </w:tcPr>
          <w:p>
            <w:pPr>
              <w:pStyle w:val="TableParagraph"/>
              <w:spacing w:line="157" w:lineRule="exact" w:before="17"/>
              <w:ind w:left="148"/>
              <w:rPr>
                <w:sz w:val="14"/>
              </w:rPr>
            </w:pPr>
            <w:r>
              <w:rPr>
                <w:sz w:val="14"/>
              </w:rPr>
              <w:t>37.1</w:t>
            </w:r>
          </w:p>
        </w:tc>
        <w:tc>
          <w:tcPr>
            <w:tcW w:w="752" w:type="dxa"/>
          </w:tcPr>
          <w:p>
            <w:pPr>
              <w:pStyle w:val="TableParagraph"/>
              <w:spacing w:line="157" w:lineRule="exact" w:before="17"/>
              <w:ind w:left="160"/>
              <w:rPr>
                <w:sz w:val="14"/>
              </w:rPr>
            </w:pPr>
            <w:r>
              <w:rPr>
                <w:sz w:val="14"/>
              </w:rPr>
              <w:t>37.8</w:t>
            </w:r>
          </w:p>
        </w:tc>
        <w:tc>
          <w:tcPr>
            <w:tcW w:w="723" w:type="dxa"/>
          </w:tcPr>
          <w:p>
            <w:pPr>
              <w:pStyle w:val="TableParagraph"/>
              <w:spacing w:line="157" w:lineRule="exact" w:before="17"/>
              <w:ind w:left="148"/>
              <w:rPr>
                <w:sz w:val="14"/>
              </w:rPr>
            </w:pPr>
            <w:r>
              <w:rPr>
                <w:sz w:val="14"/>
              </w:rPr>
              <w:t>38.6</w:t>
            </w:r>
          </w:p>
        </w:tc>
        <w:tc>
          <w:tcPr>
            <w:tcW w:w="810" w:type="dxa"/>
          </w:tcPr>
          <w:p>
            <w:pPr>
              <w:pStyle w:val="TableParagraph"/>
              <w:spacing w:line="157" w:lineRule="exact" w:before="17"/>
              <w:ind w:left="159"/>
              <w:rPr>
                <w:sz w:val="14"/>
              </w:rPr>
            </w:pPr>
            <w:r>
              <w:rPr>
                <w:sz w:val="14"/>
              </w:rPr>
              <w:t>39.4</w:t>
            </w:r>
          </w:p>
        </w:tc>
      </w:tr>
      <w:tr>
        <w:trPr>
          <w:trHeight w:val="199" w:hRule="atLeast"/>
        </w:trPr>
        <w:tc>
          <w:tcPr>
            <w:tcW w:w="2475" w:type="dxa"/>
          </w:tcPr>
          <w:p>
            <w:pPr>
              <w:pStyle w:val="TableParagraph"/>
              <w:spacing w:line="179" w:lineRule="exact"/>
              <w:ind w:left="139"/>
              <w:rPr>
                <w:rFonts w:ascii="Microsoft JhengHei UI" w:eastAsia="Microsoft JhengHei UI" w:hint="eastAsia"/>
                <w:b/>
                <w:sz w:val="13"/>
              </w:rPr>
            </w:pPr>
            <w:r>
              <w:rPr>
                <w:b/>
                <w:sz w:val="13"/>
              </w:rPr>
              <w:t>MM </w:t>
            </w:r>
            <w:r>
              <w:rPr>
                <w:rFonts w:ascii="Microsoft JhengHei UI" w:eastAsia="Microsoft JhengHei UI" w:hint="eastAsia"/>
                <w:b/>
                <w:sz w:val="13"/>
              </w:rPr>
              <w:t>五年患病数</w:t>
            </w:r>
          </w:p>
        </w:tc>
        <w:tc>
          <w:tcPr>
            <w:tcW w:w="686" w:type="dxa"/>
          </w:tcPr>
          <w:p>
            <w:pPr>
              <w:pStyle w:val="TableParagraph"/>
              <w:spacing w:before="24"/>
              <w:ind w:left="175"/>
              <w:rPr>
                <w:b/>
                <w:sz w:val="13"/>
              </w:rPr>
            </w:pPr>
            <w:r>
              <w:rPr>
                <w:b/>
                <w:sz w:val="13"/>
              </w:rPr>
              <w:t>91.4</w:t>
            </w:r>
          </w:p>
        </w:tc>
        <w:tc>
          <w:tcPr>
            <w:tcW w:w="756" w:type="dxa"/>
          </w:tcPr>
          <w:p>
            <w:pPr>
              <w:pStyle w:val="TableParagraph"/>
              <w:spacing w:before="24"/>
              <w:ind w:left="204" w:right="185"/>
              <w:jc w:val="center"/>
              <w:rPr>
                <w:b/>
                <w:sz w:val="13"/>
              </w:rPr>
            </w:pPr>
            <w:r>
              <w:rPr>
                <w:b/>
                <w:sz w:val="13"/>
              </w:rPr>
              <w:t>110.5</w:t>
            </w:r>
          </w:p>
        </w:tc>
        <w:tc>
          <w:tcPr>
            <w:tcW w:w="797" w:type="dxa"/>
          </w:tcPr>
          <w:p>
            <w:pPr>
              <w:pStyle w:val="TableParagraph"/>
              <w:spacing w:before="24"/>
              <w:ind w:left="207"/>
              <w:rPr>
                <w:b/>
                <w:sz w:val="13"/>
              </w:rPr>
            </w:pPr>
            <w:r>
              <w:rPr>
                <w:b/>
                <w:sz w:val="13"/>
              </w:rPr>
              <w:t>130.0</w:t>
            </w:r>
          </w:p>
        </w:tc>
        <w:tc>
          <w:tcPr>
            <w:tcW w:w="704" w:type="dxa"/>
          </w:tcPr>
          <w:p>
            <w:pPr>
              <w:pStyle w:val="TableParagraph"/>
              <w:spacing w:before="24"/>
              <w:ind w:left="150"/>
              <w:rPr>
                <w:b/>
                <w:sz w:val="13"/>
              </w:rPr>
            </w:pPr>
            <w:r>
              <w:rPr>
                <w:b/>
                <w:sz w:val="13"/>
              </w:rPr>
              <w:t>150.0</w:t>
            </w:r>
          </w:p>
        </w:tc>
        <w:tc>
          <w:tcPr>
            <w:tcW w:w="771" w:type="dxa"/>
          </w:tcPr>
          <w:p>
            <w:pPr>
              <w:pStyle w:val="TableParagraph"/>
              <w:spacing w:before="24"/>
              <w:ind w:left="181"/>
              <w:rPr>
                <w:b/>
                <w:sz w:val="13"/>
              </w:rPr>
            </w:pPr>
            <w:r>
              <w:rPr>
                <w:b/>
                <w:sz w:val="13"/>
              </w:rPr>
              <w:t>170.3</w:t>
            </w:r>
          </w:p>
        </w:tc>
        <w:tc>
          <w:tcPr>
            <w:tcW w:w="704" w:type="dxa"/>
          </w:tcPr>
          <w:p>
            <w:pPr>
              <w:pStyle w:val="TableParagraph"/>
              <w:spacing w:before="24"/>
              <w:ind w:left="149"/>
              <w:rPr>
                <w:b/>
                <w:sz w:val="13"/>
              </w:rPr>
            </w:pPr>
            <w:r>
              <w:rPr>
                <w:b/>
                <w:sz w:val="13"/>
              </w:rPr>
              <w:t>191.1</w:t>
            </w:r>
          </w:p>
        </w:tc>
        <w:tc>
          <w:tcPr>
            <w:tcW w:w="771" w:type="dxa"/>
          </w:tcPr>
          <w:p>
            <w:pPr>
              <w:pStyle w:val="TableParagraph"/>
              <w:spacing w:before="24"/>
              <w:ind w:left="180"/>
              <w:rPr>
                <w:b/>
                <w:sz w:val="13"/>
              </w:rPr>
            </w:pPr>
            <w:r>
              <w:rPr>
                <w:b/>
                <w:sz w:val="13"/>
              </w:rPr>
              <w:t>212.3</w:t>
            </w:r>
          </w:p>
        </w:tc>
        <w:tc>
          <w:tcPr>
            <w:tcW w:w="723" w:type="dxa"/>
          </w:tcPr>
          <w:p>
            <w:pPr>
              <w:pStyle w:val="TableParagraph"/>
              <w:spacing w:before="24"/>
              <w:ind w:left="148"/>
              <w:rPr>
                <w:b/>
                <w:sz w:val="13"/>
              </w:rPr>
            </w:pPr>
            <w:r>
              <w:rPr>
                <w:b/>
                <w:sz w:val="13"/>
              </w:rPr>
              <w:t>234.0</w:t>
            </w:r>
          </w:p>
        </w:tc>
        <w:tc>
          <w:tcPr>
            <w:tcW w:w="752" w:type="dxa"/>
          </w:tcPr>
          <w:p>
            <w:pPr>
              <w:pStyle w:val="TableParagraph"/>
              <w:spacing w:before="24"/>
              <w:ind w:left="160"/>
              <w:rPr>
                <w:b/>
                <w:sz w:val="13"/>
              </w:rPr>
            </w:pPr>
            <w:r>
              <w:rPr>
                <w:b/>
                <w:sz w:val="13"/>
              </w:rPr>
              <w:t>256.1</w:t>
            </w:r>
          </w:p>
        </w:tc>
        <w:tc>
          <w:tcPr>
            <w:tcW w:w="723" w:type="dxa"/>
          </w:tcPr>
          <w:p>
            <w:pPr>
              <w:pStyle w:val="TableParagraph"/>
              <w:spacing w:before="24"/>
              <w:ind w:left="148"/>
              <w:rPr>
                <w:b/>
                <w:sz w:val="13"/>
              </w:rPr>
            </w:pPr>
            <w:r>
              <w:rPr>
                <w:b/>
                <w:sz w:val="13"/>
              </w:rPr>
              <w:t>278.8</w:t>
            </w:r>
          </w:p>
        </w:tc>
        <w:tc>
          <w:tcPr>
            <w:tcW w:w="810" w:type="dxa"/>
          </w:tcPr>
          <w:p>
            <w:pPr>
              <w:pStyle w:val="TableParagraph"/>
              <w:spacing w:before="24"/>
              <w:ind w:left="159"/>
              <w:rPr>
                <w:b/>
                <w:sz w:val="13"/>
              </w:rPr>
            </w:pPr>
            <w:r>
              <w:rPr>
                <w:b/>
                <w:sz w:val="13"/>
              </w:rPr>
              <w:t>301.9</w:t>
            </w:r>
          </w:p>
        </w:tc>
      </w:tr>
      <w:tr>
        <w:trPr>
          <w:trHeight w:val="199" w:hRule="atLeast"/>
        </w:trPr>
        <w:tc>
          <w:tcPr>
            <w:tcW w:w="2475" w:type="dxa"/>
          </w:tcPr>
          <w:p>
            <w:pPr>
              <w:pStyle w:val="TableParagraph"/>
              <w:spacing w:line="165" w:lineRule="exact" w:before="14"/>
              <w:ind w:left="215"/>
              <w:rPr>
                <w:rFonts w:ascii="PMingLiU" w:eastAsia="PMingLiU" w:hint="eastAsia"/>
                <w:sz w:val="13"/>
              </w:rPr>
            </w:pPr>
            <w:r>
              <w:rPr>
                <w:sz w:val="13"/>
              </w:rPr>
              <w:t>2L+ r/r MM </w:t>
            </w:r>
            <w:r>
              <w:rPr>
                <w:rFonts w:ascii="PMingLiU" w:eastAsia="PMingLiU" w:hint="eastAsia"/>
                <w:sz w:val="13"/>
              </w:rPr>
              <w:t>患病人数</w:t>
            </w:r>
          </w:p>
        </w:tc>
        <w:tc>
          <w:tcPr>
            <w:tcW w:w="686" w:type="dxa"/>
          </w:tcPr>
          <w:p>
            <w:pPr>
              <w:pStyle w:val="TableParagraph"/>
              <w:spacing w:before="27"/>
              <w:ind w:left="175"/>
              <w:rPr>
                <w:sz w:val="13"/>
              </w:rPr>
            </w:pPr>
            <w:r>
              <w:rPr>
                <w:sz w:val="13"/>
              </w:rPr>
              <w:t>52.5</w:t>
            </w:r>
          </w:p>
        </w:tc>
        <w:tc>
          <w:tcPr>
            <w:tcW w:w="756" w:type="dxa"/>
          </w:tcPr>
          <w:p>
            <w:pPr>
              <w:pStyle w:val="TableParagraph"/>
              <w:spacing w:before="27"/>
              <w:ind w:left="135" w:right="185"/>
              <w:jc w:val="center"/>
              <w:rPr>
                <w:sz w:val="13"/>
              </w:rPr>
            </w:pPr>
            <w:r>
              <w:rPr>
                <w:sz w:val="13"/>
              </w:rPr>
              <w:t>63.4</w:t>
            </w:r>
          </w:p>
        </w:tc>
        <w:tc>
          <w:tcPr>
            <w:tcW w:w="797" w:type="dxa"/>
          </w:tcPr>
          <w:p>
            <w:pPr>
              <w:pStyle w:val="TableParagraph"/>
              <w:spacing w:before="27"/>
              <w:ind w:left="207"/>
              <w:rPr>
                <w:sz w:val="13"/>
              </w:rPr>
            </w:pPr>
            <w:r>
              <w:rPr>
                <w:sz w:val="13"/>
              </w:rPr>
              <w:t>74.6</w:t>
            </w:r>
          </w:p>
        </w:tc>
        <w:tc>
          <w:tcPr>
            <w:tcW w:w="704" w:type="dxa"/>
          </w:tcPr>
          <w:p>
            <w:pPr>
              <w:pStyle w:val="TableParagraph"/>
              <w:spacing w:before="27"/>
              <w:ind w:left="150"/>
              <w:rPr>
                <w:sz w:val="13"/>
              </w:rPr>
            </w:pPr>
            <w:r>
              <w:rPr>
                <w:sz w:val="13"/>
              </w:rPr>
              <w:t>86.1</w:t>
            </w:r>
          </w:p>
        </w:tc>
        <w:tc>
          <w:tcPr>
            <w:tcW w:w="771" w:type="dxa"/>
          </w:tcPr>
          <w:p>
            <w:pPr>
              <w:pStyle w:val="TableParagraph"/>
              <w:spacing w:before="27"/>
              <w:ind w:left="181"/>
              <w:rPr>
                <w:sz w:val="13"/>
              </w:rPr>
            </w:pPr>
            <w:r>
              <w:rPr>
                <w:sz w:val="13"/>
              </w:rPr>
              <w:t>97.8</w:t>
            </w:r>
          </w:p>
        </w:tc>
        <w:tc>
          <w:tcPr>
            <w:tcW w:w="704" w:type="dxa"/>
          </w:tcPr>
          <w:p>
            <w:pPr>
              <w:pStyle w:val="TableParagraph"/>
              <w:spacing w:before="27"/>
              <w:ind w:left="149"/>
              <w:rPr>
                <w:sz w:val="13"/>
              </w:rPr>
            </w:pPr>
            <w:r>
              <w:rPr>
                <w:sz w:val="13"/>
              </w:rPr>
              <w:t>109.7</w:t>
            </w:r>
          </w:p>
        </w:tc>
        <w:tc>
          <w:tcPr>
            <w:tcW w:w="771" w:type="dxa"/>
          </w:tcPr>
          <w:p>
            <w:pPr>
              <w:pStyle w:val="TableParagraph"/>
              <w:spacing w:before="27"/>
              <w:ind w:left="180"/>
              <w:rPr>
                <w:sz w:val="13"/>
              </w:rPr>
            </w:pPr>
            <w:r>
              <w:rPr>
                <w:sz w:val="13"/>
              </w:rPr>
              <w:t>121.9</w:t>
            </w:r>
          </w:p>
        </w:tc>
        <w:tc>
          <w:tcPr>
            <w:tcW w:w="723" w:type="dxa"/>
          </w:tcPr>
          <w:p>
            <w:pPr>
              <w:pStyle w:val="TableParagraph"/>
              <w:spacing w:before="27"/>
              <w:ind w:left="148"/>
              <w:rPr>
                <w:sz w:val="13"/>
              </w:rPr>
            </w:pPr>
            <w:r>
              <w:rPr>
                <w:sz w:val="13"/>
              </w:rPr>
              <w:t>134.3</w:t>
            </w:r>
          </w:p>
        </w:tc>
        <w:tc>
          <w:tcPr>
            <w:tcW w:w="752" w:type="dxa"/>
          </w:tcPr>
          <w:p>
            <w:pPr>
              <w:pStyle w:val="TableParagraph"/>
              <w:spacing w:before="27"/>
              <w:ind w:left="160"/>
              <w:rPr>
                <w:sz w:val="13"/>
              </w:rPr>
            </w:pPr>
            <w:r>
              <w:rPr>
                <w:sz w:val="13"/>
              </w:rPr>
              <w:t>147.0</w:t>
            </w:r>
          </w:p>
        </w:tc>
        <w:tc>
          <w:tcPr>
            <w:tcW w:w="723" w:type="dxa"/>
          </w:tcPr>
          <w:p>
            <w:pPr>
              <w:pStyle w:val="TableParagraph"/>
              <w:spacing w:before="27"/>
              <w:ind w:left="148"/>
              <w:rPr>
                <w:sz w:val="13"/>
              </w:rPr>
            </w:pPr>
            <w:r>
              <w:rPr>
                <w:sz w:val="13"/>
              </w:rPr>
              <w:t>160.0</w:t>
            </w:r>
          </w:p>
        </w:tc>
        <w:tc>
          <w:tcPr>
            <w:tcW w:w="810" w:type="dxa"/>
          </w:tcPr>
          <w:p>
            <w:pPr>
              <w:pStyle w:val="TableParagraph"/>
              <w:spacing w:before="27"/>
              <w:ind w:left="159"/>
              <w:rPr>
                <w:sz w:val="13"/>
              </w:rPr>
            </w:pPr>
            <w:r>
              <w:rPr>
                <w:sz w:val="13"/>
              </w:rPr>
              <w:t>173.3</w:t>
            </w:r>
          </w:p>
        </w:tc>
      </w:tr>
      <w:tr>
        <w:trPr>
          <w:trHeight w:val="199" w:hRule="atLeast"/>
        </w:trPr>
        <w:tc>
          <w:tcPr>
            <w:tcW w:w="2475" w:type="dxa"/>
            <w:tcBorders>
              <w:bottom w:val="single" w:sz="4" w:space="0" w:color="000000"/>
            </w:tcBorders>
          </w:tcPr>
          <w:p>
            <w:pPr>
              <w:pStyle w:val="TableParagraph"/>
              <w:spacing w:line="167" w:lineRule="exact" w:before="12"/>
              <w:ind w:left="215"/>
              <w:rPr>
                <w:rFonts w:ascii="PMingLiU" w:eastAsia="PMingLiU" w:hint="eastAsia"/>
                <w:sz w:val="13"/>
              </w:rPr>
            </w:pPr>
            <w:r>
              <w:rPr>
                <w:sz w:val="13"/>
              </w:rPr>
              <w:t>3L+ r/r MM </w:t>
            </w:r>
            <w:r>
              <w:rPr>
                <w:rFonts w:ascii="PMingLiU" w:eastAsia="PMingLiU" w:hint="eastAsia"/>
                <w:sz w:val="13"/>
              </w:rPr>
              <w:t>患病人数</w:t>
            </w:r>
          </w:p>
        </w:tc>
        <w:tc>
          <w:tcPr>
            <w:tcW w:w="686" w:type="dxa"/>
            <w:tcBorders>
              <w:bottom w:val="single" w:sz="4" w:space="0" w:color="000000"/>
            </w:tcBorders>
          </w:tcPr>
          <w:p>
            <w:pPr>
              <w:pStyle w:val="TableParagraph"/>
              <w:spacing w:before="24"/>
              <w:ind w:left="175"/>
              <w:rPr>
                <w:sz w:val="13"/>
              </w:rPr>
            </w:pPr>
            <w:r>
              <w:rPr>
                <w:sz w:val="13"/>
              </w:rPr>
              <w:t>11.4</w:t>
            </w:r>
          </w:p>
        </w:tc>
        <w:tc>
          <w:tcPr>
            <w:tcW w:w="756" w:type="dxa"/>
            <w:tcBorders>
              <w:bottom w:val="single" w:sz="4" w:space="0" w:color="000000"/>
            </w:tcBorders>
          </w:tcPr>
          <w:p>
            <w:pPr>
              <w:pStyle w:val="TableParagraph"/>
              <w:spacing w:before="24"/>
              <w:ind w:left="135" w:right="185"/>
              <w:jc w:val="center"/>
              <w:rPr>
                <w:sz w:val="13"/>
              </w:rPr>
            </w:pPr>
            <w:r>
              <w:rPr>
                <w:sz w:val="13"/>
              </w:rPr>
              <w:t>13.8</w:t>
            </w:r>
          </w:p>
        </w:tc>
        <w:tc>
          <w:tcPr>
            <w:tcW w:w="797" w:type="dxa"/>
            <w:tcBorders>
              <w:bottom w:val="single" w:sz="4" w:space="0" w:color="000000"/>
            </w:tcBorders>
          </w:tcPr>
          <w:p>
            <w:pPr>
              <w:pStyle w:val="TableParagraph"/>
              <w:spacing w:before="24"/>
              <w:ind w:left="207"/>
              <w:rPr>
                <w:sz w:val="13"/>
              </w:rPr>
            </w:pPr>
            <w:r>
              <w:rPr>
                <w:sz w:val="13"/>
              </w:rPr>
              <w:t>16.3</w:t>
            </w:r>
          </w:p>
        </w:tc>
        <w:tc>
          <w:tcPr>
            <w:tcW w:w="704" w:type="dxa"/>
            <w:tcBorders>
              <w:bottom w:val="single" w:sz="4" w:space="0" w:color="000000"/>
            </w:tcBorders>
          </w:tcPr>
          <w:p>
            <w:pPr>
              <w:pStyle w:val="TableParagraph"/>
              <w:spacing w:before="24"/>
              <w:ind w:left="150"/>
              <w:rPr>
                <w:sz w:val="13"/>
              </w:rPr>
            </w:pPr>
            <w:r>
              <w:rPr>
                <w:sz w:val="13"/>
              </w:rPr>
              <w:t>18.7</w:t>
            </w:r>
          </w:p>
        </w:tc>
        <w:tc>
          <w:tcPr>
            <w:tcW w:w="771" w:type="dxa"/>
            <w:tcBorders>
              <w:bottom w:val="single" w:sz="4" w:space="0" w:color="000000"/>
            </w:tcBorders>
          </w:tcPr>
          <w:p>
            <w:pPr>
              <w:pStyle w:val="TableParagraph"/>
              <w:spacing w:before="24"/>
              <w:ind w:left="181"/>
              <w:rPr>
                <w:sz w:val="13"/>
              </w:rPr>
            </w:pPr>
            <w:r>
              <w:rPr>
                <w:sz w:val="13"/>
              </w:rPr>
              <w:t>21.3</w:t>
            </w:r>
          </w:p>
        </w:tc>
        <w:tc>
          <w:tcPr>
            <w:tcW w:w="704" w:type="dxa"/>
            <w:tcBorders>
              <w:bottom w:val="single" w:sz="4" w:space="0" w:color="000000"/>
            </w:tcBorders>
          </w:tcPr>
          <w:p>
            <w:pPr>
              <w:pStyle w:val="TableParagraph"/>
              <w:spacing w:before="24"/>
              <w:ind w:left="149"/>
              <w:rPr>
                <w:sz w:val="13"/>
              </w:rPr>
            </w:pPr>
            <w:r>
              <w:rPr>
                <w:sz w:val="13"/>
              </w:rPr>
              <w:t>23.9</w:t>
            </w:r>
          </w:p>
        </w:tc>
        <w:tc>
          <w:tcPr>
            <w:tcW w:w="771" w:type="dxa"/>
            <w:tcBorders>
              <w:bottom w:val="single" w:sz="4" w:space="0" w:color="000000"/>
            </w:tcBorders>
          </w:tcPr>
          <w:p>
            <w:pPr>
              <w:pStyle w:val="TableParagraph"/>
              <w:spacing w:before="24"/>
              <w:ind w:left="180"/>
              <w:rPr>
                <w:sz w:val="13"/>
              </w:rPr>
            </w:pPr>
            <w:r>
              <w:rPr>
                <w:sz w:val="13"/>
              </w:rPr>
              <w:t>26.5</w:t>
            </w:r>
          </w:p>
        </w:tc>
        <w:tc>
          <w:tcPr>
            <w:tcW w:w="723" w:type="dxa"/>
            <w:tcBorders>
              <w:bottom w:val="single" w:sz="4" w:space="0" w:color="000000"/>
            </w:tcBorders>
          </w:tcPr>
          <w:p>
            <w:pPr>
              <w:pStyle w:val="TableParagraph"/>
              <w:spacing w:before="24"/>
              <w:ind w:left="148"/>
              <w:rPr>
                <w:sz w:val="13"/>
              </w:rPr>
            </w:pPr>
            <w:r>
              <w:rPr>
                <w:sz w:val="13"/>
              </w:rPr>
              <w:t>29.2</w:t>
            </w:r>
          </w:p>
        </w:tc>
        <w:tc>
          <w:tcPr>
            <w:tcW w:w="752" w:type="dxa"/>
            <w:tcBorders>
              <w:bottom w:val="single" w:sz="4" w:space="0" w:color="000000"/>
            </w:tcBorders>
          </w:tcPr>
          <w:p>
            <w:pPr>
              <w:pStyle w:val="TableParagraph"/>
              <w:spacing w:before="24"/>
              <w:ind w:left="160"/>
              <w:rPr>
                <w:sz w:val="13"/>
              </w:rPr>
            </w:pPr>
            <w:r>
              <w:rPr>
                <w:sz w:val="13"/>
              </w:rPr>
              <w:t>32.0</w:t>
            </w:r>
          </w:p>
        </w:tc>
        <w:tc>
          <w:tcPr>
            <w:tcW w:w="723" w:type="dxa"/>
            <w:tcBorders>
              <w:bottom w:val="single" w:sz="4" w:space="0" w:color="000000"/>
            </w:tcBorders>
          </w:tcPr>
          <w:p>
            <w:pPr>
              <w:pStyle w:val="TableParagraph"/>
              <w:spacing w:before="24"/>
              <w:ind w:left="148"/>
              <w:rPr>
                <w:sz w:val="13"/>
              </w:rPr>
            </w:pPr>
            <w:r>
              <w:rPr>
                <w:sz w:val="13"/>
              </w:rPr>
              <w:t>34.8</w:t>
            </w:r>
          </w:p>
        </w:tc>
        <w:tc>
          <w:tcPr>
            <w:tcW w:w="810" w:type="dxa"/>
            <w:tcBorders>
              <w:bottom w:val="single" w:sz="4" w:space="0" w:color="000000"/>
            </w:tcBorders>
          </w:tcPr>
          <w:p>
            <w:pPr>
              <w:pStyle w:val="TableParagraph"/>
              <w:spacing w:before="24"/>
              <w:ind w:left="159"/>
              <w:rPr>
                <w:sz w:val="13"/>
              </w:rPr>
            </w:pPr>
            <w:r>
              <w:rPr>
                <w:sz w:val="13"/>
              </w:rPr>
              <w:t>37.7</w:t>
            </w:r>
          </w:p>
        </w:tc>
      </w:tr>
      <w:tr>
        <w:trPr>
          <w:trHeight w:val="194" w:hRule="atLeast"/>
        </w:trPr>
        <w:tc>
          <w:tcPr>
            <w:tcW w:w="2475" w:type="dxa"/>
            <w:tcBorders>
              <w:top w:val="single" w:sz="4" w:space="0" w:color="000000"/>
            </w:tcBorders>
          </w:tcPr>
          <w:p>
            <w:pPr>
              <w:pStyle w:val="TableParagraph"/>
              <w:spacing w:line="174" w:lineRule="exact"/>
              <w:ind w:left="139"/>
              <w:rPr>
                <w:rFonts w:ascii="Microsoft JhengHei UI" w:eastAsia="Microsoft JhengHei UI" w:hint="eastAsia"/>
                <w:b/>
                <w:sz w:val="13"/>
              </w:rPr>
            </w:pPr>
            <w:r>
              <w:rPr>
                <w:rFonts w:ascii="Microsoft JhengHei UI" w:eastAsia="Microsoft JhengHei UI" w:hint="eastAsia"/>
                <w:b/>
                <w:sz w:val="13"/>
              </w:rPr>
              <w:t>适用于 </w:t>
            </w:r>
            <w:r>
              <w:rPr>
                <w:b/>
                <w:sz w:val="13"/>
              </w:rPr>
              <w:t>BCMA CAR-T </w:t>
            </w:r>
            <w:r>
              <w:rPr>
                <w:rFonts w:ascii="Microsoft JhengHei UI" w:eastAsia="Microsoft JhengHei UI" w:hint="eastAsia"/>
                <w:b/>
                <w:sz w:val="13"/>
              </w:rPr>
              <w:t>治疗的人数</w:t>
            </w:r>
          </w:p>
        </w:tc>
        <w:tc>
          <w:tcPr>
            <w:tcW w:w="686" w:type="dxa"/>
            <w:tcBorders>
              <w:top w:val="single" w:sz="4" w:space="0" w:color="000000"/>
            </w:tcBorders>
          </w:tcPr>
          <w:p>
            <w:pPr>
              <w:pStyle w:val="TableParagraph"/>
              <w:rPr>
                <w:rFonts w:ascii="Times New Roman"/>
                <w:sz w:val="12"/>
              </w:rPr>
            </w:pPr>
          </w:p>
        </w:tc>
        <w:tc>
          <w:tcPr>
            <w:tcW w:w="756" w:type="dxa"/>
            <w:tcBorders>
              <w:top w:val="single" w:sz="4" w:space="0" w:color="000000"/>
            </w:tcBorders>
          </w:tcPr>
          <w:p>
            <w:pPr>
              <w:pStyle w:val="TableParagraph"/>
              <w:spacing w:before="17"/>
              <w:ind w:left="135" w:right="185"/>
              <w:jc w:val="center"/>
              <w:rPr>
                <w:b/>
                <w:sz w:val="13"/>
              </w:rPr>
            </w:pPr>
            <w:r>
              <w:rPr>
                <w:b/>
                <w:sz w:val="13"/>
              </w:rPr>
              <w:t>13.8</w:t>
            </w:r>
          </w:p>
        </w:tc>
        <w:tc>
          <w:tcPr>
            <w:tcW w:w="797" w:type="dxa"/>
            <w:tcBorders>
              <w:top w:val="single" w:sz="4" w:space="0" w:color="000000"/>
            </w:tcBorders>
          </w:tcPr>
          <w:p>
            <w:pPr>
              <w:pStyle w:val="TableParagraph"/>
              <w:spacing w:before="17"/>
              <w:ind w:left="207"/>
              <w:rPr>
                <w:b/>
                <w:sz w:val="13"/>
              </w:rPr>
            </w:pPr>
            <w:r>
              <w:rPr>
                <w:b/>
                <w:sz w:val="13"/>
              </w:rPr>
              <w:t>16.3</w:t>
            </w:r>
          </w:p>
        </w:tc>
        <w:tc>
          <w:tcPr>
            <w:tcW w:w="704" w:type="dxa"/>
            <w:tcBorders>
              <w:top w:val="single" w:sz="4" w:space="0" w:color="000000"/>
            </w:tcBorders>
          </w:tcPr>
          <w:p>
            <w:pPr>
              <w:pStyle w:val="TableParagraph"/>
              <w:spacing w:before="17"/>
              <w:ind w:left="150"/>
              <w:rPr>
                <w:b/>
                <w:sz w:val="13"/>
              </w:rPr>
            </w:pPr>
            <w:r>
              <w:rPr>
                <w:b/>
                <w:sz w:val="13"/>
              </w:rPr>
              <w:t>18.7</w:t>
            </w:r>
          </w:p>
        </w:tc>
        <w:tc>
          <w:tcPr>
            <w:tcW w:w="771" w:type="dxa"/>
            <w:tcBorders>
              <w:top w:val="single" w:sz="4" w:space="0" w:color="000000"/>
            </w:tcBorders>
          </w:tcPr>
          <w:p>
            <w:pPr>
              <w:pStyle w:val="TableParagraph"/>
              <w:spacing w:before="17"/>
              <w:ind w:left="181"/>
              <w:rPr>
                <w:b/>
                <w:sz w:val="13"/>
              </w:rPr>
            </w:pPr>
            <w:r>
              <w:rPr>
                <w:b/>
                <w:sz w:val="13"/>
              </w:rPr>
              <w:t>21.3</w:t>
            </w:r>
          </w:p>
        </w:tc>
        <w:tc>
          <w:tcPr>
            <w:tcW w:w="704" w:type="dxa"/>
            <w:tcBorders>
              <w:top w:val="single" w:sz="4" w:space="0" w:color="000000"/>
            </w:tcBorders>
          </w:tcPr>
          <w:p>
            <w:pPr>
              <w:pStyle w:val="TableParagraph"/>
              <w:spacing w:before="17"/>
              <w:ind w:left="149"/>
              <w:rPr>
                <w:b/>
                <w:sz w:val="13"/>
              </w:rPr>
            </w:pPr>
            <w:r>
              <w:rPr>
                <w:b/>
                <w:sz w:val="13"/>
              </w:rPr>
              <w:t>23.9</w:t>
            </w:r>
          </w:p>
        </w:tc>
        <w:tc>
          <w:tcPr>
            <w:tcW w:w="771" w:type="dxa"/>
            <w:tcBorders>
              <w:top w:val="single" w:sz="4" w:space="0" w:color="000000"/>
            </w:tcBorders>
          </w:tcPr>
          <w:p>
            <w:pPr>
              <w:pStyle w:val="TableParagraph"/>
              <w:spacing w:before="17"/>
              <w:ind w:left="180"/>
              <w:rPr>
                <w:b/>
                <w:sz w:val="13"/>
              </w:rPr>
            </w:pPr>
            <w:r>
              <w:rPr>
                <w:b/>
                <w:sz w:val="13"/>
              </w:rPr>
              <w:t>121.9</w:t>
            </w:r>
          </w:p>
        </w:tc>
        <w:tc>
          <w:tcPr>
            <w:tcW w:w="723" w:type="dxa"/>
            <w:tcBorders>
              <w:top w:val="single" w:sz="4" w:space="0" w:color="000000"/>
            </w:tcBorders>
          </w:tcPr>
          <w:p>
            <w:pPr>
              <w:pStyle w:val="TableParagraph"/>
              <w:spacing w:before="17"/>
              <w:ind w:left="148"/>
              <w:rPr>
                <w:b/>
                <w:sz w:val="13"/>
              </w:rPr>
            </w:pPr>
            <w:r>
              <w:rPr>
                <w:b/>
                <w:sz w:val="13"/>
              </w:rPr>
              <w:t>134.3</w:t>
            </w:r>
          </w:p>
        </w:tc>
        <w:tc>
          <w:tcPr>
            <w:tcW w:w="752" w:type="dxa"/>
            <w:tcBorders>
              <w:top w:val="single" w:sz="4" w:space="0" w:color="000000"/>
            </w:tcBorders>
          </w:tcPr>
          <w:p>
            <w:pPr>
              <w:pStyle w:val="TableParagraph"/>
              <w:spacing w:before="17"/>
              <w:ind w:left="160"/>
              <w:rPr>
                <w:b/>
                <w:sz w:val="13"/>
              </w:rPr>
            </w:pPr>
            <w:r>
              <w:rPr>
                <w:b/>
                <w:sz w:val="13"/>
              </w:rPr>
              <w:t>147.0</w:t>
            </w:r>
          </w:p>
        </w:tc>
        <w:tc>
          <w:tcPr>
            <w:tcW w:w="723" w:type="dxa"/>
            <w:tcBorders>
              <w:top w:val="single" w:sz="4" w:space="0" w:color="000000"/>
            </w:tcBorders>
          </w:tcPr>
          <w:p>
            <w:pPr>
              <w:pStyle w:val="TableParagraph"/>
              <w:spacing w:before="17"/>
              <w:ind w:left="148"/>
              <w:rPr>
                <w:b/>
                <w:sz w:val="13"/>
              </w:rPr>
            </w:pPr>
            <w:r>
              <w:rPr>
                <w:b/>
                <w:sz w:val="13"/>
              </w:rPr>
              <w:t>160.0</w:t>
            </w:r>
          </w:p>
        </w:tc>
        <w:tc>
          <w:tcPr>
            <w:tcW w:w="810" w:type="dxa"/>
            <w:tcBorders>
              <w:top w:val="single" w:sz="4" w:space="0" w:color="000000"/>
            </w:tcBorders>
          </w:tcPr>
          <w:p>
            <w:pPr>
              <w:pStyle w:val="TableParagraph"/>
              <w:spacing w:before="17"/>
              <w:ind w:left="159"/>
              <w:rPr>
                <w:b/>
                <w:sz w:val="13"/>
              </w:rPr>
            </w:pPr>
            <w:r>
              <w:rPr>
                <w:b/>
                <w:sz w:val="13"/>
              </w:rPr>
              <w:t>173.3</w:t>
            </w:r>
          </w:p>
        </w:tc>
      </w:tr>
      <w:tr>
        <w:trPr>
          <w:trHeight w:val="199" w:hRule="atLeast"/>
        </w:trPr>
        <w:tc>
          <w:tcPr>
            <w:tcW w:w="2475" w:type="dxa"/>
          </w:tcPr>
          <w:p>
            <w:pPr>
              <w:pStyle w:val="TableParagraph"/>
              <w:spacing w:line="167" w:lineRule="exact" w:before="12"/>
              <w:ind w:left="139"/>
              <w:rPr>
                <w:rFonts w:ascii="PMingLiU" w:eastAsia="PMingLiU" w:hint="eastAsia"/>
                <w:sz w:val="13"/>
              </w:rPr>
            </w:pPr>
            <w:r>
              <w:rPr>
                <w:sz w:val="13"/>
              </w:rPr>
              <w:t>BCMA CAR-T </w:t>
            </w:r>
            <w:r>
              <w:rPr>
                <w:rFonts w:ascii="PMingLiU" w:eastAsia="PMingLiU" w:hint="eastAsia"/>
                <w:sz w:val="13"/>
              </w:rPr>
              <w:t>渗透率</w:t>
            </w:r>
          </w:p>
        </w:tc>
        <w:tc>
          <w:tcPr>
            <w:tcW w:w="686" w:type="dxa"/>
          </w:tcPr>
          <w:p>
            <w:pPr>
              <w:pStyle w:val="TableParagraph"/>
              <w:rPr>
                <w:rFonts w:ascii="Times New Roman"/>
                <w:sz w:val="12"/>
              </w:rPr>
            </w:pPr>
          </w:p>
        </w:tc>
        <w:tc>
          <w:tcPr>
            <w:tcW w:w="756" w:type="dxa"/>
          </w:tcPr>
          <w:p>
            <w:pPr>
              <w:pStyle w:val="TableParagraph"/>
              <w:spacing w:before="29"/>
              <w:ind w:left="178" w:right="185"/>
              <w:jc w:val="center"/>
              <w:rPr>
                <w:sz w:val="13"/>
              </w:rPr>
            </w:pPr>
            <w:r>
              <w:rPr>
                <w:sz w:val="13"/>
              </w:rPr>
              <w:t>3.8%</w:t>
            </w:r>
          </w:p>
        </w:tc>
        <w:tc>
          <w:tcPr>
            <w:tcW w:w="797" w:type="dxa"/>
          </w:tcPr>
          <w:p>
            <w:pPr>
              <w:pStyle w:val="TableParagraph"/>
              <w:spacing w:before="29"/>
              <w:ind w:left="207"/>
              <w:rPr>
                <w:sz w:val="13"/>
              </w:rPr>
            </w:pPr>
            <w:r>
              <w:rPr>
                <w:sz w:val="13"/>
              </w:rPr>
              <w:t>9.0%</w:t>
            </w:r>
          </w:p>
        </w:tc>
        <w:tc>
          <w:tcPr>
            <w:tcW w:w="704" w:type="dxa"/>
          </w:tcPr>
          <w:p>
            <w:pPr>
              <w:pStyle w:val="TableParagraph"/>
              <w:spacing w:before="29"/>
              <w:ind w:left="150"/>
              <w:rPr>
                <w:sz w:val="13"/>
              </w:rPr>
            </w:pPr>
            <w:r>
              <w:rPr>
                <w:sz w:val="13"/>
              </w:rPr>
              <w:t>11.4%</w:t>
            </w:r>
          </w:p>
        </w:tc>
        <w:tc>
          <w:tcPr>
            <w:tcW w:w="771" w:type="dxa"/>
          </w:tcPr>
          <w:p>
            <w:pPr>
              <w:pStyle w:val="TableParagraph"/>
              <w:spacing w:before="29"/>
              <w:ind w:left="181"/>
              <w:rPr>
                <w:sz w:val="13"/>
              </w:rPr>
            </w:pPr>
            <w:r>
              <w:rPr>
                <w:sz w:val="13"/>
              </w:rPr>
              <w:t>14.4%</w:t>
            </w:r>
          </w:p>
        </w:tc>
        <w:tc>
          <w:tcPr>
            <w:tcW w:w="704" w:type="dxa"/>
          </w:tcPr>
          <w:p>
            <w:pPr>
              <w:pStyle w:val="TableParagraph"/>
              <w:spacing w:before="29"/>
              <w:ind w:left="149"/>
              <w:rPr>
                <w:sz w:val="13"/>
              </w:rPr>
            </w:pPr>
            <w:r>
              <w:rPr>
                <w:sz w:val="13"/>
              </w:rPr>
              <w:t>18.8%</w:t>
            </w:r>
          </w:p>
        </w:tc>
        <w:tc>
          <w:tcPr>
            <w:tcW w:w="771" w:type="dxa"/>
          </w:tcPr>
          <w:p>
            <w:pPr>
              <w:pStyle w:val="TableParagraph"/>
              <w:spacing w:before="29"/>
              <w:ind w:left="180"/>
              <w:rPr>
                <w:sz w:val="13"/>
              </w:rPr>
            </w:pPr>
            <w:r>
              <w:rPr>
                <w:sz w:val="13"/>
              </w:rPr>
              <w:t>9.4%</w:t>
            </w:r>
          </w:p>
        </w:tc>
        <w:tc>
          <w:tcPr>
            <w:tcW w:w="723" w:type="dxa"/>
          </w:tcPr>
          <w:p>
            <w:pPr>
              <w:pStyle w:val="TableParagraph"/>
              <w:spacing w:before="29"/>
              <w:ind w:left="148"/>
              <w:rPr>
                <w:sz w:val="13"/>
              </w:rPr>
            </w:pPr>
            <w:r>
              <w:rPr>
                <w:sz w:val="13"/>
              </w:rPr>
              <w:t>12.2%</w:t>
            </w:r>
          </w:p>
        </w:tc>
        <w:tc>
          <w:tcPr>
            <w:tcW w:w="752" w:type="dxa"/>
          </w:tcPr>
          <w:p>
            <w:pPr>
              <w:pStyle w:val="TableParagraph"/>
              <w:spacing w:before="29"/>
              <w:ind w:left="160"/>
              <w:rPr>
                <w:sz w:val="13"/>
              </w:rPr>
            </w:pPr>
            <w:r>
              <w:rPr>
                <w:sz w:val="13"/>
              </w:rPr>
              <w:t>15.5%</w:t>
            </w:r>
          </w:p>
        </w:tc>
        <w:tc>
          <w:tcPr>
            <w:tcW w:w="723" w:type="dxa"/>
          </w:tcPr>
          <w:p>
            <w:pPr>
              <w:pStyle w:val="TableParagraph"/>
              <w:spacing w:before="29"/>
              <w:ind w:left="148"/>
              <w:rPr>
                <w:sz w:val="13"/>
              </w:rPr>
            </w:pPr>
            <w:r>
              <w:rPr>
                <w:sz w:val="13"/>
              </w:rPr>
              <w:t>19.2%</w:t>
            </w:r>
          </w:p>
        </w:tc>
        <w:tc>
          <w:tcPr>
            <w:tcW w:w="810" w:type="dxa"/>
          </w:tcPr>
          <w:p>
            <w:pPr>
              <w:pStyle w:val="TableParagraph"/>
              <w:spacing w:before="29"/>
              <w:ind w:left="159"/>
              <w:rPr>
                <w:sz w:val="13"/>
              </w:rPr>
            </w:pPr>
            <w:r>
              <w:rPr>
                <w:sz w:val="13"/>
              </w:rPr>
              <w:t>23.2%</w:t>
            </w:r>
          </w:p>
        </w:tc>
      </w:tr>
      <w:tr>
        <w:trPr>
          <w:trHeight w:val="199" w:hRule="atLeast"/>
        </w:trPr>
        <w:tc>
          <w:tcPr>
            <w:tcW w:w="2475" w:type="dxa"/>
          </w:tcPr>
          <w:p>
            <w:pPr>
              <w:pStyle w:val="TableParagraph"/>
              <w:spacing w:line="165" w:lineRule="exact" w:before="14"/>
              <w:ind w:left="139"/>
              <w:rPr>
                <w:sz w:val="13"/>
              </w:rPr>
            </w:pPr>
            <w:r>
              <w:rPr>
                <w:sz w:val="13"/>
              </w:rPr>
              <w:t>BCMA CAR-T </w:t>
            </w:r>
            <w:r>
              <w:rPr>
                <w:rFonts w:ascii="PMingLiU" w:eastAsia="PMingLiU" w:hint="eastAsia"/>
                <w:sz w:val="13"/>
              </w:rPr>
              <w:t>治疗数 </w:t>
            </w:r>
            <w:r>
              <w:rPr>
                <w:sz w:val="13"/>
              </w:rPr>
              <w:t>(</w:t>
            </w:r>
            <w:r>
              <w:rPr>
                <w:rFonts w:ascii="PMingLiU" w:eastAsia="PMingLiU" w:hint="eastAsia"/>
                <w:sz w:val="13"/>
              </w:rPr>
              <w:t>千例</w:t>
            </w:r>
            <w:r>
              <w:rPr>
                <w:sz w:val="13"/>
              </w:rPr>
              <w:t>)</w:t>
            </w:r>
          </w:p>
        </w:tc>
        <w:tc>
          <w:tcPr>
            <w:tcW w:w="686" w:type="dxa"/>
          </w:tcPr>
          <w:p>
            <w:pPr>
              <w:pStyle w:val="TableParagraph"/>
              <w:rPr>
                <w:rFonts w:ascii="Times New Roman"/>
                <w:sz w:val="12"/>
              </w:rPr>
            </w:pPr>
          </w:p>
        </w:tc>
        <w:tc>
          <w:tcPr>
            <w:tcW w:w="756" w:type="dxa"/>
          </w:tcPr>
          <w:p>
            <w:pPr>
              <w:pStyle w:val="TableParagraph"/>
              <w:spacing w:before="27"/>
              <w:ind w:left="63" w:right="185"/>
              <w:jc w:val="center"/>
              <w:rPr>
                <w:sz w:val="13"/>
              </w:rPr>
            </w:pPr>
            <w:r>
              <w:rPr>
                <w:sz w:val="13"/>
              </w:rPr>
              <w:t>0.5</w:t>
            </w:r>
          </w:p>
        </w:tc>
        <w:tc>
          <w:tcPr>
            <w:tcW w:w="797" w:type="dxa"/>
          </w:tcPr>
          <w:p>
            <w:pPr>
              <w:pStyle w:val="TableParagraph"/>
              <w:spacing w:before="27"/>
              <w:ind w:left="207"/>
              <w:rPr>
                <w:sz w:val="13"/>
              </w:rPr>
            </w:pPr>
            <w:r>
              <w:rPr>
                <w:sz w:val="13"/>
              </w:rPr>
              <w:t>1.5</w:t>
            </w:r>
          </w:p>
        </w:tc>
        <w:tc>
          <w:tcPr>
            <w:tcW w:w="704" w:type="dxa"/>
          </w:tcPr>
          <w:p>
            <w:pPr>
              <w:pStyle w:val="TableParagraph"/>
              <w:spacing w:before="27"/>
              <w:ind w:left="150"/>
              <w:rPr>
                <w:sz w:val="13"/>
              </w:rPr>
            </w:pPr>
            <w:r>
              <w:rPr>
                <w:sz w:val="13"/>
              </w:rPr>
              <w:t>2.1</w:t>
            </w:r>
          </w:p>
        </w:tc>
        <w:tc>
          <w:tcPr>
            <w:tcW w:w="771" w:type="dxa"/>
          </w:tcPr>
          <w:p>
            <w:pPr>
              <w:pStyle w:val="TableParagraph"/>
              <w:spacing w:before="27"/>
              <w:ind w:left="181"/>
              <w:rPr>
                <w:sz w:val="13"/>
              </w:rPr>
            </w:pPr>
            <w:r>
              <w:rPr>
                <w:sz w:val="13"/>
              </w:rPr>
              <w:t>3.1</w:t>
            </w:r>
          </w:p>
        </w:tc>
        <w:tc>
          <w:tcPr>
            <w:tcW w:w="704" w:type="dxa"/>
          </w:tcPr>
          <w:p>
            <w:pPr>
              <w:pStyle w:val="TableParagraph"/>
              <w:spacing w:before="27"/>
              <w:ind w:left="149"/>
              <w:rPr>
                <w:sz w:val="13"/>
              </w:rPr>
            </w:pPr>
            <w:r>
              <w:rPr>
                <w:sz w:val="13"/>
              </w:rPr>
              <w:t>4.5</w:t>
            </w:r>
          </w:p>
        </w:tc>
        <w:tc>
          <w:tcPr>
            <w:tcW w:w="771" w:type="dxa"/>
          </w:tcPr>
          <w:p>
            <w:pPr>
              <w:pStyle w:val="TableParagraph"/>
              <w:spacing w:before="27"/>
              <w:ind w:left="180"/>
              <w:rPr>
                <w:sz w:val="13"/>
              </w:rPr>
            </w:pPr>
            <w:r>
              <w:rPr>
                <w:sz w:val="13"/>
              </w:rPr>
              <w:t>11.4</w:t>
            </w:r>
          </w:p>
        </w:tc>
        <w:tc>
          <w:tcPr>
            <w:tcW w:w="723" w:type="dxa"/>
          </w:tcPr>
          <w:p>
            <w:pPr>
              <w:pStyle w:val="TableParagraph"/>
              <w:spacing w:before="27"/>
              <w:ind w:left="148"/>
              <w:rPr>
                <w:sz w:val="13"/>
              </w:rPr>
            </w:pPr>
            <w:r>
              <w:rPr>
                <w:sz w:val="13"/>
              </w:rPr>
              <w:t>16.4</w:t>
            </w:r>
          </w:p>
        </w:tc>
        <w:tc>
          <w:tcPr>
            <w:tcW w:w="752" w:type="dxa"/>
          </w:tcPr>
          <w:p>
            <w:pPr>
              <w:pStyle w:val="TableParagraph"/>
              <w:spacing w:before="27"/>
              <w:ind w:left="160"/>
              <w:rPr>
                <w:sz w:val="13"/>
              </w:rPr>
            </w:pPr>
            <w:r>
              <w:rPr>
                <w:sz w:val="13"/>
              </w:rPr>
              <w:t>22.8</w:t>
            </w:r>
          </w:p>
        </w:tc>
        <w:tc>
          <w:tcPr>
            <w:tcW w:w="723" w:type="dxa"/>
          </w:tcPr>
          <w:p>
            <w:pPr>
              <w:pStyle w:val="TableParagraph"/>
              <w:spacing w:before="27"/>
              <w:ind w:left="148"/>
              <w:rPr>
                <w:sz w:val="13"/>
              </w:rPr>
            </w:pPr>
            <w:r>
              <w:rPr>
                <w:sz w:val="13"/>
              </w:rPr>
              <w:t>30.7</w:t>
            </w:r>
          </w:p>
        </w:tc>
        <w:tc>
          <w:tcPr>
            <w:tcW w:w="810" w:type="dxa"/>
          </w:tcPr>
          <w:p>
            <w:pPr>
              <w:pStyle w:val="TableParagraph"/>
              <w:spacing w:before="27"/>
              <w:ind w:left="159"/>
              <w:rPr>
                <w:sz w:val="13"/>
              </w:rPr>
            </w:pPr>
            <w:r>
              <w:rPr>
                <w:sz w:val="13"/>
              </w:rPr>
              <w:t>40.3</w:t>
            </w:r>
          </w:p>
        </w:tc>
      </w:tr>
      <w:tr>
        <w:trPr>
          <w:trHeight w:val="204" w:hRule="atLeast"/>
        </w:trPr>
        <w:tc>
          <w:tcPr>
            <w:tcW w:w="2475" w:type="dxa"/>
          </w:tcPr>
          <w:p>
            <w:pPr>
              <w:pStyle w:val="TableParagraph"/>
              <w:spacing w:line="173" w:lineRule="exact" w:before="12"/>
              <w:ind w:left="139"/>
              <w:rPr>
                <w:sz w:val="13"/>
              </w:rPr>
            </w:pPr>
            <w:r>
              <w:rPr>
                <w:sz w:val="13"/>
              </w:rPr>
              <w:t>BCMA CAR-T </w:t>
            </w:r>
            <w:r>
              <w:rPr>
                <w:rFonts w:ascii="PMingLiU" w:eastAsia="PMingLiU" w:hint="eastAsia"/>
                <w:sz w:val="13"/>
              </w:rPr>
              <w:t>定价 </w:t>
            </w:r>
            <w:r>
              <w:rPr>
                <w:sz w:val="13"/>
              </w:rPr>
              <w:t>(</w:t>
            </w:r>
            <w:r>
              <w:rPr>
                <w:rFonts w:ascii="PMingLiU" w:eastAsia="PMingLiU" w:hint="eastAsia"/>
                <w:sz w:val="13"/>
              </w:rPr>
              <w:t>万美元</w:t>
            </w:r>
            <w:r>
              <w:rPr>
                <w:sz w:val="13"/>
              </w:rPr>
              <w:t>)</w:t>
            </w:r>
          </w:p>
        </w:tc>
        <w:tc>
          <w:tcPr>
            <w:tcW w:w="686" w:type="dxa"/>
          </w:tcPr>
          <w:p>
            <w:pPr>
              <w:pStyle w:val="TableParagraph"/>
              <w:rPr>
                <w:rFonts w:ascii="Times New Roman"/>
                <w:sz w:val="14"/>
              </w:rPr>
            </w:pPr>
          </w:p>
        </w:tc>
        <w:tc>
          <w:tcPr>
            <w:tcW w:w="756" w:type="dxa"/>
          </w:tcPr>
          <w:p>
            <w:pPr>
              <w:pStyle w:val="TableParagraph"/>
              <w:spacing w:before="24"/>
              <w:ind w:left="135" w:right="185"/>
              <w:jc w:val="center"/>
              <w:rPr>
                <w:sz w:val="13"/>
              </w:rPr>
            </w:pPr>
            <w:r>
              <w:rPr>
                <w:sz w:val="13"/>
              </w:rPr>
              <w:t>42.0</w:t>
            </w:r>
          </w:p>
        </w:tc>
        <w:tc>
          <w:tcPr>
            <w:tcW w:w="797" w:type="dxa"/>
          </w:tcPr>
          <w:p>
            <w:pPr>
              <w:pStyle w:val="TableParagraph"/>
              <w:spacing w:before="24"/>
              <w:ind w:left="207"/>
              <w:rPr>
                <w:sz w:val="13"/>
              </w:rPr>
            </w:pPr>
            <w:r>
              <w:rPr>
                <w:sz w:val="13"/>
              </w:rPr>
              <w:t>44.2</w:t>
            </w:r>
          </w:p>
        </w:tc>
        <w:tc>
          <w:tcPr>
            <w:tcW w:w="704" w:type="dxa"/>
          </w:tcPr>
          <w:p>
            <w:pPr>
              <w:pStyle w:val="TableParagraph"/>
              <w:spacing w:before="24"/>
              <w:ind w:left="150"/>
              <w:rPr>
                <w:sz w:val="13"/>
              </w:rPr>
            </w:pPr>
            <w:r>
              <w:rPr>
                <w:sz w:val="13"/>
              </w:rPr>
              <w:t>42.9</w:t>
            </w:r>
          </w:p>
        </w:tc>
        <w:tc>
          <w:tcPr>
            <w:tcW w:w="771" w:type="dxa"/>
          </w:tcPr>
          <w:p>
            <w:pPr>
              <w:pStyle w:val="TableParagraph"/>
              <w:spacing w:before="24"/>
              <w:ind w:left="181"/>
              <w:rPr>
                <w:sz w:val="13"/>
              </w:rPr>
            </w:pPr>
            <w:r>
              <w:rPr>
                <w:sz w:val="13"/>
              </w:rPr>
              <w:t>41.6</w:t>
            </w:r>
          </w:p>
        </w:tc>
        <w:tc>
          <w:tcPr>
            <w:tcW w:w="704" w:type="dxa"/>
          </w:tcPr>
          <w:p>
            <w:pPr>
              <w:pStyle w:val="TableParagraph"/>
              <w:spacing w:before="24"/>
              <w:ind w:left="149"/>
              <w:rPr>
                <w:sz w:val="13"/>
              </w:rPr>
            </w:pPr>
            <w:r>
              <w:rPr>
                <w:sz w:val="13"/>
              </w:rPr>
              <w:t>40.3</w:t>
            </w:r>
          </w:p>
        </w:tc>
        <w:tc>
          <w:tcPr>
            <w:tcW w:w="771" w:type="dxa"/>
          </w:tcPr>
          <w:p>
            <w:pPr>
              <w:pStyle w:val="TableParagraph"/>
              <w:spacing w:before="24"/>
              <w:ind w:left="180"/>
              <w:rPr>
                <w:sz w:val="13"/>
              </w:rPr>
            </w:pPr>
            <w:r>
              <w:rPr>
                <w:sz w:val="13"/>
              </w:rPr>
              <w:t>36.3</w:t>
            </w:r>
          </w:p>
        </w:tc>
        <w:tc>
          <w:tcPr>
            <w:tcW w:w="723" w:type="dxa"/>
          </w:tcPr>
          <w:p>
            <w:pPr>
              <w:pStyle w:val="TableParagraph"/>
              <w:spacing w:before="24"/>
              <w:ind w:left="148"/>
              <w:rPr>
                <w:sz w:val="13"/>
              </w:rPr>
            </w:pPr>
            <w:r>
              <w:rPr>
                <w:sz w:val="13"/>
              </w:rPr>
              <w:t>32.7</w:t>
            </w:r>
          </w:p>
        </w:tc>
        <w:tc>
          <w:tcPr>
            <w:tcW w:w="752" w:type="dxa"/>
          </w:tcPr>
          <w:p>
            <w:pPr>
              <w:pStyle w:val="TableParagraph"/>
              <w:spacing w:before="24"/>
              <w:ind w:left="160"/>
              <w:rPr>
                <w:sz w:val="13"/>
              </w:rPr>
            </w:pPr>
            <w:r>
              <w:rPr>
                <w:sz w:val="13"/>
              </w:rPr>
              <w:t>29.4</w:t>
            </w:r>
          </w:p>
        </w:tc>
        <w:tc>
          <w:tcPr>
            <w:tcW w:w="723" w:type="dxa"/>
          </w:tcPr>
          <w:p>
            <w:pPr>
              <w:pStyle w:val="TableParagraph"/>
              <w:spacing w:before="24"/>
              <w:ind w:left="148"/>
              <w:rPr>
                <w:sz w:val="13"/>
              </w:rPr>
            </w:pPr>
            <w:r>
              <w:rPr>
                <w:sz w:val="13"/>
              </w:rPr>
              <w:t>26.5</w:t>
            </w:r>
          </w:p>
        </w:tc>
        <w:tc>
          <w:tcPr>
            <w:tcW w:w="810" w:type="dxa"/>
          </w:tcPr>
          <w:p>
            <w:pPr>
              <w:pStyle w:val="TableParagraph"/>
              <w:spacing w:before="24"/>
              <w:ind w:left="159"/>
              <w:rPr>
                <w:sz w:val="13"/>
              </w:rPr>
            </w:pPr>
            <w:r>
              <w:rPr>
                <w:sz w:val="13"/>
              </w:rPr>
              <w:t>23.8</w:t>
            </w:r>
          </w:p>
        </w:tc>
      </w:tr>
      <w:tr>
        <w:trPr>
          <w:trHeight w:val="196" w:hRule="atLeast"/>
        </w:trPr>
        <w:tc>
          <w:tcPr>
            <w:tcW w:w="2475" w:type="dxa"/>
          </w:tcPr>
          <w:p>
            <w:pPr>
              <w:pStyle w:val="TableParagraph"/>
              <w:spacing w:line="136" w:lineRule="exact" w:before="41"/>
              <w:ind w:left="139"/>
              <w:rPr>
                <w:i/>
                <w:sz w:val="13"/>
              </w:rPr>
            </w:pPr>
            <w:r>
              <w:rPr>
                <w:i/>
                <w:sz w:val="13"/>
              </w:rPr>
              <w:t>YoY</w:t>
            </w:r>
          </w:p>
        </w:tc>
        <w:tc>
          <w:tcPr>
            <w:tcW w:w="686" w:type="dxa"/>
          </w:tcPr>
          <w:p>
            <w:pPr>
              <w:pStyle w:val="TableParagraph"/>
              <w:rPr>
                <w:rFonts w:ascii="Times New Roman"/>
                <w:sz w:val="12"/>
              </w:rPr>
            </w:pPr>
          </w:p>
        </w:tc>
        <w:tc>
          <w:tcPr>
            <w:tcW w:w="756" w:type="dxa"/>
          </w:tcPr>
          <w:p>
            <w:pPr>
              <w:pStyle w:val="TableParagraph"/>
              <w:rPr>
                <w:rFonts w:ascii="Times New Roman"/>
                <w:sz w:val="12"/>
              </w:rPr>
            </w:pPr>
          </w:p>
        </w:tc>
        <w:tc>
          <w:tcPr>
            <w:tcW w:w="797" w:type="dxa"/>
          </w:tcPr>
          <w:p>
            <w:pPr>
              <w:pStyle w:val="TableParagraph"/>
              <w:spacing w:before="17"/>
              <w:ind w:left="207"/>
              <w:rPr>
                <w:sz w:val="13"/>
              </w:rPr>
            </w:pPr>
            <w:r>
              <w:rPr>
                <w:sz w:val="13"/>
              </w:rPr>
              <w:t>5.4%</w:t>
            </w:r>
          </w:p>
        </w:tc>
        <w:tc>
          <w:tcPr>
            <w:tcW w:w="704" w:type="dxa"/>
          </w:tcPr>
          <w:p>
            <w:pPr>
              <w:pStyle w:val="TableParagraph"/>
              <w:spacing w:before="17"/>
              <w:ind w:left="150"/>
              <w:rPr>
                <w:sz w:val="13"/>
              </w:rPr>
            </w:pPr>
            <w:r>
              <w:rPr>
                <w:sz w:val="13"/>
              </w:rPr>
              <w:t>-3.0%</w:t>
            </w:r>
          </w:p>
        </w:tc>
        <w:tc>
          <w:tcPr>
            <w:tcW w:w="771" w:type="dxa"/>
          </w:tcPr>
          <w:p>
            <w:pPr>
              <w:pStyle w:val="TableParagraph"/>
              <w:spacing w:before="17"/>
              <w:ind w:left="181"/>
              <w:rPr>
                <w:sz w:val="13"/>
              </w:rPr>
            </w:pPr>
            <w:r>
              <w:rPr>
                <w:sz w:val="13"/>
              </w:rPr>
              <w:t>-3.0%</w:t>
            </w:r>
          </w:p>
        </w:tc>
        <w:tc>
          <w:tcPr>
            <w:tcW w:w="704" w:type="dxa"/>
          </w:tcPr>
          <w:p>
            <w:pPr>
              <w:pStyle w:val="TableParagraph"/>
              <w:spacing w:before="17"/>
              <w:ind w:left="149"/>
              <w:rPr>
                <w:sz w:val="13"/>
              </w:rPr>
            </w:pPr>
            <w:r>
              <w:rPr>
                <w:sz w:val="13"/>
              </w:rPr>
              <w:t>-3.0%</w:t>
            </w:r>
          </w:p>
        </w:tc>
        <w:tc>
          <w:tcPr>
            <w:tcW w:w="771" w:type="dxa"/>
          </w:tcPr>
          <w:p>
            <w:pPr>
              <w:pStyle w:val="TableParagraph"/>
              <w:spacing w:before="17"/>
              <w:ind w:left="180"/>
              <w:rPr>
                <w:sz w:val="13"/>
              </w:rPr>
            </w:pPr>
            <w:r>
              <w:rPr>
                <w:sz w:val="13"/>
              </w:rPr>
              <w:t>-10.0%</w:t>
            </w:r>
          </w:p>
        </w:tc>
        <w:tc>
          <w:tcPr>
            <w:tcW w:w="723" w:type="dxa"/>
          </w:tcPr>
          <w:p>
            <w:pPr>
              <w:pStyle w:val="TableParagraph"/>
              <w:spacing w:before="17"/>
              <w:ind w:left="148"/>
              <w:rPr>
                <w:sz w:val="13"/>
              </w:rPr>
            </w:pPr>
            <w:r>
              <w:rPr>
                <w:sz w:val="13"/>
              </w:rPr>
              <w:t>-10.0%</w:t>
            </w:r>
          </w:p>
        </w:tc>
        <w:tc>
          <w:tcPr>
            <w:tcW w:w="752" w:type="dxa"/>
          </w:tcPr>
          <w:p>
            <w:pPr>
              <w:pStyle w:val="TableParagraph"/>
              <w:spacing w:before="17"/>
              <w:ind w:left="160"/>
              <w:rPr>
                <w:sz w:val="13"/>
              </w:rPr>
            </w:pPr>
            <w:r>
              <w:rPr>
                <w:sz w:val="13"/>
              </w:rPr>
              <w:t>-10.0%</w:t>
            </w:r>
          </w:p>
        </w:tc>
        <w:tc>
          <w:tcPr>
            <w:tcW w:w="723" w:type="dxa"/>
          </w:tcPr>
          <w:p>
            <w:pPr>
              <w:pStyle w:val="TableParagraph"/>
              <w:spacing w:before="17"/>
              <w:ind w:left="148"/>
              <w:rPr>
                <w:sz w:val="13"/>
              </w:rPr>
            </w:pPr>
            <w:r>
              <w:rPr>
                <w:sz w:val="13"/>
              </w:rPr>
              <w:t>-10.0%</w:t>
            </w:r>
          </w:p>
        </w:tc>
        <w:tc>
          <w:tcPr>
            <w:tcW w:w="810" w:type="dxa"/>
          </w:tcPr>
          <w:p>
            <w:pPr>
              <w:pStyle w:val="TableParagraph"/>
              <w:spacing w:before="17"/>
              <w:ind w:left="159"/>
              <w:rPr>
                <w:sz w:val="13"/>
              </w:rPr>
            </w:pPr>
            <w:r>
              <w:rPr>
                <w:sz w:val="13"/>
              </w:rPr>
              <w:t>-10.0%</w:t>
            </w:r>
          </w:p>
        </w:tc>
      </w:tr>
      <w:tr>
        <w:trPr>
          <w:trHeight w:val="199" w:hRule="atLeast"/>
        </w:trPr>
        <w:tc>
          <w:tcPr>
            <w:tcW w:w="2475" w:type="dxa"/>
          </w:tcPr>
          <w:p>
            <w:pPr>
              <w:pStyle w:val="TableParagraph"/>
              <w:spacing w:line="179" w:lineRule="exact"/>
              <w:ind w:left="139"/>
              <w:rPr>
                <w:b/>
                <w:sz w:val="13"/>
              </w:rPr>
            </w:pPr>
            <w:r>
              <w:rPr>
                <w:b/>
                <w:sz w:val="13"/>
              </w:rPr>
              <w:t>BCMA CAR-T </w:t>
            </w:r>
            <w:r>
              <w:rPr>
                <w:rFonts w:ascii="Microsoft JhengHei UI" w:eastAsia="Microsoft JhengHei UI" w:hint="eastAsia"/>
                <w:b/>
                <w:sz w:val="13"/>
              </w:rPr>
              <w:t>美国市场规模 </w:t>
            </w:r>
            <w:r>
              <w:rPr>
                <w:b/>
                <w:sz w:val="13"/>
              </w:rPr>
              <w:t>(</w:t>
            </w:r>
            <w:r>
              <w:rPr>
                <w:rFonts w:ascii="Microsoft JhengHei UI" w:eastAsia="Microsoft JhengHei UI" w:hint="eastAsia"/>
                <w:b/>
                <w:sz w:val="13"/>
              </w:rPr>
              <w:t>亿美元</w:t>
            </w:r>
            <w:r>
              <w:rPr>
                <w:b/>
                <w:sz w:val="13"/>
              </w:rPr>
              <w:t>)</w:t>
            </w:r>
          </w:p>
        </w:tc>
        <w:tc>
          <w:tcPr>
            <w:tcW w:w="686" w:type="dxa"/>
          </w:tcPr>
          <w:p>
            <w:pPr>
              <w:pStyle w:val="TableParagraph"/>
              <w:rPr>
                <w:rFonts w:ascii="Times New Roman"/>
                <w:sz w:val="12"/>
              </w:rPr>
            </w:pPr>
          </w:p>
        </w:tc>
        <w:tc>
          <w:tcPr>
            <w:tcW w:w="756" w:type="dxa"/>
          </w:tcPr>
          <w:p>
            <w:pPr>
              <w:pStyle w:val="TableParagraph"/>
              <w:spacing w:before="17"/>
              <w:ind w:left="63" w:right="185"/>
              <w:jc w:val="center"/>
              <w:rPr>
                <w:b/>
                <w:sz w:val="13"/>
              </w:rPr>
            </w:pPr>
            <w:r>
              <w:rPr>
                <w:b/>
                <w:sz w:val="13"/>
              </w:rPr>
              <w:t>2.2</w:t>
            </w:r>
          </w:p>
        </w:tc>
        <w:tc>
          <w:tcPr>
            <w:tcW w:w="797" w:type="dxa"/>
          </w:tcPr>
          <w:p>
            <w:pPr>
              <w:pStyle w:val="TableParagraph"/>
              <w:spacing w:before="17"/>
              <w:ind w:left="207"/>
              <w:rPr>
                <w:b/>
                <w:sz w:val="13"/>
              </w:rPr>
            </w:pPr>
            <w:r>
              <w:rPr>
                <w:b/>
                <w:sz w:val="13"/>
              </w:rPr>
              <w:t>6.5</w:t>
            </w:r>
          </w:p>
        </w:tc>
        <w:tc>
          <w:tcPr>
            <w:tcW w:w="704" w:type="dxa"/>
          </w:tcPr>
          <w:p>
            <w:pPr>
              <w:pStyle w:val="TableParagraph"/>
              <w:spacing w:before="17"/>
              <w:ind w:left="150"/>
              <w:rPr>
                <w:b/>
                <w:sz w:val="13"/>
              </w:rPr>
            </w:pPr>
            <w:r>
              <w:rPr>
                <w:b/>
                <w:sz w:val="13"/>
              </w:rPr>
              <w:t>9.2</w:t>
            </w:r>
          </w:p>
        </w:tc>
        <w:tc>
          <w:tcPr>
            <w:tcW w:w="771" w:type="dxa"/>
          </w:tcPr>
          <w:p>
            <w:pPr>
              <w:pStyle w:val="TableParagraph"/>
              <w:spacing w:before="17"/>
              <w:ind w:left="181"/>
              <w:rPr>
                <w:b/>
                <w:sz w:val="13"/>
              </w:rPr>
            </w:pPr>
            <w:r>
              <w:rPr>
                <w:b/>
                <w:sz w:val="13"/>
              </w:rPr>
              <w:t>12.8</w:t>
            </w:r>
          </w:p>
        </w:tc>
        <w:tc>
          <w:tcPr>
            <w:tcW w:w="704" w:type="dxa"/>
          </w:tcPr>
          <w:p>
            <w:pPr>
              <w:pStyle w:val="TableParagraph"/>
              <w:spacing w:before="17"/>
              <w:ind w:left="149"/>
              <w:rPr>
                <w:b/>
                <w:sz w:val="13"/>
              </w:rPr>
            </w:pPr>
            <w:r>
              <w:rPr>
                <w:b/>
                <w:sz w:val="13"/>
              </w:rPr>
              <w:t>18.1</w:t>
            </w:r>
          </w:p>
        </w:tc>
        <w:tc>
          <w:tcPr>
            <w:tcW w:w="771" w:type="dxa"/>
          </w:tcPr>
          <w:p>
            <w:pPr>
              <w:pStyle w:val="TableParagraph"/>
              <w:spacing w:before="17"/>
              <w:ind w:left="180"/>
              <w:rPr>
                <w:b/>
                <w:sz w:val="13"/>
              </w:rPr>
            </w:pPr>
            <w:r>
              <w:rPr>
                <w:b/>
                <w:sz w:val="13"/>
              </w:rPr>
              <w:t>41.5</w:t>
            </w:r>
          </w:p>
        </w:tc>
        <w:tc>
          <w:tcPr>
            <w:tcW w:w="723" w:type="dxa"/>
          </w:tcPr>
          <w:p>
            <w:pPr>
              <w:pStyle w:val="TableParagraph"/>
              <w:spacing w:before="17"/>
              <w:ind w:left="148"/>
              <w:rPr>
                <w:b/>
                <w:sz w:val="13"/>
              </w:rPr>
            </w:pPr>
            <w:r>
              <w:rPr>
                <w:b/>
                <w:sz w:val="13"/>
              </w:rPr>
              <w:t>53.5</w:t>
            </w:r>
          </w:p>
        </w:tc>
        <w:tc>
          <w:tcPr>
            <w:tcW w:w="752" w:type="dxa"/>
          </w:tcPr>
          <w:p>
            <w:pPr>
              <w:pStyle w:val="TableParagraph"/>
              <w:spacing w:before="17"/>
              <w:ind w:left="160"/>
              <w:rPr>
                <w:b/>
                <w:sz w:val="13"/>
              </w:rPr>
            </w:pPr>
            <w:r>
              <w:rPr>
                <w:b/>
                <w:sz w:val="13"/>
              </w:rPr>
              <w:t>66.9</w:t>
            </w:r>
          </w:p>
        </w:tc>
        <w:tc>
          <w:tcPr>
            <w:tcW w:w="723" w:type="dxa"/>
          </w:tcPr>
          <w:p>
            <w:pPr>
              <w:pStyle w:val="TableParagraph"/>
              <w:spacing w:before="17"/>
              <w:ind w:left="148"/>
              <w:rPr>
                <w:b/>
                <w:sz w:val="13"/>
              </w:rPr>
            </w:pPr>
            <w:r>
              <w:rPr>
                <w:b/>
                <w:sz w:val="13"/>
              </w:rPr>
              <w:t>81.3</w:t>
            </w:r>
          </w:p>
        </w:tc>
        <w:tc>
          <w:tcPr>
            <w:tcW w:w="810" w:type="dxa"/>
          </w:tcPr>
          <w:p>
            <w:pPr>
              <w:pStyle w:val="TableParagraph"/>
              <w:spacing w:before="17"/>
              <w:ind w:left="159"/>
              <w:rPr>
                <w:b/>
                <w:sz w:val="13"/>
              </w:rPr>
            </w:pPr>
            <w:r>
              <w:rPr>
                <w:b/>
                <w:sz w:val="13"/>
              </w:rPr>
              <w:t>95.9</w:t>
            </w:r>
          </w:p>
        </w:tc>
      </w:tr>
      <w:tr>
        <w:trPr>
          <w:trHeight w:val="194" w:hRule="atLeast"/>
        </w:trPr>
        <w:tc>
          <w:tcPr>
            <w:tcW w:w="2475" w:type="dxa"/>
          </w:tcPr>
          <w:p>
            <w:pPr>
              <w:pStyle w:val="TableParagraph"/>
              <w:spacing w:line="131" w:lineRule="exact" w:before="43"/>
              <w:ind w:left="139"/>
              <w:rPr>
                <w:i/>
                <w:sz w:val="13"/>
              </w:rPr>
            </w:pPr>
            <w:r>
              <w:rPr>
                <w:i/>
                <w:sz w:val="13"/>
              </w:rPr>
              <w:t>YoY</w:t>
            </w:r>
          </w:p>
        </w:tc>
        <w:tc>
          <w:tcPr>
            <w:tcW w:w="686" w:type="dxa"/>
          </w:tcPr>
          <w:p>
            <w:pPr>
              <w:pStyle w:val="TableParagraph"/>
              <w:rPr>
                <w:rFonts w:ascii="Times New Roman"/>
                <w:sz w:val="12"/>
              </w:rPr>
            </w:pPr>
          </w:p>
        </w:tc>
        <w:tc>
          <w:tcPr>
            <w:tcW w:w="756" w:type="dxa"/>
          </w:tcPr>
          <w:p>
            <w:pPr>
              <w:pStyle w:val="TableParagraph"/>
              <w:rPr>
                <w:rFonts w:ascii="Times New Roman"/>
                <w:sz w:val="12"/>
              </w:rPr>
            </w:pPr>
          </w:p>
        </w:tc>
        <w:tc>
          <w:tcPr>
            <w:tcW w:w="797" w:type="dxa"/>
          </w:tcPr>
          <w:p>
            <w:pPr>
              <w:pStyle w:val="TableParagraph"/>
              <w:spacing w:before="19"/>
              <w:ind w:left="207"/>
              <w:rPr>
                <w:sz w:val="13"/>
              </w:rPr>
            </w:pPr>
            <w:r>
              <w:rPr>
                <w:sz w:val="13"/>
              </w:rPr>
              <w:t>196.7%</w:t>
            </w:r>
          </w:p>
        </w:tc>
        <w:tc>
          <w:tcPr>
            <w:tcW w:w="704" w:type="dxa"/>
          </w:tcPr>
          <w:p>
            <w:pPr>
              <w:pStyle w:val="TableParagraph"/>
              <w:spacing w:before="19"/>
              <w:ind w:left="150"/>
              <w:rPr>
                <w:sz w:val="13"/>
              </w:rPr>
            </w:pPr>
            <w:r>
              <w:rPr>
                <w:sz w:val="13"/>
              </w:rPr>
              <w:t>41.8%</w:t>
            </w:r>
          </w:p>
        </w:tc>
        <w:tc>
          <w:tcPr>
            <w:tcW w:w="771" w:type="dxa"/>
          </w:tcPr>
          <w:p>
            <w:pPr>
              <w:pStyle w:val="TableParagraph"/>
              <w:spacing w:before="19"/>
              <w:ind w:left="181"/>
              <w:rPr>
                <w:sz w:val="13"/>
              </w:rPr>
            </w:pPr>
            <w:r>
              <w:rPr>
                <w:sz w:val="13"/>
              </w:rPr>
              <w:t>38.9%</w:t>
            </w:r>
          </w:p>
        </w:tc>
        <w:tc>
          <w:tcPr>
            <w:tcW w:w="704" w:type="dxa"/>
          </w:tcPr>
          <w:p>
            <w:pPr>
              <w:pStyle w:val="TableParagraph"/>
              <w:spacing w:before="19"/>
              <w:ind w:left="149"/>
              <w:rPr>
                <w:sz w:val="13"/>
              </w:rPr>
            </w:pPr>
            <w:r>
              <w:rPr>
                <w:sz w:val="13"/>
              </w:rPr>
              <w:t>41.5%</w:t>
            </w:r>
          </w:p>
        </w:tc>
        <w:tc>
          <w:tcPr>
            <w:tcW w:w="771" w:type="dxa"/>
          </w:tcPr>
          <w:p>
            <w:pPr>
              <w:pStyle w:val="TableParagraph"/>
              <w:spacing w:before="19"/>
              <w:ind w:left="180"/>
              <w:rPr>
                <w:sz w:val="13"/>
              </w:rPr>
            </w:pPr>
            <w:r>
              <w:rPr>
                <w:sz w:val="13"/>
              </w:rPr>
              <w:t>129.6%</w:t>
            </w:r>
          </w:p>
        </w:tc>
        <w:tc>
          <w:tcPr>
            <w:tcW w:w="723" w:type="dxa"/>
          </w:tcPr>
          <w:p>
            <w:pPr>
              <w:pStyle w:val="TableParagraph"/>
              <w:spacing w:before="19"/>
              <w:ind w:left="148"/>
              <w:rPr>
                <w:sz w:val="13"/>
              </w:rPr>
            </w:pPr>
            <w:r>
              <w:rPr>
                <w:sz w:val="13"/>
              </w:rPr>
              <w:t>28.9%</w:t>
            </w:r>
          </w:p>
        </w:tc>
        <w:tc>
          <w:tcPr>
            <w:tcW w:w="752" w:type="dxa"/>
          </w:tcPr>
          <w:p>
            <w:pPr>
              <w:pStyle w:val="TableParagraph"/>
              <w:spacing w:before="19"/>
              <w:ind w:left="160"/>
              <w:rPr>
                <w:sz w:val="13"/>
              </w:rPr>
            </w:pPr>
            <w:r>
              <w:rPr>
                <w:sz w:val="13"/>
              </w:rPr>
              <w:t>25.1%</w:t>
            </w:r>
          </w:p>
        </w:tc>
        <w:tc>
          <w:tcPr>
            <w:tcW w:w="723" w:type="dxa"/>
          </w:tcPr>
          <w:p>
            <w:pPr>
              <w:pStyle w:val="TableParagraph"/>
              <w:spacing w:before="19"/>
              <w:ind w:left="148"/>
              <w:rPr>
                <w:sz w:val="13"/>
              </w:rPr>
            </w:pPr>
            <w:r>
              <w:rPr>
                <w:sz w:val="13"/>
              </w:rPr>
              <w:t>21.5%</w:t>
            </w:r>
          </w:p>
        </w:tc>
        <w:tc>
          <w:tcPr>
            <w:tcW w:w="810" w:type="dxa"/>
          </w:tcPr>
          <w:p>
            <w:pPr>
              <w:pStyle w:val="TableParagraph"/>
              <w:spacing w:before="19"/>
              <w:ind w:left="159"/>
              <w:rPr>
                <w:sz w:val="13"/>
              </w:rPr>
            </w:pPr>
            <w:r>
              <w:rPr>
                <w:sz w:val="13"/>
              </w:rPr>
              <w:t>17.9%</w:t>
            </w:r>
          </w:p>
        </w:tc>
      </w:tr>
      <w:tr>
        <w:trPr>
          <w:trHeight w:val="196" w:hRule="atLeast"/>
        </w:trPr>
        <w:tc>
          <w:tcPr>
            <w:tcW w:w="2475" w:type="dxa"/>
            <w:shd w:val="clear" w:color="auto" w:fill="F4AF84"/>
          </w:tcPr>
          <w:p>
            <w:pPr>
              <w:pStyle w:val="TableParagraph"/>
              <w:spacing w:line="168" w:lineRule="exact" w:before="9"/>
              <w:ind w:left="139"/>
              <w:rPr>
                <w:rFonts w:ascii="PMingLiU" w:eastAsia="PMingLiU" w:hint="eastAsia"/>
                <w:sz w:val="13"/>
              </w:rPr>
            </w:pPr>
            <w:r>
              <w:rPr>
                <w:rFonts w:ascii="PMingLiU" w:eastAsia="PMingLiU" w:hint="eastAsia"/>
                <w:sz w:val="13"/>
              </w:rPr>
              <w:t>中国</w:t>
            </w:r>
          </w:p>
        </w:tc>
        <w:tc>
          <w:tcPr>
            <w:tcW w:w="686" w:type="dxa"/>
            <w:shd w:val="clear" w:color="auto" w:fill="F4AF84"/>
          </w:tcPr>
          <w:p>
            <w:pPr>
              <w:pStyle w:val="TableParagraph"/>
              <w:rPr>
                <w:rFonts w:ascii="Times New Roman"/>
                <w:sz w:val="12"/>
              </w:rPr>
            </w:pPr>
          </w:p>
        </w:tc>
        <w:tc>
          <w:tcPr>
            <w:tcW w:w="756" w:type="dxa"/>
            <w:shd w:val="clear" w:color="auto" w:fill="F4AF84"/>
          </w:tcPr>
          <w:p>
            <w:pPr>
              <w:pStyle w:val="TableParagraph"/>
              <w:rPr>
                <w:rFonts w:ascii="Times New Roman"/>
                <w:sz w:val="12"/>
              </w:rPr>
            </w:pPr>
          </w:p>
        </w:tc>
        <w:tc>
          <w:tcPr>
            <w:tcW w:w="797" w:type="dxa"/>
            <w:shd w:val="clear" w:color="auto" w:fill="F4AF84"/>
          </w:tcPr>
          <w:p>
            <w:pPr>
              <w:pStyle w:val="TableParagraph"/>
              <w:rPr>
                <w:rFonts w:ascii="Times New Roman"/>
                <w:sz w:val="12"/>
              </w:rPr>
            </w:pPr>
          </w:p>
        </w:tc>
        <w:tc>
          <w:tcPr>
            <w:tcW w:w="704" w:type="dxa"/>
            <w:shd w:val="clear" w:color="auto" w:fill="F4AF84"/>
          </w:tcPr>
          <w:p>
            <w:pPr>
              <w:pStyle w:val="TableParagraph"/>
              <w:rPr>
                <w:rFonts w:ascii="Times New Roman"/>
                <w:sz w:val="12"/>
              </w:rPr>
            </w:pPr>
          </w:p>
        </w:tc>
        <w:tc>
          <w:tcPr>
            <w:tcW w:w="771" w:type="dxa"/>
            <w:shd w:val="clear" w:color="auto" w:fill="F4AF84"/>
          </w:tcPr>
          <w:p>
            <w:pPr>
              <w:pStyle w:val="TableParagraph"/>
              <w:rPr>
                <w:rFonts w:ascii="Times New Roman"/>
                <w:sz w:val="12"/>
              </w:rPr>
            </w:pPr>
          </w:p>
        </w:tc>
        <w:tc>
          <w:tcPr>
            <w:tcW w:w="704" w:type="dxa"/>
            <w:shd w:val="clear" w:color="auto" w:fill="F4AF84"/>
          </w:tcPr>
          <w:p>
            <w:pPr>
              <w:pStyle w:val="TableParagraph"/>
              <w:rPr>
                <w:rFonts w:ascii="Times New Roman"/>
                <w:sz w:val="12"/>
              </w:rPr>
            </w:pPr>
          </w:p>
        </w:tc>
        <w:tc>
          <w:tcPr>
            <w:tcW w:w="771" w:type="dxa"/>
            <w:shd w:val="clear" w:color="auto" w:fill="F4AF84"/>
          </w:tcPr>
          <w:p>
            <w:pPr>
              <w:pStyle w:val="TableParagraph"/>
              <w:rPr>
                <w:rFonts w:ascii="Times New Roman"/>
                <w:sz w:val="12"/>
              </w:rPr>
            </w:pPr>
          </w:p>
        </w:tc>
        <w:tc>
          <w:tcPr>
            <w:tcW w:w="723" w:type="dxa"/>
            <w:shd w:val="clear" w:color="auto" w:fill="F4AF84"/>
          </w:tcPr>
          <w:p>
            <w:pPr>
              <w:pStyle w:val="TableParagraph"/>
              <w:rPr>
                <w:rFonts w:ascii="Times New Roman"/>
                <w:sz w:val="12"/>
              </w:rPr>
            </w:pPr>
          </w:p>
        </w:tc>
        <w:tc>
          <w:tcPr>
            <w:tcW w:w="752" w:type="dxa"/>
            <w:shd w:val="clear" w:color="auto" w:fill="F4AF84"/>
          </w:tcPr>
          <w:p>
            <w:pPr>
              <w:pStyle w:val="TableParagraph"/>
              <w:rPr>
                <w:rFonts w:ascii="Times New Roman"/>
                <w:sz w:val="12"/>
              </w:rPr>
            </w:pPr>
          </w:p>
        </w:tc>
        <w:tc>
          <w:tcPr>
            <w:tcW w:w="723" w:type="dxa"/>
            <w:shd w:val="clear" w:color="auto" w:fill="F4AF84"/>
          </w:tcPr>
          <w:p>
            <w:pPr>
              <w:pStyle w:val="TableParagraph"/>
              <w:rPr>
                <w:rFonts w:ascii="Times New Roman"/>
                <w:sz w:val="12"/>
              </w:rPr>
            </w:pPr>
          </w:p>
        </w:tc>
        <w:tc>
          <w:tcPr>
            <w:tcW w:w="810" w:type="dxa"/>
            <w:shd w:val="clear" w:color="auto" w:fill="F4AF84"/>
          </w:tcPr>
          <w:p>
            <w:pPr>
              <w:pStyle w:val="TableParagraph"/>
              <w:rPr>
                <w:rFonts w:ascii="Times New Roman"/>
                <w:sz w:val="12"/>
              </w:rPr>
            </w:pPr>
          </w:p>
        </w:tc>
      </w:tr>
      <w:tr>
        <w:trPr>
          <w:trHeight w:val="194" w:hRule="atLeast"/>
        </w:trPr>
        <w:tc>
          <w:tcPr>
            <w:tcW w:w="2475" w:type="dxa"/>
          </w:tcPr>
          <w:p>
            <w:pPr>
              <w:pStyle w:val="TableParagraph"/>
              <w:spacing w:line="165" w:lineRule="exact" w:before="9"/>
              <w:ind w:left="139"/>
              <w:rPr>
                <w:rFonts w:ascii="PMingLiU" w:eastAsia="PMingLiU" w:hint="eastAsia"/>
                <w:sz w:val="13"/>
              </w:rPr>
            </w:pPr>
            <w:r>
              <w:rPr>
                <w:sz w:val="13"/>
              </w:rPr>
              <w:t>MM </w:t>
            </w:r>
            <w:r>
              <w:rPr>
                <w:rFonts w:ascii="PMingLiU" w:eastAsia="PMingLiU" w:hint="eastAsia"/>
                <w:sz w:val="13"/>
              </w:rPr>
              <w:t>新增患病人数</w:t>
            </w:r>
          </w:p>
        </w:tc>
        <w:tc>
          <w:tcPr>
            <w:tcW w:w="686" w:type="dxa"/>
          </w:tcPr>
          <w:p>
            <w:pPr>
              <w:pStyle w:val="TableParagraph"/>
              <w:spacing w:before="22"/>
              <w:ind w:left="175"/>
              <w:rPr>
                <w:sz w:val="13"/>
              </w:rPr>
            </w:pPr>
            <w:r>
              <w:rPr>
                <w:sz w:val="13"/>
              </w:rPr>
              <w:t>21.1</w:t>
            </w:r>
          </w:p>
        </w:tc>
        <w:tc>
          <w:tcPr>
            <w:tcW w:w="756" w:type="dxa"/>
          </w:tcPr>
          <w:p>
            <w:pPr>
              <w:pStyle w:val="TableParagraph"/>
              <w:spacing w:before="22"/>
              <w:ind w:left="135" w:right="185"/>
              <w:jc w:val="center"/>
              <w:rPr>
                <w:sz w:val="13"/>
              </w:rPr>
            </w:pPr>
            <w:r>
              <w:rPr>
                <w:sz w:val="13"/>
              </w:rPr>
              <w:t>21.8</w:t>
            </w:r>
          </w:p>
        </w:tc>
        <w:tc>
          <w:tcPr>
            <w:tcW w:w="797" w:type="dxa"/>
          </w:tcPr>
          <w:p>
            <w:pPr>
              <w:pStyle w:val="TableParagraph"/>
              <w:spacing w:before="22"/>
              <w:ind w:left="207"/>
              <w:rPr>
                <w:sz w:val="13"/>
              </w:rPr>
            </w:pPr>
            <w:r>
              <w:rPr>
                <w:sz w:val="13"/>
              </w:rPr>
              <w:t>22.5</w:t>
            </w:r>
          </w:p>
        </w:tc>
        <w:tc>
          <w:tcPr>
            <w:tcW w:w="704" w:type="dxa"/>
          </w:tcPr>
          <w:p>
            <w:pPr>
              <w:pStyle w:val="TableParagraph"/>
              <w:spacing w:before="22"/>
              <w:ind w:left="150"/>
              <w:rPr>
                <w:sz w:val="13"/>
              </w:rPr>
            </w:pPr>
            <w:r>
              <w:rPr>
                <w:sz w:val="13"/>
              </w:rPr>
              <w:t>23.1</w:t>
            </w:r>
          </w:p>
        </w:tc>
        <w:tc>
          <w:tcPr>
            <w:tcW w:w="771" w:type="dxa"/>
          </w:tcPr>
          <w:p>
            <w:pPr>
              <w:pStyle w:val="TableParagraph"/>
              <w:spacing w:before="22"/>
              <w:ind w:left="181"/>
              <w:rPr>
                <w:sz w:val="13"/>
              </w:rPr>
            </w:pPr>
            <w:r>
              <w:rPr>
                <w:sz w:val="13"/>
              </w:rPr>
              <w:t>23.9</w:t>
            </w:r>
          </w:p>
        </w:tc>
        <w:tc>
          <w:tcPr>
            <w:tcW w:w="704" w:type="dxa"/>
          </w:tcPr>
          <w:p>
            <w:pPr>
              <w:pStyle w:val="TableParagraph"/>
              <w:spacing w:before="22"/>
              <w:ind w:left="149"/>
              <w:rPr>
                <w:sz w:val="13"/>
              </w:rPr>
            </w:pPr>
            <w:r>
              <w:rPr>
                <w:sz w:val="13"/>
              </w:rPr>
              <w:t>24.6</w:t>
            </w:r>
          </w:p>
        </w:tc>
        <w:tc>
          <w:tcPr>
            <w:tcW w:w="771" w:type="dxa"/>
          </w:tcPr>
          <w:p>
            <w:pPr>
              <w:pStyle w:val="TableParagraph"/>
              <w:spacing w:before="22"/>
              <w:ind w:left="180"/>
              <w:rPr>
                <w:sz w:val="13"/>
              </w:rPr>
            </w:pPr>
            <w:r>
              <w:rPr>
                <w:sz w:val="13"/>
              </w:rPr>
              <w:t>25.4</w:t>
            </w:r>
          </w:p>
        </w:tc>
        <w:tc>
          <w:tcPr>
            <w:tcW w:w="723" w:type="dxa"/>
          </w:tcPr>
          <w:p>
            <w:pPr>
              <w:pStyle w:val="TableParagraph"/>
              <w:spacing w:before="22"/>
              <w:ind w:left="148"/>
              <w:rPr>
                <w:sz w:val="13"/>
              </w:rPr>
            </w:pPr>
            <w:r>
              <w:rPr>
                <w:sz w:val="13"/>
              </w:rPr>
              <w:t>26.2</w:t>
            </w:r>
          </w:p>
        </w:tc>
        <w:tc>
          <w:tcPr>
            <w:tcW w:w="752" w:type="dxa"/>
          </w:tcPr>
          <w:p>
            <w:pPr>
              <w:pStyle w:val="TableParagraph"/>
              <w:spacing w:before="22"/>
              <w:ind w:left="160"/>
              <w:rPr>
                <w:sz w:val="13"/>
              </w:rPr>
            </w:pPr>
            <w:r>
              <w:rPr>
                <w:sz w:val="13"/>
              </w:rPr>
              <w:t>27.0</w:t>
            </w:r>
          </w:p>
        </w:tc>
        <w:tc>
          <w:tcPr>
            <w:tcW w:w="723" w:type="dxa"/>
          </w:tcPr>
          <w:p>
            <w:pPr>
              <w:pStyle w:val="TableParagraph"/>
              <w:spacing w:before="22"/>
              <w:ind w:left="148"/>
              <w:rPr>
                <w:sz w:val="13"/>
              </w:rPr>
            </w:pPr>
            <w:r>
              <w:rPr>
                <w:sz w:val="13"/>
              </w:rPr>
              <w:t>27.8</w:t>
            </w:r>
          </w:p>
        </w:tc>
        <w:tc>
          <w:tcPr>
            <w:tcW w:w="810" w:type="dxa"/>
          </w:tcPr>
          <w:p>
            <w:pPr>
              <w:pStyle w:val="TableParagraph"/>
              <w:spacing w:before="22"/>
              <w:ind w:left="159"/>
              <w:rPr>
                <w:sz w:val="13"/>
              </w:rPr>
            </w:pPr>
            <w:r>
              <w:rPr>
                <w:sz w:val="13"/>
              </w:rPr>
              <w:t>28.7</w:t>
            </w:r>
          </w:p>
        </w:tc>
      </w:tr>
      <w:tr>
        <w:trPr>
          <w:trHeight w:val="199" w:hRule="atLeast"/>
        </w:trPr>
        <w:tc>
          <w:tcPr>
            <w:tcW w:w="2475" w:type="dxa"/>
          </w:tcPr>
          <w:p>
            <w:pPr>
              <w:pStyle w:val="TableParagraph"/>
              <w:spacing w:line="179" w:lineRule="exact"/>
              <w:ind w:left="139"/>
              <w:rPr>
                <w:rFonts w:ascii="Microsoft JhengHei UI" w:eastAsia="Microsoft JhengHei UI" w:hint="eastAsia"/>
                <w:b/>
                <w:sz w:val="13"/>
              </w:rPr>
            </w:pPr>
            <w:r>
              <w:rPr>
                <w:b/>
                <w:sz w:val="13"/>
              </w:rPr>
              <w:t>MM </w:t>
            </w:r>
            <w:r>
              <w:rPr>
                <w:rFonts w:ascii="Microsoft JhengHei UI" w:eastAsia="Microsoft JhengHei UI" w:hint="eastAsia"/>
                <w:b/>
                <w:sz w:val="13"/>
              </w:rPr>
              <w:t>五年患病数</w:t>
            </w:r>
          </w:p>
        </w:tc>
        <w:tc>
          <w:tcPr>
            <w:tcW w:w="686" w:type="dxa"/>
          </w:tcPr>
          <w:p>
            <w:pPr>
              <w:pStyle w:val="TableParagraph"/>
              <w:spacing w:before="25"/>
              <w:ind w:left="175"/>
              <w:rPr>
                <w:b/>
                <w:sz w:val="13"/>
              </w:rPr>
            </w:pPr>
            <w:r>
              <w:rPr>
                <w:b/>
                <w:sz w:val="13"/>
              </w:rPr>
              <w:t>51.4</w:t>
            </w:r>
          </w:p>
        </w:tc>
        <w:tc>
          <w:tcPr>
            <w:tcW w:w="756" w:type="dxa"/>
          </w:tcPr>
          <w:p>
            <w:pPr>
              <w:pStyle w:val="TableParagraph"/>
              <w:spacing w:before="25"/>
              <w:ind w:left="135" w:right="185"/>
              <w:jc w:val="center"/>
              <w:rPr>
                <w:b/>
                <w:sz w:val="13"/>
              </w:rPr>
            </w:pPr>
            <w:r>
              <w:rPr>
                <w:b/>
                <w:sz w:val="13"/>
              </w:rPr>
              <w:t>56.5</w:t>
            </w:r>
          </w:p>
        </w:tc>
        <w:tc>
          <w:tcPr>
            <w:tcW w:w="797" w:type="dxa"/>
          </w:tcPr>
          <w:p>
            <w:pPr>
              <w:pStyle w:val="TableParagraph"/>
              <w:spacing w:before="25"/>
              <w:ind w:left="207"/>
              <w:rPr>
                <w:b/>
                <w:sz w:val="13"/>
              </w:rPr>
            </w:pPr>
            <w:r>
              <w:rPr>
                <w:b/>
                <w:sz w:val="13"/>
              </w:rPr>
              <w:t>61.7</w:t>
            </w:r>
          </w:p>
        </w:tc>
        <w:tc>
          <w:tcPr>
            <w:tcW w:w="704" w:type="dxa"/>
          </w:tcPr>
          <w:p>
            <w:pPr>
              <w:pStyle w:val="TableParagraph"/>
              <w:spacing w:before="25"/>
              <w:ind w:left="150"/>
              <w:rPr>
                <w:b/>
                <w:sz w:val="13"/>
              </w:rPr>
            </w:pPr>
            <w:r>
              <w:rPr>
                <w:b/>
                <w:sz w:val="13"/>
              </w:rPr>
              <w:t>67.2</w:t>
            </w:r>
          </w:p>
        </w:tc>
        <w:tc>
          <w:tcPr>
            <w:tcW w:w="771" w:type="dxa"/>
          </w:tcPr>
          <w:p>
            <w:pPr>
              <w:pStyle w:val="TableParagraph"/>
              <w:spacing w:before="25"/>
              <w:ind w:left="181"/>
              <w:rPr>
                <w:b/>
                <w:sz w:val="13"/>
              </w:rPr>
            </w:pPr>
            <w:r>
              <w:rPr>
                <w:b/>
                <w:sz w:val="13"/>
              </w:rPr>
              <w:t>72.8</w:t>
            </w:r>
          </w:p>
        </w:tc>
        <w:tc>
          <w:tcPr>
            <w:tcW w:w="704" w:type="dxa"/>
          </w:tcPr>
          <w:p>
            <w:pPr>
              <w:pStyle w:val="TableParagraph"/>
              <w:spacing w:before="25"/>
              <w:ind w:left="149"/>
              <w:rPr>
                <w:b/>
                <w:sz w:val="13"/>
              </w:rPr>
            </w:pPr>
            <w:r>
              <w:rPr>
                <w:b/>
                <w:sz w:val="13"/>
              </w:rPr>
              <w:t>78.7</w:t>
            </w:r>
          </w:p>
        </w:tc>
        <w:tc>
          <w:tcPr>
            <w:tcW w:w="771" w:type="dxa"/>
          </w:tcPr>
          <w:p>
            <w:pPr>
              <w:pStyle w:val="TableParagraph"/>
              <w:spacing w:before="25"/>
              <w:ind w:left="180"/>
              <w:rPr>
                <w:b/>
                <w:sz w:val="13"/>
              </w:rPr>
            </w:pPr>
            <w:r>
              <w:rPr>
                <w:b/>
                <w:sz w:val="13"/>
              </w:rPr>
              <w:t>84.7</w:t>
            </w:r>
          </w:p>
        </w:tc>
        <w:tc>
          <w:tcPr>
            <w:tcW w:w="723" w:type="dxa"/>
          </w:tcPr>
          <w:p>
            <w:pPr>
              <w:pStyle w:val="TableParagraph"/>
              <w:spacing w:before="25"/>
              <w:ind w:left="148"/>
              <w:rPr>
                <w:b/>
                <w:sz w:val="13"/>
              </w:rPr>
            </w:pPr>
            <w:r>
              <w:rPr>
                <w:b/>
                <w:sz w:val="13"/>
              </w:rPr>
              <w:t>91.0</w:t>
            </w:r>
          </w:p>
        </w:tc>
        <w:tc>
          <w:tcPr>
            <w:tcW w:w="752" w:type="dxa"/>
          </w:tcPr>
          <w:p>
            <w:pPr>
              <w:pStyle w:val="TableParagraph"/>
              <w:spacing w:before="25"/>
              <w:ind w:left="160"/>
              <w:rPr>
                <w:b/>
                <w:sz w:val="13"/>
              </w:rPr>
            </w:pPr>
            <w:r>
              <w:rPr>
                <w:b/>
                <w:sz w:val="13"/>
              </w:rPr>
              <w:t>97.4</w:t>
            </w:r>
          </w:p>
        </w:tc>
        <w:tc>
          <w:tcPr>
            <w:tcW w:w="723" w:type="dxa"/>
          </w:tcPr>
          <w:p>
            <w:pPr>
              <w:pStyle w:val="TableParagraph"/>
              <w:spacing w:before="25"/>
              <w:ind w:left="148"/>
              <w:rPr>
                <w:b/>
                <w:sz w:val="13"/>
              </w:rPr>
            </w:pPr>
            <w:r>
              <w:rPr>
                <w:b/>
                <w:sz w:val="13"/>
              </w:rPr>
              <w:t>104.1</w:t>
            </w:r>
          </w:p>
        </w:tc>
        <w:tc>
          <w:tcPr>
            <w:tcW w:w="810" w:type="dxa"/>
          </w:tcPr>
          <w:p>
            <w:pPr>
              <w:pStyle w:val="TableParagraph"/>
              <w:spacing w:before="25"/>
              <w:ind w:left="159"/>
              <w:rPr>
                <w:b/>
                <w:sz w:val="13"/>
              </w:rPr>
            </w:pPr>
            <w:r>
              <w:rPr>
                <w:b/>
                <w:sz w:val="13"/>
              </w:rPr>
              <w:t>111.0</w:t>
            </w:r>
          </w:p>
        </w:tc>
      </w:tr>
      <w:tr>
        <w:trPr>
          <w:trHeight w:val="199" w:hRule="atLeast"/>
        </w:trPr>
        <w:tc>
          <w:tcPr>
            <w:tcW w:w="2475" w:type="dxa"/>
          </w:tcPr>
          <w:p>
            <w:pPr>
              <w:pStyle w:val="TableParagraph"/>
              <w:spacing w:line="165" w:lineRule="exact" w:before="14"/>
              <w:ind w:left="215"/>
              <w:rPr>
                <w:rFonts w:ascii="PMingLiU" w:eastAsia="PMingLiU" w:hint="eastAsia"/>
                <w:sz w:val="13"/>
              </w:rPr>
            </w:pPr>
            <w:r>
              <w:rPr>
                <w:sz w:val="13"/>
              </w:rPr>
              <w:t>2L+ r/r MM </w:t>
            </w:r>
            <w:r>
              <w:rPr>
                <w:rFonts w:ascii="PMingLiU" w:eastAsia="PMingLiU" w:hint="eastAsia"/>
                <w:sz w:val="13"/>
              </w:rPr>
              <w:t>患病人数</w:t>
            </w:r>
          </w:p>
        </w:tc>
        <w:tc>
          <w:tcPr>
            <w:tcW w:w="686" w:type="dxa"/>
          </w:tcPr>
          <w:p>
            <w:pPr>
              <w:pStyle w:val="TableParagraph"/>
              <w:spacing w:before="27"/>
              <w:ind w:left="175"/>
              <w:rPr>
                <w:sz w:val="13"/>
              </w:rPr>
            </w:pPr>
            <w:r>
              <w:rPr>
                <w:sz w:val="13"/>
              </w:rPr>
              <w:t>32.8</w:t>
            </w:r>
          </w:p>
        </w:tc>
        <w:tc>
          <w:tcPr>
            <w:tcW w:w="756" w:type="dxa"/>
          </w:tcPr>
          <w:p>
            <w:pPr>
              <w:pStyle w:val="TableParagraph"/>
              <w:spacing w:before="27"/>
              <w:ind w:left="135" w:right="185"/>
              <w:jc w:val="center"/>
              <w:rPr>
                <w:sz w:val="13"/>
              </w:rPr>
            </w:pPr>
            <w:r>
              <w:rPr>
                <w:sz w:val="13"/>
              </w:rPr>
              <w:t>36.0</w:t>
            </w:r>
          </w:p>
        </w:tc>
        <w:tc>
          <w:tcPr>
            <w:tcW w:w="797" w:type="dxa"/>
          </w:tcPr>
          <w:p>
            <w:pPr>
              <w:pStyle w:val="TableParagraph"/>
              <w:spacing w:before="27"/>
              <w:ind w:left="207"/>
              <w:rPr>
                <w:sz w:val="13"/>
              </w:rPr>
            </w:pPr>
            <w:r>
              <w:rPr>
                <w:sz w:val="13"/>
              </w:rPr>
              <w:t>39.4</w:t>
            </w:r>
          </w:p>
        </w:tc>
        <w:tc>
          <w:tcPr>
            <w:tcW w:w="704" w:type="dxa"/>
          </w:tcPr>
          <w:p>
            <w:pPr>
              <w:pStyle w:val="TableParagraph"/>
              <w:spacing w:before="27"/>
              <w:ind w:left="150"/>
              <w:rPr>
                <w:sz w:val="13"/>
              </w:rPr>
            </w:pPr>
            <w:r>
              <w:rPr>
                <w:sz w:val="13"/>
              </w:rPr>
              <w:t>42.9</w:t>
            </w:r>
          </w:p>
        </w:tc>
        <w:tc>
          <w:tcPr>
            <w:tcW w:w="771" w:type="dxa"/>
          </w:tcPr>
          <w:p>
            <w:pPr>
              <w:pStyle w:val="TableParagraph"/>
              <w:spacing w:before="27"/>
              <w:ind w:left="181"/>
              <w:rPr>
                <w:sz w:val="13"/>
              </w:rPr>
            </w:pPr>
            <w:r>
              <w:rPr>
                <w:sz w:val="13"/>
              </w:rPr>
              <w:t>46.5</w:t>
            </w:r>
          </w:p>
        </w:tc>
        <w:tc>
          <w:tcPr>
            <w:tcW w:w="704" w:type="dxa"/>
          </w:tcPr>
          <w:p>
            <w:pPr>
              <w:pStyle w:val="TableParagraph"/>
              <w:spacing w:before="27"/>
              <w:ind w:left="149"/>
              <w:rPr>
                <w:sz w:val="13"/>
              </w:rPr>
            </w:pPr>
            <w:r>
              <w:rPr>
                <w:sz w:val="13"/>
              </w:rPr>
              <w:t>50.2</w:t>
            </w:r>
          </w:p>
        </w:tc>
        <w:tc>
          <w:tcPr>
            <w:tcW w:w="771" w:type="dxa"/>
          </w:tcPr>
          <w:p>
            <w:pPr>
              <w:pStyle w:val="TableParagraph"/>
              <w:spacing w:before="27"/>
              <w:ind w:left="180"/>
              <w:rPr>
                <w:sz w:val="13"/>
              </w:rPr>
            </w:pPr>
            <w:r>
              <w:rPr>
                <w:sz w:val="13"/>
              </w:rPr>
              <w:t>54.1</w:t>
            </w:r>
          </w:p>
        </w:tc>
        <w:tc>
          <w:tcPr>
            <w:tcW w:w="723" w:type="dxa"/>
          </w:tcPr>
          <w:p>
            <w:pPr>
              <w:pStyle w:val="TableParagraph"/>
              <w:spacing w:before="27"/>
              <w:ind w:left="148"/>
              <w:rPr>
                <w:sz w:val="13"/>
              </w:rPr>
            </w:pPr>
            <w:r>
              <w:rPr>
                <w:sz w:val="13"/>
              </w:rPr>
              <w:t>58.0</w:t>
            </w:r>
          </w:p>
        </w:tc>
        <w:tc>
          <w:tcPr>
            <w:tcW w:w="752" w:type="dxa"/>
          </w:tcPr>
          <w:p>
            <w:pPr>
              <w:pStyle w:val="TableParagraph"/>
              <w:spacing w:before="27"/>
              <w:ind w:left="160"/>
              <w:rPr>
                <w:sz w:val="13"/>
              </w:rPr>
            </w:pPr>
            <w:r>
              <w:rPr>
                <w:sz w:val="13"/>
              </w:rPr>
              <w:t>62.2</w:t>
            </w:r>
          </w:p>
        </w:tc>
        <w:tc>
          <w:tcPr>
            <w:tcW w:w="723" w:type="dxa"/>
          </w:tcPr>
          <w:p>
            <w:pPr>
              <w:pStyle w:val="TableParagraph"/>
              <w:spacing w:before="27"/>
              <w:ind w:left="148"/>
              <w:rPr>
                <w:sz w:val="13"/>
              </w:rPr>
            </w:pPr>
            <w:r>
              <w:rPr>
                <w:sz w:val="13"/>
              </w:rPr>
              <w:t>66.4</w:t>
            </w:r>
          </w:p>
        </w:tc>
        <w:tc>
          <w:tcPr>
            <w:tcW w:w="810" w:type="dxa"/>
          </w:tcPr>
          <w:p>
            <w:pPr>
              <w:pStyle w:val="TableParagraph"/>
              <w:spacing w:before="27"/>
              <w:ind w:left="159"/>
              <w:rPr>
                <w:sz w:val="13"/>
              </w:rPr>
            </w:pPr>
            <w:r>
              <w:rPr>
                <w:sz w:val="13"/>
              </w:rPr>
              <w:t>70.8</w:t>
            </w:r>
          </w:p>
        </w:tc>
      </w:tr>
      <w:tr>
        <w:trPr>
          <w:trHeight w:val="199" w:hRule="atLeast"/>
        </w:trPr>
        <w:tc>
          <w:tcPr>
            <w:tcW w:w="2475" w:type="dxa"/>
            <w:tcBorders>
              <w:bottom w:val="single" w:sz="4" w:space="0" w:color="000000"/>
            </w:tcBorders>
          </w:tcPr>
          <w:p>
            <w:pPr>
              <w:pStyle w:val="TableParagraph"/>
              <w:spacing w:line="167" w:lineRule="exact" w:before="12"/>
              <w:ind w:left="215"/>
              <w:rPr>
                <w:rFonts w:ascii="PMingLiU" w:eastAsia="PMingLiU" w:hint="eastAsia"/>
                <w:sz w:val="13"/>
              </w:rPr>
            </w:pPr>
            <w:r>
              <w:rPr>
                <w:sz w:val="13"/>
              </w:rPr>
              <w:t>3L+ r/r MM </w:t>
            </w:r>
            <w:r>
              <w:rPr>
                <w:rFonts w:ascii="PMingLiU" w:eastAsia="PMingLiU" w:hint="eastAsia"/>
                <w:sz w:val="13"/>
              </w:rPr>
              <w:t>患病人数</w:t>
            </w:r>
          </w:p>
        </w:tc>
        <w:tc>
          <w:tcPr>
            <w:tcW w:w="686" w:type="dxa"/>
            <w:tcBorders>
              <w:bottom w:val="single" w:sz="4" w:space="0" w:color="000000"/>
            </w:tcBorders>
          </w:tcPr>
          <w:p>
            <w:pPr>
              <w:pStyle w:val="TableParagraph"/>
              <w:spacing w:before="24"/>
              <w:ind w:left="175"/>
              <w:rPr>
                <w:sz w:val="13"/>
              </w:rPr>
            </w:pPr>
            <w:r>
              <w:rPr>
                <w:sz w:val="13"/>
              </w:rPr>
              <w:t>7.7</w:t>
            </w:r>
          </w:p>
        </w:tc>
        <w:tc>
          <w:tcPr>
            <w:tcW w:w="756" w:type="dxa"/>
            <w:tcBorders>
              <w:bottom w:val="single" w:sz="4" w:space="0" w:color="000000"/>
            </w:tcBorders>
          </w:tcPr>
          <w:p>
            <w:pPr>
              <w:pStyle w:val="TableParagraph"/>
              <w:spacing w:before="24"/>
              <w:ind w:left="63" w:right="185"/>
              <w:jc w:val="center"/>
              <w:rPr>
                <w:sz w:val="13"/>
              </w:rPr>
            </w:pPr>
            <w:r>
              <w:rPr>
                <w:sz w:val="13"/>
              </w:rPr>
              <w:t>8.5</w:t>
            </w:r>
          </w:p>
        </w:tc>
        <w:tc>
          <w:tcPr>
            <w:tcW w:w="797" w:type="dxa"/>
            <w:tcBorders>
              <w:bottom w:val="single" w:sz="4" w:space="0" w:color="000000"/>
            </w:tcBorders>
          </w:tcPr>
          <w:p>
            <w:pPr>
              <w:pStyle w:val="TableParagraph"/>
              <w:spacing w:before="24"/>
              <w:ind w:left="207"/>
              <w:rPr>
                <w:sz w:val="13"/>
              </w:rPr>
            </w:pPr>
            <w:r>
              <w:rPr>
                <w:sz w:val="13"/>
              </w:rPr>
              <w:t>9.3</w:t>
            </w:r>
          </w:p>
        </w:tc>
        <w:tc>
          <w:tcPr>
            <w:tcW w:w="704" w:type="dxa"/>
            <w:tcBorders>
              <w:bottom w:val="single" w:sz="4" w:space="0" w:color="000000"/>
            </w:tcBorders>
          </w:tcPr>
          <w:p>
            <w:pPr>
              <w:pStyle w:val="TableParagraph"/>
              <w:spacing w:before="24"/>
              <w:ind w:left="150"/>
              <w:rPr>
                <w:sz w:val="13"/>
              </w:rPr>
            </w:pPr>
            <w:r>
              <w:rPr>
                <w:sz w:val="13"/>
              </w:rPr>
              <w:t>10.1</w:t>
            </w:r>
          </w:p>
        </w:tc>
        <w:tc>
          <w:tcPr>
            <w:tcW w:w="771" w:type="dxa"/>
            <w:tcBorders>
              <w:bottom w:val="single" w:sz="4" w:space="0" w:color="000000"/>
            </w:tcBorders>
          </w:tcPr>
          <w:p>
            <w:pPr>
              <w:pStyle w:val="TableParagraph"/>
              <w:spacing w:before="24"/>
              <w:ind w:left="181"/>
              <w:rPr>
                <w:sz w:val="13"/>
              </w:rPr>
            </w:pPr>
            <w:r>
              <w:rPr>
                <w:sz w:val="13"/>
              </w:rPr>
              <w:t>10.9</w:t>
            </w:r>
          </w:p>
        </w:tc>
        <w:tc>
          <w:tcPr>
            <w:tcW w:w="704" w:type="dxa"/>
            <w:tcBorders>
              <w:bottom w:val="single" w:sz="4" w:space="0" w:color="000000"/>
            </w:tcBorders>
          </w:tcPr>
          <w:p>
            <w:pPr>
              <w:pStyle w:val="TableParagraph"/>
              <w:spacing w:before="24"/>
              <w:ind w:left="149"/>
              <w:rPr>
                <w:sz w:val="13"/>
              </w:rPr>
            </w:pPr>
            <w:r>
              <w:rPr>
                <w:sz w:val="13"/>
              </w:rPr>
              <w:t>11.8</w:t>
            </w:r>
          </w:p>
        </w:tc>
        <w:tc>
          <w:tcPr>
            <w:tcW w:w="771" w:type="dxa"/>
            <w:tcBorders>
              <w:bottom w:val="single" w:sz="4" w:space="0" w:color="000000"/>
            </w:tcBorders>
          </w:tcPr>
          <w:p>
            <w:pPr>
              <w:pStyle w:val="TableParagraph"/>
              <w:spacing w:before="24"/>
              <w:ind w:left="180"/>
              <w:rPr>
                <w:sz w:val="13"/>
              </w:rPr>
            </w:pPr>
            <w:r>
              <w:rPr>
                <w:sz w:val="13"/>
              </w:rPr>
              <w:t>12.7</w:t>
            </w:r>
          </w:p>
        </w:tc>
        <w:tc>
          <w:tcPr>
            <w:tcW w:w="723" w:type="dxa"/>
            <w:tcBorders>
              <w:bottom w:val="single" w:sz="4" w:space="0" w:color="000000"/>
            </w:tcBorders>
          </w:tcPr>
          <w:p>
            <w:pPr>
              <w:pStyle w:val="TableParagraph"/>
              <w:spacing w:before="24"/>
              <w:ind w:left="148"/>
              <w:rPr>
                <w:sz w:val="13"/>
              </w:rPr>
            </w:pPr>
            <w:r>
              <w:rPr>
                <w:sz w:val="13"/>
              </w:rPr>
              <w:t>13.6</w:t>
            </w:r>
          </w:p>
        </w:tc>
        <w:tc>
          <w:tcPr>
            <w:tcW w:w="752" w:type="dxa"/>
            <w:tcBorders>
              <w:bottom w:val="single" w:sz="4" w:space="0" w:color="000000"/>
            </w:tcBorders>
          </w:tcPr>
          <w:p>
            <w:pPr>
              <w:pStyle w:val="TableParagraph"/>
              <w:spacing w:before="24"/>
              <w:ind w:left="160"/>
              <w:rPr>
                <w:sz w:val="13"/>
              </w:rPr>
            </w:pPr>
            <w:r>
              <w:rPr>
                <w:sz w:val="13"/>
              </w:rPr>
              <w:t>14.6</w:t>
            </w:r>
          </w:p>
        </w:tc>
        <w:tc>
          <w:tcPr>
            <w:tcW w:w="723" w:type="dxa"/>
            <w:tcBorders>
              <w:bottom w:val="single" w:sz="4" w:space="0" w:color="000000"/>
            </w:tcBorders>
          </w:tcPr>
          <w:p>
            <w:pPr>
              <w:pStyle w:val="TableParagraph"/>
              <w:spacing w:before="24"/>
              <w:ind w:left="148"/>
              <w:rPr>
                <w:sz w:val="13"/>
              </w:rPr>
            </w:pPr>
            <w:r>
              <w:rPr>
                <w:sz w:val="13"/>
              </w:rPr>
              <w:t>15.6</w:t>
            </w:r>
          </w:p>
        </w:tc>
        <w:tc>
          <w:tcPr>
            <w:tcW w:w="810" w:type="dxa"/>
            <w:tcBorders>
              <w:bottom w:val="single" w:sz="4" w:space="0" w:color="000000"/>
            </w:tcBorders>
          </w:tcPr>
          <w:p>
            <w:pPr>
              <w:pStyle w:val="TableParagraph"/>
              <w:spacing w:before="24"/>
              <w:ind w:left="159"/>
              <w:rPr>
                <w:sz w:val="13"/>
              </w:rPr>
            </w:pPr>
            <w:r>
              <w:rPr>
                <w:sz w:val="13"/>
              </w:rPr>
              <w:t>16.7</w:t>
            </w:r>
          </w:p>
        </w:tc>
      </w:tr>
      <w:tr>
        <w:trPr>
          <w:trHeight w:val="244" w:hRule="atLeast"/>
        </w:trPr>
        <w:tc>
          <w:tcPr>
            <w:tcW w:w="2475" w:type="dxa"/>
            <w:tcBorders>
              <w:top w:val="single" w:sz="4" w:space="0" w:color="000000"/>
            </w:tcBorders>
          </w:tcPr>
          <w:p>
            <w:pPr>
              <w:pStyle w:val="TableParagraph"/>
              <w:spacing w:line="217" w:lineRule="exact" w:before="7"/>
              <w:ind w:left="139"/>
              <w:rPr>
                <w:rFonts w:ascii="Microsoft JhengHei UI" w:eastAsia="Microsoft JhengHei UI" w:hint="eastAsia"/>
                <w:b/>
                <w:sz w:val="13"/>
              </w:rPr>
            </w:pPr>
            <w:r>
              <w:rPr>
                <w:rFonts w:ascii="Microsoft JhengHei UI" w:eastAsia="Microsoft JhengHei UI" w:hint="eastAsia"/>
                <w:b/>
                <w:sz w:val="13"/>
              </w:rPr>
              <w:t>适用于 </w:t>
            </w:r>
            <w:r>
              <w:rPr>
                <w:b/>
                <w:sz w:val="13"/>
              </w:rPr>
              <w:t>BCMA CAR-T </w:t>
            </w:r>
            <w:r>
              <w:rPr>
                <w:rFonts w:ascii="Microsoft JhengHei UI" w:eastAsia="Microsoft JhengHei UI" w:hint="eastAsia"/>
                <w:b/>
                <w:sz w:val="13"/>
              </w:rPr>
              <w:t>治疗的人数</w:t>
            </w:r>
          </w:p>
        </w:tc>
        <w:tc>
          <w:tcPr>
            <w:tcW w:w="686" w:type="dxa"/>
            <w:tcBorders>
              <w:top w:val="single" w:sz="4" w:space="0" w:color="000000"/>
            </w:tcBorders>
          </w:tcPr>
          <w:p>
            <w:pPr>
              <w:pStyle w:val="TableParagraph"/>
              <w:rPr>
                <w:rFonts w:ascii="Times New Roman"/>
                <w:sz w:val="14"/>
              </w:rPr>
            </w:pPr>
          </w:p>
        </w:tc>
        <w:tc>
          <w:tcPr>
            <w:tcW w:w="756" w:type="dxa"/>
            <w:tcBorders>
              <w:top w:val="single" w:sz="4" w:space="0" w:color="000000"/>
            </w:tcBorders>
          </w:tcPr>
          <w:p>
            <w:pPr>
              <w:pStyle w:val="TableParagraph"/>
              <w:rPr>
                <w:rFonts w:ascii="Times New Roman"/>
                <w:sz w:val="14"/>
              </w:rPr>
            </w:pPr>
          </w:p>
        </w:tc>
        <w:tc>
          <w:tcPr>
            <w:tcW w:w="797" w:type="dxa"/>
            <w:tcBorders>
              <w:top w:val="single" w:sz="4" w:space="0" w:color="000000"/>
            </w:tcBorders>
          </w:tcPr>
          <w:p>
            <w:pPr>
              <w:pStyle w:val="TableParagraph"/>
              <w:rPr>
                <w:rFonts w:ascii="Times New Roman"/>
                <w:sz w:val="14"/>
              </w:rPr>
            </w:pPr>
          </w:p>
        </w:tc>
        <w:tc>
          <w:tcPr>
            <w:tcW w:w="704" w:type="dxa"/>
            <w:tcBorders>
              <w:top w:val="single" w:sz="4" w:space="0" w:color="000000"/>
            </w:tcBorders>
          </w:tcPr>
          <w:p>
            <w:pPr>
              <w:pStyle w:val="TableParagraph"/>
              <w:spacing w:before="36"/>
              <w:ind w:left="150"/>
              <w:rPr>
                <w:b/>
                <w:sz w:val="13"/>
              </w:rPr>
            </w:pPr>
            <w:r>
              <w:rPr>
                <w:b/>
                <w:sz w:val="13"/>
              </w:rPr>
              <w:t>10.1</w:t>
            </w:r>
          </w:p>
        </w:tc>
        <w:tc>
          <w:tcPr>
            <w:tcW w:w="771" w:type="dxa"/>
            <w:tcBorders>
              <w:top w:val="single" w:sz="4" w:space="0" w:color="000000"/>
            </w:tcBorders>
          </w:tcPr>
          <w:p>
            <w:pPr>
              <w:pStyle w:val="TableParagraph"/>
              <w:spacing w:before="36"/>
              <w:ind w:left="181"/>
              <w:rPr>
                <w:b/>
                <w:sz w:val="13"/>
              </w:rPr>
            </w:pPr>
            <w:r>
              <w:rPr>
                <w:b/>
                <w:sz w:val="13"/>
              </w:rPr>
              <w:t>10.9</w:t>
            </w:r>
          </w:p>
        </w:tc>
        <w:tc>
          <w:tcPr>
            <w:tcW w:w="704" w:type="dxa"/>
            <w:tcBorders>
              <w:top w:val="single" w:sz="4" w:space="0" w:color="000000"/>
            </w:tcBorders>
          </w:tcPr>
          <w:p>
            <w:pPr>
              <w:pStyle w:val="TableParagraph"/>
              <w:spacing w:before="36"/>
              <w:ind w:left="149"/>
              <w:rPr>
                <w:b/>
                <w:sz w:val="13"/>
              </w:rPr>
            </w:pPr>
            <w:r>
              <w:rPr>
                <w:b/>
                <w:sz w:val="13"/>
              </w:rPr>
              <w:t>11.8</w:t>
            </w:r>
          </w:p>
        </w:tc>
        <w:tc>
          <w:tcPr>
            <w:tcW w:w="771" w:type="dxa"/>
            <w:tcBorders>
              <w:top w:val="single" w:sz="4" w:space="0" w:color="000000"/>
            </w:tcBorders>
          </w:tcPr>
          <w:p>
            <w:pPr>
              <w:pStyle w:val="TableParagraph"/>
              <w:spacing w:before="36"/>
              <w:ind w:left="180"/>
              <w:rPr>
                <w:b/>
                <w:sz w:val="13"/>
              </w:rPr>
            </w:pPr>
            <w:r>
              <w:rPr>
                <w:b/>
                <w:sz w:val="13"/>
              </w:rPr>
              <w:t>12.7</w:t>
            </w:r>
          </w:p>
        </w:tc>
        <w:tc>
          <w:tcPr>
            <w:tcW w:w="723" w:type="dxa"/>
            <w:tcBorders>
              <w:top w:val="single" w:sz="4" w:space="0" w:color="000000"/>
            </w:tcBorders>
          </w:tcPr>
          <w:p>
            <w:pPr>
              <w:pStyle w:val="TableParagraph"/>
              <w:spacing w:before="36"/>
              <w:ind w:left="148"/>
              <w:rPr>
                <w:b/>
                <w:sz w:val="13"/>
              </w:rPr>
            </w:pPr>
            <w:r>
              <w:rPr>
                <w:b/>
                <w:sz w:val="13"/>
              </w:rPr>
              <w:t>13.6</w:t>
            </w:r>
          </w:p>
        </w:tc>
        <w:tc>
          <w:tcPr>
            <w:tcW w:w="752" w:type="dxa"/>
            <w:tcBorders>
              <w:top w:val="single" w:sz="4" w:space="0" w:color="000000"/>
            </w:tcBorders>
          </w:tcPr>
          <w:p>
            <w:pPr>
              <w:pStyle w:val="TableParagraph"/>
              <w:spacing w:before="36"/>
              <w:ind w:left="160"/>
              <w:rPr>
                <w:b/>
                <w:sz w:val="13"/>
              </w:rPr>
            </w:pPr>
            <w:r>
              <w:rPr>
                <w:b/>
                <w:sz w:val="13"/>
              </w:rPr>
              <w:t>62.2</w:t>
            </w:r>
          </w:p>
        </w:tc>
        <w:tc>
          <w:tcPr>
            <w:tcW w:w="723" w:type="dxa"/>
            <w:tcBorders>
              <w:top w:val="single" w:sz="4" w:space="0" w:color="000000"/>
            </w:tcBorders>
          </w:tcPr>
          <w:p>
            <w:pPr>
              <w:pStyle w:val="TableParagraph"/>
              <w:spacing w:before="36"/>
              <w:ind w:left="148"/>
              <w:rPr>
                <w:b/>
                <w:sz w:val="13"/>
              </w:rPr>
            </w:pPr>
            <w:r>
              <w:rPr>
                <w:b/>
                <w:sz w:val="13"/>
              </w:rPr>
              <w:t>66.4</w:t>
            </w:r>
          </w:p>
        </w:tc>
        <w:tc>
          <w:tcPr>
            <w:tcW w:w="810" w:type="dxa"/>
            <w:tcBorders>
              <w:top w:val="single" w:sz="4" w:space="0" w:color="000000"/>
            </w:tcBorders>
          </w:tcPr>
          <w:p>
            <w:pPr>
              <w:pStyle w:val="TableParagraph"/>
              <w:spacing w:before="36"/>
              <w:ind w:left="159"/>
              <w:rPr>
                <w:b/>
                <w:sz w:val="13"/>
              </w:rPr>
            </w:pPr>
            <w:r>
              <w:rPr>
                <w:b/>
                <w:sz w:val="13"/>
              </w:rPr>
              <w:t>70.8</w:t>
            </w:r>
          </w:p>
        </w:tc>
      </w:tr>
      <w:tr>
        <w:trPr>
          <w:trHeight w:val="230" w:hRule="atLeast"/>
        </w:trPr>
        <w:tc>
          <w:tcPr>
            <w:tcW w:w="2475" w:type="dxa"/>
          </w:tcPr>
          <w:p>
            <w:pPr>
              <w:pStyle w:val="TableParagraph"/>
              <w:spacing w:before="28"/>
              <w:ind w:left="139"/>
              <w:rPr>
                <w:rFonts w:ascii="PMingLiU" w:eastAsia="PMingLiU" w:hint="eastAsia"/>
                <w:sz w:val="13"/>
              </w:rPr>
            </w:pPr>
            <w:r>
              <w:rPr>
                <w:sz w:val="13"/>
              </w:rPr>
              <w:t>BCMA CAR-T </w:t>
            </w:r>
            <w:r>
              <w:rPr>
                <w:rFonts w:ascii="PMingLiU" w:eastAsia="PMingLiU" w:hint="eastAsia"/>
                <w:sz w:val="13"/>
              </w:rPr>
              <w:t>渗透率</w:t>
            </w:r>
          </w:p>
        </w:tc>
        <w:tc>
          <w:tcPr>
            <w:tcW w:w="686" w:type="dxa"/>
          </w:tcPr>
          <w:p>
            <w:pPr>
              <w:pStyle w:val="TableParagraph"/>
              <w:rPr>
                <w:rFonts w:ascii="Times New Roman"/>
                <w:sz w:val="14"/>
              </w:rPr>
            </w:pPr>
          </w:p>
        </w:tc>
        <w:tc>
          <w:tcPr>
            <w:tcW w:w="756" w:type="dxa"/>
          </w:tcPr>
          <w:p>
            <w:pPr>
              <w:pStyle w:val="TableParagraph"/>
              <w:rPr>
                <w:rFonts w:ascii="Times New Roman"/>
                <w:sz w:val="14"/>
              </w:rPr>
            </w:pPr>
          </w:p>
        </w:tc>
        <w:tc>
          <w:tcPr>
            <w:tcW w:w="797" w:type="dxa"/>
          </w:tcPr>
          <w:p>
            <w:pPr>
              <w:pStyle w:val="TableParagraph"/>
              <w:rPr>
                <w:rFonts w:ascii="Times New Roman"/>
                <w:sz w:val="14"/>
              </w:rPr>
            </w:pPr>
          </w:p>
        </w:tc>
        <w:tc>
          <w:tcPr>
            <w:tcW w:w="704" w:type="dxa"/>
          </w:tcPr>
          <w:p>
            <w:pPr>
              <w:pStyle w:val="TableParagraph"/>
              <w:spacing w:before="27"/>
              <w:ind w:left="150"/>
              <w:rPr>
                <w:sz w:val="13"/>
              </w:rPr>
            </w:pPr>
            <w:r>
              <w:rPr>
                <w:sz w:val="13"/>
              </w:rPr>
              <w:t>1.9%</w:t>
            </w:r>
          </w:p>
        </w:tc>
        <w:tc>
          <w:tcPr>
            <w:tcW w:w="771" w:type="dxa"/>
          </w:tcPr>
          <w:p>
            <w:pPr>
              <w:pStyle w:val="TableParagraph"/>
              <w:spacing w:before="27"/>
              <w:ind w:left="181"/>
              <w:rPr>
                <w:sz w:val="13"/>
              </w:rPr>
            </w:pPr>
            <w:r>
              <w:rPr>
                <w:sz w:val="13"/>
              </w:rPr>
              <w:t>4.0%</w:t>
            </w:r>
          </w:p>
        </w:tc>
        <w:tc>
          <w:tcPr>
            <w:tcW w:w="704" w:type="dxa"/>
          </w:tcPr>
          <w:p>
            <w:pPr>
              <w:pStyle w:val="TableParagraph"/>
              <w:spacing w:before="27"/>
              <w:ind w:left="149"/>
              <w:rPr>
                <w:sz w:val="13"/>
              </w:rPr>
            </w:pPr>
            <w:r>
              <w:rPr>
                <w:sz w:val="13"/>
              </w:rPr>
              <w:t>6.0%</w:t>
            </w:r>
          </w:p>
        </w:tc>
        <w:tc>
          <w:tcPr>
            <w:tcW w:w="771" w:type="dxa"/>
          </w:tcPr>
          <w:p>
            <w:pPr>
              <w:pStyle w:val="TableParagraph"/>
              <w:spacing w:before="27"/>
              <w:ind w:left="180"/>
              <w:rPr>
                <w:sz w:val="13"/>
              </w:rPr>
            </w:pPr>
            <w:r>
              <w:rPr>
                <w:sz w:val="13"/>
              </w:rPr>
              <w:t>8.4%</w:t>
            </w:r>
          </w:p>
        </w:tc>
        <w:tc>
          <w:tcPr>
            <w:tcW w:w="723" w:type="dxa"/>
          </w:tcPr>
          <w:p>
            <w:pPr>
              <w:pStyle w:val="TableParagraph"/>
              <w:spacing w:before="27"/>
              <w:ind w:left="148"/>
              <w:rPr>
                <w:sz w:val="13"/>
              </w:rPr>
            </w:pPr>
            <w:r>
              <w:rPr>
                <w:sz w:val="13"/>
              </w:rPr>
              <w:t>10.9%</w:t>
            </w:r>
          </w:p>
        </w:tc>
        <w:tc>
          <w:tcPr>
            <w:tcW w:w="752" w:type="dxa"/>
          </w:tcPr>
          <w:p>
            <w:pPr>
              <w:pStyle w:val="TableParagraph"/>
              <w:spacing w:before="27"/>
              <w:ind w:left="160"/>
              <w:rPr>
                <w:sz w:val="13"/>
              </w:rPr>
            </w:pPr>
            <w:r>
              <w:rPr>
                <w:sz w:val="13"/>
              </w:rPr>
              <w:t>7.6%</w:t>
            </w:r>
          </w:p>
        </w:tc>
        <w:tc>
          <w:tcPr>
            <w:tcW w:w="723" w:type="dxa"/>
          </w:tcPr>
          <w:p>
            <w:pPr>
              <w:pStyle w:val="TableParagraph"/>
              <w:spacing w:before="27"/>
              <w:ind w:left="148"/>
              <w:rPr>
                <w:sz w:val="13"/>
              </w:rPr>
            </w:pPr>
            <w:r>
              <w:rPr>
                <w:sz w:val="13"/>
              </w:rPr>
              <w:t>9.9%</w:t>
            </w:r>
          </w:p>
        </w:tc>
        <w:tc>
          <w:tcPr>
            <w:tcW w:w="810" w:type="dxa"/>
          </w:tcPr>
          <w:p>
            <w:pPr>
              <w:pStyle w:val="TableParagraph"/>
              <w:spacing w:before="27"/>
              <w:ind w:left="159"/>
              <w:rPr>
                <w:sz w:val="13"/>
              </w:rPr>
            </w:pPr>
            <w:r>
              <w:rPr>
                <w:sz w:val="13"/>
              </w:rPr>
              <w:t>12.4%</w:t>
            </w:r>
          </w:p>
        </w:tc>
      </w:tr>
      <w:tr>
        <w:trPr>
          <w:trHeight w:val="230" w:hRule="atLeast"/>
        </w:trPr>
        <w:tc>
          <w:tcPr>
            <w:tcW w:w="2475" w:type="dxa"/>
          </w:tcPr>
          <w:p>
            <w:pPr>
              <w:pStyle w:val="TableParagraph"/>
              <w:spacing w:before="28"/>
              <w:ind w:left="139"/>
              <w:rPr>
                <w:sz w:val="13"/>
              </w:rPr>
            </w:pPr>
            <w:r>
              <w:rPr>
                <w:sz w:val="13"/>
              </w:rPr>
              <w:t>BCMA CAR-T </w:t>
            </w:r>
            <w:r>
              <w:rPr>
                <w:rFonts w:ascii="PMingLiU" w:eastAsia="PMingLiU" w:hint="eastAsia"/>
                <w:sz w:val="13"/>
              </w:rPr>
              <w:t>治疗数 </w:t>
            </w:r>
            <w:r>
              <w:rPr>
                <w:sz w:val="13"/>
              </w:rPr>
              <w:t>(</w:t>
            </w:r>
            <w:r>
              <w:rPr>
                <w:rFonts w:ascii="PMingLiU" w:eastAsia="PMingLiU" w:hint="eastAsia"/>
                <w:sz w:val="13"/>
              </w:rPr>
              <w:t>千例</w:t>
            </w:r>
            <w:r>
              <w:rPr>
                <w:sz w:val="13"/>
              </w:rPr>
              <w:t>)</w:t>
            </w:r>
          </w:p>
        </w:tc>
        <w:tc>
          <w:tcPr>
            <w:tcW w:w="686" w:type="dxa"/>
          </w:tcPr>
          <w:p>
            <w:pPr>
              <w:pStyle w:val="TableParagraph"/>
              <w:rPr>
                <w:rFonts w:ascii="Times New Roman"/>
                <w:sz w:val="14"/>
              </w:rPr>
            </w:pPr>
          </w:p>
        </w:tc>
        <w:tc>
          <w:tcPr>
            <w:tcW w:w="756" w:type="dxa"/>
          </w:tcPr>
          <w:p>
            <w:pPr>
              <w:pStyle w:val="TableParagraph"/>
              <w:rPr>
                <w:rFonts w:ascii="Times New Roman"/>
                <w:sz w:val="14"/>
              </w:rPr>
            </w:pPr>
          </w:p>
        </w:tc>
        <w:tc>
          <w:tcPr>
            <w:tcW w:w="797" w:type="dxa"/>
          </w:tcPr>
          <w:p>
            <w:pPr>
              <w:pStyle w:val="TableParagraph"/>
              <w:rPr>
                <w:rFonts w:ascii="Times New Roman"/>
                <w:sz w:val="14"/>
              </w:rPr>
            </w:pPr>
          </w:p>
        </w:tc>
        <w:tc>
          <w:tcPr>
            <w:tcW w:w="704" w:type="dxa"/>
          </w:tcPr>
          <w:p>
            <w:pPr>
              <w:pStyle w:val="TableParagraph"/>
              <w:spacing w:before="27"/>
              <w:ind w:left="150"/>
              <w:rPr>
                <w:sz w:val="13"/>
              </w:rPr>
            </w:pPr>
            <w:r>
              <w:rPr>
                <w:sz w:val="13"/>
              </w:rPr>
              <w:t>0.2</w:t>
            </w:r>
          </w:p>
        </w:tc>
        <w:tc>
          <w:tcPr>
            <w:tcW w:w="771" w:type="dxa"/>
          </w:tcPr>
          <w:p>
            <w:pPr>
              <w:pStyle w:val="TableParagraph"/>
              <w:spacing w:before="27"/>
              <w:ind w:left="181"/>
              <w:rPr>
                <w:sz w:val="13"/>
              </w:rPr>
            </w:pPr>
            <w:r>
              <w:rPr>
                <w:sz w:val="13"/>
              </w:rPr>
              <w:t>0.4</w:t>
            </w:r>
          </w:p>
        </w:tc>
        <w:tc>
          <w:tcPr>
            <w:tcW w:w="704" w:type="dxa"/>
          </w:tcPr>
          <w:p>
            <w:pPr>
              <w:pStyle w:val="TableParagraph"/>
              <w:spacing w:before="27"/>
              <w:ind w:left="149"/>
              <w:rPr>
                <w:sz w:val="13"/>
              </w:rPr>
            </w:pPr>
            <w:r>
              <w:rPr>
                <w:sz w:val="13"/>
              </w:rPr>
              <w:t>0.7</w:t>
            </w:r>
          </w:p>
        </w:tc>
        <w:tc>
          <w:tcPr>
            <w:tcW w:w="771" w:type="dxa"/>
          </w:tcPr>
          <w:p>
            <w:pPr>
              <w:pStyle w:val="TableParagraph"/>
              <w:spacing w:before="27"/>
              <w:ind w:left="180"/>
              <w:rPr>
                <w:sz w:val="13"/>
              </w:rPr>
            </w:pPr>
            <w:r>
              <w:rPr>
                <w:sz w:val="13"/>
              </w:rPr>
              <w:t>1.1</w:t>
            </w:r>
          </w:p>
        </w:tc>
        <w:tc>
          <w:tcPr>
            <w:tcW w:w="723" w:type="dxa"/>
          </w:tcPr>
          <w:p>
            <w:pPr>
              <w:pStyle w:val="TableParagraph"/>
              <w:spacing w:before="27"/>
              <w:ind w:left="148"/>
              <w:rPr>
                <w:sz w:val="13"/>
              </w:rPr>
            </w:pPr>
            <w:r>
              <w:rPr>
                <w:sz w:val="13"/>
              </w:rPr>
              <w:t>1.5</w:t>
            </w:r>
          </w:p>
        </w:tc>
        <w:tc>
          <w:tcPr>
            <w:tcW w:w="752" w:type="dxa"/>
          </w:tcPr>
          <w:p>
            <w:pPr>
              <w:pStyle w:val="TableParagraph"/>
              <w:spacing w:before="27"/>
              <w:ind w:left="160"/>
              <w:rPr>
                <w:sz w:val="13"/>
              </w:rPr>
            </w:pPr>
            <w:r>
              <w:rPr>
                <w:sz w:val="13"/>
              </w:rPr>
              <w:t>4.7</w:t>
            </w:r>
          </w:p>
        </w:tc>
        <w:tc>
          <w:tcPr>
            <w:tcW w:w="723" w:type="dxa"/>
          </w:tcPr>
          <w:p>
            <w:pPr>
              <w:pStyle w:val="TableParagraph"/>
              <w:spacing w:before="27"/>
              <w:ind w:left="148"/>
              <w:rPr>
                <w:sz w:val="13"/>
              </w:rPr>
            </w:pPr>
            <w:r>
              <w:rPr>
                <w:sz w:val="13"/>
              </w:rPr>
              <w:t>6.6</w:t>
            </w:r>
          </w:p>
        </w:tc>
        <w:tc>
          <w:tcPr>
            <w:tcW w:w="810" w:type="dxa"/>
          </w:tcPr>
          <w:p>
            <w:pPr>
              <w:pStyle w:val="TableParagraph"/>
              <w:spacing w:before="27"/>
              <w:ind w:left="159"/>
              <w:rPr>
                <w:sz w:val="13"/>
              </w:rPr>
            </w:pPr>
            <w:r>
              <w:rPr>
                <w:sz w:val="13"/>
              </w:rPr>
              <w:t>8.8</w:t>
            </w:r>
          </w:p>
        </w:tc>
      </w:tr>
      <w:tr>
        <w:trPr>
          <w:trHeight w:val="228" w:hRule="atLeast"/>
        </w:trPr>
        <w:tc>
          <w:tcPr>
            <w:tcW w:w="2475" w:type="dxa"/>
          </w:tcPr>
          <w:p>
            <w:pPr>
              <w:pStyle w:val="TableParagraph"/>
              <w:spacing w:line="180" w:lineRule="exact" w:before="28"/>
              <w:ind w:left="139"/>
              <w:rPr>
                <w:sz w:val="13"/>
              </w:rPr>
            </w:pPr>
            <w:r>
              <w:rPr>
                <w:sz w:val="13"/>
              </w:rPr>
              <w:t>BCMA CAR-T </w:t>
            </w:r>
            <w:r>
              <w:rPr>
                <w:rFonts w:ascii="PMingLiU" w:eastAsia="PMingLiU" w:hint="eastAsia"/>
                <w:sz w:val="13"/>
              </w:rPr>
              <w:t>定价 </w:t>
            </w:r>
            <w:r>
              <w:rPr>
                <w:sz w:val="13"/>
              </w:rPr>
              <w:t>(</w:t>
            </w:r>
            <w:r>
              <w:rPr>
                <w:rFonts w:ascii="PMingLiU" w:eastAsia="PMingLiU" w:hint="eastAsia"/>
                <w:sz w:val="13"/>
              </w:rPr>
              <w:t>万元</w:t>
            </w:r>
            <w:r>
              <w:rPr>
                <w:sz w:val="13"/>
              </w:rPr>
              <w:t>)</w:t>
            </w:r>
          </w:p>
        </w:tc>
        <w:tc>
          <w:tcPr>
            <w:tcW w:w="686" w:type="dxa"/>
          </w:tcPr>
          <w:p>
            <w:pPr>
              <w:pStyle w:val="TableParagraph"/>
              <w:rPr>
                <w:rFonts w:ascii="Times New Roman"/>
                <w:sz w:val="14"/>
              </w:rPr>
            </w:pPr>
          </w:p>
        </w:tc>
        <w:tc>
          <w:tcPr>
            <w:tcW w:w="756" w:type="dxa"/>
          </w:tcPr>
          <w:p>
            <w:pPr>
              <w:pStyle w:val="TableParagraph"/>
              <w:rPr>
                <w:rFonts w:ascii="Times New Roman"/>
                <w:sz w:val="14"/>
              </w:rPr>
            </w:pPr>
          </w:p>
        </w:tc>
        <w:tc>
          <w:tcPr>
            <w:tcW w:w="797" w:type="dxa"/>
          </w:tcPr>
          <w:p>
            <w:pPr>
              <w:pStyle w:val="TableParagraph"/>
              <w:rPr>
                <w:rFonts w:ascii="Times New Roman"/>
                <w:sz w:val="14"/>
              </w:rPr>
            </w:pPr>
          </w:p>
        </w:tc>
        <w:tc>
          <w:tcPr>
            <w:tcW w:w="704" w:type="dxa"/>
          </w:tcPr>
          <w:p>
            <w:pPr>
              <w:pStyle w:val="TableParagraph"/>
              <w:spacing w:before="27"/>
              <w:ind w:left="150"/>
              <w:rPr>
                <w:sz w:val="13"/>
              </w:rPr>
            </w:pPr>
            <w:r>
              <w:rPr>
                <w:sz w:val="13"/>
              </w:rPr>
              <w:t>142.2</w:t>
            </w:r>
          </w:p>
        </w:tc>
        <w:tc>
          <w:tcPr>
            <w:tcW w:w="771" w:type="dxa"/>
          </w:tcPr>
          <w:p>
            <w:pPr>
              <w:pStyle w:val="TableParagraph"/>
              <w:spacing w:before="27"/>
              <w:ind w:left="181"/>
              <w:rPr>
                <w:sz w:val="13"/>
              </w:rPr>
            </w:pPr>
            <w:r>
              <w:rPr>
                <w:sz w:val="13"/>
              </w:rPr>
              <w:t>135.1</w:t>
            </w:r>
          </w:p>
        </w:tc>
        <w:tc>
          <w:tcPr>
            <w:tcW w:w="704" w:type="dxa"/>
          </w:tcPr>
          <w:p>
            <w:pPr>
              <w:pStyle w:val="TableParagraph"/>
              <w:spacing w:before="27"/>
              <w:ind w:left="149"/>
              <w:rPr>
                <w:sz w:val="13"/>
              </w:rPr>
            </w:pPr>
            <w:r>
              <w:rPr>
                <w:sz w:val="13"/>
              </w:rPr>
              <w:t>128.3</w:t>
            </w:r>
          </w:p>
        </w:tc>
        <w:tc>
          <w:tcPr>
            <w:tcW w:w="771" w:type="dxa"/>
          </w:tcPr>
          <w:p>
            <w:pPr>
              <w:pStyle w:val="TableParagraph"/>
              <w:spacing w:before="27"/>
              <w:ind w:left="180"/>
              <w:rPr>
                <w:sz w:val="13"/>
              </w:rPr>
            </w:pPr>
            <w:r>
              <w:rPr>
                <w:sz w:val="13"/>
              </w:rPr>
              <w:t>121.9</w:t>
            </w:r>
          </w:p>
        </w:tc>
        <w:tc>
          <w:tcPr>
            <w:tcW w:w="723" w:type="dxa"/>
          </w:tcPr>
          <w:p>
            <w:pPr>
              <w:pStyle w:val="TableParagraph"/>
              <w:spacing w:before="27"/>
              <w:ind w:left="148"/>
              <w:rPr>
                <w:sz w:val="13"/>
              </w:rPr>
            </w:pPr>
            <w:r>
              <w:rPr>
                <w:sz w:val="13"/>
              </w:rPr>
              <w:t>115.8</w:t>
            </w:r>
          </w:p>
        </w:tc>
        <w:tc>
          <w:tcPr>
            <w:tcW w:w="752" w:type="dxa"/>
          </w:tcPr>
          <w:p>
            <w:pPr>
              <w:pStyle w:val="TableParagraph"/>
              <w:spacing w:before="27"/>
              <w:ind w:left="160"/>
              <w:rPr>
                <w:sz w:val="13"/>
              </w:rPr>
            </w:pPr>
            <w:r>
              <w:rPr>
                <w:sz w:val="13"/>
              </w:rPr>
              <w:t>98.4</w:t>
            </w:r>
          </w:p>
        </w:tc>
        <w:tc>
          <w:tcPr>
            <w:tcW w:w="723" w:type="dxa"/>
          </w:tcPr>
          <w:p>
            <w:pPr>
              <w:pStyle w:val="TableParagraph"/>
              <w:spacing w:before="27"/>
              <w:ind w:left="148"/>
              <w:rPr>
                <w:sz w:val="13"/>
              </w:rPr>
            </w:pPr>
            <w:r>
              <w:rPr>
                <w:sz w:val="13"/>
              </w:rPr>
              <w:t>83.7</w:t>
            </w:r>
          </w:p>
        </w:tc>
        <w:tc>
          <w:tcPr>
            <w:tcW w:w="810" w:type="dxa"/>
          </w:tcPr>
          <w:p>
            <w:pPr>
              <w:pStyle w:val="TableParagraph"/>
              <w:spacing w:before="27"/>
              <w:ind w:left="159"/>
              <w:rPr>
                <w:sz w:val="13"/>
              </w:rPr>
            </w:pPr>
            <w:r>
              <w:rPr>
                <w:sz w:val="13"/>
              </w:rPr>
              <w:t>71.1</w:t>
            </w:r>
          </w:p>
        </w:tc>
      </w:tr>
      <w:tr>
        <w:trPr>
          <w:trHeight w:val="235" w:hRule="atLeast"/>
        </w:trPr>
        <w:tc>
          <w:tcPr>
            <w:tcW w:w="2475" w:type="dxa"/>
          </w:tcPr>
          <w:p>
            <w:pPr>
              <w:pStyle w:val="TableParagraph"/>
              <w:spacing w:line="148" w:lineRule="exact" w:before="67"/>
              <w:ind w:left="139"/>
              <w:rPr>
                <w:i/>
                <w:sz w:val="13"/>
              </w:rPr>
            </w:pPr>
            <w:r>
              <w:rPr>
                <w:i/>
                <w:sz w:val="13"/>
              </w:rPr>
              <w:t>YoY</w:t>
            </w:r>
          </w:p>
        </w:tc>
        <w:tc>
          <w:tcPr>
            <w:tcW w:w="686" w:type="dxa"/>
          </w:tcPr>
          <w:p>
            <w:pPr>
              <w:pStyle w:val="TableParagraph"/>
              <w:rPr>
                <w:rFonts w:ascii="Times New Roman"/>
                <w:sz w:val="14"/>
              </w:rPr>
            </w:pPr>
          </w:p>
        </w:tc>
        <w:tc>
          <w:tcPr>
            <w:tcW w:w="756" w:type="dxa"/>
          </w:tcPr>
          <w:p>
            <w:pPr>
              <w:pStyle w:val="TableParagraph"/>
              <w:rPr>
                <w:rFonts w:ascii="Times New Roman"/>
                <w:sz w:val="14"/>
              </w:rPr>
            </w:pPr>
          </w:p>
        </w:tc>
        <w:tc>
          <w:tcPr>
            <w:tcW w:w="797" w:type="dxa"/>
          </w:tcPr>
          <w:p>
            <w:pPr>
              <w:pStyle w:val="TableParagraph"/>
              <w:rPr>
                <w:rFonts w:ascii="Times New Roman"/>
                <w:sz w:val="14"/>
              </w:rPr>
            </w:pPr>
          </w:p>
        </w:tc>
        <w:tc>
          <w:tcPr>
            <w:tcW w:w="704" w:type="dxa"/>
          </w:tcPr>
          <w:p>
            <w:pPr>
              <w:pStyle w:val="TableParagraph"/>
              <w:rPr>
                <w:rFonts w:ascii="Times New Roman"/>
                <w:sz w:val="14"/>
              </w:rPr>
            </w:pPr>
          </w:p>
        </w:tc>
        <w:tc>
          <w:tcPr>
            <w:tcW w:w="771" w:type="dxa"/>
          </w:tcPr>
          <w:p>
            <w:pPr>
              <w:pStyle w:val="TableParagraph"/>
              <w:spacing w:before="24"/>
              <w:ind w:left="181"/>
              <w:rPr>
                <w:sz w:val="13"/>
              </w:rPr>
            </w:pPr>
            <w:r>
              <w:rPr>
                <w:sz w:val="13"/>
              </w:rPr>
              <w:t>-5.0%</w:t>
            </w:r>
          </w:p>
        </w:tc>
        <w:tc>
          <w:tcPr>
            <w:tcW w:w="704" w:type="dxa"/>
          </w:tcPr>
          <w:p>
            <w:pPr>
              <w:pStyle w:val="TableParagraph"/>
              <w:spacing w:before="24"/>
              <w:ind w:left="149"/>
              <w:rPr>
                <w:sz w:val="13"/>
              </w:rPr>
            </w:pPr>
            <w:r>
              <w:rPr>
                <w:sz w:val="13"/>
              </w:rPr>
              <w:t>-5.0%</w:t>
            </w:r>
          </w:p>
        </w:tc>
        <w:tc>
          <w:tcPr>
            <w:tcW w:w="771" w:type="dxa"/>
          </w:tcPr>
          <w:p>
            <w:pPr>
              <w:pStyle w:val="TableParagraph"/>
              <w:spacing w:before="24"/>
              <w:ind w:left="180"/>
              <w:rPr>
                <w:sz w:val="13"/>
              </w:rPr>
            </w:pPr>
            <w:r>
              <w:rPr>
                <w:sz w:val="13"/>
              </w:rPr>
              <w:t>-5.0%</w:t>
            </w:r>
          </w:p>
        </w:tc>
        <w:tc>
          <w:tcPr>
            <w:tcW w:w="723" w:type="dxa"/>
          </w:tcPr>
          <w:p>
            <w:pPr>
              <w:pStyle w:val="TableParagraph"/>
              <w:spacing w:before="24"/>
              <w:ind w:left="148"/>
              <w:rPr>
                <w:sz w:val="13"/>
              </w:rPr>
            </w:pPr>
            <w:r>
              <w:rPr>
                <w:sz w:val="13"/>
              </w:rPr>
              <w:t>-5.0%</w:t>
            </w:r>
          </w:p>
        </w:tc>
        <w:tc>
          <w:tcPr>
            <w:tcW w:w="752" w:type="dxa"/>
          </w:tcPr>
          <w:p>
            <w:pPr>
              <w:pStyle w:val="TableParagraph"/>
              <w:spacing w:before="24"/>
              <w:ind w:left="160"/>
              <w:rPr>
                <w:sz w:val="13"/>
              </w:rPr>
            </w:pPr>
            <w:r>
              <w:rPr>
                <w:sz w:val="13"/>
              </w:rPr>
              <w:t>-15.0%</w:t>
            </w:r>
          </w:p>
        </w:tc>
        <w:tc>
          <w:tcPr>
            <w:tcW w:w="723" w:type="dxa"/>
          </w:tcPr>
          <w:p>
            <w:pPr>
              <w:pStyle w:val="TableParagraph"/>
              <w:spacing w:before="24"/>
              <w:ind w:left="148"/>
              <w:rPr>
                <w:sz w:val="13"/>
              </w:rPr>
            </w:pPr>
            <w:r>
              <w:rPr>
                <w:sz w:val="13"/>
              </w:rPr>
              <w:t>-15.0%</w:t>
            </w:r>
          </w:p>
        </w:tc>
        <w:tc>
          <w:tcPr>
            <w:tcW w:w="810" w:type="dxa"/>
          </w:tcPr>
          <w:p>
            <w:pPr>
              <w:pStyle w:val="TableParagraph"/>
              <w:spacing w:before="24"/>
              <w:ind w:left="159"/>
              <w:rPr>
                <w:sz w:val="13"/>
              </w:rPr>
            </w:pPr>
            <w:r>
              <w:rPr>
                <w:sz w:val="13"/>
              </w:rPr>
              <w:t>-15.0%</w:t>
            </w:r>
          </w:p>
        </w:tc>
      </w:tr>
      <w:tr>
        <w:trPr>
          <w:trHeight w:val="222" w:hRule="atLeast"/>
        </w:trPr>
        <w:tc>
          <w:tcPr>
            <w:tcW w:w="2475" w:type="dxa"/>
          </w:tcPr>
          <w:p>
            <w:pPr>
              <w:pStyle w:val="TableParagraph"/>
              <w:spacing w:line="203" w:lineRule="exact"/>
              <w:ind w:left="139"/>
              <w:rPr>
                <w:b/>
                <w:sz w:val="13"/>
              </w:rPr>
            </w:pPr>
            <w:r>
              <w:rPr>
                <w:b/>
                <w:sz w:val="13"/>
              </w:rPr>
              <w:t>BCMA CAR-T </w:t>
            </w:r>
            <w:r>
              <w:rPr>
                <w:rFonts w:ascii="Microsoft JhengHei UI" w:eastAsia="Microsoft JhengHei UI" w:hint="eastAsia"/>
                <w:b/>
                <w:sz w:val="13"/>
              </w:rPr>
              <w:t>中国市场规模 </w:t>
            </w:r>
            <w:r>
              <w:rPr>
                <w:b/>
                <w:sz w:val="13"/>
              </w:rPr>
              <w:t>(</w:t>
            </w:r>
            <w:r>
              <w:rPr>
                <w:rFonts w:ascii="Microsoft JhengHei UI" w:eastAsia="Microsoft JhengHei UI" w:hint="eastAsia"/>
                <w:b/>
                <w:sz w:val="13"/>
              </w:rPr>
              <w:t>亿元</w:t>
            </w:r>
            <w:r>
              <w:rPr>
                <w:b/>
                <w:sz w:val="13"/>
              </w:rPr>
              <w:t>)</w:t>
            </w:r>
          </w:p>
        </w:tc>
        <w:tc>
          <w:tcPr>
            <w:tcW w:w="686" w:type="dxa"/>
          </w:tcPr>
          <w:p>
            <w:pPr>
              <w:pStyle w:val="TableParagraph"/>
              <w:rPr>
                <w:rFonts w:ascii="Times New Roman"/>
                <w:sz w:val="14"/>
              </w:rPr>
            </w:pPr>
          </w:p>
        </w:tc>
        <w:tc>
          <w:tcPr>
            <w:tcW w:w="756" w:type="dxa"/>
          </w:tcPr>
          <w:p>
            <w:pPr>
              <w:pStyle w:val="TableParagraph"/>
              <w:rPr>
                <w:rFonts w:ascii="Times New Roman"/>
                <w:sz w:val="14"/>
              </w:rPr>
            </w:pPr>
          </w:p>
        </w:tc>
        <w:tc>
          <w:tcPr>
            <w:tcW w:w="797" w:type="dxa"/>
          </w:tcPr>
          <w:p>
            <w:pPr>
              <w:pStyle w:val="TableParagraph"/>
              <w:rPr>
                <w:rFonts w:ascii="Times New Roman"/>
                <w:sz w:val="14"/>
              </w:rPr>
            </w:pPr>
          </w:p>
        </w:tc>
        <w:tc>
          <w:tcPr>
            <w:tcW w:w="704" w:type="dxa"/>
          </w:tcPr>
          <w:p>
            <w:pPr>
              <w:pStyle w:val="TableParagraph"/>
              <w:spacing w:before="14"/>
              <w:ind w:left="150"/>
              <w:rPr>
                <w:b/>
                <w:sz w:val="13"/>
              </w:rPr>
            </w:pPr>
            <w:r>
              <w:rPr>
                <w:b/>
                <w:sz w:val="13"/>
              </w:rPr>
              <w:t>2.7</w:t>
            </w:r>
          </w:p>
        </w:tc>
        <w:tc>
          <w:tcPr>
            <w:tcW w:w="771" w:type="dxa"/>
          </w:tcPr>
          <w:p>
            <w:pPr>
              <w:pStyle w:val="TableParagraph"/>
              <w:spacing w:before="14"/>
              <w:ind w:left="181"/>
              <w:rPr>
                <w:b/>
                <w:sz w:val="13"/>
              </w:rPr>
            </w:pPr>
            <w:r>
              <w:rPr>
                <w:b/>
                <w:sz w:val="13"/>
              </w:rPr>
              <w:t>5.9</w:t>
            </w:r>
          </w:p>
        </w:tc>
        <w:tc>
          <w:tcPr>
            <w:tcW w:w="704" w:type="dxa"/>
          </w:tcPr>
          <w:p>
            <w:pPr>
              <w:pStyle w:val="TableParagraph"/>
              <w:spacing w:before="14"/>
              <w:ind w:left="149"/>
              <w:rPr>
                <w:b/>
                <w:sz w:val="13"/>
              </w:rPr>
            </w:pPr>
            <w:r>
              <w:rPr>
                <w:b/>
                <w:sz w:val="13"/>
              </w:rPr>
              <w:t>9.1</w:t>
            </w:r>
          </w:p>
        </w:tc>
        <w:tc>
          <w:tcPr>
            <w:tcW w:w="771" w:type="dxa"/>
          </w:tcPr>
          <w:p>
            <w:pPr>
              <w:pStyle w:val="TableParagraph"/>
              <w:spacing w:before="14"/>
              <w:ind w:left="180"/>
              <w:rPr>
                <w:b/>
                <w:sz w:val="13"/>
              </w:rPr>
            </w:pPr>
            <w:r>
              <w:rPr>
                <w:b/>
                <w:sz w:val="13"/>
              </w:rPr>
              <w:t>13.0</w:t>
            </w:r>
          </w:p>
        </w:tc>
        <w:tc>
          <w:tcPr>
            <w:tcW w:w="723" w:type="dxa"/>
          </w:tcPr>
          <w:p>
            <w:pPr>
              <w:pStyle w:val="TableParagraph"/>
              <w:spacing w:before="14"/>
              <w:ind w:left="148"/>
              <w:rPr>
                <w:b/>
                <w:sz w:val="13"/>
              </w:rPr>
            </w:pPr>
            <w:r>
              <w:rPr>
                <w:b/>
                <w:sz w:val="13"/>
              </w:rPr>
              <w:t>17.2</w:t>
            </w:r>
          </w:p>
        </w:tc>
        <w:tc>
          <w:tcPr>
            <w:tcW w:w="752" w:type="dxa"/>
          </w:tcPr>
          <w:p>
            <w:pPr>
              <w:pStyle w:val="TableParagraph"/>
              <w:spacing w:before="14"/>
              <w:ind w:left="160"/>
              <w:rPr>
                <w:b/>
                <w:sz w:val="13"/>
              </w:rPr>
            </w:pPr>
            <w:r>
              <w:rPr>
                <w:b/>
                <w:sz w:val="13"/>
              </w:rPr>
              <w:t>46.7</w:t>
            </w:r>
          </w:p>
        </w:tc>
        <w:tc>
          <w:tcPr>
            <w:tcW w:w="723" w:type="dxa"/>
          </w:tcPr>
          <w:p>
            <w:pPr>
              <w:pStyle w:val="TableParagraph"/>
              <w:spacing w:before="14"/>
              <w:ind w:left="148"/>
              <w:rPr>
                <w:b/>
                <w:sz w:val="13"/>
              </w:rPr>
            </w:pPr>
            <w:r>
              <w:rPr>
                <w:b/>
                <w:sz w:val="13"/>
              </w:rPr>
              <w:t>55.1</w:t>
            </w:r>
          </w:p>
        </w:tc>
        <w:tc>
          <w:tcPr>
            <w:tcW w:w="810" w:type="dxa"/>
          </w:tcPr>
          <w:p>
            <w:pPr>
              <w:pStyle w:val="TableParagraph"/>
              <w:spacing w:before="14"/>
              <w:ind w:left="159"/>
              <w:rPr>
                <w:b/>
                <w:sz w:val="13"/>
              </w:rPr>
            </w:pPr>
            <w:r>
              <w:rPr>
                <w:b/>
                <w:sz w:val="13"/>
              </w:rPr>
              <w:t>62.4</w:t>
            </w:r>
          </w:p>
        </w:tc>
      </w:tr>
      <w:tr>
        <w:trPr>
          <w:trHeight w:val="220" w:hRule="atLeast"/>
        </w:trPr>
        <w:tc>
          <w:tcPr>
            <w:tcW w:w="2475" w:type="dxa"/>
            <w:tcBorders>
              <w:bottom w:val="single" w:sz="12" w:space="0" w:color="000000"/>
            </w:tcBorders>
          </w:tcPr>
          <w:p>
            <w:pPr>
              <w:pStyle w:val="TableParagraph"/>
              <w:spacing w:line="130" w:lineRule="exact" w:before="70"/>
              <w:ind w:left="139"/>
              <w:rPr>
                <w:i/>
                <w:sz w:val="13"/>
              </w:rPr>
            </w:pPr>
            <w:r>
              <w:rPr>
                <w:i/>
                <w:sz w:val="13"/>
              </w:rPr>
              <w:t>YoY</w:t>
            </w:r>
          </w:p>
        </w:tc>
        <w:tc>
          <w:tcPr>
            <w:tcW w:w="686" w:type="dxa"/>
            <w:tcBorders>
              <w:bottom w:val="single" w:sz="12" w:space="0" w:color="000000"/>
            </w:tcBorders>
          </w:tcPr>
          <w:p>
            <w:pPr>
              <w:pStyle w:val="TableParagraph"/>
              <w:rPr>
                <w:rFonts w:ascii="Times New Roman"/>
                <w:sz w:val="14"/>
              </w:rPr>
            </w:pPr>
          </w:p>
        </w:tc>
        <w:tc>
          <w:tcPr>
            <w:tcW w:w="756" w:type="dxa"/>
            <w:tcBorders>
              <w:bottom w:val="single" w:sz="12" w:space="0" w:color="000000"/>
            </w:tcBorders>
          </w:tcPr>
          <w:p>
            <w:pPr>
              <w:pStyle w:val="TableParagraph"/>
              <w:rPr>
                <w:rFonts w:ascii="Times New Roman"/>
                <w:sz w:val="14"/>
              </w:rPr>
            </w:pPr>
          </w:p>
        </w:tc>
        <w:tc>
          <w:tcPr>
            <w:tcW w:w="797" w:type="dxa"/>
            <w:tcBorders>
              <w:bottom w:val="single" w:sz="12" w:space="0" w:color="000000"/>
            </w:tcBorders>
          </w:tcPr>
          <w:p>
            <w:pPr>
              <w:pStyle w:val="TableParagraph"/>
              <w:rPr>
                <w:rFonts w:ascii="Times New Roman"/>
                <w:sz w:val="14"/>
              </w:rPr>
            </w:pPr>
          </w:p>
        </w:tc>
        <w:tc>
          <w:tcPr>
            <w:tcW w:w="704" w:type="dxa"/>
            <w:tcBorders>
              <w:bottom w:val="single" w:sz="12" w:space="0" w:color="000000"/>
            </w:tcBorders>
          </w:tcPr>
          <w:p>
            <w:pPr>
              <w:pStyle w:val="TableParagraph"/>
              <w:rPr>
                <w:rFonts w:ascii="Times New Roman"/>
                <w:sz w:val="14"/>
              </w:rPr>
            </w:pPr>
          </w:p>
        </w:tc>
        <w:tc>
          <w:tcPr>
            <w:tcW w:w="771" w:type="dxa"/>
            <w:tcBorders>
              <w:bottom w:val="single" w:sz="12" w:space="0" w:color="000000"/>
            </w:tcBorders>
          </w:tcPr>
          <w:p>
            <w:pPr>
              <w:pStyle w:val="TableParagraph"/>
              <w:spacing w:before="26"/>
              <w:ind w:left="181"/>
              <w:rPr>
                <w:sz w:val="13"/>
              </w:rPr>
            </w:pPr>
            <w:r>
              <w:rPr>
                <w:sz w:val="13"/>
              </w:rPr>
              <w:t>116.3%</w:t>
            </w:r>
          </w:p>
        </w:tc>
        <w:tc>
          <w:tcPr>
            <w:tcW w:w="704" w:type="dxa"/>
            <w:tcBorders>
              <w:bottom w:val="single" w:sz="12" w:space="0" w:color="000000"/>
            </w:tcBorders>
          </w:tcPr>
          <w:p>
            <w:pPr>
              <w:pStyle w:val="TableParagraph"/>
              <w:spacing w:before="26"/>
              <w:ind w:left="149"/>
              <w:rPr>
                <w:sz w:val="13"/>
              </w:rPr>
            </w:pPr>
            <w:r>
              <w:rPr>
                <w:sz w:val="13"/>
              </w:rPr>
              <w:t>53.9%</w:t>
            </w:r>
          </w:p>
        </w:tc>
        <w:tc>
          <w:tcPr>
            <w:tcW w:w="771" w:type="dxa"/>
            <w:tcBorders>
              <w:bottom w:val="single" w:sz="12" w:space="0" w:color="000000"/>
            </w:tcBorders>
          </w:tcPr>
          <w:p>
            <w:pPr>
              <w:pStyle w:val="TableParagraph"/>
              <w:spacing w:before="26"/>
              <w:ind w:left="180"/>
              <w:rPr>
                <w:sz w:val="13"/>
              </w:rPr>
            </w:pPr>
            <w:r>
              <w:rPr>
                <w:sz w:val="13"/>
              </w:rPr>
              <w:t>43.2%</w:t>
            </w:r>
          </w:p>
        </w:tc>
        <w:tc>
          <w:tcPr>
            <w:tcW w:w="723" w:type="dxa"/>
            <w:tcBorders>
              <w:bottom w:val="single" w:sz="12" w:space="0" w:color="000000"/>
            </w:tcBorders>
          </w:tcPr>
          <w:p>
            <w:pPr>
              <w:pStyle w:val="TableParagraph"/>
              <w:spacing w:before="26"/>
              <w:ind w:left="148"/>
              <w:rPr>
                <w:sz w:val="13"/>
              </w:rPr>
            </w:pPr>
            <w:r>
              <w:rPr>
                <w:sz w:val="13"/>
              </w:rPr>
              <w:t>32.6%</w:t>
            </w:r>
          </w:p>
        </w:tc>
        <w:tc>
          <w:tcPr>
            <w:tcW w:w="752" w:type="dxa"/>
            <w:tcBorders>
              <w:bottom w:val="single" w:sz="12" w:space="0" w:color="000000"/>
            </w:tcBorders>
          </w:tcPr>
          <w:p>
            <w:pPr>
              <w:pStyle w:val="TableParagraph"/>
              <w:spacing w:before="26"/>
              <w:ind w:left="160"/>
              <w:rPr>
                <w:sz w:val="13"/>
              </w:rPr>
            </w:pPr>
            <w:r>
              <w:rPr>
                <w:sz w:val="13"/>
              </w:rPr>
              <w:t>171.1%</w:t>
            </w:r>
          </w:p>
        </w:tc>
        <w:tc>
          <w:tcPr>
            <w:tcW w:w="723" w:type="dxa"/>
            <w:tcBorders>
              <w:bottom w:val="single" w:sz="12" w:space="0" w:color="000000"/>
            </w:tcBorders>
          </w:tcPr>
          <w:p>
            <w:pPr>
              <w:pStyle w:val="TableParagraph"/>
              <w:spacing w:before="26"/>
              <w:ind w:left="148"/>
              <w:rPr>
                <w:sz w:val="13"/>
              </w:rPr>
            </w:pPr>
            <w:r>
              <w:rPr>
                <w:sz w:val="13"/>
              </w:rPr>
              <w:t>18.1%</w:t>
            </w:r>
          </w:p>
        </w:tc>
        <w:tc>
          <w:tcPr>
            <w:tcW w:w="810" w:type="dxa"/>
            <w:tcBorders>
              <w:bottom w:val="single" w:sz="12" w:space="0" w:color="000000"/>
            </w:tcBorders>
          </w:tcPr>
          <w:p>
            <w:pPr>
              <w:pStyle w:val="TableParagraph"/>
              <w:spacing w:before="26"/>
              <w:ind w:left="159"/>
              <w:rPr>
                <w:sz w:val="13"/>
              </w:rPr>
            </w:pPr>
            <w:r>
              <w:rPr>
                <w:sz w:val="13"/>
              </w:rPr>
              <w:t>13.3%</w:t>
            </w:r>
          </w:p>
        </w:tc>
      </w:tr>
    </w:tbl>
    <w:p>
      <w:pPr>
        <w:spacing w:before="17"/>
        <w:ind w:left="210" w:right="0" w:firstLine="0"/>
        <w:jc w:val="left"/>
        <w:rPr>
          <w:sz w:val="16"/>
        </w:rPr>
      </w:pPr>
      <w:r>
        <w:rPr>
          <w:sz w:val="16"/>
        </w:rPr>
        <w:t>资料来源</w:t>
      </w:r>
      <w:r>
        <w:rPr>
          <w:rFonts w:ascii="Arial" w:eastAsia="Arial"/>
          <w:sz w:val="16"/>
        </w:rPr>
        <w:t>: GLOBOCAN</w:t>
      </w:r>
      <w:r>
        <w:rPr>
          <w:sz w:val="16"/>
        </w:rPr>
        <w:t>，弗若斯特沙利文，招银国际证券</w:t>
      </w:r>
    </w:p>
    <w:p>
      <w:pPr>
        <w:pStyle w:val="BodyText"/>
        <w:spacing w:before="6"/>
        <w:ind w:left="0"/>
        <w:rPr>
          <w:sz w:val="21"/>
        </w:rPr>
      </w:pPr>
    </w:p>
    <w:p>
      <w:pPr>
        <w:pStyle w:val="ListParagraph"/>
        <w:numPr>
          <w:ilvl w:val="0"/>
          <w:numId w:val="3"/>
        </w:numPr>
        <w:tabs>
          <w:tab w:pos="571" w:val="left" w:leader="none"/>
        </w:tabs>
        <w:spacing w:line="283" w:lineRule="auto" w:before="45" w:after="0"/>
        <w:ind w:left="570" w:right="2814" w:hanging="360"/>
        <w:jc w:val="both"/>
        <w:rPr>
          <w:sz w:val="20"/>
        </w:rPr>
      </w:pPr>
      <w:r>
        <w:rPr>
          <w:rFonts w:ascii="Microsoft JhengHei UI" w:eastAsia="Microsoft JhengHei UI" w:hint="eastAsia"/>
          <w:b/>
          <w:sz w:val="20"/>
        </w:rPr>
        <w:t>渗透率</w:t>
      </w:r>
      <w:r>
        <w:rPr>
          <w:sz w:val="20"/>
        </w:rPr>
        <w:t>：</w:t>
      </w:r>
      <w:r>
        <w:rPr>
          <w:rFonts w:ascii="Arial" w:eastAsia="Arial"/>
          <w:sz w:val="20"/>
        </w:rPr>
        <w:t>2021</w:t>
      </w:r>
      <w:r>
        <w:rPr>
          <w:rFonts w:ascii="Arial" w:eastAsia="Arial"/>
          <w:spacing w:val="9"/>
          <w:sz w:val="20"/>
        </w:rPr>
        <w:t> </w:t>
      </w:r>
      <w:r>
        <w:rPr>
          <w:spacing w:val="4"/>
          <w:sz w:val="20"/>
        </w:rPr>
        <w:t>年北美 </w:t>
      </w:r>
      <w:r>
        <w:rPr>
          <w:rFonts w:ascii="Arial" w:eastAsia="Arial"/>
          <w:sz w:val="20"/>
        </w:rPr>
        <w:t>BCMA</w:t>
      </w:r>
      <w:r>
        <w:rPr>
          <w:rFonts w:ascii="Arial" w:eastAsia="Arial"/>
          <w:spacing w:val="37"/>
          <w:sz w:val="20"/>
        </w:rPr>
        <w:t> </w:t>
      </w:r>
      <w:r>
        <w:rPr>
          <w:rFonts w:ascii="Arial" w:eastAsia="Arial"/>
          <w:sz w:val="20"/>
        </w:rPr>
        <w:t>CAR-T</w:t>
      </w:r>
      <w:r>
        <w:rPr>
          <w:rFonts w:ascii="Arial" w:eastAsia="Arial"/>
          <w:spacing w:val="8"/>
          <w:sz w:val="20"/>
        </w:rPr>
        <w:t> </w:t>
      </w:r>
      <w:r>
        <w:rPr>
          <w:spacing w:val="1"/>
          <w:sz w:val="20"/>
        </w:rPr>
        <w:t>销售数量参考 </w:t>
      </w:r>
      <w:r>
        <w:rPr>
          <w:rFonts w:ascii="Arial" w:eastAsia="Arial"/>
          <w:sz w:val="20"/>
        </w:rPr>
        <w:t>Abecma</w:t>
      </w:r>
      <w:r>
        <w:rPr>
          <w:rFonts w:ascii="Arial" w:eastAsia="Arial"/>
          <w:spacing w:val="5"/>
          <w:sz w:val="20"/>
        </w:rPr>
        <w:t> </w:t>
      </w:r>
      <w:r>
        <w:rPr>
          <w:spacing w:val="-4"/>
          <w:sz w:val="20"/>
        </w:rPr>
        <w:t>上市后销售数量折算全年进行推算得到，</w:t>
      </w:r>
      <w:r>
        <w:rPr>
          <w:rFonts w:ascii="Arial" w:eastAsia="Arial"/>
          <w:sz w:val="20"/>
        </w:rPr>
        <w:t>Abecma </w:t>
      </w:r>
      <w:r>
        <w:rPr>
          <w:spacing w:val="5"/>
          <w:sz w:val="20"/>
        </w:rPr>
        <w:t>于 </w:t>
      </w:r>
      <w:r>
        <w:rPr>
          <w:rFonts w:ascii="Arial" w:eastAsia="Arial"/>
          <w:sz w:val="20"/>
        </w:rPr>
        <w:t>2021 </w:t>
      </w:r>
      <w:r>
        <w:rPr>
          <w:spacing w:val="5"/>
          <w:sz w:val="20"/>
        </w:rPr>
        <w:t>年 </w:t>
      </w:r>
      <w:r>
        <w:rPr>
          <w:rFonts w:ascii="Arial" w:eastAsia="Arial"/>
          <w:sz w:val="20"/>
        </w:rPr>
        <w:t>3</w:t>
      </w:r>
      <w:r>
        <w:rPr>
          <w:rFonts w:ascii="Arial" w:eastAsia="Arial"/>
          <w:spacing w:val="-1"/>
          <w:sz w:val="20"/>
        </w:rPr>
        <w:t> </w:t>
      </w:r>
      <w:r>
        <w:rPr>
          <w:spacing w:val="-2"/>
          <w:sz w:val="20"/>
        </w:rPr>
        <w:t>月末获批上市，</w:t>
      </w:r>
      <w:r>
        <w:rPr>
          <w:rFonts w:ascii="Arial" w:eastAsia="Arial"/>
          <w:spacing w:val="-3"/>
          <w:sz w:val="20"/>
        </w:rPr>
        <w:t>9</w:t>
      </w:r>
      <w:r>
        <w:rPr>
          <w:rFonts w:ascii="Arial" w:eastAsia="Arial"/>
          <w:sz w:val="20"/>
        </w:rPr>
        <w:t> </w:t>
      </w:r>
      <w:r>
        <w:rPr>
          <w:spacing w:val="2"/>
          <w:sz w:val="20"/>
        </w:rPr>
        <w:t>个月完成 </w:t>
      </w:r>
      <w:r>
        <w:rPr>
          <w:rFonts w:ascii="Arial" w:eastAsia="Arial"/>
          <w:sz w:val="20"/>
        </w:rPr>
        <w:t>391</w:t>
      </w:r>
      <w:r>
        <w:rPr>
          <w:rFonts w:ascii="Arial" w:eastAsia="Arial"/>
          <w:spacing w:val="-1"/>
          <w:sz w:val="20"/>
        </w:rPr>
        <w:t> </w:t>
      </w:r>
      <w:r>
        <w:rPr>
          <w:spacing w:val="-3"/>
          <w:sz w:val="20"/>
        </w:rPr>
        <w:t>例回输，折合全</w:t>
      </w:r>
      <w:r>
        <w:rPr>
          <w:spacing w:val="1"/>
          <w:sz w:val="20"/>
        </w:rPr>
        <w:t>年约 </w:t>
      </w:r>
      <w:r>
        <w:rPr>
          <w:rFonts w:ascii="Arial" w:eastAsia="Arial"/>
          <w:sz w:val="20"/>
        </w:rPr>
        <w:t>521 </w:t>
      </w:r>
      <w:r>
        <w:rPr>
          <w:sz w:val="20"/>
        </w:rPr>
        <w:t>例，</w:t>
      </w:r>
      <w:r>
        <w:rPr>
          <w:rFonts w:ascii="Arial" w:eastAsia="Arial"/>
          <w:sz w:val="20"/>
        </w:rPr>
        <w:t>2021 </w:t>
      </w:r>
      <w:r>
        <w:rPr>
          <w:spacing w:val="-1"/>
          <w:sz w:val="20"/>
        </w:rPr>
        <w:t>年渗透率约为 </w:t>
      </w:r>
      <w:r>
        <w:rPr>
          <w:rFonts w:ascii="Arial" w:eastAsia="Arial"/>
          <w:spacing w:val="-3"/>
          <w:sz w:val="20"/>
        </w:rPr>
        <w:t>3.8%</w:t>
      </w:r>
      <w:r>
        <w:rPr>
          <w:spacing w:val="3"/>
          <w:sz w:val="20"/>
        </w:rPr>
        <w:t>。根据 </w:t>
      </w:r>
      <w:r>
        <w:rPr>
          <w:rFonts w:ascii="Arial" w:eastAsia="Arial"/>
          <w:sz w:val="20"/>
        </w:rPr>
        <w:t>BMS</w:t>
      </w:r>
      <w:r>
        <w:rPr>
          <w:rFonts w:ascii="Arial" w:eastAsia="Arial"/>
          <w:spacing w:val="-4"/>
          <w:sz w:val="20"/>
        </w:rPr>
        <w:t> </w:t>
      </w:r>
      <w:r>
        <w:rPr>
          <w:spacing w:val="-3"/>
          <w:sz w:val="20"/>
        </w:rPr>
        <w:t>电话会议披露，</w:t>
      </w:r>
      <w:r>
        <w:rPr>
          <w:rFonts w:ascii="Arial" w:eastAsia="Arial"/>
          <w:sz w:val="20"/>
        </w:rPr>
        <w:t>Abecma</w:t>
      </w:r>
      <w:r>
        <w:rPr>
          <w:rFonts w:ascii="Arial" w:eastAsia="Arial"/>
          <w:spacing w:val="1"/>
          <w:sz w:val="20"/>
        </w:rPr>
        <w:t> </w:t>
      </w:r>
      <w:r>
        <w:rPr>
          <w:spacing w:val="-2"/>
          <w:sz w:val="20"/>
        </w:rPr>
        <w:t>上市首年遭遇制造瓶颈，供给不及需求，随着 </w:t>
      </w:r>
      <w:r>
        <w:rPr>
          <w:rFonts w:ascii="Arial" w:eastAsia="Arial"/>
          <w:sz w:val="20"/>
        </w:rPr>
        <w:t>2022</w:t>
      </w:r>
      <w:r>
        <w:rPr>
          <w:rFonts w:ascii="Arial" w:eastAsia="Arial"/>
          <w:spacing w:val="26"/>
          <w:sz w:val="20"/>
        </w:rPr>
        <w:t> </w:t>
      </w:r>
      <w:r>
        <w:rPr>
          <w:spacing w:val="-6"/>
          <w:sz w:val="20"/>
        </w:rPr>
        <w:t>年产能扩张，我们预计上市第二年渗透率大</w:t>
      </w:r>
      <w:r>
        <w:rPr>
          <w:spacing w:val="1"/>
          <w:sz w:val="20"/>
        </w:rPr>
        <w:t>幅增长至 </w:t>
      </w:r>
      <w:r>
        <w:rPr>
          <w:rFonts w:ascii="Arial" w:eastAsia="Arial"/>
          <w:sz w:val="20"/>
        </w:rPr>
        <w:t>9.0%</w:t>
      </w:r>
      <w:r>
        <w:rPr>
          <w:sz w:val="20"/>
        </w:rPr>
        <w:t>。随着前线治疗获批，</w:t>
      </w:r>
      <w:r>
        <w:rPr>
          <w:rFonts w:ascii="Arial" w:eastAsia="Arial"/>
          <w:sz w:val="20"/>
        </w:rPr>
        <w:t>2026</w:t>
      </w:r>
      <w:r>
        <w:rPr>
          <w:rFonts w:ascii="Arial" w:eastAsia="Arial"/>
          <w:spacing w:val="38"/>
          <w:sz w:val="20"/>
        </w:rPr>
        <w:t> </w:t>
      </w:r>
      <w:r>
        <w:rPr>
          <w:sz w:val="20"/>
        </w:rPr>
        <w:t>年渗透率略降，预计 </w:t>
      </w:r>
      <w:r>
        <w:rPr>
          <w:rFonts w:ascii="Arial" w:eastAsia="Arial"/>
          <w:sz w:val="20"/>
        </w:rPr>
        <w:t>2030</w:t>
      </w:r>
      <w:r>
        <w:rPr>
          <w:rFonts w:ascii="Arial" w:eastAsia="Arial"/>
          <w:spacing w:val="39"/>
          <w:sz w:val="20"/>
        </w:rPr>
        <w:t> </w:t>
      </w:r>
      <w:r>
        <w:rPr>
          <w:sz w:val="20"/>
        </w:rPr>
        <w:t>年渗透率达到</w:t>
      </w:r>
      <w:r>
        <w:rPr>
          <w:rFonts w:ascii="Arial" w:eastAsia="Arial"/>
          <w:sz w:val="20"/>
        </w:rPr>
        <w:t>23.2%</w:t>
      </w:r>
      <w:r>
        <w:rPr>
          <w:spacing w:val="-2"/>
          <w:sz w:val="20"/>
        </w:rPr>
        <w:t>。国内方面，我们预计首个 </w:t>
      </w:r>
      <w:r>
        <w:rPr>
          <w:rFonts w:ascii="Arial" w:eastAsia="Arial"/>
          <w:sz w:val="20"/>
        </w:rPr>
        <w:t>BCMA</w:t>
      </w:r>
      <w:r>
        <w:rPr>
          <w:rFonts w:ascii="Arial" w:eastAsia="Arial"/>
          <w:spacing w:val="34"/>
          <w:sz w:val="20"/>
        </w:rPr>
        <w:t> </w:t>
      </w:r>
      <w:r>
        <w:rPr>
          <w:rFonts w:ascii="Arial" w:eastAsia="Arial"/>
          <w:sz w:val="20"/>
        </w:rPr>
        <w:t>CAR-T</w:t>
      </w:r>
      <w:r>
        <w:rPr>
          <w:rFonts w:ascii="Arial" w:eastAsia="Arial"/>
          <w:spacing w:val="14"/>
          <w:sz w:val="20"/>
        </w:rPr>
        <w:t> </w:t>
      </w:r>
      <w:r>
        <w:rPr>
          <w:spacing w:val="6"/>
          <w:sz w:val="20"/>
        </w:rPr>
        <w:t>产品于 </w:t>
      </w:r>
      <w:r>
        <w:rPr>
          <w:rFonts w:ascii="Arial" w:eastAsia="Arial"/>
          <w:sz w:val="20"/>
        </w:rPr>
        <w:t>2023</w:t>
      </w:r>
      <w:r>
        <w:rPr>
          <w:rFonts w:ascii="Arial" w:eastAsia="Arial"/>
          <w:spacing w:val="16"/>
          <w:sz w:val="20"/>
        </w:rPr>
        <w:t> </w:t>
      </w:r>
      <w:r>
        <w:rPr>
          <w:spacing w:val="-2"/>
          <w:sz w:val="20"/>
        </w:rPr>
        <w:t>年上市，预计前线治疗</w:t>
      </w:r>
      <w:r>
        <w:rPr>
          <w:spacing w:val="-4"/>
          <w:sz w:val="20"/>
        </w:rPr>
        <w:t>于 </w:t>
      </w:r>
      <w:r>
        <w:rPr>
          <w:rFonts w:ascii="Arial" w:eastAsia="Arial"/>
          <w:sz w:val="20"/>
        </w:rPr>
        <w:t>2028</w:t>
      </w:r>
      <w:r>
        <w:rPr>
          <w:rFonts w:ascii="Arial" w:eastAsia="Arial"/>
          <w:spacing w:val="-13"/>
          <w:sz w:val="20"/>
        </w:rPr>
        <w:t> </w:t>
      </w:r>
      <w:r>
        <w:rPr>
          <w:spacing w:val="-5"/>
          <w:sz w:val="20"/>
        </w:rPr>
        <w:t>年获批，国内渗透率增长曲线参考美国市场经验。</w:t>
      </w:r>
    </w:p>
    <w:p>
      <w:pPr>
        <w:pStyle w:val="ListParagraph"/>
        <w:numPr>
          <w:ilvl w:val="0"/>
          <w:numId w:val="3"/>
        </w:numPr>
        <w:tabs>
          <w:tab w:pos="571" w:val="left" w:leader="none"/>
        </w:tabs>
        <w:spacing w:line="299" w:lineRule="exact" w:before="0" w:after="0"/>
        <w:ind w:left="570" w:right="0" w:hanging="361"/>
        <w:jc w:val="left"/>
        <w:rPr>
          <w:sz w:val="20"/>
        </w:rPr>
      </w:pPr>
      <w:r>
        <w:rPr>
          <w:rFonts w:ascii="Microsoft JhengHei UI" w:eastAsia="Microsoft JhengHei UI" w:hint="eastAsia"/>
          <w:b/>
          <w:sz w:val="20"/>
        </w:rPr>
        <w:t>产品定价</w:t>
      </w:r>
      <w:r>
        <w:rPr>
          <w:spacing w:val="-4"/>
          <w:sz w:val="20"/>
        </w:rPr>
        <w:t>：海外已上市两款 </w:t>
      </w:r>
      <w:r>
        <w:rPr>
          <w:rFonts w:ascii="Arial" w:eastAsia="Arial"/>
          <w:sz w:val="20"/>
        </w:rPr>
        <w:t>BCMA</w:t>
      </w:r>
      <w:r>
        <w:rPr>
          <w:rFonts w:ascii="Arial" w:eastAsia="Arial"/>
          <w:spacing w:val="17"/>
          <w:sz w:val="20"/>
        </w:rPr>
        <w:t> </w:t>
      </w:r>
      <w:r>
        <w:rPr>
          <w:rFonts w:ascii="Arial" w:eastAsia="Arial"/>
          <w:sz w:val="20"/>
        </w:rPr>
        <w:t>CAR-T</w:t>
      </w:r>
      <w:r>
        <w:rPr>
          <w:rFonts w:ascii="Arial" w:eastAsia="Arial"/>
          <w:spacing w:val="-11"/>
          <w:sz w:val="20"/>
        </w:rPr>
        <w:t> </w:t>
      </w:r>
      <w:r>
        <w:rPr>
          <w:spacing w:val="-4"/>
          <w:sz w:val="20"/>
        </w:rPr>
        <w:t>产品定价分别为 </w:t>
      </w:r>
      <w:r>
        <w:rPr>
          <w:rFonts w:ascii="Arial" w:eastAsia="Arial"/>
          <w:sz w:val="20"/>
        </w:rPr>
        <w:t>Abecma</w:t>
      </w:r>
      <w:r>
        <w:rPr>
          <w:rFonts w:ascii="Arial" w:eastAsia="Arial"/>
          <w:spacing w:val="-13"/>
          <w:sz w:val="20"/>
        </w:rPr>
        <w:t> </w:t>
      </w:r>
      <w:r>
        <w:rPr>
          <w:spacing w:val="-2"/>
          <w:sz w:val="20"/>
        </w:rPr>
        <w:t>定价 </w:t>
      </w:r>
      <w:r>
        <w:rPr>
          <w:rFonts w:ascii="Arial" w:eastAsia="Arial"/>
          <w:sz w:val="20"/>
        </w:rPr>
        <w:t>41.95</w:t>
      </w:r>
      <w:r>
        <w:rPr>
          <w:rFonts w:ascii="Arial" w:eastAsia="Arial"/>
          <w:spacing w:val="-14"/>
          <w:sz w:val="20"/>
        </w:rPr>
        <w:t> </w:t>
      </w:r>
      <w:r>
        <w:rPr>
          <w:sz w:val="20"/>
        </w:rPr>
        <w:t>万美元</w:t>
      </w:r>
    </w:p>
    <w:p>
      <w:pPr>
        <w:pStyle w:val="BodyText"/>
        <w:spacing w:line="288" w:lineRule="auto" w:before="35"/>
        <w:ind w:left="570" w:right="2815"/>
        <w:jc w:val="both"/>
      </w:pPr>
      <w:r>
        <w:rPr>
          <w:rFonts w:ascii="Arial" w:eastAsia="Arial"/>
        </w:rPr>
        <w:t>/</w:t>
      </w:r>
      <w:r>
        <w:rPr/>
        <w:t>针，</w:t>
      </w:r>
      <w:r>
        <w:rPr>
          <w:rFonts w:ascii="Arial" w:eastAsia="Arial"/>
        </w:rPr>
        <w:t>Carvykti </w:t>
      </w:r>
      <w:r>
        <w:rPr>
          <w:spacing w:val="7"/>
        </w:rPr>
        <w:t>定价 </w:t>
      </w:r>
      <w:r>
        <w:rPr>
          <w:rFonts w:ascii="Arial" w:eastAsia="Arial"/>
        </w:rPr>
        <w:t>46.5 </w:t>
      </w:r>
      <w:r>
        <w:rPr>
          <w:spacing w:val="-2"/>
        </w:rPr>
        <w:t>万美元</w:t>
      </w:r>
      <w:r>
        <w:rPr>
          <w:rFonts w:ascii="Arial" w:eastAsia="Arial"/>
        </w:rPr>
        <w:t>/</w:t>
      </w:r>
      <w:r>
        <w:rPr>
          <w:spacing w:val="-5"/>
        </w:rPr>
        <w:t>针，美国市场我们假设前线适应症获批前每年价格降幅</w:t>
      </w:r>
      <w:r>
        <w:rPr>
          <w:rFonts w:ascii="Arial" w:eastAsia="Arial"/>
          <w:spacing w:val="-5"/>
        </w:rPr>
        <w:t>3%</w:t>
      </w:r>
      <w:r>
        <w:rPr>
          <w:spacing w:val="-1"/>
        </w:rPr>
        <w:t>，之后每年价格下降</w:t>
      </w:r>
      <w:r>
        <w:rPr>
          <w:rFonts w:ascii="Arial" w:eastAsia="Arial"/>
          <w:spacing w:val="-2"/>
        </w:rPr>
        <w:t>10%</w:t>
      </w:r>
      <w:r>
        <w:rPr>
          <w:spacing w:val="-5"/>
        </w:rPr>
        <w:t>。国内方面，我们假设前线适应症获批前</w:t>
      </w:r>
      <w:r>
        <w:rPr>
          <w:rFonts w:ascii="Arial" w:eastAsia="Arial"/>
        </w:rPr>
        <w:t>/</w:t>
      </w:r>
      <w:r>
        <w:rPr>
          <w:spacing w:val="-5"/>
        </w:rPr>
        <w:t>后每年价格降幅</w:t>
      </w:r>
      <w:r>
        <w:rPr>
          <w:spacing w:val="-1"/>
        </w:rPr>
        <w:t>分别为 </w:t>
      </w:r>
      <w:r>
        <w:rPr>
          <w:rFonts w:ascii="Arial" w:eastAsia="Arial"/>
        </w:rPr>
        <w:t>5%/15%</w:t>
      </w:r>
      <w:r>
        <w:rPr/>
        <w:t>。</w:t>
      </w:r>
    </w:p>
    <w:p>
      <w:pPr>
        <w:spacing w:after="0" w:line="288" w:lineRule="auto"/>
        <w:jc w:val="both"/>
        <w:sectPr>
          <w:pgSz w:w="11910" w:h="16840"/>
          <w:pgMar w:header="682" w:footer="358" w:top="1380" w:bottom="540" w:left="640" w:right="300"/>
        </w:sectPr>
      </w:pPr>
    </w:p>
    <w:p>
      <w:pPr>
        <w:pStyle w:val="BodyText"/>
        <w:spacing w:before="9"/>
        <w:ind w:left="0"/>
        <w:rPr>
          <w:sz w:val="12"/>
        </w:rPr>
      </w:pPr>
    </w:p>
    <w:p>
      <w:pPr>
        <w:pStyle w:val="Heading1"/>
      </w:pPr>
      <w:bookmarkStart w:name="_bookmark9" w:id="10"/>
      <w:bookmarkEnd w:id="10"/>
      <w:r>
        <w:rPr>
          <w:b w:val="0"/>
        </w:rPr>
      </w:r>
      <w:r>
        <w:rPr>
          <w:color w:val="C00000"/>
        </w:rPr>
        <w:t>血液瘤篇： </w:t>
      </w:r>
      <w:r>
        <w:rPr>
          <w:rFonts w:ascii="Arial" w:eastAsia="Arial"/>
          <w:color w:val="C00000"/>
        </w:rPr>
        <w:t>CAR-T </w:t>
      </w:r>
      <w:r>
        <w:rPr>
          <w:color w:val="C00000"/>
        </w:rPr>
        <w:t>治疗优势明显，适应症持续拓展</w:t>
      </w:r>
    </w:p>
    <w:p>
      <w:pPr>
        <w:pStyle w:val="Heading2"/>
        <w:spacing w:before="106"/>
      </w:pPr>
      <w:bookmarkStart w:name="_bookmark10" w:id="11"/>
      <w:bookmarkEnd w:id="11"/>
      <w:r>
        <w:rPr>
          <w:b w:val="0"/>
        </w:rPr>
      </w:r>
      <w:r>
        <w:rPr>
          <w:rFonts w:ascii="Arial" w:eastAsia="Arial"/>
          <w:color w:val="585858"/>
        </w:rPr>
        <w:t>CD19 CAR-T </w:t>
      </w:r>
      <w:r>
        <w:rPr>
          <w:color w:val="585858"/>
        </w:rPr>
        <w:t>后线治疗 </w:t>
      </w:r>
      <w:r>
        <w:rPr>
          <w:rFonts w:ascii="Arial" w:eastAsia="Arial"/>
          <w:color w:val="585858"/>
        </w:rPr>
        <w:t>r/r LBCL </w:t>
      </w:r>
      <w:r>
        <w:rPr>
          <w:color w:val="585858"/>
        </w:rPr>
        <w:t>疗效优势显著 ，长期随访现治愈潜力</w:t>
      </w:r>
    </w:p>
    <w:p>
      <w:pPr>
        <w:pStyle w:val="BodyText"/>
        <w:spacing w:line="288" w:lineRule="auto" w:before="119"/>
        <w:ind w:right="2809"/>
        <w:jc w:val="both"/>
      </w:pPr>
      <w:r>
        <w:rPr>
          <w:spacing w:val="-3"/>
        </w:rPr>
        <w:t>目前全球商业化阶段的针对 </w:t>
      </w:r>
      <w:r>
        <w:rPr>
          <w:rFonts w:ascii="Arial" w:eastAsia="Arial"/>
        </w:rPr>
        <w:t>B </w:t>
      </w:r>
      <w:r>
        <w:rPr>
          <w:spacing w:val="-3"/>
        </w:rPr>
        <w:t>淋巴细胞相关癌症的 </w:t>
      </w:r>
      <w:r>
        <w:rPr>
          <w:rFonts w:ascii="Arial" w:eastAsia="Arial"/>
        </w:rPr>
        <w:t>CAR-T </w:t>
      </w:r>
      <w:r>
        <w:rPr/>
        <w:t>产品均靶向 </w:t>
      </w:r>
      <w:r>
        <w:rPr>
          <w:rFonts w:ascii="Arial" w:eastAsia="Arial"/>
        </w:rPr>
        <w:t>CD19</w:t>
      </w:r>
      <w:r>
        <w:rPr>
          <w:spacing w:val="-3"/>
        </w:rPr>
        <w:t>。国际市场上</w:t>
      </w:r>
      <w:r>
        <w:rPr>
          <w:rFonts w:ascii="Arial" w:eastAsia="Arial"/>
          <w:spacing w:val="-3"/>
        </w:rPr>
        <w:t>Novartis</w:t>
      </w:r>
      <w:r>
        <w:rPr>
          <w:spacing w:val="-3"/>
        </w:rPr>
        <w:t>、</w:t>
      </w:r>
      <w:r>
        <w:rPr>
          <w:rFonts w:ascii="Arial" w:eastAsia="Arial"/>
          <w:spacing w:val="-3"/>
        </w:rPr>
        <w:t>Gilead </w:t>
      </w:r>
      <w:r>
        <w:rPr>
          <w:spacing w:val="-1"/>
        </w:rPr>
        <w:t>和 </w:t>
      </w:r>
      <w:r>
        <w:rPr>
          <w:rFonts w:ascii="Arial" w:eastAsia="Arial"/>
        </w:rPr>
        <w:t>BMS </w:t>
      </w:r>
      <w:r>
        <w:rPr>
          <w:spacing w:val="5"/>
        </w:rPr>
        <w:t>三分天下，其中</w:t>
      </w:r>
      <w:r>
        <w:rPr>
          <w:rFonts w:ascii="Arial" w:eastAsia="Arial"/>
        </w:rPr>
        <w:t>Novartis </w:t>
      </w:r>
      <w:r>
        <w:rPr>
          <w:spacing w:val="-2"/>
        </w:rPr>
        <w:t>开发了 </w:t>
      </w:r>
      <w:r>
        <w:rPr>
          <w:rFonts w:ascii="Arial" w:eastAsia="Arial"/>
        </w:rPr>
        <w:t>Kymriah</w:t>
      </w:r>
      <w:r>
        <w:rPr>
          <w:rFonts w:ascii="Arial" w:eastAsia="Arial"/>
          <w:spacing w:val="-4"/>
        </w:rPr>
        <w:t> (</w:t>
      </w:r>
      <w:r>
        <w:rPr>
          <w:rFonts w:ascii="Arial" w:eastAsia="Arial"/>
        </w:rPr>
        <w:t>tisa-cel)</w:t>
      </w:r>
      <w:r>
        <w:rPr/>
        <w:t>；</w:t>
      </w:r>
      <w:r>
        <w:rPr>
          <w:rFonts w:ascii="Arial" w:eastAsia="Arial"/>
        </w:rPr>
        <w:t>Gilead/ Kite </w:t>
      </w:r>
      <w:r>
        <w:rPr>
          <w:spacing w:val="4"/>
        </w:rPr>
        <w:t>拥有两款已上市的</w:t>
      </w:r>
      <w:r>
        <w:rPr>
          <w:rFonts w:ascii="Arial" w:eastAsia="Arial"/>
        </w:rPr>
        <w:t>CD19 CAR-T </w:t>
      </w:r>
      <w:r>
        <w:rPr>
          <w:spacing w:val="2"/>
        </w:rPr>
        <w:t>产品 </w:t>
      </w:r>
      <w:r>
        <w:rPr>
          <w:rFonts w:ascii="Arial" w:eastAsia="Arial"/>
        </w:rPr>
        <w:t>Yescarta</w:t>
      </w:r>
      <w:r>
        <w:rPr>
          <w:rFonts w:ascii="Arial" w:eastAsia="Arial"/>
          <w:spacing w:val="1"/>
        </w:rPr>
        <w:t> (</w:t>
      </w:r>
      <w:r>
        <w:rPr>
          <w:rFonts w:ascii="Arial" w:eastAsia="Arial"/>
        </w:rPr>
        <w:t>axi-cel</w:t>
      </w:r>
      <w:r>
        <w:rPr>
          <w:rFonts w:ascii="Arial" w:eastAsia="Arial"/>
          <w:spacing w:val="2"/>
        </w:rPr>
        <w:t>) </w:t>
      </w:r>
      <w:r>
        <w:rPr>
          <w:spacing w:val="48"/>
        </w:rPr>
        <w:t>和</w:t>
      </w:r>
      <w:r>
        <w:rPr>
          <w:rFonts w:ascii="Arial" w:eastAsia="Arial"/>
        </w:rPr>
        <w:t>Tecartus</w:t>
      </w:r>
      <w:r>
        <w:rPr>
          <w:rFonts w:ascii="Arial" w:eastAsia="Arial"/>
          <w:spacing w:val="1"/>
        </w:rPr>
        <w:t> (</w:t>
      </w:r>
      <w:r>
        <w:rPr>
          <w:rFonts w:ascii="Arial" w:eastAsia="Arial"/>
        </w:rPr>
        <w:t>brexu-cel)</w:t>
      </w:r>
      <w:r>
        <w:rPr>
          <w:spacing w:val="-1"/>
        </w:rPr>
        <w:t>；而 </w:t>
      </w:r>
      <w:r>
        <w:rPr>
          <w:rFonts w:ascii="Arial" w:eastAsia="Arial"/>
        </w:rPr>
        <w:t>BMS/ Juno </w:t>
      </w:r>
      <w:r>
        <w:rPr>
          <w:spacing w:val="4"/>
        </w:rPr>
        <w:t>的 </w:t>
      </w:r>
      <w:r>
        <w:rPr>
          <w:rFonts w:ascii="Arial" w:eastAsia="Arial"/>
        </w:rPr>
        <w:t>Breyanzi (liso-cel</w:t>
      </w:r>
      <w:r>
        <w:rPr>
          <w:rFonts w:ascii="Arial" w:eastAsia="Arial"/>
          <w:spacing w:val="-4"/>
        </w:rPr>
        <w:t>) </w:t>
      </w:r>
      <w:r>
        <w:rPr>
          <w:spacing w:val="-5"/>
        </w:rPr>
        <w:t>进入市场的时间稍晚。四款产品在共刺激域选择、跨膜域选择、递送病毒载体、回输细胞数量、生产周期及清淋方案均有差异。</w:t>
      </w:r>
    </w:p>
    <w:p>
      <w:pPr>
        <w:pStyle w:val="Heading3"/>
        <w:spacing w:before="64"/>
        <w:jc w:val="left"/>
      </w:pPr>
      <w:r>
        <w:rPr>
          <w:rFonts w:ascii="Arial" w:eastAsia="Arial"/>
        </w:rPr>
        <w:t>r/r LBCL </w:t>
      </w:r>
      <w:r>
        <w:rPr/>
        <w:t>发病率高，挽救性化疗的 </w:t>
      </w:r>
      <w:r>
        <w:rPr>
          <w:rFonts w:ascii="Arial" w:eastAsia="Arial"/>
        </w:rPr>
        <w:t>OS </w:t>
      </w:r>
      <w:r>
        <w:rPr/>
        <w:t>仅约 </w:t>
      </w:r>
      <w:r>
        <w:rPr>
          <w:rFonts w:ascii="Arial" w:eastAsia="Arial"/>
        </w:rPr>
        <w:t>6 </w:t>
      </w:r>
      <w:r>
        <w:rPr/>
        <w:t>个月</w:t>
      </w:r>
    </w:p>
    <w:p>
      <w:pPr>
        <w:pStyle w:val="BodyText"/>
        <w:spacing w:line="288" w:lineRule="auto" w:before="154"/>
        <w:ind w:right="2812"/>
        <w:jc w:val="both"/>
      </w:pPr>
      <w:r>
        <w:rPr>
          <w:rFonts w:ascii="Arial" w:eastAsia="Arial"/>
        </w:rPr>
        <w:t>LBCL </w:t>
      </w:r>
      <w:r>
        <w:rPr>
          <w:spacing w:val="2"/>
        </w:rPr>
        <w:t>是最常见的 </w:t>
      </w:r>
      <w:r>
        <w:rPr>
          <w:rFonts w:ascii="Arial" w:eastAsia="Arial"/>
        </w:rPr>
        <w:t>aNHL</w:t>
      </w:r>
      <w:r>
        <w:rPr>
          <w:rFonts w:ascii="Arial" w:eastAsia="Arial"/>
          <w:spacing w:val="16"/>
        </w:rPr>
        <w:t> (</w:t>
      </w:r>
      <w:r>
        <w:rPr>
          <w:spacing w:val="-4"/>
        </w:rPr>
        <w:t>侵袭性非霍奇金淋巴瘤</w:t>
      </w:r>
      <w:r>
        <w:rPr>
          <w:rFonts w:ascii="Arial" w:eastAsia="Arial"/>
          <w:spacing w:val="-3"/>
        </w:rPr>
        <w:t>)</w:t>
      </w:r>
      <w:r>
        <w:rPr>
          <w:spacing w:val="1"/>
        </w:rPr>
        <w:t>，约占 </w:t>
      </w:r>
      <w:r>
        <w:rPr>
          <w:rFonts w:ascii="Arial" w:eastAsia="Arial"/>
        </w:rPr>
        <w:t>NHL </w:t>
      </w:r>
      <w:r>
        <w:rPr>
          <w:spacing w:val="2"/>
        </w:rPr>
        <w:t>总发病率的 </w:t>
      </w:r>
      <w:r>
        <w:rPr>
          <w:rFonts w:ascii="Arial" w:eastAsia="Arial"/>
        </w:rPr>
        <w:t>40%</w:t>
      </w:r>
      <w:r>
        <w:rPr>
          <w:spacing w:val="-2"/>
        </w:rPr>
        <w:t>，随着治疗</w:t>
      </w:r>
      <w:r>
        <w:rPr>
          <w:spacing w:val="-4"/>
        </w:rPr>
        <w:t>方案逐渐迭代，患者的五年生存率逐渐提高。虽然约 </w:t>
      </w:r>
      <w:r>
        <w:rPr>
          <w:rFonts w:ascii="Arial" w:eastAsia="Arial"/>
          <w:spacing w:val="-3"/>
        </w:rPr>
        <w:t>60%~65%</w:t>
      </w:r>
      <w:r>
        <w:rPr>
          <w:spacing w:val="6"/>
        </w:rPr>
        <w:t>的患者在一线</w:t>
      </w:r>
      <w:r>
        <w:rPr>
          <w:rFonts w:ascii="Arial" w:eastAsia="Arial"/>
        </w:rPr>
        <w:t>R-CHOP</w:t>
      </w:r>
      <w:r>
        <w:rPr>
          <w:rFonts w:ascii="Arial" w:eastAsia="Arial"/>
          <w:spacing w:val="17"/>
        </w:rPr>
        <w:t> (</w:t>
      </w:r>
      <w:r>
        <w:rPr/>
        <w:t>利</w:t>
      </w:r>
      <w:r>
        <w:rPr>
          <w:spacing w:val="4"/>
        </w:rPr>
        <w:t>妥昔单抗联合环磷酰胺、多柔比星、长春新碱、泼尼松</w:t>
      </w:r>
      <w:r>
        <w:rPr>
          <w:rFonts w:ascii="Arial" w:eastAsia="Arial"/>
          <w:spacing w:val="4"/>
        </w:rPr>
        <w:t>)</w:t>
      </w:r>
      <w:r>
        <w:rPr>
          <w:spacing w:val="7"/>
        </w:rPr>
        <w:t>治疗后治愈，但约 </w:t>
      </w:r>
      <w:r>
        <w:rPr>
          <w:rFonts w:ascii="Arial" w:eastAsia="Arial"/>
        </w:rPr>
        <w:t>10%~15%</w:t>
      </w:r>
      <w:r>
        <w:rPr/>
        <w:t>的</w:t>
      </w:r>
      <w:r>
        <w:rPr>
          <w:rFonts w:ascii="Arial" w:eastAsia="Arial"/>
        </w:rPr>
        <w:t>LBCL </w:t>
      </w:r>
      <w:r>
        <w:rPr>
          <w:spacing w:val="-5"/>
        </w:rPr>
        <w:t>患者出现原发型耐药。而一线方案获得 </w:t>
      </w:r>
      <w:r>
        <w:rPr>
          <w:rFonts w:ascii="Arial" w:eastAsia="Arial"/>
        </w:rPr>
        <w:t>CR </w:t>
      </w:r>
      <w:r>
        <w:rPr>
          <w:spacing w:val="-4"/>
        </w:rPr>
        <w:t>的患者中，也有 </w:t>
      </w:r>
      <w:r>
        <w:rPr>
          <w:rFonts w:ascii="Arial" w:eastAsia="Arial"/>
        </w:rPr>
        <w:t>20%~25%</w:t>
      </w:r>
      <w:r>
        <w:rPr>
          <w:spacing w:val="-3"/>
        </w:rPr>
        <w:t>的患者在 </w:t>
      </w:r>
      <w:r>
        <w:rPr>
          <w:rFonts w:ascii="Arial" w:eastAsia="Arial"/>
        </w:rPr>
        <w:t>12 </w:t>
      </w:r>
      <w:r>
        <w:rPr/>
        <w:t>个</w:t>
      </w:r>
      <w:r>
        <w:rPr>
          <w:spacing w:val="-2"/>
        </w:rPr>
        <w:t>月内复发。</w:t>
      </w:r>
      <w:r>
        <w:rPr>
          <w:rFonts w:ascii="Arial" w:eastAsia="Arial"/>
        </w:rPr>
        <w:t>LBCL </w:t>
      </w:r>
      <w:r>
        <w:rPr>
          <w:spacing w:val="-6"/>
        </w:rPr>
        <w:t>一旦出现复发或难治，患者预后较差，仅半数患者可进行自体干细胞移植</w:t>
      </w:r>
      <w:r>
        <w:rPr>
          <w:rFonts w:ascii="Arial" w:eastAsia="Arial"/>
        </w:rPr>
        <w:t>(ASCT</w:t>
      </w:r>
      <w:r>
        <w:rPr>
          <w:rFonts w:ascii="Arial" w:eastAsia="Arial"/>
          <w:spacing w:val="17"/>
        </w:rPr>
        <w:t>) </w:t>
      </w:r>
      <w:r>
        <w:rPr>
          <w:spacing w:val="-5"/>
        </w:rPr>
        <w:t>治疗，而且即便接受移植治疗，也仅约 </w:t>
      </w:r>
      <w:r>
        <w:rPr>
          <w:rFonts w:ascii="Arial" w:eastAsia="Arial"/>
          <w:spacing w:val="-3"/>
        </w:rPr>
        <w:t>35%~40%</w:t>
      </w:r>
      <w:r>
        <w:rPr>
          <w:spacing w:val="1"/>
        </w:rPr>
        <w:t>的患者可经 </w:t>
      </w:r>
      <w:r>
        <w:rPr>
          <w:rFonts w:ascii="Arial" w:eastAsia="Arial"/>
        </w:rPr>
        <w:t>ASCT </w:t>
      </w:r>
      <w:r>
        <w:rPr>
          <w:spacing w:val="-3"/>
        </w:rPr>
        <w:t>治愈。综上， </w:t>
      </w:r>
      <w:r>
        <w:rPr>
          <w:spacing w:val="-4"/>
        </w:rPr>
        <w:t>有近 </w:t>
      </w:r>
      <w:r>
        <w:rPr>
          <w:rFonts w:ascii="Arial" w:eastAsia="Arial"/>
          <w:spacing w:val="-2"/>
        </w:rPr>
        <w:t>30%</w:t>
      </w:r>
      <w:r>
        <w:rPr>
          <w:spacing w:val="-2"/>
        </w:rPr>
        <w:t>的 </w:t>
      </w:r>
      <w:r>
        <w:rPr>
          <w:rFonts w:ascii="Arial" w:eastAsia="Arial"/>
        </w:rPr>
        <w:t>LBCL </w:t>
      </w:r>
      <w:r>
        <w:rPr>
          <w:spacing w:val="-2"/>
        </w:rPr>
        <w:t>患者将进展为化疗和 </w:t>
      </w:r>
      <w:r>
        <w:rPr>
          <w:rFonts w:ascii="Arial" w:eastAsia="Arial"/>
        </w:rPr>
        <w:t>ASCT </w:t>
      </w:r>
      <w:r>
        <w:rPr>
          <w:spacing w:val="-4"/>
        </w:rPr>
        <w:t>治疗失败的 </w:t>
      </w:r>
      <w:r>
        <w:rPr>
          <w:rFonts w:ascii="Arial" w:eastAsia="Arial"/>
        </w:rPr>
        <w:t>r/r LBCL</w:t>
      </w:r>
      <w:r>
        <w:rPr/>
        <w:t>。</w:t>
      </w:r>
    </w:p>
    <w:p>
      <w:pPr>
        <w:pStyle w:val="BodyText"/>
        <w:spacing w:line="288" w:lineRule="auto" w:before="114"/>
        <w:ind w:right="2811"/>
        <w:jc w:val="both"/>
      </w:pPr>
      <w:r>
        <w:rPr>
          <w:spacing w:val="-3"/>
        </w:rPr>
        <w:t>国际多中心回顾性研究 </w:t>
      </w:r>
      <w:r>
        <w:rPr>
          <w:rFonts w:ascii="Arial" w:eastAsia="Arial"/>
        </w:rPr>
        <w:t>SCHOLAR-1</w:t>
      </w:r>
      <w:r>
        <w:rPr>
          <w:rFonts w:ascii="Arial" w:eastAsia="Arial"/>
          <w:spacing w:val="-8"/>
        </w:rPr>
        <w:t> </w:t>
      </w:r>
      <w:r>
        <w:rPr/>
        <w:t>和在中国人群的回顾性研究</w:t>
      </w:r>
      <w:r>
        <w:rPr>
          <w:rFonts w:ascii="Arial" w:eastAsia="Arial"/>
        </w:rPr>
        <w:t>REAL-TREND</w:t>
      </w:r>
      <w:r>
        <w:rPr>
          <w:rFonts w:ascii="Arial" w:eastAsia="Arial"/>
          <w:spacing w:val="9"/>
        </w:rPr>
        <w:t> (</w:t>
      </w:r>
      <w:hyperlink r:id="rId25">
        <w:r>
          <w:rPr>
            <w:rFonts w:ascii="Arial" w:eastAsia="Arial"/>
            <w:color w:val="0000FF"/>
            <w:u w:val="single" w:color="0000FF"/>
          </w:rPr>
          <w:t>link</w:t>
        </w:r>
      </w:hyperlink>
      <w:r>
        <w:rPr>
          <w:rFonts w:ascii="Arial" w:eastAsia="Arial"/>
          <w:spacing w:val="10"/>
        </w:rPr>
        <w:t>) </w:t>
      </w:r>
      <w:r>
        <w:rPr>
          <w:spacing w:val="-5"/>
        </w:rPr>
        <w:t>分别</w:t>
      </w:r>
      <w:r>
        <w:rPr>
          <w:spacing w:val="-1"/>
        </w:rPr>
        <w:t>评估了真实世界中 </w:t>
      </w:r>
      <w:r>
        <w:rPr>
          <w:rFonts w:ascii="Arial" w:eastAsia="Arial"/>
        </w:rPr>
        <w:t>r/r</w:t>
      </w:r>
      <w:r>
        <w:rPr>
          <w:rFonts w:ascii="Arial" w:eastAsia="Arial"/>
          <w:spacing w:val="41"/>
        </w:rPr>
        <w:t> </w:t>
      </w:r>
      <w:r>
        <w:rPr>
          <w:rFonts w:ascii="Arial" w:eastAsia="Arial"/>
        </w:rPr>
        <w:t>LBCL</w:t>
      </w:r>
      <w:r>
        <w:rPr>
          <w:rFonts w:ascii="Arial" w:eastAsia="Arial"/>
          <w:spacing w:val="6"/>
        </w:rPr>
        <w:t> </w:t>
      </w:r>
      <w:r>
        <w:rPr>
          <w:spacing w:val="-4"/>
        </w:rPr>
        <w:t>的患者结局，得到的结论类似，常规挽救性化疗对于 </w:t>
      </w:r>
      <w:r>
        <w:rPr>
          <w:rFonts w:ascii="Arial" w:eastAsia="Arial"/>
        </w:rPr>
        <w:t>r/r</w:t>
      </w:r>
      <w:r>
        <w:rPr>
          <w:rFonts w:ascii="Arial" w:eastAsia="Arial"/>
          <w:spacing w:val="41"/>
        </w:rPr>
        <w:t> </w:t>
      </w:r>
      <w:r>
        <w:rPr>
          <w:rFonts w:ascii="Arial" w:eastAsia="Arial"/>
        </w:rPr>
        <w:t>LBCL </w:t>
      </w:r>
      <w:r>
        <w:rPr/>
        <w:t>患者无长期获益。</w:t>
      </w:r>
      <w:r>
        <w:rPr>
          <w:rFonts w:ascii="Arial" w:eastAsia="Arial"/>
        </w:rPr>
        <w:t>SCHOLAR-1</w:t>
      </w:r>
      <w:r>
        <w:rPr>
          <w:rFonts w:ascii="Arial" w:eastAsia="Arial"/>
          <w:spacing w:val="34"/>
        </w:rPr>
        <w:t> </w:t>
      </w:r>
      <w:r>
        <w:rPr/>
        <w:t>研究评估了 </w:t>
      </w:r>
      <w:r>
        <w:rPr>
          <w:rFonts w:ascii="Arial" w:eastAsia="Arial"/>
        </w:rPr>
        <w:t>636</w:t>
      </w:r>
      <w:r>
        <w:rPr>
          <w:rFonts w:ascii="Arial" w:eastAsia="Arial"/>
          <w:spacing w:val="35"/>
        </w:rPr>
        <w:t> </w:t>
      </w:r>
      <w:r>
        <w:rPr>
          <w:spacing w:val="1"/>
        </w:rPr>
        <w:t>例 </w:t>
      </w:r>
      <w:r>
        <w:rPr>
          <w:rFonts w:ascii="Arial" w:eastAsia="Arial"/>
        </w:rPr>
        <w:t>r/r</w:t>
      </w:r>
      <w:r>
        <w:rPr>
          <w:rFonts w:ascii="Arial" w:eastAsia="Arial"/>
          <w:spacing w:val="32"/>
        </w:rPr>
        <w:t> </w:t>
      </w:r>
      <w:r>
        <w:rPr>
          <w:rFonts w:ascii="Arial" w:eastAsia="Arial"/>
        </w:rPr>
        <w:t>DLBCL</w:t>
      </w:r>
      <w:r>
        <w:rPr>
          <w:rFonts w:ascii="Arial" w:eastAsia="Arial"/>
          <w:spacing w:val="35"/>
        </w:rPr>
        <w:t> </w:t>
      </w:r>
      <w:r>
        <w:rPr/>
        <w:t>的预后，显示挽救性化疗</w:t>
      </w:r>
      <w:r>
        <w:rPr>
          <w:rFonts w:ascii="Arial" w:eastAsia="Arial"/>
        </w:rPr>
        <w:t>ORR</w:t>
      </w:r>
      <w:r>
        <w:rPr>
          <w:rFonts w:ascii="Arial" w:eastAsia="Arial"/>
          <w:spacing w:val="-13"/>
        </w:rPr>
        <w:t> </w:t>
      </w:r>
      <w:r>
        <w:rPr>
          <w:spacing w:val="-1"/>
        </w:rPr>
        <w:t>为 </w:t>
      </w:r>
      <w:r>
        <w:rPr>
          <w:rFonts w:ascii="Arial" w:eastAsia="Arial"/>
        </w:rPr>
        <w:t>26%</w:t>
      </w:r>
      <w:r>
        <w:rPr/>
        <w:t>，</w:t>
      </w:r>
      <w:r>
        <w:rPr>
          <w:rFonts w:ascii="Arial" w:eastAsia="Arial"/>
        </w:rPr>
        <w:t>CR</w:t>
      </w:r>
      <w:r>
        <w:rPr>
          <w:rFonts w:ascii="Arial" w:eastAsia="Arial"/>
          <w:spacing w:val="-12"/>
        </w:rPr>
        <w:t> </w:t>
      </w:r>
      <w:r>
        <w:rPr>
          <w:spacing w:val="-1"/>
        </w:rPr>
        <w:t>仅 </w:t>
      </w:r>
      <w:r>
        <w:rPr>
          <w:rFonts w:ascii="Arial" w:eastAsia="Arial"/>
        </w:rPr>
        <w:t>7%</w:t>
      </w:r>
      <w:r>
        <w:rPr>
          <w:spacing w:val="-3"/>
        </w:rPr>
        <w:t>，患者中位 </w:t>
      </w:r>
      <w:r>
        <w:rPr>
          <w:rFonts w:ascii="Arial" w:eastAsia="Arial"/>
        </w:rPr>
        <w:t>OS</w:t>
      </w:r>
      <w:r>
        <w:rPr>
          <w:rFonts w:ascii="Arial" w:eastAsia="Arial"/>
          <w:spacing w:val="-11"/>
        </w:rPr>
        <w:t> </w:t>
      </w:r>
      <w:r>
        <w:rPr>
          <w:spacing w:val="-1"/>
        </w:rPr>
        <w:t>仅 </w:t>
      </w:r>
      <w:r>
        <w:rPr>
          <w:rFonts w:ascii="Arial" w:eastAsia="Arial"/>
        </w:rPr>
        <w:t>6.3</w:t>
      </w:r>
      <w:r>
        <w:rPr>
          <w:rFonts w:ascii="Arial" w:eastAsia="Arial"/>
          <w:spacing w:val="-12"/>
        </w:rPr>
        <w:t> </w:t>
      </w:r>
      <w:r>
        <w:rPr>
          <w:spacing w:val="-2"/>
        </w:rPr>
        <w:t>个月；</w:t>
      </w:r>
      <w:r>
        <w:rPr>
          <w:rFonts w:ascii="Arial" w:eastAsia="Arial"/>
        </w:rPr>
        <w:t>REAL-TREND</w:t>
      </w:r>
      <w:r>
        <w:rPr>
          <w:rFonts w:ascii="Arial" w:eastAsia="Arial"/>
          <w:spacing w:val="-12"/>
        </w:rPr>
        <w:t> </w:t>
      </w:r>
      <w:r>
        <w:rPr>
          <w:spacing w:val="-3"/>
        </w:rPr>
        <w:t>研究评估了 </w:t>
      </w:r>
      <w:r>
        <w:rPr>
          <w:rFonts w:ascii="Arial" w:eastAsia="Arial"/>
        </w:rPr>
        <w:t>350</w:t>
      </w:r>
      <w:r>
        <w:rPr>
          <w:rFonts w:ascii="Arial" w:eastAsia="Arial"/>
          <w:spacing w:val="-13"/>
        </w:rPr>
        <w:t> </w:t>
      </w:r>
      <w:r>
        <w:rPr>
          <w:spacing w:val="-1"/>
        </w:rPr>
        <w:t>例 </w:t>
      </w:r>
      <w:r>
        <w:rPr>
          <w:rFonts w:ascii="Arial" w:eastAsia="Arial"/>
        </w:rPr>
        <w:t>r/r LBCL</w:t>
      </w:r>
      <w:r>
        <w:rPr>
          <w:rFonts w:ascii="Arial" w:eastAsia="Arial"/>
          <w:spacing w:val="-15"/>
        </w:rPr>
        <w:t> </w:t>
      </w:r>
      <w:r>
        <w:rPr/>
        <w:t>中国患者，</w:t>
      </w:r>
      <w:r>
        <w:rPr>
          <w:rFonts w:ascii="Arial" w:eastAsia="Arial"/>
        </w:rPr>
        <w:t>ORR</w:t>
      </w:r>
      <w:r>
        <w:rPr>
          <w:rFonts w:ascii="Arial" w:eastAsia="Arial"/>
          <w:spacing w:val="-14"/>
        </w:rPr>
        <w:t> </w:t>
      </w:r>
      <w:r>
        <w:rPr>
          <w:spacing w:val="-2"/>
        </w:rPr>
        <w:t>为 </w:t>
      </w:r>
      <w:r>
        <w:rPr>
          <w:rFonts w:ascii="Arial" w:eastAsia="Arial"/>
        </w:rPr>
        <w:t>30%</w:t>
      </w:r>
      <w:r>
        <w:rPr/>
        <w:t>，</w:t>
      </w:r>
      <w:r>
        <w:rPr>
          <w:rFonts w:ascii="Arial" w:eastAsia="Arial"/>
        </w:rPr>
        <w:t>CR</w:t>
      </w:r>
      <w:r>
        <w:rPr>
          <w:rFonts w:ascii="Arial" w:eastAsia="Arial"/>
          <w:spacing w:val="-14"/>
        </w:rPr>
        <w:t> </w:t>
      </w:r>
      <w:r>
        <w:rPr>
          <w:spacing w:val="-2"/>
        </w:rPr>
        <w:t>仅 </w:t>
      </w:r>
      <w:r>
        <w:rPr>
          <w:rFonts w:ascii="Arial" w:eastAsia="Arial"/>
        </w:rPr>
        <w:t>9%</w:t>
      </w:r>
      <w:r>
        <w:rPr/>
        <w:t>，</w:t>
      </w:r>
      <w:r>
        <w:rPr>
          <w:rFonts w:ascii="Arial" w:eastAsia="Arial"/>
        </w:rPr>
        <w:t>mOS</w:t>
      </w:r>
      <w:r>
        <w:rPr>
          <w:rFonts w:ascii="Arial" w:eastAsia="Arial"/>
          <w:spacing w:val="-11"/>
        </w:rPr>
        <w:t> </w:t>
      </w:r>
      <w:r>
        <w:rPr>
          <w:spacing w:val="-2"/>
        </w:rPr>
        <w:t>仅 </w:t>
      </w:r>
      <w:r>
        <w:rPr>
          <w:rFonts w:ascii="Arial" w:eastAsia="Arial"/>
          <w:spacing w:val="-2"/>
        </w:rPr>
        <w:t>5.9</w:t>
      </w:r>
      <w:r>
        <w:rPr>
          <w:rFonts w:ascii="Arial" w:eastAsia="Arial"/>
          <w:spacing w:val="-15"/>
        </w:rPr>
        <w:t> </w:t>
      </w:r>
      <w:r>
        <w:rPr/>
        <w:t>个月。</w:t>
      </w:r>
    </w:p>
    <w:p>
      <w:pPr>
        <w:pStyle w:val="Heading3"/>
        <w:spacing w:before="63"/>
        <w:jc w:val="left"/>
      </w:pPr>
      <w:r>
        <w:rPr>
          <w:rFonts w:ascii="Arial" w:eastAsia="Arial"/>
        </w:rPr>
        <w:t>CAR-T </w:t>
      </w:r>
      <w:r>
        <w:rPr/>
        <w:t>治疗缓解率显著提高，对比其他疗法后线治疗效果更佳</w:t>
      </w:r>
    </w:p>
    <w:p>
      <w:pPr>
        <w:pStyle w:val="BodyText"/>
        <w:spacing w:line="288" w:lineRule="auto" w:before="155"/>
        <w:ind w:right="2814"/>
        <w:jc w:val="both"/>
      </w:pPr>
      <w:r>
        <w:rPr>
          <w:rFonts w:ascii="Arial" w:eastAsia="Arial"/>
        </w:rPr>
        <w:t>CAR-T</w:t>
      </w:r>
      <w:r>
        <w:rPr>
          <w:rFonts w:ascii="Arial" w:eastAsia="Arial"/>
          <w:spacing w:val="25"/>
        </w:rPr>
        <w:t> </w:t>
      </w:r>
      <w:r>
        <w:rPr>
          <w:spacing w:val="11"/>
        </w:rPr>
        <w:t>相比 </w:t>
      </w:r>
      <w:r>
        <w:rPr>
          <w:rFonts w:ascii="Arial" w:eastAsia="Arial"/>
        </w:rPr>
        <w:t>SOC</w:t>
      </w:r>
      <w:r>
        <w:rPr>
          <w:rFonts w:ascii="Arial" w:eastAsia="Arial"/>
          <w:spacing w:val="23"/>
        </w:rPr>
        <w:t> </w:t>
      </w:r>
      <w:r>
        <w:rPr>
          <w:spacing w:val="-3"/>
        </w:rPr>
        <w:t>有显著优势，</w:t>
      </w:r>
      <w:r>
        <w:rPr>
          <w:rFonts w:ascii="Arial" w:eastAsia="Arial"/>
        </w:rPr>
        <w:t>2021</w:t>
      </w:r>
      <w:r>
        <w:rPr>
          <w:rFonts w:ascii="Arial" w:eastAsia="Arial"/>
          <w:spacing w:val="23"/>
        </w:rPr>
        <w:t> </w:t>
      </w:r>
      <w:r>
        <w:rPr>
          <w:spacing w:val="6"/>
        </w:rPr>
        <w:t>年发表于 </w:t>
      </w:r>
      <w:r>
        <w:rPr>
          <w:rFonts w:ascii="Arial" w:eastAsia="Arial"/>
        </w:rPr>
        <w:t>Blood</w:t>
      </w:r>
      <w:r>
        <w:rPr>
          <w:rFonts w:ascii="Arial" w:eastAsia="Arial"/>
          <w:spacing w:val="28"/>
        </w:rPr>
        <w:t> </w:t>
      </w:r>
      <w:r>
        <w:rPr>
          <w:rFonts w:ascii="Arial" w:eastAsia="Arial"/>
        </w:rPr>
        <w:t>Advance</w:t>
      </w:r>
      <w:r>
        <w:rPr>
          <w:rFonts w:ascii="Arial" w:eastAsia="Arial"/>
          <w:spacing w:val="23"/>
        </w:rPr>
        <w:t> </w:t>
      </w:r>
      <w:r>
        <w:rPr>
          <w:spacing w:val="3"/>
        </w:rPr>
        <w:t>的一项研究 </w:t>
      </w:r>
      <w:r>
        <w:rPr>
          <w:rFonts w:ascii="Arial" w:eastAsia="Arial"/>
        </w:rPr>
        <w:t>(</w:t>
      </w:r>
      <w:hyperlink r:id="rId26">
        <w:r>
          <w:rPr>
            <w:rFonts w:ascii="Arial" w:eastAsia="Arial"/>
            <w:color w:val="0000FF"/>
            <w:u w:val="single" w:color="0000FF"/>
          </w:rPr>
          <w:t>link</w:t>
        </w:r>
      </w:hyperlink>
      <w:r>
        <w:rPr>
          <w:rFonts w:ascii="Arial" w:eastAsia="Arial"/>
          <w:spacing w:val="15"/>
        </w:rPr>
        <w:t>) </w:t>
      </w:r>
      <w:r>
        <w:rPr>
          <w:spacing w:val="-2"/>
        </w:rPr>
        <w:t>对比了</w:t>
      </w:r>
      <w:r>
        <w:rPr>
          <w:rFonts w:ascii="Arial" w:eastAsia="Arial"/>
          <w:spacing w:val="-2"/>
        </w:rPr>
        <w:t>ZUMA-1</w:t>
      </w:r>
      <w:r>
        <w:rPr>
          <w:rFonts w:ascii="Arial" w:eastAsia="Arial"/>
          <w:spacing w:val="-18"/>
        </w:rPr>
        <w:t> </w:t>
      </w:r>
      <w:r>
        <w:rPr>
          <w:spacing w:val="-1"/>
        </w:rPr>
        <w:t>与 </w:t>
      </w:r>
      <w:r>
        <w:rPr>
          <w:rFonts w:ascii="Arial" w:eastAsia="Arial"/>
        </w:rPr>
        <w:t>SCHOLAR-1</w:t>
      </w:r>
      <w:r>
        <w:rPr>
          <w:rFonts w:ascii="Arial" w:eastAsia="Arial"/>
          <w:spacing w:val="-12"/>
        </w:rPr>
        <w:t> </w:t>
      </w:r>
      <w:r>
        <w:rPr>
          <w:spacing w:val="-5"/>
        </w:rPr>
        <w:t>研究，使用倾向评分对患者基线进行平衡。</w:t>
      </w:r>
      <w:r>
        <w:rPr>
          <w:rFonts w:ascii="Arial" w:eastAsia="Arial"/>
        </w:rPr>
        <w:t>ZUMA-1</w:t>
      </w:r>
      <w:r>
        <w:rPr>
          <w:rFonts w:ascii="Arial" w:eastAsia="Arial"/>
          <w:spacing w:val="-17"/>
        </w:rPr>
        <w:t> </w:t>
      </w:r>
      <w:r>
        <w:rPr>
          <w:spacing w:val="-2"/>
        </w:rPr>
        <w:t>研究中 </w:t>
      </w:r>
      <w:r>
        <w:rPr>
          <w:rFonts w:ascii="Arial" w:eastAsia="Arial"/>
        </w:rPr>
        <w:t>CD19 CAR-T</w:t>
      </w:r>
      <w:r>
        <w:rPr>
          <w:rFonts w:ascii="Arial" w:eastAsia="Arial"/>
          <w:spacing w:val="-18"/>
        </w:rPr>
        <w:t> </w:t>
      </w:r>
      <w:r>
        <w:rPr>
          <w:spacing w:val="-4"/>
        </w:rPr>
        <w:t>治疗组中位随访 </w:t>
      </w:r>
      <w:r>
        <w:rPr>
          <w:rFonts w:ascii="Arial" w:eastAsia="Arial"/>
        </w:rPr>
        <w:t>27.1</w:t>
      </w:r>
      <w:r>
        <w:rPr>
          <w:rFonts w:ascii="Arial" w:eastAsia="Arial"/>
          <w:spacing w:val="-20"/>
        </w:rPr>
        <w:t> </w:t>
      </w:r>
      <w:r>
        <w:rPr>
          <w:spacing w:val="10"/>
        </w:rPr>
        <w:t>个月的</w:t>
      </w:r>
      <w:r>
        <w:rPr>
          <w:rFonts w:ascii="Arial" w:eastAsia="Arial"/>
        </w:rPr>
        <w:t>ORR</w:t>
      </w:r>
      <w:r>
        <w:rPr>
          <w:rFonts w:ascii="Arial" w:eastAsia="Arial"/>
          <w:spacing w:val="-20"/>
        </w:rPr>
        <w:t> </w:t>
      </w:r>
      <w:r>
        <w:rPr>
          <w:spacing w:val="-5"/>
        </w:rPr>
        <w:t>与 </w:t>
      </w:r>
      <w:r>
        <w:rPr>
          <w:rFonts w:ascii="Arial" w:eastAsia="Arial"/>
        </w:rPr>
        <w:t>CR</w:t>
      </w:r>
      <w:r>
        <w:rPr>
          <w:rFonts w:ascii="Arial" w:eastAsia="Arial"/>
          <w:spacing w:val="-20"/>
        </w:rPr>
        <w:t> </w:t>
      </w:r>
      <w:r>
        <w:rPr>
          <w:spacing w:val="9"/>
        </w:rPr>
        <w:t>分别为</w:t>
      </w:r>
      <w:r>
        <w:rPr>
          <w:rFonts w:ascii="Arial" w:eastAsia="Arial"/>
          <w:spacing w:val="-2"/>
        </w:rPr>
        <w:t>83%</w:t>
      </w:r>
      <w:r>
        <w:rPr>
          <w:spacing w:val="-5"/>
        </w:rPr>
        <w:t>和 </w:t>
      </w:r>
      <w:r>
        <w:rPr>
          <w:rFonts w:ascii="Arial" w:eastAsia="Arial"/>
        </w:rPr>
        <w:t>54%</w:t>
      </w:r>
      <w:r>
        <w:rPr>
          <w:spacing w:val="-2"/>
        </w:rPr>
        <w:t>，相比之下 </w:t>
      </w:r>
      <w:r>
        <w:rPr>
          <w:rFonts w:ascii="Arial" w:eastAsia="Arial"/>
        </w:rPr>
        <w:t>SCHOLAR- 1</w:t>
      </w:r>
      <w:r>
        <w:rPr>
          <w:rFonts w:ascii="Arial" w:eastAsia="Arial"/>
          <w:spacing w:val="-11"/>
        </w:rPr>
        <w:t> </w:t>
      </w:r>
      <w:r>
        <w:rPr/>
        <w:t>研究中 </w:t>
      </w:r>
      <w:r>
        <w:rPr>
          <w:rFonts w:ascii="Arial" w:eastAsia="Arial"/>
        </w:rPr>
        <w:t>SOC</w:t>
      </w:r>
      <w:r>
        <w:rPr>
          <w:rFonts w:ascii="Arial" w:eastAsia="Arial"/>
          <w:spacing w:val="-10"/>
        </w:rPr>
        <w:t> </w:t>
      </w:r>
      <w:r>
        <w:rPr>
          <w:spacing w:val="43"/>
        </w:rPr>
        <w:t>的</w:t>
      </w:r>
      <w:r>
        <w:rPr>
          <w:rFonts w:ascii="Arial" w:eastAsia="Arial"/>
        </w:rPr>
        <w:t>ORR</w:t>
      </w:r>
      <w:r>
        <w:rPr>
          <w:rFonts w:ascii="Arial" w:eastAsia="Arial"/>
          <w:spacing w:val="-10"/>
        </w:rPr>
        <w:t> </w:t>
      </w:r>
      <w:r>
        <w:rPr/>
        <w:t>与 </w:t>
      </w:r>
      <w:r>
        <w:rPr>
          <w:rFonts w:ascii="Arial" w:eastAsia="Arial"/>
        </w:rPr>
        <w:t>CR</w:t>
      </w:r>
      <w:r>
        <w:rPr>
          <w:rFonts w:ascii="Arial" w:eastAsia="Arial"/>
          <w:spacing w:val="-9"/>
        </w:rPr>
        <w:t> </w:t>
      </w:r>
      <w:r>
        <w:rPr/>
        <w:t>分别为 </w:t>
      </w:r>
      <w:r>
        <w:rPr>
          <w:rFonts w:ascii="Arial" w:eastAsia="Arial"/>
          <w:spacing w:val="-2"/>
        </w:rPr>
        <w:t>34%</w:t>
      </w:r>
      <w:r>
        <w:rPr/>
        <w:t>和 </w:t>
      </w:r>
      <w:r>
        <w:rPr>
          <w:rFonts w:ascii="Arial" w:eastAsia="Arial"/>
          <w:spacing w:val="-2"/>
        </w:rPr>
        <w:t>12%</w:t>
      </w:r>
      <w:r>
        <w:rPr>
          <w:spacing w:val="-2"/>
        </w:rPr>
        <w:t>。两项研究的 </w:t>
      </w:r>
      <w:r>
        <w:rPr>
          <w:rFonts w:ascii="Arial" w:eastAsia="Arial"/>
        </w:rPr>
        <w:t>2</w:t>
      </w:r>
      <w:r>
        <w:rPr>
          <w:rFonts w:ascii="Arial" w:eastAsia="Arial"/>
          <w:spacing w:val="-11"/>
        </w:rPr>
        <w:t> </w:t>
      </w:r>
      <w:r>
        <w:rPr>
          <w:spacing w:val="48"/>
        </w:rPr>
        <w:t>年</w:t>
      </w:r>
      <w:r>
        <w:rPr>
          <w:rFonts w:ascii="Arial" w:eastAsia="Arial"/>
        </w:rPr>
        <w:t>OS</w:t>
      </w:r>
      <w:r>
        <w:rPr>
          <w:rFonts w:ascii="Arial" w:eastAsia="Arial"/>
          <w:spacing w:val="-14"/>
        </w:rPr>
        <w:t> </w:t>
      </w:r>
      <w:r>
        <w:rPr>
          <w:spacing w:val="-2"/>
        </w:rPr>
        <w:t>比例分别为 </w:t>
      </w:r>
      <w:r>
        <w:rPr>
          <w:rFonts w:ascii="Arial" w:eastAsia="Arial"/>
          <w:spacing w:val="-2"/>
        </w:rPr>
        <w:t>54%</w:t>
      </w:r>
      <w:r>
        <w:rPr/>
        <w:t>和</w:t>
      </w:r>
    </w:p>
    <w:p>
      <w:pPr>
        <w:pStyle w:val="BodyText"/>
        <w:spacing w:line="277" w:lineRule="exact"/>
        <w:jc w:val="both"/>
      </w:pPr>
      <w:r>
        <w:rPr>
          <w:rFonts w:ascii="Arial" w:eastAsia="Arial"/>
        </w:rPr>
        <w:t>20%</w:t>
      </w:r>
      <w:r>
        <w:rPr/>
        <w:t>，显示 </w:t>
      </w:r>
      <w:r>
        <w:rPr>
          <w:rFonts w:ascii="Arial" w:eastAsia="Arial"/>
        </w:rPr>
        <w:t>CAR-T </w:t>
      </w:r>
      <w:r>
        <w:rPr/>
        <w:t>治疗可大幅改善 </w:t>
      </w:r>
      <w:r>
        <w:rPr>
          <w:rFonts w:ascii="Arial" w:eastAsia="Arial"/>
        </w:rPr>
        <w:t>r/r DLBCL </w:t>
      </w:r>
      <w:r>
        <w:rPr/>
        <w:t>患者预后。</w:t>
      </w:r>
    </w:p>
    <w:p>
      <w:pPr>
        <w:pStyle w:val="Heading3"/>
        <w:spacing w:before="122" w:after="9"/>
      </w:pPr>
      <w:r>
        <w:rPr/>
        <w:t>图 </w:t>
      </w:r>
      <w:r>
        <w:rPr>
          <w:rFonts w:ascii="Arial" w:eastAsia="Arial"/>
        </w:rPr>
        <w:t>19: CD19 CAR-T vs SOC </w:t>
      </w:r>
      <w:r>
        <w:rPr/>
        <w:t>在 </w:t>
      </w:r>
      <w:r>
        <w:rPr>
          <w:rFonts w:ascii="Arial" w:eastAsia="Arial"/>
        </w:rPr>
        <w:t>r/r DLBCL </w:t>
      </w:r>
      <w:r>
        <w:rPr/>
        <w:t>患者中的疗效对比</w:t>
      </w:r>
    </w:p>
    <w:tbl>
      <w:tblPr>
        <w:tblW w:w="0" w:type="auto"/>
        <w:jc w:val="left"/>
        <w:tblInd w:w="2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32"/>
        <w:gridCol w:w="3112"/>
        <w:gridCol w:w="3004"/>
      </w:tblGrid>
      <w:tr>
        <w:trPr>
          <w:trHeight w:val="229" w:hRule="atLeast"/>
        </w:trPr>
        <w:tc>
          <w:tcPr>
            <w:tcW w:w="1832" w:type="dxa"/>
            <w:tcBorders>
              <w:left w:val="nil"/>
              <w:bottom w:val="single" w:sz="6" w:space="0" w:color="000000"/>
              <w:right w:val="single" w:sz="6" w:space="0" w:color="000000"/>
            </w:tcBorders>
            <w:shd w:val="clear" w:color="auto" w:fill="C00000"/>
          </w:tcPr>
          <w:p>
            <w:pPr>
              <w:pStyle w:val="TableParagraph"/>
              <w:spacing w:line="210" w:lineRule="exact"/>
              <w:ind w:left="110"/>
              <w:rPr>
                <w:rFonts w:ascii="Microsoft JhengHei UI" w:eastAsia="Microsoft JhengHei UI" w:hint="eastAsia"/>
                <w:b/>
                <w:sz w:val="16"/>
              </w:rPr>
            </w:pPr>
            <w:r>
              <w:rPr>
                <w:rFonts w:ascii="Microsoft JhengHei UI" w:eastAsia="Microsoft JhengHei UI" w:hint="eastAsia"/>
                <w:b/>
                <w:color w:val="FFFFFF"/>
                <w:sz w:val="16"/>
              </w:rPr>
              <w:t>数据来源</w:t>
            </w:r>
          </w:p>
        </w:tc>
        <w:tc>
          <w:tcPr>
            <w:tcW w:w="3112" w:type="dxa"/>
            <w:tcBorders>
              <w:left w:val="single" w:sz="6" w:space="0" w:color="000000"/>
              <w:bottom w:val="single" w:sz="6" w:space="0" w:color="000000"/>
              <w:right w:val="single" w:sz="6" w:space="0" w:color="000000"/>
            </w:tcBorders>
            <w:shd w:val="clear" w:color="auto" w:fill="C00000"/>
          </w:tcPr>
          <w:p>
            <w:pPr>
              <w:pStyle w:val="TableParagraph"/>
              <w:spacing w:before="22"/>
              <w:ind w:left="100"/>
              <w:rPr>
                <w:b/>
                <w:sz w:val="16"/>
              </w:rPr>
            </w:pPr>
            <w:r>
              <w:rPr>
                <w:b/>
                <w:color w:val="FFFFFF"/>
                <w:sz w:val="16"/>
              </w:rPr>
              <w:t>ZUMA-1</w:t>
            </w:r>
          </w:p>
        </w:tc>
        <w:tc>
          <w:tcPr>
            <w:tcW w:w="3004" w:type="dxa"/>
            <w:tcBorders>
              <w:left w:val="single" w:sz="6" w:space="0" w:color="000000"/>
              <w:bottom w:val="single" w:sz="6" w:space="0" w:color="000000"/>
              <w:right w:val="nil"/>
            </w:tcBorders>
            <w:shd w:val="clear" w:color="auto" w:fill="C00000"/>
          </w:tcPr>
          <w:p>
            <w:pPr>
              <w:pStyle w:val="TableParagraph"/>
              <w:spacing w:before="22"/>
              <w:ind w:left="104"/>
              <w:rPr>
                <w:b/>
                <w:sz w:val="16"/>
              </w:rPr>
            </w:pPr>
            <w:r>
              <w:rPr>
                <w:b/>
                <w:color w:val="FFFFFF"/>
                <w:sz w:val="16"/>
              </w:rPr>
              <w:t>SCHOLAR-1</w:t>
            </w:r>
          </w:p>
        </w:tc>
      </w:tr>
      <w:tr>
        <w:trPr>
          <w:trHeight w:val="234" w:hRule="atLeast"/>
        </w:trPr>
        <w:tc>
          <w:tcPr>
            <w:tcW w:w="1832" w:type="dxa"/>
            <w:tcBorders>
              <w:top w:val="single" w:sz="6" w:space="0" w:color="000000"/>
              <w:left w:val="nil"/>
              <w:bottom w:val="single" w:sz="6" w:space="0" w:color="000000"/>
              <w:right w:val="single" w:sz="6" w:space="0" w:color="000000"/>
            </w:tcBorders>
          </w:tcPr>
          <w:p>
            <w:pPr>
              <w:pStyle w:val="TableParagraph"/>
              <w:spacing w:line="215" w:lineRule="exact"/>
              <w:ind w:left="110"/>
              <w:rPr>
                <w:rFonts w:ascii="PMingLiU" w:eastAsia="PMingLiU" w:hint="eastAsia"/>
                <w:sz w:val="16"/>
              </w:rPr>
            </w:pPr>
            <w:r>
              <w:rPr>
                <w:rFonts w:ascii="PMingLiU" w:eastAsia="PMingLiU" w:hint="eastAsia"/>
                <w:sz w:val="16"/>
              </w:rPr>
              <w:t>疗法</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3"/>
              <w:ind w:left="100"/>
              <w:rPr>
                <w:sz w:val="16"/>
              </w:rPr>
            </w:pPr>
            <w:r>
              <w:rPr>
                <w:sz w:val="16"/>
              </w:rPr>
              <w:t>Yescarta</w:t>
            </w:r>
          </w:p>
        </w:tc>
        <w:tc>
          <w:tcPr>
            <w:tcW w:w="3004" w:type="dxa"/>
            <w:tcBorders>
              <w:top w:val="single" w:sz="6" w:space="0" w:color="000000"/>
              <w:left w:val="single" w:sz="6" w:space="0" w:color="000000"/>
              <w:bottom w:val="single" w:sz="6" w:space="0" w:color="000000"/>
              <w:right w:val="nil"/>
            </w:tcBorders>
          </w:tcPr>
          <w:p>
            <w:pPr>
              <w:pStyle w:val="TableParagraph"/>
              <w:spacing w:before="23"/>
              <w:ind w:left="104"/>
              <w:rPr>
                <w:sz w:val="16"/>
              </w:rPr>
            </w:pPr>
            <w:r>
              <w:rPr>
                <w:sz w:val="16"/>
              </w:rPr>
              <w:t>SOC</w:t>
            </w:r>
          </w:p>
        </w:tc>
      </w:tr>
      <w:tr>
        <w:trPr>
          <w:trHeight w:val="229" w:hRule="atLeast"/>
        </w:trPr>
        <w:tc>
          <w:tcPr>
            <w:tcW w:w="1832" w:type="dxa"/>
            <w:tcBorders>
              <w:top w:val="single" w:sz="6" w:space="0" w:color="000000"/>
              <w:left w:val="nil"/>
              <w:bottom w:val="single" w:sz="6" w:space="0" w:color="000000"/>
              <w:right w:val="single" w:sz="6" w:space="0" w:color="000000"/>
            </w:tcBorders>
          </w:tcPr>
          <w:p>
            <w:pPr>
              <w:pStyle w:val="TableParagraph"/>
              <w:spacing w:line="210" w:lineRule="exact"/>
              <w:ind w:left="110"/>
              <w:rPr>
                <w:rFonts w:ascii="PMingLiU" w:eastAsia="PMingLiU" w:hint="eastAsia"/>
                <w:sz w:val="16"/>
              </w:rPr>
            </w:pPr>
            <w:r>
              <w:rPr>
                <w:rFonts w:ascii="PMingLiU" w:eastAsia="PMingLiU" w:hint="eastAsia"/>
                <w:sz w:val="16"/>
              </w:rPr>
              <w:t>样本量</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2"/>
              <w:ind w:left="100"/>
              <w:rPr>
                <w:sz w:val="16"/>
              </w:rPr>
            </w:pPr>
            <w:r>
              <w:rPr>
                <w:sz w:val="16"/>
              </w:rPr>
              <w:t>80</w:t>
            </w:r>
          </w:p>
        </w:tc>
        <w:tc>
          <w:tcPr>
            <w:tcW w:w="3004" w:type="dxa"/>
            <w:tcBorders>
              <w:top w:val="single" w:sz="6" w:space="0" w:color="000000"/>
              <w:left w:val="single" w:sz="6" w:space="0" w:color="000000"/>
              <w:bottom w:val="single" w:sz="6" w:space="0" w:color="000000"/>
              <w:right w:val="nil"/>
            </w:tcBorders>
          </w:tcPr>
          <w:p>
            <w:pPr>
              <w:pStyle w:val="TableParagraph"/>
              <w:spacing w:before="22"/>
              <w:ind w:left="104"/>
              <w:rPr>
                <w:sz w:val="16"/>
              </w:rPr>
            </w:pPr>
            <w:r>
              <w:rPr>
                <w:sz w:val="16"/>
              </w:rPr>
              <w:t>340</w:t>
            </w:r>
          </w:p>
        </w:tc>
      </w:tr>
      <w:tr>
        <w:trPr>
          <w:trHeight w:val="234" w:hRule="atLeast"/>
        </w:trPr>
        <w:tc>
          <w:tcPr>
            <w:tcW w:w="1832" w:type="dxa"/>
            <w:tcBorders>
              <w:top w:val="single" w:sz="6" w:space="0" w:color="000000"/>
              <w:left w:val="nil"/>
              <w:bottom w:val="single" w:sz="6" w:space="0" w:color="000000"/>
              <w:right w:val="single" w:sz="6" w:space="0" w:color="000000"/>
            </w:tcBorders>
          </w:tcPr>
          <w:p>
            <w:pPr>
              <w:pStyle w:val="TableParagraph"/>
              <w:spacing w:line="215" w:lineRule="exact"/>
              <w:ind w:left="110"/>
              <w:rPr>
                <w:rFonts w:ascii="PMingLiU" w:hAnsi="PMingLiU" w:eastAsia="PMingLiU" w:hint="eastAsia"/>
                <w:sz w:val="16"/>
              </w:rPr>
            </w:pPr>
            <w:r>
              <w:rPr>
                <w:rFonts w:ascii="PMingLiU" w:hAnsi="PMingLiU" w:eastAsia="PMingLiU" w:hint="eastAsia"/>
                <w:sz w:val="16"/>
              </w:rPr>
              <w:t>既往接受</w:t>
            </w:r>
            <w:r>
              <w:rPr>
                <w:sz w:val="16"/>
              </w:rPr>
              <w:t>≥</w:t>
            </w:r>
            <w:r>
              <w:rPr>
                <w:rFonts w:ascii="PMingLiU" w:hAnsi="PMingLiU" w:eastAsia="PMingLiU" w:hint="eastAsia"/>
                <w:sz w:val="16"/>
              </w:rPr>
              <w:t>三线治疗</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7"/>
              <w:ind w:left="100"/>
              <w:rPr>
                <w:sz w:val="16"/>
              </w:rPr>
            </w:pPr>
            <w:r>
              <w:rPr>
                <w:sz w:val="16"/>
              </w:rPr>
              <w:t>61%</w:t>
            </w:r>
          </w:p>
        </w:tc>
        <w:tc>
          <w:tcPr>
            <w:tcW w:w="3004" w:type="dxa"/>
            <w:tcBorders>
              <w:top w:val="single" w:sz="6" w:space="0" w:color="000000"/>
              <w:left w:val="single" w:sz="6" w:space="0" w:color="000000"/>
              <w:bottom w:val="single" w:sz="6" w:space="0" w:color="000000"/>
              <w:right w:val="nil"/>
            </w:tcBorders>
          </w:tcPr>
          <w:p>
            <w:pPr>
              <w:pStyle w:val="TableParagraph"/>
              <w:spacing w:before="27"/>
              <w:ind w:left="104"/>
              <w:rPr>
                <w:sz w:val="16"/>
              </w:rPr>
            </w:pPr>
            <w:r>
              <w:rPr>
                <w:sz w:val="16"/>
              </w:rPr>
              <w:t>29%</w:t>
            </w:r>
          </w:p>
        </w:tc>
      </w:tr>
      <w:tr>
        <w:trPr>
          <w:trHeight w:val="234" w:hRule="atLeast"/>
        </w:trPr>
        <w:tc>
          <w:tcPr>
            <w:tcW w:w="1832" w:type="dxa"/>
            <w:tcBorders>
              <w:top w:val="single" w:sz="6" w:space="0" w:color="000000"/>
              <w:left w:val="nil"/>
              <w:bottom w:val="single" w:sz="6" w:space="0" w:color="000000"/>
              <w:right w:val="single" w:sz="6" w:space="0" w:color="000000"/>
            </w:tcBorders>
          </w:tcPr>
          <w:p>
            <w:pPr>
              <w:pStyle w:val="TableParagraph"/>
              <w:spacing w:line="215" w:lineRule="exact"/>
              <w:ind w:left="110"/>
              <w:rPr>
                <w:rFonts w:ascii="PMingLiU" w:eastAsia="PMingLiU" w:hint="eastAsia"/>
                <w:sz w:val="16"/>
              </w:rPr>
            </w:pPr>
            <w:r>
              <w:rPr>
                <w:rFonts w:ascii="PMingLiU" w:eastAsia="PMingLiU" w:hint="eastAsia"/>
                <w:sz w:val="16"/>
              </w:rPr>
              <w:t>既往复发</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2"/>
              <w:ind w:left="100"/>
              <w:rPr>
                <w:sz w:val="16"/>
              </w:rPr>
            </w:pPr>
            <w:r>
              <w:rPr>
                <w:sz w:val="16"/>
              </w:rPr>
              <w:t>29%</w:t>
            </w:r>
          </w:p>
        </w:tc>
        <w:tc>
          <w:tcPr>
            <w:tcW w:w="3004" w:type="dxa"/>
            <w:tcBorders>
              <w:top w:val="single" w:sz="6" w:space="0" w:color="000000"/>
              <w:left w:val="single" w:sz="6" w:space="0" w:color="000000"/>
              <w:bottom w:val="single" w:sz="6" w:space="0" w:color="000000"/>
              <w:right w:val="nil"/>
            </w:tcBorders>
          </w:tcPr>
          <w:p>
            <w:pPr>
              <w:pStyle w:val="TableParagraph"/>
              <w:spacing w:before="22"/>
              <w:ind w:left="104"/>
              <w:rPr>
                <w:sz w:val="16"/>
              </w:rPr>
            </w:pPr>
            <w:r>
              <w:rPr>
                <w:sz w:val="16"/>
              </w:rPr>
              <w:t>37%</w:t>
            </w:r>
          </w:p>
        </w:tc>
      </w:tr>
      <w:tr>
        <w:trPr>
          <w:trHeight w:val="229" w:hRule="atLeast"/>
        </w:trPr>
        <w:tc>
          <w:tcPr>
            <w:tcW w:w="1832" w:type="dxa"/>
            <w:tcBorders>
              <w:top w:val="single" w:sz="6" w:space="0" w:color="000000"/>
              <w:left w:val="nil"/>
              <w:bottom w:val="single" w:sz="6" w:space="0" w:color="000000"/>
              <w:right w:val="single" w:sz="6" w:space="0" w:color="000000"/>
            </w:tcBorders>
          </w:tcPr>
          <w:p>
            <w:pPr>
              <w:pStyle w:val="TableParagraph"/>
              <w:spacing w:line="210" w:lineRule="exact"/>
              <w:ind w:left="110"/>
              <w:rPr>
                <w:rFonts w:ascii="PMingLiU" w:eastAsia="PMingLiU" w:hint="eastAsia"/>
                <w:sz w:val="16"/>
              </w:rPr>
            </w:pPr>
            <w:r>
              <w:rPr>
                <w:sz w:val="16"/>
              </w:rPr>
              <w:t>ASCT </w:t>
            </w:r>
            <w:r>
              <w:rPr>
                <w:rFonts w:ascii="PMingLiU" w:eastAsia="PMingLiU" w:hint="eastAsia"/>
                <w:sz w:val="16"/>
              </w:rPr>
              <w:t>后＜</w:t>
            </w:r>
            <w:r>
              <w:rPr>
                <w:sz w:val="16"/>
              </w:rPr>
              <w:t>12m </w:t>
            </w:r>
            <w:r>
              <w:rPr>
                <w:rFonts w:ascii="PMingLiU" w:eastAsia="PMingLiU" w:hint="eastAsia"/>
                <w:sz w:val="16"/>
              </w:rPr>
              <w:t>复发</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2"/>
              <w:ind w:left="100"/>
              <w:rPr>
                <w:sz w:val="16"/>
              </w:rPr>
            </w:pPr>
            <w:r>
              <w:rPr>
                <w:sz w:val="16"/>
              </w:rPr>
              <w:t>20%</w:t>
            </w:r>
          </w:p>
        </w:tc>
        <w:tc>
          <w:tcPr>
            <w:tcW w:w="3004" w:type="dxa"/>
            <w:tcBorders>
              <w:top w:val="single" w:sz="6" w:space="0" w:color="000000"/>
              <w:left w:val="single" w:sz="6" w:space="0" w:color="000000"/>
              <w:bottom w:val="single" w:sz="6" w:space="0" w:color="000000"/>
              <w:right w:val="nil"/>
            </w:tcBorders>
          </w:tcPr>
          <w:p>
            <w:pPr>
              <w:pStyle w:val="TableParagraph"/>
              <w:spacing w:before="22"/>
              <w:ind w:left="104"/>
              <w:rPr>
                <w:sz w:val="16"/>
              </w:rPr>
            </w:pPr>
            <w:r>
              <w:rPr>
                <w:sz w:val="16"/>
              </w:rPr>
              <w:t>22%</w:t>
            </w:r>
          </w:p>
        </w:tc>
      </w:tr>
      <w:tr>
        <w:trPr>
          <w:trHeight w:val="229" w:hRule="atLeast"/>
        </w:trPr>
        <w:tc>
          <w:tcPr>
            <w:tcW w:w="1832" w:type="dxa"/>
            <w:tcBorders>
              <w:top w:val="single" w:sz="6" w:space="0" w:color="000000"/>
              <w:left w:val="nil"/>
              <w:bottom w:val="single" w:sz="6" w:space="0" w:color="000000"/>
              <w:right w:val="single" w:sz="6" w:space="0" w:color="000000"/>
            </w:tcBorders>
          </w:tcPr>
          <w:p>
            <w:pPr>
              <w:pStyle w:val="TableParagraph"/>
              <w:spacing w:before="22"/>
              <w:ind w:left="110"/>
              <w:rPr>
                <w:sz w:val="16"/>
              </w:rPr>
            </w:pPr>
            <w:r>
              <w:rPr>
                <w:sz w:val="16"/>
              </w:rPr>
              <w:t>ORR</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2"/>
              <w:ind w:left="100"/>
              <w:rPr>
                <w:sz w:val="16"/>
              </w:rPr>
            </w:pPr>
            <w:r>
              <w:rPr>
                <w:sz w:val="16"/>
              </w:rPr>
              <w:t>83%</w:t>
            </w:r>
          </w:p>
        </w:tc>
        <w:tc>
          <w:tcPr>
            <w:tcW w:w="3004" w:type="dxa"/>
            <w:tcBorders>
              <w:top w:val="single" w:sz="6" w:space="0" w:color="000000"/>
              <w:left w:val="single" w:sz="6" w:space="0" w:color="000000"/>
              <w:bottom w:val="single" w:sz="6" w:space="0" w:color="000000"/>
              <w:right w:val="nil"/>
            </w:tcBorders>
          </w:tcPr>
          <w:p>
            <w:pPr>
              <w:pStyle w:val="TableParagraph"/>
              <w:spacing w:before="22"/>
              <w:ind w:left="104"/>
              <w:rPr>
                <w:sz w:val="16"/>
              </w:rPr>
            </w:pPr>
            <w:r>
              <w:rPr>
                <w:sz w:val="16"/>
              </w:rPr>
              <w:t>34%</w:t>
            </w:r>
          </w:p>
        </w:tc>
      </w:tr>
      <w:tr>
        <w:trPr>
          <w:trHeight w:val="225" w:hRule="atLeast"/>
        </w:trPr>
        <w:tc>
          <w:tcPr>
            <w:tcW w:w="1832" w:type="dxa"/>
            <w:tcBorders>
              <w:top w:val="single" w:sz="6" w:space="0" w:color="000000"/>
              <w:left w:val="nil"/>
              <w:bottom w:val="single" w:sz="6" w:space="0" w:color="000000"/>
              <w:right w:val="single" w:sz="6" w:space="0" w:color="000000"/>
            </w:tcBorders>
          </w:tcPr>
          <w:p>
            <w:pPr>
              <w:pStyle w:val="TableParagraph"/>
              <w:spacing w:before="18"/>
              <w:ind w:left="110"/>
              <w:rPr>
                <w:sz w:val="16"/>
              </w:rPr>
            </w:pPr>
            <w:r>
              <w:rPr>
                <w:sz w:val="16"/>
              </w:rPr>
              <w:t>CR</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18"/>
              <w:ind w:left="100"/>
              <w:rPr>
                <w:sz w:val="16"/>
              </w:rPr>
            </w:pPr>
            <w:r>
              <w:rPr>
                <w:sz w:val="16"/>
              </w:rPr>
              <w:t>54%</w:t>
            </w:r>
          </w:p>
        </w:tc>
        <w:tc>
          <w:tcPr>
            <w:tcW w:w="3004" w:type="dxa"/>
            <w:tcBorders>
              <w:top w:val="single" w:sz="6" w:space="0" w:color="000000"/>
              <w:left w:val="single" w:sz="6" w:space="0" w:color="000000"/>
              <w:bottom w:val="single" w:sz="6" w:space="0" w:color="000000"/>
              <w:right w:val="nil"/>
            </w:tcBorders>
          </w:tcPr>
          <w:p>
            <w:pPr>
              <w:pStyle w:val="TableParagraph"/>
              <w:spacing w:before="18"/>
              <w:ind w:left="104"/>
              <w:rPr>
                <w:sz w:val="16"/>
              </w:rPr>
            </w:pPr>
            <w:r>
              <w:rPr>
                <w:sz w:val="16"/>
              </w:rPr>
              <w:t>12%</w:t>
            </w:r>
          </w:p>
        </w:tc>
      </w:tr>
      <w:tr>
        <w:trPr>
          <w:trHeight w:val="234" w:hRule="atLeast"/>
        </w:trPr>
        <w:tc>
          <w:tcPr>
            <w:tcW w:w="1832" w:type="dxa"/>
            <w:tcBorders>
              <w:top w:val="single" w:sz="6" w:space="0" w:color="000000"/>
              <w:left w:val="nil"/>
              <w:bottom w:val="single" w:sz="6" w:space="0" w:color="000000"/>
              <w:right w:val="single" w:sz="6" w:space="0" w:color="000000"/>
            </w:tcBorders>
          </w:tcPr>
          <w:p>
            <w:pPr>
              <w:pStyle w:val="TableParagraph"/>
              <w:spacing w:before="22"/>
              <w:ind w:left="110"/>
              <w:rPr>
                <w:sz w:val="16"/>
              </w:rPr>
            </w:pPr>
            <w:r>
              <w:rPr>
                <w:sz w:val="16"/>
              </w:rPr>
              <w:t>mOS</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00"/>
              <w:rPr>
                <w:rFonts w:ascii="PMingLiU" w:eastAsia="PMingLiU" w:hint="eastAsia"/>
                <w:sz w:val="16"/>
              </w:rPr>
            </w:pPr>
            <w:r>
              <w:rPr>
                <w:sz w:val="16"/>
              </w:rPr>
              <w:t>27.1m </w:t>
            </w:r>
            <w:r>
              <w:rPr>
                <w:rFonts w:ascii="PMingLiU" w:eastAsia="PMingLiU" w:hint="eastAsia"/>
                <w:sz w:val="16"/>
              </w:rPr>
              <w:t>未达到</w:t>
            </w:r>
          </w:p>
        </w:tc>
        <w:tc>
          <w:tcPr>
            <w:tcW w:w="3004" w:type="dxa"/>
            <w:tcBorders>
              <w:top w:val="single" w:sz="6" w:space="0" w:color="000000"/>
              <w:left w:val="single" w:sz="6" w:space="0" w:color="000000"/>
              <w:bottom w:val="single" w:sz="6" w:space="0" w:color="000000"/>
              <w:right w:val="nil"/>
            </w:tcBorders>
          </w:tcPr>
          <w:p>
            <w:pPr>
              <w:pStyle w:val="TableParagraph"/>
              <w:spacing w:before="22"/>
              <w:ind w:left="104"/>
              <w:rPr>
                <w:sz w:val="16"/>
              </w:rPr>
            </w:pPr>
            <w:r>
              <w:rPr>
                <w:sz w:val="16"/>
              </w:rPr>
              <w:t>5.4m</w:t>
            </w:r>
          </w:p>
        </w:tc>
      </w:tr>
      <w:tr>
        <w:trPr>
          <w:trHeight w:val="225" w:hRule="atLeast"/>
        </w:trPr>
        <w:tc>
          <w:tcPr>
            <w:tcW w:w="1832" w:type="dxa"/>
            <w:tcBorders>
              <w:top w:val="single" w:sz="6" w:space="0" w:color="000000"/>
              <w:left w:val="nil"/>
              <w:bottom w:val="single" w:sz="6" w:space="0" w:color="000000"/>
              <w:right w:val="single" w:sz="6" w:space="0" w:color="000000"/>
            </w:tcBorders>
          </w:tcPr>
          <w:p>
            <w:pPr>
              <w:pStyle w:val="TableParagraph"/>
              <w:spacing w:before="17"/>
              <w:ind w:left="110"/>
              <w:rPr>
                <w:sz w:val="16"/>
              </w:rPr>
            </w:pPr>
            <w:r>
              <w:rPr>
                <w:sz w:val="16"/>
              </w:rPr>
              <w:t>12m OS</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17"/>
              <w:ind w:left="100"/>
              <w:rPr>
                <w:sz w:val="16"/>
              </w:rPr>
            </w:pPr>
            <w:r>
              <w:rPr>
                <w:sz w:val="16"/>
              </w:rPr>
              <w:t>71%</w:t>
            </w:r>
          </w:p>
        </w:tc>
        <w:tc>
          <w:tcPr>
            <w:tcW w:w="3004" w:type="dxa"/>
            <w:tcBorders>
              <w:top w:val="single" w:sz="6" w:space="0" w:color="000000"/>
              <w:left w:val="single" w:sz="6" w:space="0" w:color="000000"/>
              <w:bottom w:val="single" w:sz="6" w:space="0" w:color="000000"/>
              <w:right w:val="nil"/>
            </w:tcBorders>
          </w:tcPr>
          <w:p>
            <w:pPr>
              <w:pStyle w:val="TableParagraph"/>
              <w:spacing w:before="17"/>
              <w:ind w:left="104"/>
              <w:rPr>
                <w:sz w:val="16"/>
              </w:rPr>
            </w:pPr>
            <w:r>
              <w:rPr>
                <w:sz w:val="16"/>
              </w:rPr>
              <w:t>26%</w:t>
            </w:r>
          </w:p>
        </w:tc>
      </w:tr>
      <w:tr>
        <w:trPr>
          <w:trHeight w:val="229" w:hRule="atLeast"/>
        </w:trPr>
        <w:tc>
          <w:tcPr>
            <w:tcW w:w="1832" w:type="dxa"/>
            <w:tcBorders>
              <w:top w:val="single" w:sz="6" w:space="0" w:color="000000"/>
              <w:left w:val="nil"/>
              <w:bottom w:val="single" w:sz="6" w:space="0" w:color="000000"/>
              <w:right w:val="single" w:sz="6" w:space="0" w:color="000000"/>
            </w:tcBorders>
          </w:tcPr>
          <w:p>
            <w:pPr>
              <w:pStyle w:val="TableParagraph"/>
              <w:spacing w:before="22"/>
              <w:ind w:left="110"/>
              <w:rPr>
                <w:sz w:val="16"/>
              </w:rPr>
            </w:pPr>
            <w:r>
              <w:rPr>
                <w:sz w:val="16"/>
              </w:rPr>
              <w:t>18m OS</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2"/>
              <w:ind w:left="100"/>
              <w:rPr>
                <w:sz w:val="16"/>
              </w:rPr>
            </w:pPr>
            <w:r>
              <w:rPr>
                <w:sz w:val="16"/>
              </w:rPr>
              <w:t>60%</w:t>
            </w:r>
          </w:p>
        </w:tc>
        <w:tc>
          <w:tcPr>
            <w:tcW w:w="3004" w:type="dxa"/>
            <w:tcBorders>
              <w:top w:val="single" w:sz="6" w:space="0" w:color="000000"/>
              <w:left w:val="single" w:sz="6" w:space="0" w:color="000000"/>
              <w:bottom w:val="single" w:sz="6" w:space="0" w:color="000000"/>
              <w:right w:val="nil"/>
            </w:tcBorders>
          </w:tcPr>
          <w:p>
            <w:pPr>
              <w:pStyle w:val="TableParagraph"/>
              <w:spacing w:before="22"/>
              <w:ind w:left="104"/>
              <w:rPr>
                <w:sz w:val="16"/>
              </w:rPr>
            </w:pPr>
            <w:r>
              <w:rPr>
                <w:sz w:val="16"/>
              </w:rPr>
              <w:t>23%</w:t>
            </w:r>
          </w:p>
        </w:tc>
      </w:tr>
      <w:tr>
        <w:trPr>
          <w:trHeight w:val="224" w:hRule="atLeast"/>
        </w:trPr>
        <w:tc>
          <w:tcPr>
            <w:tcW w:w="1832" w:type="dxa"/>
            <w:tcBorders>
              <w:top w:val="single" w:sz="6" w:space="0" w:color="000000"/>
              <w:left w:val="nil"/>
              <w:right w:val="single" w:sz="6" w:space="0" w:color="000000"/>
            </w:tcBorders>
          </w:tcPr>
          <w:p>
            <w:pPr>
              <w:pStyle w:val="TableParagraph"/>
              <w:spacing w:before="17"/>
              <w:ind w:left="110"/>
              <w:rPr>
                <w:sz w:val="16"/>
              </w:rPr>
            </w:pPr>
            <w:r>
              <w:rPr>
                <w:sz w:val="16"/>
              </w:rPr>
              <w:t>24m OS</w:t>
            </w:r>
          </w:p>
        </w:tc>
        <w:tc>
          <w:tcPr>
            <w:tcW w:w="3112" w:type="dxa"/>
            <w:tcBorders>
              <w:top w:val="single" w:sz="6" w:space="0" w:color="000000"/>
              <w:left w:val="single" w:sz="6" w:space="0" w:color="000000"/>
              <w:right w:val="single" w:sz="6" w:space="0" w:color="000000"/>
            </w:tcBorders>
          </w:tcPr>
          <w:p>
            <w:pPr>
              <w:pStyle w:val="TableParagraph"/>
              <w:spacing w:before="17"/>
              <w:ind w:left="100"/>
              <w:rPr>
                <w:sz w:val="16"/>
              </w:rPr>
            </w:pPr>
            <w:r>
              <w:rPr>
                <w:sz w:val="16"/>
              </w:rPr>
              <w:t>54%</w:t>
            </w:r>
          </w:p>
        </w:tc>
        <w:tc>
          <w:tcPr>
            <w:tcW w:w="3004" w:type="dxa"/>
            <w:tcBorders>
              <w:top w:val="single" w:sz="6" w:space="0" w:color="000000"/>
              <w:left w:val="single" w:sz="6" w:space="0" w:color="000000"/>
              <w:right w:val="nil"/>
            </w:tcBorders>
          </w:tcPr>
          <w:p>
            <w:pPr>
              <w:pStyle w:val="TableParagraph"/>
              <w:spacing w:before="17"/>
              <w:ind w:left="104"/>
              <w:rPr>
                <w:sz w:val="16"/>
              </w:rPr>
            </w:pPr>
            <w:r>
              <w:rPr>
                <w:sz w:val="16"/>
              </w:rPr>
              <w:t>20%</w:t>
            </w:r>
          </w:p>
        </w:tc>
      </w:tr>
    </w:tbl>
    <w:p>
      <w:pPr>
        <w:spacing w:before="17"/>
        <w:ind w:left="210" w:right="0" w:firstLine="0"/>
        <w:jc w:val="both"/>
        <w:rPr>
          <w:sz w:val="16"/>
        </w:rPr>
      </w:pPr>
      <w:r>
        <w:rPr>
          <w:sz w:val="16"/>
        </w:rPr>
        <w:t>资料来源</w:t>
      </w:r>
      <w:r>
        <w:rPr>
          <w:rFonts w:ascii="Arial" w:eastAsia="Arial"/>
          <w:sz w:val="16"/>
        </w:rPr>
        <w:t>: Neelapu SS et al. Blood Advance 2021, </w:t>
      </w:r>
      <w:r>
        <w:rPr>
          <w:sz w:val="16"/>
        </w:rPr>
        <w:t>招银国际证券</w:t>
      </w:r>
    </w:p>
    <w:p>
      <w:pPr>
        <w:spacing w:after="0"/>
        <w:jc w:val="both"/>
        <w:rPr>
          <w:sz w:val="16"/>
        </w:rPr>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09"/>
        <w:jc w:val="both"/>
      </w:pPr>
      <w:r>
        <w:rPr>
          <w:rFonts w:ascii="Arial" w:eastAsia="Arial"/>
        </w:rPr>
        <w:t>2020 </w:t>
      </w:r>
      <w:r>
        <w:rPr/>
        <w:t>年发表于 </w:t>
      </w:r>
      <w:r>
        <w:rPr>
          <w:rFonts w:ascii="Arial" w:eastAsia="Arial"/>
        </w:rPr>
        <w:t>Blood Advance </w:t>
      </w:r>
      <w:r>
        <w:rPr>
          <w:spacing w:val="-4"/>
        </w:rPr>
        <w:t>的一项单中心回顾性观察性研究 </w:t>
      </w:r>
      <w:hyperlink r:id="rId27">
        <w:r>
          <w:rPr>
            <w:rFonts w:ascii="Arial" w:eastAsia="Arial"/>
          </w:rPr>
          <w:t>(</w:t>
        </w:r>
        <w:r>
          <w:rPr>
            <w:rFonts w:ascii="Arial" w:eastAsia="Arial"/>
            <w:color w:val="0000FF"/>
            <w:u w:val="single" w:color="0000FF"/>
          </w:rPr>
          <w:t>link</w:t>
        </w:r>
      </w:hyperlink>
      <w:r>
        <w:rPr>
          <w:rFonts w:ascii="Arial" w:eastAsia="Arial"/>
          <w:spacing w:val="4"/>
        </w:rPr>
        <w:t>) </w:t>
      </w:r>
      <w:r>
        <w:rPr>
          <w:spacing w:val="-2"/>
        </w:rPr>
        <w:t>表明，</w:t>
      </w:r>
      <w:r>
        <w:rPr>
          <w:rFonts w:ascii="Arial" w:eastAsia="Arial"/>
        </w:rPr>
        <w:t>CAR-T </w:t>
      </w:r>
      <w:r>
        <w:rPr/>
        <w:t>疗法相</w:t>
      </w:r>
      <w:r>
        <w:rPr>
          <w:spacing w:val="-1"/>
        </w:rPr>
        <w:t>比于传统治疗方案，可显著提高</w:t>
      </w:r>
      <w:r>
        <w:rPr>
          <w:rFonts w:ascii="Arial" w:eastAsia="Arial"/>
        </w:rPr>
        <w:t>r/r LBCL </w:t>
      </w:r>
      <w:r>
        <w:rPr>
          <w:spacing w:val="-5"/>
        </w:rPr>
        <w:t>患者响应率，并显著改善患者预后。</w:t>
      </w:r>
      <w:r>
        <w:rPr>
          <w:rFonts w:ascii="Arial" w:eastAsia="Arial"/>
        </w:rPr>
        <w:t>CAR-T vs </w:t>
      </w:r>
      <w:r>
        <w:rPr/>
        <w:t>传</w:t>
      </w:r>
      <w:r>
        <w:rPr>
          <w:spacing w:val="10"/>
        </w:rPr>
        <w:t>统疗法的</w:t>
      </w:r>
      <w:r>
        <w:rPr>
          <w:rFonts w:ascii="Arial" w:eastAsia="Arial"/>
        </w:rPr>
        <w:t>mPFS </w:t>
      </w:r>
      <w:r>
        <w:rPr>
          <w:spacing w:val="-2"/>
        </w:rPr>
        <w:t>分别为 </w:t>
      </w:r>
      <w:r>
        <w:rPr>
          <w:rFonts w:ascii="Arial" w:eastAsia="Arial"/>
        </w:rPr>
        <w:t>5.2 </w:t>
      </w:r>
      <w:r>
        <w:rPr>
          <w:spacing w:val="21"/>
        </w:rPr>
        <w:t>个月</w:t>
      </w:r>
      <w:r>
        <w:rPr>
          <w:rFonts w:ascii="Arial" w:eastAsia="Arial"/>
          <w:spacing w:val="4"/>
        </w:rPr>
        <w:t>vs </w:t>
      </w:r>
      <w:r>
        <w:rPr>
          <w:rFonts w:ascii="Arial" w:eastAsia="Arial"/>
        </w:rPr>
        <w:t>2.3 </w:t>
      </w:r>
      <w:r>
        <w:rPr/>
        <w:t>个月，</w:t>
      </w:r>
      <w:r>
        <w:rPr>
          <w:rFonts w:ascii="Arial" w:eastAsia="Arial"/>
        </w:rPr>
        <w:t>mOS </w:t>
      </w:r>
      <w:r>
        <w:rPr>
          <w:spacing w:val="-2"/>
        </w:rPr>
        <w:t>分别为 </w:t>
      </w:r>
      <w:r>
        <w:rPr>
          <w:rFonts w:ascii="Arial" w:eastAsia="Arial"/>
        </w:rPr>
        <w:t>19.3 </w:t>
      </w:r>
      <w:r>
        <w:rPr>
          <w:spacing w:val="21"/>
        </w:rPr>
        <w:t>个月</w:t>
      </w:r>
      <w:r>
        <w:rPr>
          <w:rFonts w:ascii="Arial" w:eastAsia="Arial"/>
          <w:spacing w:val="4"/>
        </w:rPr>
        <w:t>vs </w:t>
      </w:r>
      <w:r>
        <w:rPr>
          <w:rFonts w:ascii="Arial" w:eastAsia="Arial"/>
        </w:rPr>
        <w:t>6.5 </w:t>
      </w:r>
      <w:r>
        <w:rPr>
          <w:spacing w:val="-2"/>
        </w:rPr>
        <w:t>个月。</w:t>
      </w:r>
    </w:p>
    <w:p>
      <w:pPr>
        <w:pStyle w:val="BodyText"/>
        <w:spacing w:before="11"/>
        <w:ind w:left="0"/>
        <w:rPr>
          <w:sz w:val="8"/>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52"/>
        <w:gridCol w:w="5460"/>
      </w:tblGrid>
      <w:tr>
        <w:trPr>
          <w:trHeight w:val="4008" w:hRule="atLeast"/>
        </w:trPr>
        <w:tc>
          <w:tcPr>
            <w:tcW w:w="5152" w:type="dxa"/>
          </w:tcPr>
          <w:p>
            <w:pPr>
              <w:pStyle w:val="TableParagraph"/>
              <w:spacing w:line="301" w:lineRule="exact" w:after="9"/>
              <w:ind w:left="214"/>
              <w:rPr>
                <w:rFonts w:ascii="Microsoft JhengHei UI" w:eastAsia="Microsoft JhengHei UI" w:hint="eastAsia"/>
                <w:b/>
                <w:sz w:val="20"/>
              </w:rPr>
            </w:pPr>
            <w:r>
              <w:rPr>
                <w:rFonts w:ascii="Microsoft JhengHei UI" w:eastAsia="Microsoft JhengHei UI" w:hint="eastAsia"/>
                <w:b/>
                <w:sz w:val="20"/>
              </w:rPr>
              <w:t>图 </w:t>
            </w:r>
            <w:r>
              <w:rPr>
                <w:b/>
                <w:sz w:val="20"/>
              </w:rPr>
              <w:t>20: CAR-T </w:t>
            </w:r>
            <w:r>
              <w:rPr>
                <w:rFonts w:ascii="Microsoft JhengHei UI" w:eastAsia="Microsoft JhengHei UI" w:hint="eastAsia"/>
                <w:b/>
                <w:sz w:val="20"/>
              </w:rPr>
              <w:t>疗法 </w:t>
            </w:r>
            <w:r>
              <w:rPr>
                <w:b/>
                <w:sz w:val="20"/>
              </w:rPr>
              <w:t>vs </w:t>
            </w:r>
            <w:r>
              <w:rPr>
                <w:rFonts w:ascii="Microsoft JhengHei UI" w:eastAsia="Microsoft JhengHei UI" w:hint="eastAsia"/>
                <w:b/>
                <w:sz w:val="20"/>
              </w:rPr>
              <w:t>传统疗法疗效对比</w:t>
            </w:r>
          </w:p>
          <w:p>
            <w:pPr>
              <w:pStyle w:val="TableParagraph"/>
              <w:spacing w:line="28" w:lineRule="exact"/>
              <w:ind w:left="185"/>
              <w:rPr>
                <w:rFonts w:ascii="PMingLiU"/>
                <w:sz w:val="2"/>
              </w:rPr>
            </w:pPr>
            <w:r>
              <w:rPr>
                <w:rFonts w:ascii="PMingLiU"/>
                <w:position w:val="0"/>
                <w:sz w:val="2"/>
              </w:rPr>
              <w:pict>
                <v:group style="width:237.95pt;height:1.45pt;mso-position-horizontal-relative:char;mso-position-vertical-relative:line" coordorigin="0,0" coordsize="4759,29">
                  <v:rect style="position:absolute;left:0;top:0;width:4759;height:29" filled="true" fillcolor="#000000" stroked="false">
                    <v:fill type="solid"/>
                  </v:rect>
                </v:group>
              </w:pict>
            </w:r>
            <w:r>
              <w:rPr>
                <w:rFonts w:ascii="PMingLiU"/>
                <w:position w:val="0"/>
                <w:sz w:val="2"/>
              </w:rPr>
            </w:r>
          </w:p>
          <w:p>
            <w:pPr>
              <w:pStyle w:val="TableParagraph"/>
              <w:spacing w:before="9"/>
              <w:rPr>
                <w:rFonts w:ascii="PMingLiU"/>
                <w:sz w:val="18"/>
              </w:rPr>
            </w:pPr>
          </w:p>
          <w:p>
            <w:pPr>
              <w:pStyle w:val="TableParagraph"/>
              <w:ind w:left="251"/>
              <w:rPr>
                <w:rFonts w:ascii="PMingLiU"/>
                <w:sz w:val="20"/>
              </w:rPr>
            </w:pPr>
            <w:r>
              <w:rPr>
                <w:rFonts w:ascii="PMingLiU"/>
                <w:sz w:val="20"/>
              </w:rPr>
              <w:drawing>
                <wp:inline distT="0" distB="0" distL="0" distR="0">
                  <wp:extent cx="2928863" cy="1924050"/>
                  <wp:effectExtent l="0" t="0" r="0" b="0"/>
                  <wp:docPr id="15" name="image18.png"/>
                  <wp:cNvGraphicFramePr>
                    <a:graphicFrameLocks noChangeAspect="1"/>
                  </wp:cNvGraphicFramePr>
                  <a:graphic>
                    <a:graphicData uri="http://schemas.openxmlformats.org/drawingml/2006/picture">
                      <pic:pic>
                        <pic:nvPicPr>
                          <pic:cNvPr id="16" name="image18.png"/>
                          <pic:cNvPicPr/>
                        </pic:nvPicPr>
                        <pic:blipFill>
                          <a:blip r:embed="rId28" cstate="print"/>
                          <a:stretch>
                            <a:fillRect/>
                          </a:stretch>
                        </pic:blipFill>
                        <pic:spPr>
                          <a:xfrm>
                            <a:off x="0" y="0"/>
                            <a:ext cx="2928863" cy="1924050"/>
                          </a:xfrm>
                          <a:prstGeom prst="rect">
                            <a:avLst/>
                          </a:prstGeom>
                        </pic:spPr>
                      </pic:pic>
                    </a:graphicData>
                  </a:graphic>
                </wp:inline>
              </w:drawing>
            </w:r>
            <w:r>
              <w:rPr>
                <w:rFonts w:ascii="PMingLiU"/>
                <w:sz w:val="20"/>
              </w:rPr>
            </w:r>
          </w:p>
          <w:p>
            <w:pPr>
              <w:pStyle w:val="TableParagraph"/>
              <w:spacing w:before="1" w:after="1"/>
              <w:rPr>
                <w:rFonts w:ascii="PMingLiU"/>
                <w:sz w:val="8"/>
              </w:rPr>
            </w:pPr>
          </w:p>
          <w:p>
            <w:pPr>
              <w:pStyle w:val="TableParagraph"/>
              <w:spacing w:line="28" w:lineRule="exact"/>
              <w:ind w:left="185" w:right="-15"/>
              <w:rPr>
                <w:rFonts w:ascii="PMingLiU"/>
                <w:sz w:val="2"/>
              </w:rPr>
            </w:pPr>
            <w:r>
              <w:rPr>
                <w:rFonts w:ascii="PMingLiU"/>
                <w:position w:val="0"/>
                <w:sz w:val="2"/>
              </w:rPr>
              <w:pict>
                <v:group style="width:245.65pt;height:1.45pt;mso-position-horizontal-relative:char;mso-position-vertical-relative:line" coordorigin="0,0" coordsize="4913,29">
                  <v:rect style="position:absolute;left:0;top:0;width:4913;height:29" filled="true" fillcolor="#000000" stroked="false">
                    <v:fill type="solid"/>
                  </v:rect>
                </v:group>
              </w:pict>
            </w:r>
            <w:r>
              <w:rPr>
                <w:rFonts w:ascii="PMingLiU"/>
                <w:position w:val="0"/>
                <w:sz w:val="2"/>
              </w:rPr>
            </w:r>
          </w:p>
          <w:p>
            <w:pPr>
              <w:pStyle w:val="TableParagraph"/>
              <w:spacing w:line="199" w:lineRule="exact" w:before="18"/>
              <w:ind w:left="214"/>
              <w:rPr>
                <w:rFonts w:ascii="PMingLiU" w:eastAsia="PMingLiU" w:hint="eastAsia"/>
                <w:sz w:val="16"/>
              </w:rPr>
            </w:pPr>
            <w:r>
              <w:rPr>
                <w:rFonts w:ascii="PMingLiU" w:eastAsia="PMingLiU" w:hint="eastAsia"/>
                <w:sz w:val="16"/>
              </w:rPr>
              <w:t>资料来源：</w:t>
            </w:r>
            <w:r>
              <w:rPr>
                <w:sz w:val="16"/>
              </w:rPr>
              <w:t>Sermer D et al. Blood Advance 2020</w:t>
            </w:r>
            <w:r>
              <w:rPr>
                <w:rFonts w:ascii="PMingLiU" w:eastAsia="PMingLiU" w:hint="eastAsia"/>
                <w:sz w:val="16"/>
              </w:rPr>
              <w:t>，招银国际证券</w:t>
            </w:r>
          </w:p>
        </w:tc>
        <w:tc>
          <w:tcPr>
            <w:tcW w:w="5460" w:type="dxa"/>
          </w:tcPr>
          <w:p>
            <w:pPr>
              <w:pStyle w:val="TableParagraph"/>
              <w:spacing w:line="301" w:lineRule="exact" w:after="9"/>
              <w:ind w:left="133"/>
              <w:rPr>
                <w:rFonts w:ascii="Microsoft JhengHei UI" w:eastAsia="Microsoft JhengHei UI" w:hint="eastAsia"/>
                <w:b/>
                <w:sz w:val="20"/>
              </w:rPr>
            </w:pPr>
            <w:r>
              <w:rPr>
                <w:rFonts w:ascii="Microsoft JhengHei UI" w:eastAsia="Microsoft JhengHei UI" w:hint="eastAsia"/>
                <w:b/>
                <w:spacing w:val="2"/>
                <w:sz w:val="20"/>
              </w:rPr>
              <w:t>图 </w:t>
            </w:r>
            <w:r>
              <w:rPr>
                <w:b/>
                <w:sz w:val="20"/>
              </w:rPr>
              <w:t>21: ZUMA-1</w:t>
            </w:r>
            <w:r>
              <w:rPr>
                <w:b/>
                <w:spacing w:val="3"/>
                <w:sz w:val="20"/>
              </w:rPr>
              <w:t> </w:t>
            </w:r>
            <w:r>
              <w:rPr>
                <w:b/>
                <w:sz w:val="20"/>
              </w:rPr>
              <w:t>vs</w:t>
            </w:r>
            <w:r>
              <w:rPr>
                <w:b/>
                <w:spacing w:val="3"/>
                <w:sz w:val="20"/>
              </w:rPr>
              <w:t> </w:t>
            </w:r>
            <w:r>
              <w:rPr>
                <w:b/>
                <w:sz w:val="20"/>
              </w:rPr>
              <w:t>SCHOLAR-1</w:t>
            </w:r>
            <w:r>
              <w:rPr>
                <w:b/>
                <w:spacing w:val="-13"/>
                <w:sz w:val="20"/>
              </w:rPr>
              <w:t> </w:t>
            </w:r>
            <w:r>
              <w:rPr>
                <w:rFonts w:ascii="Microsoft JhengHei UI" w:eastAsia="Microsoft JhengHei UI" w:hint="eastAsia"/>
                <w:b/>
                <w:spacing w:val="-1"/>
                <w:sz w:val="20"/>
              </w:rPr>
              <w:t>研究中患者预后对比</w:t>
            </w:r>
          </w:p>
          <w:p>
            <w:pPr>
              <w:pStyle w:val="TableParagraph"/>
              <w:spacing w:line="28" w:lineRule="exact"/>
              <w:ind w:left="104"/>
              <w:rPr>
                <w:rFonts w:ascii="PMingLiU"/>
                <w:sz w:val="2"/>
              </w:rPr>
            </w:pPr>
            <w:r>
              <w:rPr>
                <w:rFonts w:ascii="PMingLiU"/>
                <w:position w:val="0"/>
                <w:sz w:val="2"/>
              </w:rPr>
              <w:pict>
                <v:group style="width:252.6pt;height:1.45pt;mso-position-horizontal-relative:char;mso-position-vertical-relative:line" coordorigin="0,0" coordsize="5052,29">
                  <v:rect style="position:absolute;left:0;top:0;width:5052;height:29" filled="true" fillcolor="#000000" stroked="false">
                    <v:fill type="solid"/>
                  </v:rect>
                </v:group>
              </w:pict>
            </w:r>
            <w:r>
              <w:rPr>
                <w:rFonts w:ascii="PMingLiU"/>
                <w:position w:val="0"/>
                <w:sz w:val="2"/>
              </w:rPr>
            </w:r>
          </w:p>
          <w:p>
            <w:pPr>
              <w:pStyle w:val="TableParagraph"/>
              <w:spacing w:before="6"/>
              <w:rPr>
                <w:rFonts w:ascii="PMingLiU"/>
                <w:sz w:val="20"/>
              </w:rPr>
            </w:pPr>
          </w:p>
          <w:p>
            <w:pPr>
              <w:pStyle w:val="TableParagraph"/>
              <w:ind w:left="192"/>
              <w:rPr>
                <w:rFonts w:ascii="PMingLiU"/>
                <w:sz w:val="20"/>
              </w:rPr>
            </w:pPr>
            <w:r>
              <w:rPr>
                <w:rFonts w:ascii="PMingLiU"/>
                <w:sz w:val="20"/>
              </w:rPr>
              <w:drawing>
                <wp:inline distT="0" distB="0" distL="0" distR="0">
                  <wp:extent cx="3115526" cy="1840229"/>
                  <wp:effectExtent l="0" t="0" r="0" b="0"/>
                  <wp:docPr id="17" name="image19.png"/>
                  <wp:cNvGraphicFramePr>
                    <a:graphicFrameLocks noChangeAspect="1"/>
                  </wp:cNvGraphicFramePr>
                  <a:graphic>
                    <a:graphicData uri="http://schemas.openxmlformats.org/drawingml/2006/picture">
                      <pic:pic>
                        <pic:nvPicPr>
                          <pic:cNvPr id="18" name="image19.png"/>
                          <pic:cNvPicPr/>
                        </pic:nvPicPr>
                        <pic:blipFill>
                          <a:blip r:embed="rId29" cstate="print"/>
                          <a:stretch>
                            <a:fillRect/>
                          </a:stretch>
                        </pic:blipFill>
                        <pic:spPr>
                          <a:xfrm>
                            <a:off x="0" y="0"/>
                            <a:ext cx="3115526" cy="1840229"/>
                          </a:xfrm>
                          <a:prstGeom prst="rect">
                            <a:avLst/>
                          </a:prstGeom>
                        </pic:spPr>
                      </pic:pic>
                    </a:graphicData>
                  </a:graphic>
                </wp:inline>
              </w:drawing>
            </w:r>
            <w:r>
              <w:rPr>
                <w:rFonts w:ascii="PMingLiU"/>
                <w:sz w:val="20"/>
              </w:rPr>
            </w:r>
          </w:p>
          <w:p>
            <w:pPr>
              <w:pStyle w:val="TableParagraph"/>
              <w:spacing w:before="6"/>
              <w:rPr>
                <w:rFonts w:ascii="PMingLiU"/>
                <w:sz w:val="16"/>
              </w:rPr>
            </w:pPr>
          </w:p>
          <w:p>
            <w:pPr>
              <w:pStyle w:val="TableParagraph"/>
              <w:spacing w:line="28" w:lineRule="exact"/>
              <w:ind w:left="104"/>
              <w:rPr>
                <w:rFonts w:ascii="PMingLiU"/>
                <w:sz w:val="2"/>
              </w:rPr>
            </w:pPr>
            <w:r>
              <w:rPr>
                <w:rFonts w:ascii="PMingLiU"/>
                <w:position w:val="0"/>
                <w:sz w:val="2"/>
              </w:rPr>
              <w:pict>
                <v:group style="width:260.3pt;height:1.45pt;mso-position-horizontal-relative:char;mso-position-vertical-relative:line" coordorigin="0,0" coordsize="5206,29">
                  <v:rect style="position:absolute;left:0;top:0;width:5206;height:29" filled="true" fillcolor="#000000" stroked="false">
                    <v:fill type="solid"/>
                  </v:rect>
                </v:group>
              </w:pict>
            </w:r>
            <w:r>
              <w:rPr>
                <w:rFonts w:ascii="PMingLiU"/>
                <w:position w:val="0"/>
                <w:sz w:val="2"/>
              </w:rPr>
            </w:r>
          </w:p>
          <w:p>
            <w:pPr>
              <w:pStyle w:val="TableParagraph"/>
              <w:spacing w:line="190" w:lineRule="exact" w:before="18"/>
              <w:ind w:left="133"/>
              <w:rPr>
                <w:rFonts w:ascii="PMingLiU" w:eastAsia="PMingLiU" w:hint="eastAsia"/>
                <w:sz w:val="16"/>
              </w:rPr>
            </w:pPr>
            <w:r>
              <w:rPr>
                <w:rFonts w:ascii="PMingLiU" w:eastAsia="PMingLiU" w:hint="eastAsia"/>
                <w:sz w:val="16"/>
              </w:rPr>
              <w:t>资料来源：</w:t>
            </w:r>
            <w:r>
              <w:rPr>
                <w:sz w:val="16"/>
              </w:rPr>
              <w:t>Neelapu</w:t>
            </w:r>
            <w:r>
              <w:rPr>
                <w:spacing w:val="-8"/>
                <w:sz w:val="16"/>
              </w:rPr>
              <w:t> </w:t>
            </w:r>
            <w:r>
              <w:rPr>
                <w:sz w:val="16"/>
              </w:rPr>
              <w:t>SS</w:t>
            </w:r>
            <w:r>
              <w:rPr>
                <w:spacing w:val="-1"/>
                <w:sz w:val="16"/>
              </w:rPr>
              <w:t> </w:t>
            </w:r>
            <w:r>
              <w:rPr>
                <w:sz w:val="16"/>
              </w:rPr>
              <w:t>et</w:t>
            </w:r>
            <w:r>
              <w:rPr>
                <w:spacing w:val="-3"/>
                <w:sz w:val="16"/>
              </w:rPr>
              <w:t> </w:t>
            </w:r>
            <w:r>
              <w:rPr>
                <w:sz w:val="16"/>
              </w:rPr>
              <w:t>al</w:t>
            </w:r>
            <w:r>
              <w:rPr>
                <w:spacing w:val="-2"/>
                <w:sz w:val="16"/>
              </w:rPr>
              <w:t>. </w:t>
            </w:r>
            <w:r>
              <w:rPr>
                <w:sz w:val="16"/>
              </w:rPr>
              <w:t>Blood</w:t>
            </w:r>
            <w:r>
              <w:rPr>
                <w:spacing w:val="-3"/>
                <w:sz w:val="16"/>
              </w:rPr>
              <w:t> </w:t>
            </w:r>
            <w:r>
              <w:rPr>
                <w:sz w:val="16"/>
              </w:rPr>
              <w:t>Advance</w:t>
            </w:r>
            <w:r>
              <w:rPr>
                <w:spacing w:val="-7"/>
                <w:sz w:val="16"/>
              </w:rPr>
              <w:t> </w:t>
            </w:r>
            <w:r>
              <w:rPr>
                <w:sz w:val="16"/>
              </w:rPr>
              <w:t>2021</w:t>
            </w:r>
            <w:r>
              <w:rPr>
                <w:rFonts w:ascii="PMingLiU" w:eastAsia="PMingLiU" w:hint="eastAsia"/>
                <w:sz w:val="16"/>
              </w:rPr>
              <w:t>，招银国际证券</w:t>
            </w:r>
          </w:p>
        </w:tc>
      </w:tr>
    </w:tbl>
    <w:p>
      <w:pPr>
        <w:pStyle w:val="BodyText"/>
        <w:spacing w:before="7"/>
        <w:ind w:left="0"/>
        <w:rPr>
          <w:sz w:val="29"/>
        </w:rPr>
      </w:pPr>
    </w:p>
    <w:p>
      <w:pPr>
        <w:pStyle w:val="BodyText"/>
        <w:spacing w:line="288" w:lineRule="auto"/>
        <w:ind w:right="2800"/>
        <w:jc w:val="both"/>
      </w:pPr>
      <w:r>
        <w:rPr>
          <w:spacing w:val="20"/>
        </w:rPr>
        <w:t>除 </w:t>
      </w:r>
      <w:r>
        <w:rPr>
          <w:rFonts w:ascii="Arial" w:eastAsia="Arial"/>
        </w:rPr>
        <w:t>CAR-T </w:t>
      </w:r>
      <w:r>
        <w:rPr>
          <w:spacing w:val="-4"/>
        </w:rPr>
        <w:t>疗法以外，也有若干其他新型疗法在欧美获批上市，然而 </w:t>
      </w:r>
      <w:r>
        <w:rPr>
          <w:rFonts w:ascii="Arial" w:eastAsia="Arial"/>
        </w:rPr>
        <w:t>CAR-T </w:t>
      </w:r>
      <w:r>
        <w:rPr>
          <w:spacing w:val="-3"/>
        </w:rPr>
        <w:t>在复发两次及</w:t>
      </w:r>
      <w:r>
        <w:rPr>
          <w:spacing w:val="-5"/>
        </w:rPr>
        <w:t>以上患者群体当中仍然展现了最优疗效。</w:t>
      </w:r>
      <w:r>
        <w:rPr>
          <w:rFonts w:ascii="Arial" w:eastAsia="Arial"/>
        </w:rPr>
        <w:t>1</w:t>
      </w:r>
      <w:r>
        <w:rPr>
          <w:rFonts w:ascii="Arial" w:eastAsia="Arial"/>
          <w:spacing w:val="-4"/>
        </w:rPr>
        <w:t>) </w:t>
      </w:r>
      <w:r>
        <w:rPr>
          <w:rFonts w:ascii="Arial" w:eastAsia="Arial"/>
        </w:rPr>
        <w:t>2019 </w:t>
      </w:r>
      <w:r>
        <w:rPr>
          <w:spacing w:val="-5"/>
        </w:rPr>
        <w:t>年 </w:t>
      </w:r>
      <w:r>
        <w:rPr>
          <w:rFonts w:ascii="Arial" w:eastAsia="Arial"/>
        </w:rPr>
        <w:t>6 </w:t>
      </w:r>
      <w:r>
        <w:rPr>
          <w:spacing w:val="-3"/>
        </w:rPr>
        <w:t>月，</w:t>
      </w:r>
      <w:r>
        <w:rPr>
          <w:rFonts w:ascii="Arial" w:eastAsia="Arial"/>
        </w:rPr>
        <w:t>Genetech </w:t>
      </w:r>
      <w:r>
        <w:rPr>
          <w:spacing w:val="-4"/>
        </w:rPr>
        <w:t>的靶向 </w:t>
      </w:r>
      <w:r>
        <w:rPr>
          <w:rFonts w:ascii="Arial" w:eastAsia="Arial"/>
        </w:rPr>
        <w:t>CD79b </w:t>
      </w:r>
      <w:r>
        <w:rPr>
          <w:spacing w:val="-5"/>
        </w:rPr>
        <w:t>的 </w:t>
      </w:r>
      <w:r>
        <w:rPr>
          <w:rFonts w:ascii="Arial" w:eastAsia="Arial"/>
        </w:rPr>
        <w:t>ADC </w:t>
      </w:r>
      <w:r>
        <w:rPr>
          <w:spacing w:val="13"/>
        </w:rPr>
        <w:t>药物 </w:t>
      </w:r>
      <w:r>
        <w:rPr>
          <w:rFonts w:ascii="Arial" w:eastAsia="Arial"/>
        </w:rPr>
        <w:t>Polatuzumab </w:t>
      </w:r>
      <w:r>
        <w:rPr>
          <w:spacing w:val="17"/>
        </w:rPr>
        <w:t>获 </w:t>
      </w:r>
      <w:r>
        <w:rPr>
          <w:rFonts w:ascii="Arial" w:eastAsia="Arial"/>
        </w:rPr>
        <w:t>FDA </w:t>
      </w:r>
      <w:r>
        <w:rPr>
          <w:spacing w:val="-3"/>
        </w:rPr>
        <w:t>批准上市，用于联合苯达莫司汀和利妥昔单抗 </w:t>
      </w:r>
      <w:r>
        <w:rPr>
          <w:rFonts w:ascii="Arial" w:eastAsia="Arial"/>
        </w:rPr>
        <w:t>(Pola-BR</w:t>
      </w:r>
      <w:r>
        <w:rPr>
          <w:rFonts w:ascii="Arial" w:eastAsia="Arial"/>
          <w:spacing w:val="16"/>
        </w:rPr>
        <w:t>) </w:t>
      </w:r>
      <w:r>
        <w:rPr>
          <w:spacing w:val="-5"/>
        </w:rPr>
        <w:t>治疗</w:t>
      </w:r>
      <w:r>
        <w:rPr>
          <w:rFonts w:ascii="Arial" w:eastAsia="Arial"/>
        </w:rPr>
        <w:t>3L</w:t>
      </w:r>
      <w:r>
        <w:rPr>
          <w:rFonts w:ascii="Arial" w:eastAsia="Arial"/>
          <w:spacing w:val="19"/>
        </w:rPr>
        <w:t>+ </w:t>
      </w:r>
      <w:r>
        <w:rPr>
          <w:rFonts w:ascii="Arial" w:eastAsia="Arial"/>
        </w:rPr>
        <w:t>r/r DLBCL</w:t>
      </w:r>
      <w:r>
        <w:rPr>
          <w:spacing w:val="2"/>
        </w:rPr>
        <w:t>；该疗法也于 </w:t>
      </w:r>
      <w:r>
        <w:rPr>
          <w:rFonts w:ascii="Arial" w:eastAsia="Arial"/>
        </w:rPr>
        <w:t>2020 </w:t>
      </w:r>
      <w:r>
        <w:rPr>
          <w:spacing w:val="3"/>
        </w:rPr>
        <w:t>年获 </w:t>
      </w:r>
      <w:r>
        <w:rPr>
          <w:rFonts w:ascii="Arial" w:eastAsia="Arial"/>
        </w:rPr>
        <w:t>EMA </w:t>
      </w:r>
      <w:r>
        <w:rPr>
          <w:spacing w:val="3"/>
        </w:rPr>
        <w:t>批准上市；</w:t>
      </w:r>
      <w:r>
        <w:rPr>
          <w:rFonts w:ascii="Arial" w:eastAsia="Arial"/>
          <w:spacing w:val="2"/>
        </w:rPr>
        <w:t>2</w:t>
      </w:r>
      <w:r>
        <w:rPr>
          <w:rFonts w:ascii="Arial" w:eastAsia="Arial"/>
          <w:spacing w:val="20"/>
        </w:rPr>
        <w:t>) </w:t>
      </w:r>
      <w:r>
        <w:rPr>
          <w:rFonts w:ascii="Arial" w:eastAsia="Arial"/>
        </w:rPr>
        <w:t>2020 </w:t>
      </w:r>
      <w:r>
        <w:rPr>
          <w:spacing w:val="2"/>
        </w:rPr>
        <w:t>年 </w:t>
      </w:r>
      <w:r>
        <w:rPr>
          <w:rFonts w:ascii="Arial" w:eastAsia="Arial"/>
        </w:rPr>
        <w:t>6 </w:t>
      </w:r>
      <w:r>
        <w:rPr>
          <w:spacing w:val="3"/>
        </w:rPr>
        <w:t>月，</w:t>
      </w:r>
      <w:r>
        <w:rPr>
          <w:rFonts w:ascii="Arial" w:eastAsia="Arial"/>
          <w:spacing w:val="2"/>
        </w:rPr>
        <w:t>FDA </w:t>
      </w:r>
      <w:r>
        <w:rPr>
          <w:spacing w:val="9"/>
        </w:rPr>
        <w:t>批准</w:t>
      </w:r>
      <w:r>
        <w:rPr>
          <w:rFonts w:ascii="Arial" w:eastAsia="Arial"/>
        </w:rPr>
        <w:t>Karyopharm </w:t>
      </w:r>
      <w:r>
        <w:rPr>
          <w:spacing w:val="12"/>
        </w:rPr>
        <w:t>的口服</w:t>
      </w:r>
      <w:r>
        <w:rPr>
          <w:rFonts w:ascii="Arial" w:eastAsia="Arial"/>
        </w:rPr>
        <w:t>XPO1 </w:t>
      </w:r>
      <w:r>
        <w:rPr>
          <w:spacing w:val="-3"/>
        </w:rPr>
        <w:t>抑制剂 </w:t>
      </w:r>
      <w:r>
        <w:rPr>
          <w:rFonts w:ascii="Arial" w:eastAsia="Arial"/>
        </w:rPr>
        <w:t>Selinexor </w:t>
      </w:r>
      <w:r>
        <w:rPr>
          <w:spacing w:val="-5"/>
        </w:rPr>
        <w:t>的新适应症，用于单药治疗 </w:t>
      </w:r>
      <w:r>
        <w:rPr>
          <w:rFonts w:ascii="Arial" w:eastAsia="Arial"/>
          <w:spacing w:val="-3"/>
        </w:rPr>
        <w:t>3L</w:t>
      </w:r>
      <w:r>
        <w:rPr>
          <w:rFonts w:ascii="Arial" w:eastAsia="Arial"/>
          <w:spacing w:val="-6"/>
        </w:rPr>
        <w:t>+ </w:t>
      </w:r>
      <w:r>
        <w:rPr>
          <w:rFonts w:ascii="Arial" w:eastAsia="Arial"/>
        </w:rPr>
        <w:t>r/r DLBCL</w:t>
      </w:r>
      <w:r>
        <w:rPr/>
        <w:t>；</w:t>
      </w:r>
      <w:r>
        <w:rPr>
          <w:rFonts w:ascii="Arial" w:eastAsia="Arial"/>
        </w:rPr>
        <w:t>3) 2020 </w:t>
      </w:r>
      <w:r>
        <w:rPr/>
        <w:t>年 </w:t>
      </w:r>
      <w:r>
        <w:rPr>
          <w:rFonts w:ascii="Arial" w:eastAsia="Arial"/>
        </w:rPr>
        <w:t>7 </w:t>
      </w:r>
      <w:r>
        <w:rPr/>
        <w:t>月，</w:t>
      </w:r>
      <w:r>
        <w:rPr>
          <w:rFonts w:ascii="Arial" w:eastAsia="Arial"/>
        </w:rPr>
        <w:t>Incyte/ MorphoSys </w:t>
      </w:r>
      <w:r>
        <w:rPr>
          <w:spacing w:val="1"/>
        </w:rPr>
        <w:t>的 </w:t>
      </w:r>
      <w:r>
        <w:rPr>
          <w:rFonts w:ascii="Arial" w:eastAsia="Arial"/>
        </w:rPr>
        <w:t>CD19 </w:t>
      </w:r>
      <w:r>
        <w:rPr/>
        <w:t>单抗 </w:t>
      </w:r>
      <w:r>
        <w:rPr>
          <w:rFonts w:ascii="Arial" w:eastAsia="Arial"/>
        </w:rPr>
        <w:t>Tafasitamab-cxix </w:t>
      </w:r>
      <w:r>
        <w:rPr/>
        <w:t>获 </w:t>
      </w:r>
      <w:r>
        <w:rPr>
          <w:rFonts w:ascii="Arial" w:eastAsia="Arial"/>
        </w:rPr>
        <w:t>FDA </w:t>
      </w:r>
      <w:r>
        <w:rPr>
          <w:spacing w:val="-3"/>
        </w:rPr>
        <w:t>上市，用于联合</w:t>
      </w:r>
      <w:r>
        <w:rPr>
          <w:spacing w:val="-4"/>
        </w:rPr>
        <w:t>来那度胺治疗二线及三线 </w:t>
      </w:r>
      <w:r>
        <w:rPr>
          <w:rFonts w:ascii="Arial" w:eastAsia="Arial"/>
        </w:rPr>
        <w:t>r/r </w:t>
      </w:r>
      <w:r>
        <w:rPr>
          <w:rFonts w:ascii="Arial" w:eastAsia="Arial"/>
          <w:spacing w:val="-3"/>
        </w:rPr>
        <w:t>DLBCL</w:t>
      </w:r>
      <w:r>
        <w:rPr>
          <w:spacing w:val="-1"/>
        </w:rPr>
        <w:t>；该疗法于 </w:t>
      </w:r>
      <w:r>
        <w:rPr>
          <w:rFonts w:ascii="Arial" w:eastAsia="Arial"/>
        </w:rPr>
        <w:t>2021 </w:t>
      </w:r>
      <w:r>
        <w:rPr>
          <w:spacing w:val="3"/>
        </w:rPr>
        <w:t>年获 </w:t>
      </w:r>
      <w:r>
        <w:rPr>
          <w:rFonts w:ascii="Arial" w:eastAsia="Arial"/>
        </w:rPr>
        <w:t>EMA CHMP </w:t>
      </w:r>
      <w:r>
        <w:rPr>
          <w:spacing w:val="-3"/>
        </w:rPr>
        <w:t>有条件批准上市；</w:t>
      </w:r>
    </w:p>
    <w:p>
      <w:pPr>
        <w:pStyle w:val="BodyText"/>
        <w:spacing w:line="288" w:lineRule="auto"/>
        <w:ind w:right="2819"/>
        <w:jc w:val="both"/>
      </w:pPr>
      <w:r>
        <w:rPr>
          <w:rFonts w:ascii="Arial" w:eastAsia="Arial"/>
        </w:rPr>
        <w:t>4</w:t>
      </w:r>
      <w:r>
        <w:rPr>
          <w:rFonts w:ascii="Arial" w:eastAsia="Arial"/>
          <w:spacing w:val="11"/>
        </w:rPr>
        <w:t>) </w:t>
      </w:r>
      <w:r>
        <w:rPr>
          <w:rFonts w:ascii="Arial" w:eastAsia="Arial"/>
        </w:rPr>
        <w:t>2021</w:t>
      </w:r>
      <w:r>
        <w:rPr>
          <w:rFonts w:ascii="Arial" w:eastAsia="Arial"/>
          <w:spacing w:val="-14"/>
        </w:rPr>
        <w:t> </w:t>
      </w:r>
      <w:r>
        <w:rPr>
          <w:spacing w:val="-2"/>
        </w:rPr>
        <w:t>年 </w:t>
      </w:r>
      <w:r>
        <w:rPr>
          <w:rFonts w:ascii="Arial" w:eastAsia="Arial"/>
        </w:rPr>
        <w:t>4</w:t>
      </w:r>
      <w:r>
        <w:rPr>
          <w:rFonts w:ascii="Arial" w:eastAsia="Arial"/>
          <w:spacing w:val="-14"/>
        </w:rPr>
        <w:t> </w:t>
      </w:r>
      <w:r>
        <w:rPr/>
        <w:t>月</w:t>
      </w:r>
      <w:r>
        <w:rPr>
          <w:rFonts w:ascii="Arial" w:eastAsia="Arial"/>
          <w:spacing w:val="12"/>
        </w:rPr>
        <w:t>, </w:t>
      </w:r>
      <w:r>
        <w:rPr>
          <w:rFonts w:ascii="Arial" w:eastAsia="Arial"/>
        </w:rPr>
        <w:t>ADC</w:t>
      </w:r>
      <w:r>
        <w:rPr>
          <w:rFonts w:ascii="Arial" w:eastAsia="Arial"/>
          <w:spacing w:val="20"/>
        </w:rPr>
        <w:t> </w:t>
      </w:r>
      <w:r>
        <w:rPr>
          <w:rFonts w:ascii="Arial" w:eastAsia="Arial"/>
        </w:rPr>
        <w:t>Therapeutics</w:t>
      </w:r>
      <w:r>
        <w:rPr>
          <w:rFonts w:ascii="Arial" w:eastAsia="Arial"/>
          <w:spacing w:val="-16"/>
        </w:rPr>
        <w:t> </w:t>
      </w:r>
      <w:r>
        <w:rPr>
          <w:spacing w:val="-1"/>
        </w:rPr>
        <w:t>的靶向 </w:t>
      </w:r>
      <w:r>
        <w:rPr>
          <w:rFonts w:ascii="Arial" w:eastAsia="Arial"/>
        </w:rPr>
        <w:t>ADC</w:t>
      </w:r>
      <w:r>
        <w:rPr>
          <w:rFonts w:ascii="Arial" w:eastAsia="Arial"/>
          <w:spacing w:val="-13"/>
        </w:rPr>
        <w:t> </w:t>
      </w:r>
      <w:r>
        <w:rPr>
          <w:spacing w:val="24"/>
        </w:rPr>
        <w:t>药物</w:t>
      </w:r>
      <w:r>
        <w:rPr>
          <w:rFonts w:ascii="Arial" w:eastAsia="Arial"/>
        </w:rPr>
        <w:t>Loncastuximab-tesirine</w:t>
      </w:r>
      <w:r>
        <w:rPr>
          <w:rFonts w:ascii="Arial" w:eastAsia="Arial"/>
          <w:spacing w:val="-12"/>
        </w:rPr>
        <w:t> </w:t>
      </w:r>
      <w:r>
        <w:rPr>
          <w:spacing w:val="48"/>
        </w:rPr>
        <w:t>获</w:t>
      </w:r>
      <w:r>
        <w:rPr>
          <w:rFonts w:ascii="Arial" w:eastAsia="Arial"/>
        </w:rPr>
        <w:t>FDA</w:t>
      </w:r>
      <w:r>
        <w:rPr>
          <w:rFonts w:ascii="Arial" w:eastAsia="Arial"/>
          <w:spacing w:val="-12"/>
        </w:rPr>
        <w:t> </w:t>
      </w:r>
      <w:r>
        <w:rPr>
          <w:spacing w:val="-5"/>
        </w:rPr>
        <w:t>批准</w:t>
      </w:r>
      <w:r>
        <w:rPr>
          <w:spacing w:val="-3"/>
        </w:rPr>
        <w:t>上市用于治疗 </w:t>
      </w:r>
      <w:r>
        <w:rPr>
          <w:rFonts w:ascii="Arial" w:eastAsia="Arial"/>
        </w:rPr>
        <w:t>3L</w:t>
      </w:r>
      <w:r>
        <w:rPr>
          <w:rFonts w:ascii="Arial" w:eastAsia="Arial"/>
          <w:spacing w:val="-1"/>
        </w:rPr>
        <w:t>+ </w:t>
      </w:r>
      <w:r>
        <w:rPr>
          <w:rFonts w:ascii="Arial" w:eastAsia="Arial"/>
        </w:rPr>
        <w:t>r/r</w:t>
      </w:r>
      <w:r>
        <w:rPr>
          <w:rFonts w:ascii="Arial" w:eastAsia="Arial"/>
          <w:spacing w:val="1"/>
        </w:rPr>
        <w:t> </w:t>
      </w:r>
      <w:r>
        <w:rPr>
          <w:rFonts w:ascii="Arial" w:eastAsia="Arial"/>
          <w:spacing w:val="-3"/>
        </w:rPr>
        <w:t>LBCL</w:t>
      </w:r>
      <w:r>
        <w:rPr/>
        <w:t>。</w:t>
      </w:r>
    </w:p>
    <w:p>
      <w:pPr>
        <w:pStyle w:val="Heading3"/>
        <w:spacing w:before="61" w:after="9"/>
      </w:pPr>
      <w:r>
        <w:rPr/>
        <w:t>图 </w:t>
      </w:r>
      <w:r>
        <w:rPr>
          <w:rFonts w:ascii="Arial" w:eastAsia="Arial"/>
        </w:rPr>
        <w:t>22: </w:t>
      </w:r>
      <w:r>
        <w:rPr/>
        <w:t>全球已上市</w:t>
      </w:r>
      <w:r>
        <w:rPr>
          <w:rFonts w:ascii="Arial" w:eastAsia="Arial"/>
        </w:rPr>
        <w:t>r/r LBCL </w:t>
      </w:r>
      <w:r>
        <w:rPr/>
        <w:t>后线疗法临床数据对比</w:t>
      </w:r>
    </w:p>
    <w:tbl>
      <w:tblPr>
        <w:tblW w:w="0" w:type="auto"/>
        <w:jc w:val="left"/>
        <w:tblInd w:w="2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12"/>
        <w:gridCol w:w="1277"/>
        <w:gridCol w:w="1277"/>
        <w:gridCol w:w="1349"/>
        <w:gridCol w:w="1330"/>
        <w:gridCol w:w="1316"/>
      </w:tblGrid>
      <w:tr>
        <w:trPr>
          <w:trHeight w:val="253" w:hRule="atLeast"/>
        </w:trPr>
        <w:tc>
          <w:tcPr>
            <w:tcW w:w="1412" w:type="dxa"/>
            <w:tcBorders>
              <w:left w:val="single" w:sz="4" w:space="0" w:color="000000"/>
              <w:bottom w:val="single" w:sz="4" w:space="0" w:color="000000"/>
              <w:right w:val="single" w:sz="4" w:space="0" w:color="000000"/>
            </w:tcBorders>
            <w:shd w:val="clear" w:color="auto" w:fill="C00000"/>
          </w:tcPr>
          <w:p>
            <w:pPr>
              <w:pStyle w:val="TableParagraph"/>
              <w:rPr>
                <w:rFonts w:ascii="Times New Roman"/>
                <w:sz w:val="18"/>
              </w:rPr>
            </w:pPr>
          </w:p>
        </w:tc>
        <w:tc>
          <w:tcPr>
            <w:tcW w:w="1277" w:type="dxa"/>
            <w:tcBorders>
              <w:left w:val="single" w:sz="4" w:space="0" w:color="000000"/>
              <w:bottom w:val="single" w:sz="4" w:space="0" w:color="000000"/>
              <w:right w:val="single" w:sz="4" w:space="0" w:color="000000"/>
            </w:tcBorders>
            <w:shd w:val="clear" w:color="auto" w:fill="C00000"/>
          </w:tcPr>
          <w:p>
            <w:pPr>
              <w:pStyle w:val="TableParagraph"/>
              <w:spacing w:line="182" w:lineRule="exact"/>
              <w:ind w:left="109"/>
              <w:rPr>
                <w:b/>
                <w:sz w:val="16"/>
              </w:rPr>
            </w:pPr>
            <w:r>
              <w:rPr>
                <w:b/>
                <w:color w:val="FFFFFF"/>
                <w:sz w:val="16"/>
              </w:rPr>
              <w:t>CAR-T</w:t>
            </w:r>
          </w:p>
        </w:tc>
        <w:tc>
          <w:tcPr>
            <w:tcW w:w="2626" w:type="dxa"/>
            <w:gridSpan w:val="2"/>
            <w:tcBorders>
              <w:left w:val="single" w:sz="4" w:space="0" w:color="000000"/>
              <w:bottom w:val="single" w:sz="4" w:space="0" w:color="000000"/>
              <w:right w:val="single" w:sz="4" w:space="0" w:color="000000"/>
            </w:tcBorders>
            <w:shd w:val="clear" w:color="auto" w:fill="C00000"/>
          </w:tcPr>
          <w:p>
            <w:pPr>
              <w:pStyle w:val="TableParagraph"/>
              <w:spacing w:before="31"/>
              <w:ind w:left="110"/>
              <w:rPr>
                <w:b/>
                <w:sz w:val="16"/>
              </w:rPr>
            </w:pPr>
            <w:r>
              <w:rPr>
                <w:b/>
                <w:color w:val="FFFFFF"/>
                <w:sz w:val="16"/>
              </w:rPr>
              <w:t>ADC</w:t>
            </w:r>
          </w:p>
        </w:tc>
        <w:tc>
          <w:tcPr>
            <w:tcW w:w="1330" w:type="dxa"/>
            <w:tcBorders>
              <w:left w:val="single" w:sz="4" w:space="0" w:color="000000"/>
              <w:bottom w:val="single" w:sz="4" w:space="0" w:color="000000"/>
              <w:right w:val="single" w:sz="4" w:space="0" w:color="000000"/>
            </w:tcBorders>
            <w:shd w:val="clear" w:color="auto" w:fill="C00000"/>
          </w:tcPr>
          <w:p>
            <w:pPr>
              <w:pStyle w:val="TableParagraph"/>
              <w:spacing w:line="234" w:lineRule="exact"/>
              <w:ind w:left="110"/>
              <w:rPr>
                <w:rFonts w:ascii="Microsoft JhengHei UI" w:eastAsia="Microsoft JhengHei UI" w:hint="eastAsia"/>
                <w:b/>
                <w:sz w:val="16"/>
              </w:rPr>
            </w:pPr>
            <w:r>
              <w:rPr>
                <w:rFonts w:ascii="Microsoft JhengHei UI" w:eastAsia="Microsoft JhengHei UI" w:hint="eastAsia"/>
                <w:b/>
                <w:color w:val="FFFFFF"/>
                <w:sz w:val="16"/>
              </w:rPr>
              <w:t>单抗</w:t>
            </w:r>
          </w:p>
        </w:tc>
        <w:tc>
          <w:tcPr>
            <w:tcW w:w="1316" w:type="dxa"/>
            <w:tcBorders>
              <w:left w:val="single" w:sz="4" w:space="0" w:color="000000"/>
              <w:bottom w:val="single" w:sz="4" w:space="0" w:color="000000"/>
              <w:right w:val="single" w:sz="4" w:space="0" w:color="000000"/>
            </w:tcBorders>
            <w:shd w:val="clear" w:color="auto" w:fill="C00000"/>
          </w:tcPr>
          <w:p>
            <w:pPr>
              <w:pStyle w:val="TableParagraph"/>
              <w:spacing w:before="31"/>
              <w:ind w:left="111"/>
              <w:rPr>
                <w:b/>
                <w:sz w:val="16"/>
              </w:rPr>
            </w:pPr>
            <w:r>
              <w:rPr>
                <w:b/>
                <w:color w:val="FFFFFF"/>
                <w:sz w:val="16"/>
              </w:rPr>
              <w:t>SINE</w:t>
            </w:r>
          </w:p>
        </w:tc>
      </w:tr>
      <w:tr>
        <w:trPr>
          <w:trHeight w:val="253" w:hRule="atLeast"/>
        </w:trPr>
        <w:tc>
          <w:tcPr>
            <w:tcW w:w="1412" w:type="dxa"/>
            <w:tcBorders>
              <w:top w:val="single" w:sz="4" w:space="0" w:color="000000"/>
              <w:left w:val="single" w:sz="4" w:space="0" w:color="000000"/>
              <w:bottom w:val="single" w:sz="4" w:space="0" w:color="000000"/>
              <w:right w:val="single" w:sz="4" w:space="0" w:color="000000"/>
            </w:tcBorders>
            <w:shd w:val="clear" w:color="auto" w:fill="F8CAAC"/>
          </w:tcPr>
          <w:p>
            <w:pPr>
              <w:pStyle w:val="TableParagraph"/>
              <w:spacing w:before="7"/>
              <w:ind w:left="110"/>
              <w:rPr>
                <w:rFonts w:ascii="PMingLiU" w:eastAsia="PMingLiU" w:hint="eastAsia"/>
                <w:sz w:val="16"/>
              </w:rPr>
            </w:pPr>
            <w:r>
              <w:rPr>
                <w:rFonts w:ascii="PMingLiU" w:eastAsia="PMingLiU" w:hint="eastAsia"/>
                <w:sz w:val="16"/>
              </w:rPr>
              <w:t>品种</w:t>
            </w:r>
          </w:p>
        </w:tc>
        <w:tc>
          <w:tcPr>
            <w:tcW w:w="1277" w:type="dxa"/>
            <w:tcBorders>
              <w:top w:val="single" w:sz="4" w:space="0" w:color="000000"/>
              <w:left w:val="single" w:sz="4" w:space="0" w:color="000000"/>
              <w:bottom w:val="single" w:sz="4" w:space="0" w:color="000000"/>
              <w:right w:val="single" w:sz="4" w:space="0" w:color="000000"/>
            </w:tcBorders>
            <w:shd w:val="clear" w:color="auto" w:fill="F8CAAC"/>
          </w:tcPr>
          <w:p>
            <w:pPr>
              <w:pStyle w:val="TableParagraph"/>
              <w:spacing w:before="32"/>
              <w:ind w:left="109"/>
              <w:rPr>
                <w:sz w:val="16"/>
              </w:rPr>
            </w:pPr>
            <w:r>
              <w:rPr>
                <w:sz w:val="16"/>
              </w:rPr>
              <w:t>Axi-cel</w:t>
            </w:r>
          </w:p>
        </w:tc>
        <w:tc>
          <w:tcPr>
            <w:tcW w:w="1277" w:type="dxa"/>
            <w:tcBorders>
              <w:top w:val="single" w:sz="4" w:space="0" w:color="000000"/>
              <w:left w:val="single" w:sz="4" w:space="0" w:color="000000"/>
              <w:bottom w:val="single" w:sz="4" w:space="0" w:color="000000"/>
              <w:right w:val="dashSmallGap" w:sz="4" w:space="0" w:color="000000"/>
            </w:tcBorders>
            <w:shd w:val="clear" w:color="auto" w:fill="F8CAAC"/>
          </w:tcPr>
          <w:p>
            <w:pPr>
              <w:pStyle w:val="TableParagraph"/>
              <w:spacing w:before="32"/>
              <w:ind w:left="110"/>
              <w:rPr>
                <w:sz w:val="16"/>
              </w:rPr>
            </w:pPr>
            <w:r>
              <w:rPr>
                <w:sz w:val="16"/>
              </w:rPr>
              <w:t>Pola-BR</w:t>
            </w:r>
          </w:p>
        </w:tc>
        <w:tc>
          <w:tcPr>
            <w:tcW w:w="1349" w:type="dxa"/>
            <w:tcBorders>
              <w:top w:val="single" w:sz="4" w:space="0" w:color="000000"/>
              <w:left w:val="dashSmallGap" w:sz="4" w:space="0" w:color="000000"/>
              <w:bottom w:val="single" w:sz="4" w:space="0" w:color="000000"/>
              <w:right w:val="single" w:sz="4" w:space="0" w:color="000000"/>
            </w:tcBorders>
            <w:shd w:val="clear" w:color="auto" w:fill="F8CAAC"/>
          </w:tcPr>
          <w:p>
            <w:pPr>
              <w:pStyle w:val="TableParagraph"/>
              <w:spacing w:before="32"/>
              <w:ind w:left="110"/>
              <w:rPr>
                <w:sz w:val="16"/>
              </w:rPr>
            </w:pPr>
            <w:r>
              <w:rPr>
                <w:sz w:val="16"/>
              </w:rPr>
              <w:t>Loncastuximab</w:t>
            </w:r>
          </w:p>
        </w:tc>
        <w:tc>
          <w:tcPr>
            <w:tcW w:w="1330" w:type="dxa"/>
            <w:tcBorders>
              <w:top w:val="single" w:sz="4" w:space="0" w:color="000000"/>
              <w:left w:val="single" w:sz="4" w:space="0" w:color="000000"/>
              <w:bottom w:val="single" w:sz="4" w:space="0" w:color="000000"/>
              <w:right w:val="single" w:sz="4" w:space="0" w:color="000000"/>
            </w:tcBorders>
            <w:shd w:val="clear" w:color="auto" w:fill="F8CAAC"/>
          </w:tcPr>
          <w:p>
            <w:pPr>
              <w:pStyle w:val="TableParagraph"/>
              <w:spacing w:before="32"/>
              <w:ind w:left="110"/>
              <w:rPr>
                <w:sz w:val="16"/>
              </w:rPr>
            </w:pPr>
            <w:r>
              <w:rPr>
                <w:sz w:val="16"/>
              </w:rPr>
              <w:t>Tafa-Len</w:t>
            </w:r>
          </w:p>
        </w:tc>
        <w:tc>
          <w:tcPr>
            <w:tcW w:w="1316" w:type="dxa"/>
            <w:tcBorders>
              <w:top w:val="single" w:sz="4" w:space="0" w:color="000000"/>
              <w:left w:val="single" w:sz="4" w:space="0" w:color="000000"/>
              <w:bottom w:val="single" w:sz="4" w:space="0" w:color="000000"/>
              <w:right w:val="single" w:sz="4" w:space="0" w:color="000000"/>
            </w:tcBorders>
            <w:shd w:val="clear" w:color="auto" w:fill="F8CAAC"/>
          </w:tcPr>
          <w:p>
            <w:pPr>
              <w:pStyle w:val="TableParagraph"/>
              <w:spacing w:before="32"/>
              <w:ind w:left="111"/>
              <w:rPr>
                <w:sz w:val="16"/>
              </w:rPr>
            </w:pPr>
            <w:r>
              <w:rPr>
                <w:sz w:val="16"/>
              </w:rPr>
              <w:t>Selinexor</w:t>
            </w:r>
          </w:p>
        </w:tc>
      </w:tr>
      <w:tr>
        <w:trPr>
          <w:trHeight w:val="254"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7"/>
              <w:ind w:left="110"/>
              <w:rPr>
                <w:rFonts w:ascii="PMingLiU" w:eastAsia="PMingLiU" w:hint="eastAsia"/>
                <w:sz w:val="16"/>
              </w:rPr>
            </w:pPr>
            <w:r>
              <w:rPr>
                <w:rFonts w:ascii="PMingLiU" w:eastAsia="PMingLiU" w:hint="eastAsia"/>
                <w:sz w:val="16"/>
              </w:rPr>
              <w:t>靶点</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2"/>
              <w:ind w:left="109"/>
              <w:rPr>
                <w:sz w:val="16"/>
              </w:rPr>
            </w:pPr>
            <w:r>
              <w:rPr>
                <w:sz w:val="16"/>
              </w:rPr>
              <w:t>CD19</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2"/>
              <w:ind w:left="110"/>
              <w:rPr>
                <w:sz w:val="16"/>
              </w:rPr>
            </w:pPr>
            <w:r>
              <w:rPr>
                <w:sz w:val="16"/>
              </w:rPr>
              <w:t>CD79b</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2"/>
              <w:ind w:left="110"/>
              <w:rPr>
                <w:sz w:val="16"/>
              </w:rPr>
            </w:pPr>
            <w:r>
              <w:rPr>
                <w:sz w:val="16"/>
              </w:rPr>
              <w:t>CD19</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CD19</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2"/>
              <w:ind w:left="111"/>
              <w:rPr>
                <w:sz w:val="16"/>
              </w:rPr>
            </w:pPr>
            <w:r>
              <w:rPr>
                <w:sz w:val="16"/>
              </w:rPr>
              <w:t>XPO1</w:t>
            </w:r>
          </w:p>
        </w:tc>
      </w:tr>
      <w:tr>
        <w:trPr>
          <w:trHeight w:val="253"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7"/>
              <w:ind w:left="110"/>
              <w:rPr>
                <w:rFonts w:ascii="PMingLiU" w:eastAsia="PMingLiU" w:hint="eastAsia"/>
                <w:sz w:val="16"/>
              </w:rPr>
            </w:pPr>
            <w:r>
              <w:rPr>
                <w:rFonts w:ascii="PMingLiU" w:eastAsia="PMingLiU" w:hint="eastAsia"/>
                <w:sz w:val="16"/>
              </w:rPr>
              <w:t>已获批适应症</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7"/>
              <w:ind w:left="109"/>
              <w:rPr>
                <w:sz w:val="16"/>
              </w:rPr>
            </w:pPr>
            <w:r>
              <w:rPr>
                <w:sz w:val="16"/>
              </w:rPr>
              <w:t>3L+ r/r LBCL</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10"/>
              <w:rPr>
                <w:sz w:val="16"/>
              </w:rPr>
            </w:pPr>
            <w:r>
              <w:rPr>
                <w:sz w:val="16"/>
              </w:rPr>
              <w:t>3L+ r/r DLBCL</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10"/>
              <w:rPr>
                <w:sz w:val="16"/>
              </w:rPr>
            </w:pPr>
            <w:r>
              <w:rPr>
                <w:sz w:val="16"/>
              </w:rPr>
              <w:t>3L+ r/r LBCL</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7"/>
              <w:ind w:left="110"/>
              <w:rPr>
                <w:sz w:val="16"/>
              </w:rPr>
            </w:pPr>
            <w:r>
              <w:rPr>
                <w:sz w:val="16"/>
              </w:rPr>
              <w:t>2L+ r/r DLBCL</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7"/>
              <w:ind w:left="111"/>
              <w:rPr>
                <w:sz w:val="16"/>
              </w:rPr>
            </w:pPr>
            <w:r>
              <w:rPr>
                <w:sz w:val="16"/>
              </w:rPr>
              <w:t>3L+ r/r DLBCL</w:t>
            </w:r>
          </w:p>
        </w:tc>
      </w:tr>
      <w:tr>
        <w:trPr>
          <w:trHeight w:val="258"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12"/>
              <w:ind w:left="110"/>
              <w:rPr>
                <w:rFonts w:ascii="PMingLiU" w:eastAsia="PMingLiU" w:hint="eastAsia"/>
                <w:sz w:val="16"/>
              </w:rPr>
            </w:pPr>
            <w:r>
              <w:rPr>
                <w:rFonts w:ascii="PMingLiU" w:eastAsia="PMingLiU" w:hint="eastAsia"/>
                <w:sz w:val="16"/>
              </w:rPr>
              <w:t>主要临床研究</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7"/>
              <w:ind w:left="109"/>
              <w:rPr>
                <w:sz w:val="16"/>
              </w:rPr>
            </w:pPr>
            <w:r>
              <w:rPr>
                <w:sz w:val="16"/>
              </w:rPr>
              <w:t>ZUMA-1</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10"/>
              <w:rPr>
                <w:sz w:val="16"/>
              </w:rPr>
            </w:pPr>
            <w:r>
              <w:rPr>
                <w:sz w:val="16"/>
              </w:rPr>
              <w:t>GO29365</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10"/>
              <w:rPr>
                <w:sz w:val="16"/>
              </w:rPr>
            </w:pPr>
            <w:r>
              <w:rPr>
                <w:sz w:val="16"/>
              </w:rPr>
              <w:t>LOTIS-2</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7"/>
              <w:ind w:left="110"/>
              <w:rPr>
                <w:sz w:val="16"/>
              </w:rPr>
            </w:pPr>
            <w:r>
              <w:rPr>
                <w:sz w:val="16"/>
              </w:rPr>
              <w:t>L-MIND</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7"/>
              <w:ind w:left="111"/>
              <w:rPr>
                <w:sz w:val="16"/>
              </w:rPr>
            </w:pPr>
            <w:r>
              <w:rPr>
                <w:sz w:val="16"/>
              </w:rPr>
              <w:t>SADAL</w:t>
            </w:r>
          </w:p>
        </w:tc>
      </w:tr>
      <w:tr>
        <w:trPr>
          <w:trHeight w:val="254"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8"/>
              <w:ind w:left="110"/>
              <w:rPr>
                <w:rFonts w:ascii="PMingLiU" w:eastAsia="PMingLiU" w:hint="eastAsia"/>
                <w:sz w:val="16"/>
              </w:rPr>
            </w:pPr>
            <w:r>
              <w:rPr>
                <w:rFonts w:ascii="PMingLiU" w:eastAsia="PMingLiU" w:hint="eastAsia"/>
                <w:sz w:val="16"/>
              </w:rPr>
              <w:t>入组人数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2"/>
              <w:ind w:left="109"/>
              <w:rPr>
                <w:sz w:val="16"/>
              </w:rPr>
            </w:pPr>
            <w:r>
              <w:rPr>
                <w:sz w:val="16"/>
              </w:rPr>
              <w:t>101</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2"/>
              <w:ind w:left="110"/>
              <w:rPr>
                <w:sz w:val="16"/>
              </w:rPr>
            </w:pPr>
            <w:r>
              <w:rPr>
                <w:sz w:val="16"/>
              </w:rPr>
              <w:t>80</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2"/>
              <w:ind w:left="110"/>
              <w:rPr>
                <w:sz w:val="16"/>
              </w:rPr>
            </w:pPr>
            <w:r>
              <w:rPr>
                <w:sz w:val="16"/>
              </w:rPr>
              <w:t>145</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81</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2"/>
              <w:ind w:left="111"/>
              <w:rPr>
                <w:sz w:val="16"/>
              </w:rPr>
            </w:pPr>
            <w:r>
              <w:rPr>
                <w:sz w:val="16"/>
              </w:rPr>
              <w:t>127</w:t>
            </w:r>
          </w:p>
        </w:tc>
      </w:tr>
      <w:tr>
        <w:trPr>
          <w:trHeight w:val="253"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8"/>
              <w:ind w:left="110"/>
              <w:rPr>
                <w:rFonts w:ascii="PMingLiU" w:eastAsia="PMingLiU" w:hint="eastAsia"/>
                <w:sz w:val="16"/>
              </w:rPr>
            </w:pPr>
            <w:r>
              <w:rPr>
                <w:rFonts w:ascii="PMingLiU" w:eastAsia="PMingLiU" w:hint="eastAsia"/>
                <w:sz w:val="16"/>
              </w:rPr>
              <w:t>既往治疗中位数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2"/>
              <w:ind w:left="109"/>
              <w:rPr>
                <w:sz w:val="16"/>
              </w:rPr>
            </w:pPr>
            <w:r>
              <w:rPr>
                <w:w w:val="98"/>
                <w:sz w:val="16"/>
              </w:rPr>
              <w:t>3</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2"/>
              <w:ind w:left="110"/>
              <w:rPr>
                <w:sz w:val="16"/>
              </w:rPr>
            </w:pPr>
            <w:r>
              <w:rPr>
                <w:sz w:val="16"/>
              </w:rPr>
              <w:t>2 (45%&gt;3)</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2"/>
              <w:ind w:left="110"/>
              <w:rPr>
                <w:sz w:val="16"/>
              </w:rPr>
            </w:pPr>
            <w:r>
              <w:rPr>
                <w:sz w:val="16"/>
              </w:rPr>
              <w:t>3 (56%&gt;3)</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2 (7%&gt;3)</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2"/>
              <w:ind w:left="111"/>
              <w:rPr>
                <w:sz w:val="16"/>
              </w:rPr>
            </w:pPr>
            <w:r>
              <w:rPr>
                <w:sz w:val="16"/>
              </w:rPr>
              <w:t>2 (41%&gt;3)</w:t>
            </w:r>
          </w:p>
        </w:tc>
      </w:tr>
      <w:tr>
        <w:trPr>
          <w:trHeight w:val="254"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ORR</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2"/>
              <w:ind w:left="109"/>
              <w:rPr>
                <w:sz w:val="16"/>
              </w:rPr>
            </w:pPr>
            <w:r>
              <w:rPr>
                <w:sz w:val="16"/>
              </w:rPr>
              <w:t>83%</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2"/>
              <w:ind w:left="110"/>
              <w:rPr>
                <w:sz w:val="16"/>
              </w:rPr>
            </w:pPr>
            <w:r>
              <w:rPr>
                <w:sz w:val="16"/>
              </w:rPr>
              <w:t>63%</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2"/>
              <w:ind w:left="110"/>
              <w:rPr>
                <w:sz w:val="16"/>
              </w:rPr>
            </w:pPr>
            <w:r>
              <w:rPr>
                <w:sz w:val="16"/>
              </w:rPr>
              <w:t>48%</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58%</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2"/>
              <w:ind w:left="111"/>
              <w:rPr>
                <w:sz w:val="16"/>
              </w:rPr>
            </w:pPr>
            <w:r>
              <w:rPr>
                <w:sz w:val="16"/>
              </w:rPr>
              <w:t>28%</w:t>
            </w:r>
          </w:p>
        </w:tc>
      </w:tr>
      <w:tr>
        <w:trPr>
          <w:trHeight w:val="253"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37"/>
              <w:ind w:left="110"/>
              <w:rPr>
                <w:sz w:val="16"/>
              </w:rPr>
            </w:pPr>
            <w:r>
              <w:rPr>
                <w:sz w:val="16"/>
              </w:rPr>
              <w:t>CR</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7"/>
              <w:ind w:left="109"/>
              <w:rPr>
                <w:sz w:val="16"/>
              </w:rPr>
            </w:pPr>
            <w:r>
              <w:rPr>
                <w:sz w:val="16"/>
              </w:rPr>
              <w:t>58%</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10"/>
              <w:rPr>
                <w:sz w:val="16"/>
              </w:rPr>
            </w:pPr>
            <w:r>
              <w:rPr>
                <w:sz w:val="16"/>
              </w:rPr>
              <w:t>50%</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10"/>
              <w:rPr>
                <w:sz w:val="16"/>
              </w:rPr>
            </w:pPr>
            <w:r>
              <w:rPr>
                <w:sz w:val="16"/>
              </w:rPr>
              <w:t>24%</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7"/>
              <w:ind w:left="110"/>
              <w:rPr>
                <w:sz w:val="16"/>
              </w:rPr>
            </w:pPr>
            <w:r>
              <w:rPr>
                <w:sz w:val="16"/>
              </w:rPr>
              <w:t>40%</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7"/>
              <w:ind w:left="111"/>
              <w:rPr>
                <w:sz w:val="16"/>
              </w:rPr>
            </w:pPr>
            <w:r>
              <w:rPr>
                <w:sz w:val="16"/>
              </w:rPr>
              <w:t>12%</w:t>
            </w:r>
          </w:p>
        </w:tc>
      </w:tr>
      <w:tr>
        <w:trPr>
          <w:trHeight w:val="258"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12"/>
              <w:ind w:left="110"/>
              <w:rPr>
                <w:rFonts w:ascii="PMingLiU" w:eastAsia="PMingLiU" w:hint="eastAsia"/>
                <w:sz w:val="16"/>
              </w:rPr>
            </w:pPr>
            <w:r>
              <w:rPr>
                <w:rFonts w:ascii="PMingLiU" w:eastAsia="PMingLiU" w:hint="eastAsia"/>
                <w:sz w:val="16"/>
              </w:rPr>
              <w:t>中位随访时长</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7"/>
              <w:ind w:left="109"/>
              <w:rPr>
                <w:sz w:val="16"/>
              </w:rPr>
            </w:pPr>
            <w:r>
              <w:rPr>
                <w:sz w:val="16"/>
              </w:rPr>
              <w:t>63m</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10"/>
              <w:rPr>
                <w:sz w:val="16"/>
              </w:rPr>
            </w:pPr>
            <w:r>
              <w:rPr>
                <w:sz w:val="16"/>
              </w:rPr>
              <w:t>22m</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10"/>
              <w:rPr>
                <w:sz w:val="16"/>
              </w:rPr>
            </w:pPr>
            <w:r>
              <w:rPr>
                <w:sz w:val="16"/>
              </w:rPr>
              <w:t>NR</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7"/>
              <w:ind w:left="110"/>
              <w:rPr>
                <w:sz w:val="16"/>
              </w:rPr>
            </w:pPr>
            <w:r>
              <w:rPr>
                <w:sz w:val="16"/>
              </w:rPr>
              <w:t>34m</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7"/>
              <w:ind w:left="111"/>
              <w:rPr>
                <w:sz w:val="16"/>
              </w:rPr>
            </w:pPr>
            <w:r>
              <w:rPr>
                <w:sz w:val="16"/>
              </w:rPr>
              <w:t>15m</w:t>
            </w:r>
          </w:p>
        </w:tc>
      </w:tr>
      <w:tr>
        <w:trPr>
          <w:trHeight w:val="253"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DOR</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2"/>
              <w:ind w:left="109"/>
              <w:rPr>
                <w:sz w:val="16"/>
              </w:rPr>
            </w:pPr>
            <w:r>
              <w:rPr>
                <w:sz w:val="16"/>
              </w:rPr>
              <w:t>11m</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2"/>
              <w:ind w:left="110"/>
              <w:rPr>
                <w:sz w:val="16"/>
              </w:rPr>
            </w:pPr>
            <w:r>
              <w:rPr>
                <w:sz w:val="16"/>
              </w:rPr>
              <w:t>13m</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2"/>
              <w:ind w:left="110"/>
              <w:rPr>
                <w:sz w:val="16"/>
              </w:rPr>
            </w:pPr>
            <w:r>
              <w:rPr>
                <w:sz w:val="16"/>
              </w:rPr>
              <w:t>10m</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44m</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2"/>
              <w:ind w:left="111"/>
              <w:rPr>
                <w:sz w:val="16"/>
              </w:rPr>
            </w:pPr>
            <w:r>
              <w:rPr>
                <w:sz w:val="16"/>
              </w:rPr>
              <w:t>9m</w:t>
            </w:r>
          </w:p>
        </w:tc>
      </w:tr>
      <w:tr>
        <w:trPr>
          <w:trHeight w:val="254"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mPFS</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2"/>
              <w:ind w:left="109"/>
              <w:rPr>
                <w:sz w:val="16"/>
              </w:rPr>
            </w:pPr>
            <w:r>
              <w:rPr>
                <w:sz w:val="16"/>
              </w:rPr>
              <w:t>6m</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2"/>
              <w:ind w:left="110"/>
              <w:rPr>
                <w:sz w:val="16"/>
              </w:rPr>
            </w:pPr>
            <w:r>
              <w:rPr>
                <w:sz w:val="16"/>
              </w:rPr>
              <w:t>10m</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2"/>
              <w:ind w:left="110"/>
              <w:rPr>
                <w:sz w:val="16"/>
              </w:rPr>
            </w:pPr>
            <w:r>
              <w:rPr>
                <w:sz w:val="16"/>
              </w:rPr>
              <w:t>5m</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12m</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2"/>
              <w:ind w:left="111"/>
              <w:rPr>
                <w:sz w:val="16"/>
              </w:rPr>
            </w:pPr>
            <w:r>
              <w:rPr>
                <w:sz w:val="16"/>
              </w:rPr>
              <w:t>3m</w:t>
            </w:r>
          </w:p>
        </w:tc>
      </w:tr>
      <w:tr>
        <w:trPr>
          <w:trHeight w:val="253"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mOS</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2"/>
              <w:ind w:left="109"/>
              <w:rPr>
                <w:sz w:val="16"/>
              </w:rPr>
            </w:pPr>
            <w:r>
              <w:rPr>
                <w:sz w:val="16"/>
              </w:rPr>
              <w:t>26m</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2"/>
              <w:ind w:left="110"/>
              <w:rPr>
                <w:sz w:val="16"/>
              </w:rPr>
            </w:pPr>
            <w:r>
              <w:rPr>
                <w:sz w:val="16"/>
              </w:rPr>
              <w:t>12m</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2"/>
              <w:ind w:left="110"/>
              <w:rPr>
                <w:sz w:val="16"/>
              </w:rPr>
            </w:pPr>
            <w:r>
              <w:rPr>
                <w:sz w:val="16"/>
              </w:rPr>
              <w:t>10m</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2"/>
              <w:ind w:left="110"/>
              <w:rPr>
                <w:sz w:val="16"/>
              </w:rPr>
            </w:pPr>
            <w:r>
              <w:rPr>
                <w:sz w:val="16"/>
              </w:rPr>
              <w:t>34m</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2"/>
              <w:ind w:left="111"/>
              <w:rPr>
                <w:sz w:val="16"/>
              </w:rPr>
            </w:pPr>
            <w:r>
              <w:rPr>
                <w:sz w:val="16"/>
              </w:rPr>
              <w:t>9m</w:t>
            </w:r>
          </w:p>
        </w:tc>
      </w:tr>
      <w:tr>
        <w:trPr>
          <w:trHeight w:val="254" w:hRule="atLeas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21" w:lineRule="exact" w:before="12"/>
              <w:ind w:left="110"/>
              <w:rPr>
                <w:sz w:val="16"/>
              </w:rPr>
            </w:pPr>
            <w:r>
              <w:rPr>
                <w:sz w:val="16"/>
              </w:rPr>
              <w:t>3 </w:t>
            </w:r>
            <w:r>
              <w:rPr>
                <w:rFonts w:ascii="PMingLiU" w:eastAsia="PMingLiU" w:hint="eastAsia"/>
                <w:sz w:val="16"/>
              </w:rPr>
              <w:t>级</w:t>
            </w:r>
            <w:r>
              <w:rPr>
                <w:sz w:val="16"/>
              </w:rPr>
              <w:t>NP</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before="37"/>
              <w:ind w:left="109"/>
              <w:rPr>
                <w:sz w:val="16"/>
              </w:rPr>
            </w:pPr>
            <w:r>
              <w:rPr>
                <w:sz w:val="16"/>
              </w:rPr>
              <w:t>26%</w:t>
            </w:r>
          </w:p>
        </w:tc>
        <w:tc>
          <w:tcPr>
            <w:tcW w:w="1277"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10"/>
              <w:rPr>
                <w:sz w:val="16"/>
              </w:rPr>
            </w:pPr>
            <w:r>
              <w:rPr>
                <w:sz w:val="16"/>
              </w:rPr>
              <w:t>46%</w:t>
            </w:r>
          </w:p>
        </w:tc>
        <w:tc>
          <w:tcPr>
            <w:tcW w:w="1349"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10"/>
              <w:rPr>
                <w:sz w:val="16"/>
              </w:rPr>
            </w:pPr>
            <w:r>
              <w:rPr>
                <w:sz w:val="16"/>
              </w:rPr>
              <w:t>26%</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before="37"/>
              <w:ind w:left="110"/>
              <w:rPr>
                <w:sz w:val="16"/>
              </w:rPr>
            </w:pPr>
            <w:r>
              <w:rPr>
                <w:sz w:val="16"/>
              </w:rPr>
              <w:t>49%</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before="37"/>
              <w:ind w:left="111"/>
              <w:rPr>
                <w:sz w:val="16"/>
              </w:rPr>
            </w:pPr>
            <w:r>
              <w:rPr>
                <w:sz w:val="16"/>
              </w:rPr>
              <w:t>25%</w:t>
            </w:r>
          </w:p>
        </w:tc>
      </w:tr>
      <w:tr>
        <w:trPr>
          <w:trHeight w:val="258" w:hRule="atLeast"/>
        </w:trPr>
        <w:tc>
          <w:tcPr>
            <w:tcW w:w="1412" w:type="dxa"/>
            <w:tcBorders>
              <w:top w:val="single" w:sz="4" w:space="0" w:color="000000"/>
              <w:left w:val="single" w:sz="4" w:space="0" w:color="000000"/>
              <w:right w:val="single" w:sz="4" w:space="0" w:color="000000"/>
            </w:tcBorders>
          </w:tcPr>
          <w:p>
            <w:pPr>
              <w:pStyle w:val="TableParagraph"/>
              <w:spacing w:before="12"/>
              <w:ind w:left="110"/>
              <w:rPr>
                <w:sz w:val="16"/>
              </w:rPr>
            </w:pPr>
            <w:r>
              <w:rPr>
                <w:sz w:val="16"/>
              </w:rPr>
              <w:t>3 </w:t>
            </w:r>
            <w:r>
              <w:rPr>
                <w:rFonts w:ascii="PMingLiU" w:eastAsia="PMingLiU" w:hint="eastAsia"/>
                <w:sz w:val="16"/>
              </w:rPr>
              <w:t>级</w:t>
            </w:r>
            <w:r>
              <w:rPr>
                <w:sz w:val="16"/>
              </w:rPr>
              <w:t>TTP</w:t>
            </w:r>
          </w:p>
        </w:tc>
        <w:tc>
          <w:tcPr>
            <w:tcW w:w="1277" w:type="dxa"/>
            <w:tcBorders>
              <w:top w:val="single" w:sz="4" w:space="0" w:color="000000"/>
              <w:left w:val="single" w:sz="4" w:space="0" w:color="000000"/>
              <w:right w:val="single" w:sz="4" w:space="0" w:color="000000"/>
            </w:tcBorders>
          </w:tcPr>
          <w:p>
            <w:pPr>
              <w:pStyle w:val="TableParagraph"/>
              <w:spacing w:before="37"/>
              <w:ind w:left="109"/>
              <w:rPr>
                <w:sz w:val="16"/>
              </w:rPr>
            </w:pPr>
            <w:r>
              <w:rPr>
                <w:sz w:val="16"/>
              </w:rPr>
              <w:t>24%</w:t>
            </w:r>
          </w:p>
        </w:tc>
        <w:tc>
          <w:tcPr>
            <w:tcW w:w="1277" w:type="dxa"/>
            <w:tcBorders>
              <w:top w:val="single" w:sz="4" w:space="0" w:color="000000"/>
              <w:left w:val="single" w:sz="4" w:space="0" w:color="000000"/>
              <w:right w:val="dashSmallGap" w:sz="4" w:space="0" w:color="000000"/>
            </w:tcBorders>
          </w:tcPr>
          <w:p>
            <w:pPr>
              <w:pStyle w:val="TableParagraph"/>
              <w:spacing w:before="37"/>
              <w:ind w:left="110"/>
              <w:rPr>
                <w:sz w:val="16"/>
              </w:rPr>
            </w:pPr>
            <w:r>
              <w:rPr>
                <w:sz w:val="16"/>
              </w:rPr>
              <w:t>41%</w:t>
            </w:r>
          </w:p>
        </w:tc>
        <w:tc>
          <w:tcPr>
            <w:tcW w:w="1349" w:type="dxa"/>
            <w:tcBorders>
              <w:top w:val="single" w:sz="4" w:space="0" w:color="000000"/>
              <w:left w:val="dashSmallGap" w:sz="4" w:space="0" w:color="000000"/>
              <w:right w:val="single" w:sz="4" w:space="0" w:color="000000"/>
            </w:tcBorders>
          </w:tcPr>
          <w:p>
            <w:pPr>
              <w:pStyle w:val="TableParagraph"/>
              <w:spacing w:before="37"/>
              <w:ind w:left="110"/>
              <w:rPr>
                <w:sz w:val="16"/>
              </w:rPr>
            </w:pPr>
            <w:r>
              <w:rPr>
                <w:sz w:val="16"/>
              </w:rPr>
              <w:t>18%</w:t>
            </w:r>
          </w:p>
        </w:tc>
        <w:tc>
          <w:tcPr>
            <w:tcW w:w="1330" w:type="dxa"/>
            <w:tcBorders>
              <w:top w:val="single" w:sz="4" w:space="0" w:color="000000"/>
              <w:left w:val="single" w:sz="4" w:space="0" w:color="000000"/>
              <w:right w:val="single" w:sz="4" w:space="0" w:color="000000"/>
            </w:tcBorders>
          </w:tcPr>
          <w:p>
            <w:pPr>
              <w:pStyle w:val="TableParagraph"/>
              <w:spacing w:before="37"/>
              <w:ind w:left="110"/>
              <w:rPr>
                <w:sz w:val="16"/>
              </w:rPr>
            </w:pPr>
            <w:r>
              <w:rPr>
                <w:sz w:val="16"/>
              </w:rPr>
              <w:t>17%</w:t>
            </w:r>
          </w:p>
        </w:tc>
        <w:tc>
          <w:tcPr>
            <w:tcW w:w="1316" w:type="dxa"/>
            <w:tcBorders>
              <w:top w:val="single" w:sz="4" w:space="0" w:color="000000"/>
              <w:left w:val="single" w:sz="4" w:space="0" w:color="000000"/>
              <w:right w:val="single" w:sz="4" w:space="0" w:color="000000"/>
            </w:tcBorders>
          </w:tcPr>
          <w:p>
            <w:pPr>
              <w:pStyle w:val="TableParagraph"/>
              <w:spacing w:before="37"/>
              <w:ind w:left="111"/>
              <w:rPr>
                <w:sz w:val="16"/>
              </w:rPr>
            </w:pPr>
            <w:r>
              <w:rPr>
                <w:sz w:val="16"/>
              </w:rPr>
              <w:t>46%</w:t>
            </w:r>
          </w:p>
        </w:tc>
      </w:tr>
    </w:tbl>
    <w:p>
      <w:pPr>
        <w:spacing w:before="17"/>
        <w:ind w:left="210" w:right="0" w:firstLine="0"/>
        <w:jc w:val="both"/>
        <w:rPr>
          <w:sz w:val="16"/>
        </w:rPr>
      </w:pPr>
      <w:r>
        <w:rPr>
          <w:sz w:val="16"/>
        </w:rPr>
        <w:t>资料来源：</w:t>
      </w:r>
      <w:r>
        <w:rPr>
          <w:rFonts w:ascii="Arial" w:eastAsia="Arial"/>
          <w:sz w:val="16"/>
        </w:rPr>
        <w:t>AACR</w:t>
      </w:r>
      <w:r>
        <w:rPr>
          <w:sz w:val="16"/>
        </w:rPr>
        <w:t>， </w:t>
      </w:r>
      <w:r>
        <w:rPr>
          <w:rFonts w:ascii="Arial" w:eastAsia="Arial"/>
          <w:sz w:val="16"/>
        </w:rPr>
        <w:t>PubMed, </w:t>
      </w:r>
      <w:r>
        <w:rPr>
          <w:sz w:val="16"/>
        </w:rPr>
        <w:t>招银国际证券</w:t>
      </w:r>
    </w:p>
    <w:p>
      <w:pPr>
        <w:spacing w:before="12"/>
        <w:ind w:left="210" w:right="0" w:firstLine="0"/>
        <w:jc w:val="both"/>
        <w:rPr>
          <w:sz w:val="16"/>
        </w:rPr>
      </w:pPr>
      <w:r>
        <w:rPr>
          <w:sz w:val="16"/>
        </w:rPr>
        <w:t>注：截至 </w:t>
      </w:r>
      <w:r>
        <w:rPr>
          <w:rFonts w:ascii="Arial" w:eastAsia="Arial"/>
          <w:sz w:val="16"/>
        </w:rPr>
        <w:t>2022 </w:t>
      </w:r>
      <w:r>
        <w:rPr>
          <w:sz w:val="16"/>
        </w:rPr>
        <w:t>年 </w:t>
      </w:r>
      <w:r>
        <w:rPr>
          <w:rFonts w:ascii="Arial" w:eastAsia="Arial"/>
          <w:sz w:val="16"/>
        </w:rPr>
        <w:t>5 </w:t>
      </w:r>
      <w:r>
        <w:rPr>
          <w:sz w:val="16"/>
        </w:rPr>
        <w:t>月，上述四款产品均未获</w:t>
      </w:r>
      <w:r>
        <w:rPr>
          <w:rFonts w:ascii="Arial" w:eastAsia="Arial"/>
          <w:sz w:val="16"/>
        </w:rPr>
        <w:t>NMPA </w:t>
      </w:r>
      <w:r>
        <w:rPr>
          <w:sz w:val="16"/>
        </w:rPr>
        <w:t>批准上市</w:t>
      </w:r>
    </w:p>
    <w:p>
      <w:pPr>
        <w:spacing w:after="0"/>
        <w:jc w:val="both"/>
        <w:rPr>
          <w:sz w:val="16"/>
        </w:rPr>
        <w:sectPr>
          <w:pgSz w:w="11910" w:h="16840"/>
          <w:pgMar w:header="682" w:footer="358" w:top="1380" w:bottom="540" w:left="640" w:right="300"/>
        </w:sectPr>
      </w:pPr>
    </w:p>
    <w:p>
      <w:pPr>
        <w:pStyle w:val="BodyText"/>
        <w:spacing w:before="3"/>
        <w:ind w:left="0"/>
        <w:rPr>
          <w:sz w:val="12"/>
        </w:rPr>
      </w:pPr>
    </w:p>
    <w:p>
      <w:pPr>
        <w:pStyle w:val="Heading3"/>
        <w:spacing w:before="45"/>
      </w:pPr>
      <w:r>
        <w:rPr/>
        <w:t>在三线及以上 </w:t>
      </w:r>
      <w:r>
        <w:rPr>
          <w:rFonts w:ascii="Arial" w:eastAsia="Arial"/>
        </w:rPr>
        <w:t>r/r LBCL </w:t>
      </w:r>
      <w:r>
        <w:rPr/>
        <w:t>治疗中，</w:t>
      </w:r>
      <w:r>
        <w:rPr>
          <w:rFonts w:ascii="Arial" w:eastAsia="Arial"/>
        </w:rPr>
        <w:t>Yescarta </w:t>
      </w:r>
      <w:r>
        <w:rPr/>
        <w:t>响应率最高，</w:t>
      </w:r>
      <w:r>
        <w:rPr>
          <w:rFonts w:ascii="Arial" w:eastAsia="Arial"/>
        </w:rPr>
        <w:t>Breyanzi </w:t>
      </w:r>
      <w:r>
        <w:rPr/>
        <w:t>安全性最好</w:t>
      </w:r>
    </w:p>
    <w:p>
      <w:pPr>
        <w:pStyle w:val="BodyText"/>
        <w:spacing w:line="292" w:lineRule="auto" w:before="198"/>
        <w:ind w:right="2809"/>
        <w:jc w:val="both"/>
      </w:pPr>
      <w:r>
        <w:rPr>
          <w:spacing w:val="1"/>
        </w:rPr>
        <w:t>二线治疗后复发的 </w:t>
      </w:r>
      <w:r>
        <w:rPr>
          <w:rFonts w:ascii="Arial" w:hAnsi="Arial" w:eastAsia="Arial"/>
        </w:rPr>
        <w:t>r/r</w:t>
      </w:r>
      <w:r>
        <w:rPr>
          <w:rFonts w:ascii="Arial" w:hAnsi="Arial" w:eastAsia="Arial"/>
          <w:spacing w:val="34"/>
        </w:rPr>
        <w:t> </w:t>
      </w:r>
      <w:r>
        <w:rPr>
          <w:rFonts w:ascii="Arial" w:hAnsi="Arial" w:eastAsia="Arial"/>
        </w:rPr>
        <w:t>LBCL</w:t>
      </w:r>
      <w:r>
        <w:rPr>
          <w:rFonts w:ascii="Arial" w:hAnsi="Arial" w:eastAsia="Arial"/>
          <w:spacing w:val="13"/>
        </w:rPr>
        <w:t> </w:t>
      </w:r>
      <w:r>
        <w:rPr>
          <w:spacing w:val="16"/>
        </w:rPr>
        <w:t>是 </w:t>
      </w:r>
      <w:r>
        <w:rPr>
          <w:rFonts w:ascii="Arial" w:hAnsi="Arial" w:eastAsia="Arial"/>
          <w:spacing w:val="-10"/>
        </w:rPr>
        <w:t>CAR</w:t>
      </w:r>
      <w:r>
        <w:rPr>
          <w:rFonts w:ascii="MS Gothic" w:hAnsi="MS Gothic" w:eastAsia="MS Gothic" w:hint="eastAsia"/>
          <w:spacing w:val="-10"/>
        </w:rPr>
        <w:t>⁃</w:t>
      </w:r>
      <w:r>
        <w:rPr>
          <w:rFonts w:ascii="Arial" w:hAnsi="Arial" w:eastAsia="Arial"/>
          <w:spacing w:val="-10"/>
        </w:rPr>
        <w:t>T</w:t>
      </w:r>
      <w:r>
        <w:rPr>
          <w:rFonts w:ascii="Arial" w:hAnsi="Arial" w:eastAsia="Arial"/>
          <w:spacing w:val="16"/>
        </w:rPr>
        <w:t> </w:t>
      </w:r>
      <w:r>
        <w:rPr>
          <w:spacing w:val="16"/>
        </w:rPr>
        <w:t>在 </w:t>
      </w:r>
      <w:r>
        <w:rPr>
          <w:rFonts w:ascii="Arial" w:hAnsi="Arial" w:eastAsia="Arial"/>
        </w:rPr>
        <w:t>NHL</w:t>
      </w:r>
      <w:r>
        <w:rPr>
          <w:rFonts w:ascii="Arial" w:hAnsi="Arial" w:eastAsia="Arial"/>
          <w:spacing w:val="17"/>
        </w:rPr>
        <w:t> </w:t>
      </w:r>
      <w:r>
        <w:rPr>
          <w:spacing w:val="-5"/>
        </w:rPr>
        <w:t>中获批的第一个适应症。</w:t>
      </w:r>
      <w:r>
        <w:rPr>
          <w:rFonts w:ascii="Arial" w:hAnsi="Arial" w:eastAsia="Arial"/>
        </w:rPr>
        <w:t>Gilead/</w:t>
      </w:r>
      <w:r>
        <w:rPr>
          <w:rFonts w:ascii="Arial" w:hAnsi="Arial" w:eastAsia="Arial"/>
          <w:spacing w:val="35"/>
        </w:rPr>
        <w:t> </w:t>
      </w:r>
      <w:r>
        <w:rPr>
          <w:rFonts w:ascii="Arial" w:hAnsi="Arial" w:eastAsia="Arial"/>
        </w:rPr>
        <w:t>Novartis/ BMS</w:t>
      </w:r>
      <w:r>
        <w:rPr>
          <w:rFonts w:ascii="Arial" w:hAnsi="Arial" w:eastAsia="Arial"/>
          <w:spacing w:val="-11"/>
        </w:rPr>
        <w:t> </w:t>
      </w:r>
      <w:r>
        <w:rPr>
          <w:spacing w:val="48"/>
        </w:rPr>
        <w:t>的</w:t>
      </w:r>
      <w:r>
        <w:rPr>
          <w:rFonts w:ascii="Arial" w:hAnsi="Arial" w:eastAsia="Arial"/>
        </w:rPr>
        <w:t>CAR-T</w:t>
      </w:r>
      <w:r>
        <w:rPr>
          <w:rFonts w:ascii="Arial" w:hAnsi="Arial" w:eastAsia="Arial"/>
          <w:spacing w:val="-9"/>
        </w:rPr>
        <w:t> </w:t>
      </w:r>
      <w:r>
        <w:rPr>
          <w:spacing w:val="-2"/>
        </w:rPr>
        <w:t>产品分别于 </w:t>
      </w:r>
      <w:r>
        <w:rPr>
          <w:rFonts w:ascii="Arial" w:hAnsi="Arial" w:eastAsia="Arial"/>
        </w:rPr>
        <w:t>2017</w:t>
      </w:r>
      <w:r>
        <w:rPr>
          <w:rFonts w:ascii="Arial" w:hAnsi="Arial" w:eastAsia="Arial"/>
          <w:spacing w:val="-13"/>
        </w:rPr>
        <w:t> </w:t>
      </w:r>
      <w:r>
        <w:rPr/>
        <w:t>年</w:t>
      </w:r>
      <w:r>
        <w:rPr>
          <w:rFonts w:ascii="Arial" w:hAnsi="Arial" w:eastAsia="Arial"/>
        </w:rPr>
        <w:t>/2018</w:t>
      </w:r>
      <w:r>
        <w:rPr>
          <w:rFonts w:ascii="Arial" w:hAnsi="Arial" w:eastAsia="Arial"/>
          <w:spacing w:val="-12"/>
        </w:rPr>
        <w:t> </w:t>
      </w:r>
      <w:r>
        <w:rPr/>
        <w:t>年</w:t>
      </w:r>
      <w:r>
        <w:rPr>
          <w:rFonts w:ascii="Arial" w:hAnsi="Arial" w:eastAsia="Arial"/>
        </w:rPr>
        <w:t>/2021</w:t>
      </w:r>
      <w:r>
        <w:rPr>
          <w:rFonts w:ascii="Arial" w:hAnsi="Arial" w:eastAsia="Arial"/>
          <w:spacing w:val="-12"/>
        </w:rPr>
        <w:t> </w:t>
      </w:r>
      <w:r>
        <w:rPr>
          <w:spacing w:val="24"/>
        </w:rPr>
        <w:t>年获</w:t>
      </w:r>
      <w:r>
        <w:rPr>
          <w:rFonts w:ascii="Arial" w:hAnsi="Arial" w:eastAsia="Arial"/>
        </w:rPr>
        <w:t>FDA</w:t>
      </w:r>
      <w:r>
        <w:rPr>
          <w:rFonts w:ascii="Arial" w:hAnsi="Arial" w:eastAsia="Arial"/>
          <w:spacing w:val="-11"/>
        </w:rPr>
        <w:t> </w:t>
      </w:r>
      <w:r>
        <w:rPr>
          <w:spacing w:val="-2"/>
        </w:rPr>
        <w:t>批准用于治疗 </w:t>
      </w:r>
      <w:r>
        <w:rPr>
          <w:rFonts w:ascii="Arial" w:hAnsi="Arial" w:eastAsia="Arial"/>
        </w:rPr>
        <w:t>3L</w:t>
      </w:r>
      <w:r>
        <w:rPr>
          <w:rFonts w:ascii="Arial" w:hAnsi="Arial" w:eastAsia="Arial"/>
          <w:spacing w:val="11"/>
        </w:rPr>
        <w:t>+ </w:t>
      </w:r>
      <w:r>
        <w:rPr>
          <w:rFonts w:ascii="Arial" w:hAnsi="Arial" w:eastAsia="Arial"/>
        </w:rPr>
        <w:t>r/r</w:t>
      </w:r>
      <w:r>
        <w:rPr>
          <w:rFonts w:ascii="Arial" w:hAnsi="Arial" w:eastAsia="Arial"/>
          <w:spacing w:val="25"/>
        </w:rPr>
        <w:t> </w:t>
      </w:r>
      <w:r>
        <w:rPr>
          <w:rFonts w:ascii="Arial" w:hAnsi="Arial" w:eastAsia="Arial"/>
        </w:rPr>
        <w:t>LBCL</w:t>
      </w:r>
      <w:r>
        <w:rPr/>
        <w:t>。</w:t>
      </w:r>
      <w:r>
        <w:rPr>
          <w:spacing w:val="-5"/>
        </w:rPr>
        <w:t>回溯三款产品的注册性临床数据，接受 </w:t>
      </w:r>
      <w:r>
        <w:rPr>
          <w:rFonts w:ascii="Arial" w:hAnsi="Arial" w:eastAsia="Arial"/>
        </w:rPr>
        <w:t>Yescarta/</w:t>
      </w:r>
      <w:r>
        <w:rPr>
          <w:rFonts w:ascii="Arial" w:hAnsi="Arial" w:eastAsia="Arial"/>
          <w:spacing w:val="-10"/>
        </w:rPr>
        <w:t> </w:t>
      </w:r>
      <w:r>
        <w:rPr>
          <w:rFonts w:ascii="Arial" w:hAnsi="Arial" w:eastAsia="Arial"/>
        </w:rPr>
        <w:t>Kymriah/</w:t>
      </w:r>
      <w:r>
        <w:rPr>
          <w:rFonts w:ascii="Arial" w:hAnsi="Arial" w:eastAsia="Arial"/>
          <w:spacing w:val="-10"/>
        </w:rPr>
        <w:t> </w:t>
      </w:r>
      <w:r>
        <w:rPr>
          <w:rFonts w:ascii="Arial" w:hAnsi="Arial" w:eastAsia="Arial"/>
        </w:rPr>
        <w:t>Breyanzi</w:t>
      </w:r>
      <w:r>
        <w:rPr>
          <w:rFonts w:ascii="Arial" w:hAnsi="Arial" w:eastAsia="Arial"/>
          <w:spacing w:val="-11"/>
        </w:rPr>
        <w:t> </w:t>
      </w:r>
      <w:r>
        <w:rPr>
          <w:spacing w:val="43"/>
        </w:rPr>
        <w:t>在</w:t>
      </w:r>
      <w:r>
        <w:rPr>
          <w:rFonts w:ascii="Arial" w:hAnsi="Arial" w:eastAsia="Arial"/>
        </w:rPr>
        <w:t>r/r</w:t>
      </w:r>
      <w:r>
        <w:rPr>
          <w:rFonts w:ascii="Arial" w:hAnsi="Arial" w:eastAsia="Arial"/>
          <w:spacing w:val="-10"/>
        </w:rPr>
        <w:t> </w:t>
      </w:r>
      <w:r>
        <w:rPr>
          <w:rFonts w:ascii="Arial" w:hAnsi="Arial" w:eastAsia="Arial"/>
        </w:rPr>
        <w:t>LBCL</w:t>
      </w:r>
      <w:r>
        <w:rPr>
          <w:rFonts w:ascii="Arial" w:hAnsi="Arial" w:eastAsia="Arial"/>
          <w:spacing w:val="-18"/>
        </w:rPr>
        <w:t> </w:t>
      </w:r>
      <w:r>
        <w:rPr>
          <w:spacing w:val="-1"/>
        </w:rPr>
        <w:t>患者的 </w:t>
      </w:r>
      <w:r>
        <w:rPr>
          <w:rFonts w:ascii="Arial" w:hAnsi="Arial" w:eastAsia="Arial"/>
        </w:rPr>
        <w:t>CR </w:t>
      </w:r>
      <w:r>
        <w:rPr>
          <w:spacing w:val="1"/>
        </w:rPr>
        <w:t>分别为 </w:t>
      </w:r>
      <w:r>
        <w:rPr>
          <w:rFonts w:ascii="Arial" w:hAnsi="Arial" w:eastAsia="Arial"/>
        </w:rPr>
        <w:t>54%/40%/53%</w:t>
      </w:r>
      <w:r>
        <w:rPr/>
        <w:t>，</w:t>
      </w:r>
      <w:r>
        <w:rPr>
          <w:rFonts w:ascii="Arial" w:hAnsi="Arial" w:eastAsia="Arial"/>
        </w:rPr>
        <w:t>24</w:t>
      </w:r>
      <w:r>
        <w:rPr>
          <w:rFonts w:ascii="Arial" w:hAnsi="Arial" w:eastAsia="Arial"/>
          <w:spacing w:val="-15"/>
        </w:rPr>
        <w:t> </w:t>
      </w:r>
      <w:r>
        <w:rPr>
          <w:spacing w:val="-2"/>
        </w:rPr>
        <w:t>个月 </w:t>
      </w:r>
      <w:r>
        <w:rPr>
          <w:rFonts w:ascii="Arial" w:hAnsi="Arial" w:eastAsia="Arial"/>
        </w:rPr>
        <w:t>PFS</w:t>
      </w:r>
      <w:r>
        <w:rPr>
          <w:rFonts w:ascii="Arial" w:hAnsi="Arial" w:eastAsia="Arial"/>
          <w:spacing w:val="-12"/>
        </w:rPr>
        <w:t> </w:t>
      </w:r>
      <w:r>
        <w:rPr>
          <w:spacing w:val="-3"/>
        </w:rPr>
        <w:t>比例分别为 </w:t>
      </w:r>
      <w:r>
        <w:rPr>
          <w:rFonts w:ascii="Arial" w:hAnsi="Arial" w:eastAsia="Arial"/>
        </w:rPr>
        <w:t>40%/35%/41%</w:t>
      </w:r>
      <w:r>
        <w:rPr/>
        <w:t>。</w:t>
      </w:r>
    </w:p>
    <w:p>
      <w:pPr>
        <w:pStyle w:val="BodyText"/>
        <w:spacing w:line="288" w:lineRule="auto" w:before="114"/>
        <w:ind w:right="2810"/>
        <w:jc w:val="both"/>
      </w:pPr>
      <w:r>
        <w:rPr>
          <w:spacing w:val="12"/>
        </w:rPr>
        <w:t>以上三款</w:t>
      </w:r>
      <w:r>
        <w:rPr>
          <w:rFonts w:ascii="Arial" w:eastAsia="Arial"/>
        </w:rPr>
        <w:t>CAR-T </w:t>
      </w:r>
      <w:r>
        <w:rPr>
          <w:spacing w:val="-3"/>
        </w:rPr>
        <w:t>产品中， </w:t>
      </w:r>
      <w:r>
        <w:rPr>
          <w:rFonts w:ascii="Arial" w:eastAsia="Arial"/>
        </w:rPr>
        <w:t>Yescarta </w:t>
      </w:r>
      <w:r>
        <w:rPr>
          <w:spacing w:val="-3"/>
        </w:rPr>
        <w:t>的响应率最高，</w:t>
      </w:r>
      <w:r>
        <w:rPr>
          <w:rFonts w:ascii="Arial" w:eastAsia="Arial"/>
          <w:spacing w:val="-3"/>
        </w:rPr>
        <w:t>ORR </w:t>
      </w:r>
      <w:r>
        <w:rPr>
          <w:spacing w:val="1"/>
        </w:rPr>
        <w:t>和 </w:t>
      </w:r>
      <w:r>
        <w:rPr>
          <w:rFonts w:ascii="Arial" w:eastAsia="Arial"/>
        </w:rPr>
        <w:t>CR </w:t>
      </w:r>
      <w:r>
        <w:rPr/>
        <w:t>分别为 </w:t>
      </w:r>
      <w:r>
        <w:rPr>
          <w:rFonts w:ascii="Arial" w:eastAsia="Arial"/>
          <w:spacing w:val="-2"/>
        </w:rPr>
        <w:t>82%</w:t>
      </w:r>
      <w:r>
        <w:rPr>
          <w:spacing w:val="1"/>
        </w:rPr>
        <w:t>和 </w:t>
      </w:r>
      <w:r>
        <w:rPr>
          <w:rFonts w:ascii="Arial" w:eastAsia="Arial"/>
          <w:spacing w:val="-3"/>
        </w:rPr>
        <w:t>54%</w:t>
      </w:r>
      <w:r>
        <w:rPr>
          <w:spacing w:val="-2"/>
        </w:rPr>
        <w:t>，但其</w:t>
      </w:r>
      <w:r>
        <w:rPr>
          <w:spacing w:val="1"/>
        </w:rPr>
        <w:t>三级以上 </w:t>
      </w:r>
      <w:r>
        <w:rPr>
          <w:rFonts w:ascii="Arial" w:eastAsia="Arial"/>
          <w:spacing w:val="-3"/>
        </w:rPr>
        <w:t>CRS </w:t>
      </w:r>
      <w:r>
        <w:rPr>
          <w:spacing w:val="3"/>
        </w:rPr>
        <w:t>和 </w:t>
      </w:r>
      <w:r>
        <w:rPr>
          <w:rFonts w:ascii="Arial" w:eastAsia="Arial"/>
        </w:rPr>
        <w:t>ICANS </w:t>
      </w:r>
      <w:r>
        <w:rPr>
          <w:spacing w:val="-3"/>
        </w:rPr>
        <w:t>也相对较高，合计高达 </w:t>
      </w:r>
      <w:r>
        <w:rPr>
          <w:rFonts w:ascii="Arial" w:eastAsia="Arial"/>
          <w:spacing w:val="-3"/>
        </w:rPr>
        <w:t>41%</w:t>
      </w:r>
      <w:r>
        <w:rPr>
          <w:spacing w:val="-3"/>
        </w:rPr>
        <w:t>；安全性方面，</w:t>
      </w:r>
      <w:r>
        <w:rPr>
          <w:rFonts w:ascii="Arial" w:eastAsia="Arial"/>
        </w:rPr>
        <w:t>Breyanzi </w:t>
      </w:r>
      <w:r>
        <w:rPr>
          <w:spacing w:val="-2"/>
        </w:rPr>
        <w:t>数据最优， </w:t>
      </w:r>
      <w:r>
        <w:rPr>
          <w:spacing w:val="1"/>
        </w:rPr>
        <w:t>三级以上 </w:t>
      </w:r>
      <w:r>
        <w:rPr>
          <w:rFonts w:ascii="Arial" w:eastAsia="Arial"/>
        </w:rPr>
        <w:t>CRS </w:t>
      </w:r>
      <w:r>
        <w:rPr>
          <w:spacing w:val="7"/>
        </w:rPr>
        <w:t>和 </w:t>
      </w:r>
      <w:r>
        <w:rPr>
          <w:rFonts w:ascii="Arial" w:eastAsia="Arial"/>
        </w:rPr>
        <w:t>ICANS </w:t>
      </w:r>
      <w:r>
        <w:rPr>
          <w:spacing w:val="1"/>
        </w:rPr>
        <w:t>分别仅为 </w:t>
      </w:r>
      <w:r>
        <w:rPr>
          <w:rFonts w:ascii="Arial" w:eastAsia="Arial"/>
        </w:rPr>
        <w:t>2%</w:t>
      </w:r>
      <w:r>
        <w:rPr>
          <w:spacing w:val="10"/>
        </w:rPr>
        <w:t>和 </w:t>
      </w:r>
      <w:r>
        <w:rPr>
          <w:rFonts w:ascii="Arial" w:eastAsia="Arial"/>
          <w:spacing w:val="-2"/>
        </w:rPr>
        <w:t>10%</w:t>
      </w:r>
      <w:r>
        <w:rPr/>
        <w:t>。</w:t>
      </w:r>
      <w:r>
        <w:rPr>
          <w:rFonts w:ascii="Arial" w:eastAsia="Arial"/>
        </w:rPr>
        <w:t>Breyanzi </w:t>
      </w:r>
      <w:r>
        <w:rPr>
          <w:spacing w:val="-5"/>
        </w:rPr>
        <w:t>良好的安全性得益于其在设计上的改进，采用了固定比例的 </w:t>
      </w:r>
      <w:r>
        <w:rPr>
          <w:rFonts w:ascii="Arial" w:eastAsia="Arial"/>
        </w:rPr>
        <w:t>CD4+</w:t>
      </w:r>
      <w:r>
        <w:rPr/>
        <w:t>和 </w:t>
      </w:r>
      <w:r>
        <w:rPr>
          <w:rFonts w:ascii="Arial" w:eastAsia="Arial"/>
        </w:rPr>
        <w:t>CD8</w:t>
      </w:r>
      <w:r>
        <w:rPr>
          <w:rFonts w:ascii="Arial" w:eastAsia="Arial"/>
          <w:spacing w:val="18"/>
        </w:rPr>
        <w:t>+ </w:t>
      </w:r>
      <w:r>
        <w:rPr>
          <w:rFonts w:ascii="Arial" w:eastAsia="Arial"/>
        </w:rPr>
        <w:t>T </w:t>
      </w:r>
      <w:r>
        <w:rPr>
          <w:spacing w:val="-1"/>
        </w:rPr>
        <w:t>细胞 。然而该设计也导致了在 </w:t>
      </w:r>
      <w:r>
        <w:rPr>
          <w:rFonts w:ascii="Arial" w:eastAsia="Arial"/>
        </w:rPr>
        <w:t>Breyanzi </w:t>
      </w:r>
      <w:r>
        <w:rPr/>
        <w:t>生产</w:t>
      </w:r>
      <w:r>
        <w:rPr>
          <w:spacing w:val="4"/>
        </w:rPr>
        <w:t>中，需要分别对 </w:t>
      </w:r>
      <w:r>
        <w:rPr>
          <w:rFonts w:ascii="Arial" w:eastAsia="Arial"/>
        </w:rPr>
        <w:t>CD4+</w:t>
      </w:r>
      <w:r>
        <w:rPr>
          <w:spacing w:val="7"/>
        </w:rPr>
        <w:t>和 </w:t>
      </w:r>
      <w:r>
        <w:rPr>
          <w:rFonts w:ascii="Arial" w:eastAsia="Arial"/>
        </w:rPr>
        <w:t>CD8</w:t>
      </w:r>
      <w:r>
        <w:rPr>
          <w:rFonts w:ascii="Arial" w:eastAsia="Arial"/>
          <w:spacing w:val="19"/>
        </w:rPr>
        <w:t>+ </w:t>
      </w:r>
      <w:r>
        <w:rPr>
          <w:rFonts w:ascii="Arial" w:eastAsia="Arial"/>
        </w:rPr>
        <w:t>T </w:t>
      </w:r>
      <w:r>
        <w:rPr>
          <w:spacing w:val="4"/>
        </w:rPr>
        <w:t>细胞进行培养，导致生产周期的延长。有效性方面， </w:t>
      </w:r>
      <w:r>
        <w:rPr>
          <w:rFonts w:ascii="Arial" w:eastAsia="Arial"/>
        </w:rPr>
        <w:t>Breyanzi </w:t>
      </w:r>
      <w:r>
        <w:rPr>
          <w:spacing w:val="-1"/>
        </w:rPr>
        <w:t>介于 </w:t>
      </w:r>
      <w:r>
        <w:rPr>
          <w:rFonts w:ascii="Arial" w:eastAsia="Arial"/>
        </w:rPr>
        <w:t>Kymriah </w:t>
      </w:r>
      <w:r>
        <w:rPr>
          <w:spacing w:val="-2"/>
        </w:rPr>
        <w:t>和 </w:t>
      </w:r>
      <w:r>
        <w:rPr>
          <w:rFonts w:ascii="Arial" w:eastAsia="Arial"/>
        </w:rPr>
        <w:t>Yescarta </w:t>
      </w:r>
      <w:r>
        <w:rPr/>
        <w:t>之间，</w:t>
      </w:r>
      <w:r>
        <w:rPr>
          <w:rFonts w:ascii="Arial" w:eastAsia="Arial"/>
        </w:rPr>
        <w:t>ORR </w:t>
      </w:r>
      <w:r>
        <w:rPr>
          <w:spacing w:val="-2"/>
        </w:rPr>
        <w:t>和 </w:t>
      </w:r>
      <w:r>
        <w:rPr>
          <w:rFonts w:ascii="Arial" w:eastAsia="Arial"/>
        </w:rPr>
        <w:t>CR </w:t>
      </w:r>
      <w:r>
        <w:rPr>
          <w:spacing w:val="-1"/>
        </w:rPr>
        <w:t>分别为 </w:t>
      </w:r>
      <w:r>
        <w:rPr>
          <w:rFonts w:ascii="Arial" w:eastAsia="Arial"/>
          <w:spacing w:val="-2"/>
        </w:rPr>
        <w:t>73%</w:t>
      </w:r>
      <w:r>
        <w:rPr>
          <w:spacing w:val="-2"/>
        </w:rPr>
        <w:t>和 </w:t>
      </w:r>
      <w:r>
        <w:rPr>
          <w:rFonts w:ascii="Arial" w:eastAsia="Arial"/>
          <w:spacing w:val="-2"/>
        </w:rPr>
        <w:t>53%</w:t>
      </w:r>
      <w:r>
        <w:rPr/>
        <w:t>。</w:t>
      </w:r>
    </w:p>
    <w:p>
      <w:pPr>
        <w:pStyle w:val="Heading3"/>
        <w:spacing w:before="69" w:after="19"/>
      </w:pPr>
      <w:r>
        <w:rPr/>
        <w:pict>
          <v:rect style="position:absolute;margin-left:41.063999pt;margin-top:21.430204pt;width:400.01pt;height:1.44pt;mso-position-horizontal-relative:page;mso-position-vertical-relative:paragraph;z-index:15740928" filled="true" fillcolor="#000000" stroked="false">
            <v:fill type="solid"/>
            <w10:wrap type="none"/>
          </v:rect>
        </w:pict>
      </w:r>
      <w:r>
        <w:rPr/>
        <w:t>图 </w:t>
      </w:r>
      <w:r>
        <w:rPr>
          <w:rFonts w:ascii="Arial" w:eastAsia="Arial"/>
        </w:rPr>
        <w:t>23: </w:t>
      </w:r>
      <w:r>
        <w:rPr/>
        <w:t>已上市 </w:t>
      </w:r>
      <w:r>
        <w:rPr>
          <w:rFonts w:ascii="Arial" w:eastAsia="Arial"/>
        </w:rPr>
        <w:t>CD19 CAR-T </w:t>
      </w:r>
      <w:r>
        <w:rPr/>
        <w:t>产品治疗 </w:t>
      </w:r>
      <w:r>
        <w:rPr>
          <w:rFonts w:ascii="Arial" w:eastAsia="Arial"/>
        </w:rPr>
        <w:t>3L+ r/r LBCL </w:t>
      </w:r>
      <w:r>
        <w:rPr/>
        <w:t>的关键临床数据</w:t>
      </w:r>
    </w:p>
    <w:tbl>
      <w:tblPr>
        <w:tblW w:w="0" w:type="auto"/>
        <w:jc w:val="left"/>
        <w:tblInd w:w="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1"/>
        <w:gridCol w:w="1589"/>
        <w:gridCol w:w="1638"/>
        <w:gridCol w:w="1589"/>
        <w:gridCol w:w="1590"/>
      </w:tblGrid>
      <w:tr>
        <w:trPr>
          <w:trHeight w:val="431" w:hRule="atLeast"/>
        </w:trPr>
        <w:tc>
          <w:tcPr>
            <w:tcW w:w="1431" w:type="dxa"/>
            <w:tcBorders>
              <w:bottom w:val="single" w:sz="4" w:space="0" w:color="000000"/>
              <w:right w:val="single" w:sz="4" w:space="0" w:color="000000"/>
            </w:tcBorders>
            <w:shd w:val="clear" w:color="auto" w:fill="C00000"/>
          </w:tcPr>
          <w:p>
            <w:pPr>
              <w:pStyle w:val="TableParagraph"/>
              <w:rPr>
                <w:rFonts w:ascii="Times New Roman"/>
                <w:sz w:val="16"/>
              </w:rPr>
            </w:pPr>
          </w:p>
        </w:tc>
        <w:tc>
          <w:tcPr>
            <w:tcW w:w="1589" w:type="dxa"/>
            <w:tcBorders>
              <w:left w:val="single" w:sz="4" w:space="0" w:color="000000"/>
              <w:bottom w:val="single" w:sz="4" w:space="0" w:color="000000"/>
              <w:right w:val="single" w:sz="4" w:space="0" w:color="000000"/>
            </w:tcBorders>
            <w:shd w:val="clear" w:color="auto" w:fill="C00000"/>
          </w:tcPr>
          <w:p>
            <w:pPr>
              <w:pStyle w:val="TableParagraph"/>
              <w:spacing w:before="37"/>
              <w:ind w:left="105" w:right="808"/>
              <w:rPr>
                <w:b/>
                <w:sz w:val="16"/>
              </w:rPr>
            </w:pPr>
            <w:r>
              <w:rPr>
                <w:b/>
                <w:color w:val="FFFFFF"/>
                <w:w w:val="95"/>
                <w:sz w:val="16"/>
              </w:rPr>
              <w:t>Yescarta </w:t>
            </w:r>
            <w:r>
              <w:rPr>
                <w:b/>
                <w:color w:val="FFFFFF"/>
                <w:sz w:val="16"/>
              </w:rPr>
              <w:t>(axi-cel)</w:t>
            </w:r>
          </w:p>
        </w:tc>
        <w:tc>
          <w:tcPr>
            <w:tcW w:w="1638" w:type="dxa"/>
            <w:tcBorders>
              <w:left w:val="single" w:sz="4" w:space="0" w:color="000000"/>
              <w:bottom w:val="single" w:sz="4" w:space="0" w:color="000000"/>
              <w:right w:val="single" w:sz="4" w:space="0" w:color="000000"/>
            </w:tcBorders>
            <w:shd w:val="clear" w:color="auto" w:fill="C00000"/>
          </w:tcPr>
          <w:p>
            <w:pPr>
              <w:pStyle w:val="TableParagraph"/>
              <w:spacing w:before="37"/>
              <w:ind w:left="105" w:right="867"/>
              <w:rPr>
                <w:b/>
                <w:sz w:val="16"/>
              </w:rPr>
            </w:pPr>
            <w:r>
              <w:rPr>
                <w:b/>
                <w:color w:val="FFFFFF"/>
                <w:sz w:val="16"/>
              </w:rPr>
              <w:t>Kymriah </w:t>
            </w:r>
            <w:r>
              <w:rPr>
                <w:b/>
                <w:color w:val="FFFFFF"/>
                <w:w w:val="95"/>
                <w:sz w:val="16"/>
              </w:rPr>
              <w:t>(tisa-cel)</w:t>
            </w:r>
          </w:p>
        </w:tc>
        <w:tc>
          <w:tcPr>
            <w:tcW w:w="1589" w:type="dxa"/>
            <w:tcBorders>
              <w:left w:val="single" w:sz="4" w:space="0" w:color="000000"/>
              <w:bottom w:val="single" w:sz="4" w:space="0" w:color="000000"/>
              <w:right w:val="single" w:sz="4" w:space="0" w:color="000000"/>
            </w:tcBorders>
            <w:shd w:val="clear" w:color="auto" w:fill="C00000"/>
          </w:tcPr>
          <w:p>
            <w:pPr>
              <w:pStyle w:val="TableParagraph"/>
              <w:spacing w:before="37"/>
              <w:ind w:left="100" w:right="813"/>
              <w:rPr>
                <w:b/>
                <w:sz w:val="16"/>
              </w:rPr>
            </w:pPr>
            <w:r>
              <w:rPr>
                <w:b/>
                <w:color w:val="FFFFFF"/>
                <w:w w:val="95"/>
                <w:sz w:val="16"/>
              </w:rPr>
              <w:t>Breyanzi </w:t>
            </w:r>
            <w:r>
              <w:rPr>
                <w:b/>
                <w:color w:val="FFFFFF"/>
                <w:sz w:val="16"/>
              </w:rPr>
              <w:t>(liso-cel)</w:t>
            </w:r>
          </w:p>
        </w:tc>
        <w:tc>
          <w:tcPr>
            <w:tcW w:w="1590" w:type="dxa"/>
            <w:tcBorders>
              <w:left w:val="single" w:sz="4" w:space="0" w:color="000000"/>
              <w:bottom w:val="single" w:sz="4" w:space="0" w:color="000000"/>
            </w:tcBorders>
            <w:shd w:val="clear" w:color="auto" w:fill="C00000"/>
          </w:tcPr>
          <w:p>
            <w:pPr>
              <w:pStyle w:val="TableParagraph"/>
              <w:spacing w:line="249" w:lineRule="exact"/>
              <w:ind w:left="105"/>
              <w:rPr>
                <w:rFonts w:ascii="Microsoft JhengHei UI" w:eastAsia="Microsoft JhengHei UI" w:hint="eastAsia"/>
                <w:b/>
                <w:sz w:val="16"/>
              </w:rPr>
            </w:pPr>
            <w:r>
              <w:rPr>
                <w:rFonts w:ascii="Microsoft JhengHei UI" w:eastAsia="Microsoft JhengHei UI" w:hint="eastAsia"/>
                <w:b/>
                <w:color w:val="FFFFFF"/>
                <w:sz w:val="16"/>
              </w:rPr>
              <w:t>倍诺达</w:t>
            </w:r>
          </w:p>
          <w:p>
            <w:pPr>
              <w:pStyle w:val="TableParagraph"/>
              <w:spacing w:line="163" w:lineRule="exact"/>
              <w:ind w:left="105"/>
              <w:rPr>
                <w:b/>
                <w:sz w:val="16"/>
              </w:rPr>
            </w:pPr>
            <w:r>
              <w:rPr>
                <w:b/>
                <w:color w:val="FFFFFF"/>
                <w:sz w:val="16"/>
              </w:rPr>
              <w:t>(relma-cel)</w:t>
            </w:r>
          </w:p>
        </w:tc>
      </w:tr>
      <w:tr>
        <w:trPr>
          <w:trHeight w:val="431" w:hRule="atLeast"/>
        </w:trPr>
        <w:tc>
          <w:tcPr>
            <w:tcW w:w="1431" w:type="dxa"/>
            <w:tcBorders>
              <w:top w:val="single" w:sz="4" w:space="0" w:color="000000"/>
              <w:bottom w:val="single" w:sz="4" w:space="0" w:color="000000"/>
              <w:right w:val="single" w:sz="4" w:space="0" w:color="000000"/>
            </w:tcBorders>
          </w:tcPr>
          <w:p>
            <w:pPr>
              <w:pStyle w:val="TableParagraph"/>
              <w:spacing w:before="94"/>
              <w:ind w:left="110"/>
              <w:rPr>
                <w:rFonts w:ascii="PMingLiU" w:eastAsia="PMingLiU" w:hint="eastAsia"/>
                <w:sz w:val="16"/>
              </w:rPr>
            </w:pPr>
            <w:r>
              <w:rPr>
                <w:rFonts w:ascii="PMingLiU" w:eastAsia="PMingLiU" w:hint="eastAsia"/>
                <w:sz w:val="16"/>
              </w:rPr>
              <w:t>公司</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before="123"/>
              <w:ind w:left="105"/>
              <w:rPr>
                <w:sz w:val="16"/>
              </w:rPr>
            </w:pPr>
            <w:r>
              <w:rPr>
                <w:sz w:val="16"/>
              </w:rPr>
              <w:t>Gilead/ Kite</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before="123"/>
              <w:ind w:left="105"/>
              <w:rPr>
                <w:sz w:val="16"/>
              </w:rPr>
            </w:pPr>
            <w:r>
              <w:rPr>
                <w:sz w:val="16"/>
              </w:rPr>
              <w:t>Novartis</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before="123"/>
              <w:ind w:left="100"/>
              <w:rPr>
                <w:sz w:val="16"/>
              </w:rPr>
            </w:pPr>
            <w:r>
              <w:rPr>
                <w:sz w:val="16"/>
              </w:rPr>
              <w:t>BMS/ Juno</w:t>
            </w:r>
          </w:p>
        </w:tc>
        <w:tc>
          <w:tcPr>
            <w:tcW w:w="1590" w:type="dxa"/>
            <w:tcBorders>
              <w:top w:val="single" w:sz="4" w:space="0" w:color="000000"/>
              <w:left w:val="single" w:sz="4" w:space="0" w:color="000000"/>
              <w:bottom w:val="single" w:sz="4" w:space="0" w:color="000000"/>
            </w:tcBorders>
          </w:tcPr>
          <w:p>
            <w:pPr>
              <w:pStyle w:val="TableParagraph"/>
              <w:spacing w:before="94"/>
              <w:ind w:left="105"/>
              <w:rPr>
                <w:rFonts w:ascii="PMingLiU" w:eastAsia="PMingLiU" w:hint="eastAsia"/>
                <w:sz w:val="16"/>
              </w:rPr>
            </w:pPr>
            <w:r>
              <w:rPr>
                <w:rFonts w:ascii="PMingLiU" w:eastAsia="PMingLiU" w:hint="eastAsia"/>
                <w:sz w:val="16"/>
              </w:rPr>
              <w:t>药明巨诺</w:t>
            </w:r>
          </w:p>
        </w:tc>
      </w:tr>
      <w:tr>
        <w:trPr>
          <w:trHeight w:val="371" w:hRule="atLeast"/>
        </w:trPr>
        <w:tc>
          <w:tcPr>
            <w:tcW w:w="1431" w:type="dxa"/>
            <w:tcBorders>
              <w:top w:val="single" w:sz="4" w:space="0" w:color="000000"/>
              <w:right w:val="single" w:sz="4" w:space="0" w:color="000000"/>
            </w:tcBorders>
          </w:tcPr>
          <w:p>
            <w:pPr>
              <w:pStyle w:val="TableParagraph"/>
              <w:spacing w:before="99"/>
              <w:ind w:left="110"/>
              <w:rPr>
                <w:rFonts w:ascii="PMingLiU" w:eastAsia="PMingLiU" w:hint="eastAsia"/>
                <w:sz w:val="16"/>
              </w:rPr>
            </w:pPr>
            <w:r>
              <w:rPr>
                <w:rFonts w:ascii="PMingLiU" w:eastAsia="PMingLiU" w:hint="eastAsia"/>
                <w:sz w:val="16"/>
              </w:rPr>
              <w:t>临床研究</w:t>
            </w:r>
          </w:p>
        </w:tc>
        <w:tc>
          <w:tcPr>
            <w:tcW w:w="1589" w:type="dxa"/>
            <w:tcBorders>
              <w:top w:val="single" w:sz="4" w:space="0" w:color="000000"/>
              <w:left w:val="single" w:sz="4" w:space="0" w:color="000000"/>
              <w:right w:val="single" w:sz="4" w:space="0" w:color="000000"/>
            </w:tcBorders>
          </w:tcPr>
          <w:p>
            <w:pPr>
              <w:pStyle w:val="TableParagraph"/>
              <w:spacing w:before="123"/>
              <w:ind w:left="105"/>
              <w:rPr>
                <w:sz w:val="16"/>
              </w:rPr>
            </w:pPr>
            <w:r>
              <w:rPr>
                <w:sz w:val="16"/>
              </w:rPr>
              <w:t>ZUMA-1</w:t>
            </w:r>
          </w:p>
        </w:tc>
        <w:tc>
          <w:tcPr>
            <w:tcW w:w="1638" w:type="dxa"/>
            <w:tcBorders>
              <w:top w:val="single" w:sz="4" w:space="0" w:color="000000"/>
              <w:left w:val="single" w:sz="4" w:space="0" w:color="000000"/>
              <w:right w:val="single" w:sz="4" w:space="0" w:color="000000"/>
            </w:tcBorders>
          </w:tcPr>
          <w:p>
            <w:pPr>
              <w:pStyle w:val="TableParagraph"/>
              <w:spacing w:before="123"/>
              <w:ind w:left="105"/>
              <w:rPr>
                <w:sz w:val="16"/>
              </w:rPr>
            </w:pPr>
            <w:r>
              <w:rPr>
                <w:sz w:val="16"/>
              </w:rPr>
              <w:t>JULIET</w:t>
            </w:r>
          </w:p>
        </w:tc>
        <w:tc>
          <w:tcPr>
            <w:tcW w:w="1589" w:type="dxa"/>
            <w:tcBorders>
              <w:top w:val="single" w:sz="4" w:space="0" w:color="000000"/>
              <w:left w:val="single" w:sz="4" w:space="0" w:color="000000"/>
              <w:right w:val="single" w:sz="4" w:space="0" w:color="000000"/>
            </w:tcBorders>
          </w:tcPr>
          <w:p>
            <w:pPr>
              <w:pStyle w:val="TableParagraph"/>
              <w:spacing w:before="123"/>
              <w:ind w:left="100"/>
              <w:rPr>
                <w:sz w:val="16"/>
              </w:rPr>
            </w:pPr>
            <w:r>
              <w:rPr>
                <w:sz w:val="16"/>
              </w:rPr>
              <w:t>TRANSCEND</w:t>
            </w:r>
          </w:p>
        </w:tc>
        <w:tc>
          <w:tcPr>
            <w:tcW w:w="1590" w:type="dxa"/>
            <w:tcBorders>
              <w:top w:val="single" w:sz="4" w:space="0" w:color="000000"/>
              <w:left w:val="single" w:sz="4" w:space="0" w:color="000000"/>
            </w:tcBorders>
          </w:tcPr>
          <w:p>
            <w:pPr>
              <w:pStyle w:val="TableParagraph"/>
              <w:spacing w:before="123"/>
              <w:ind w:left="105"/>
              <w:rPr>
                <w:sz w:val="16"/>
              </w:rPr>
            </w:pPr>
            <w:r>
              <w:rPr>
                <w:sz w:val="16"/>
              </w:rPr>
              <w:t>RELIANCE</w:t>
            </w:r>
          </w:p>
        </w:tc>
      </w:tr>
      <w:tr>
        <w:trPr>
          <w:trHeight w:val="290" w:hRule="atLeast"/>
        </w:trPr>
        <w:tc>
          <w:tcPr>
            <w:tcW w:w="1431" w:type="dxa"/>
            <w:tcBorders>
              <w:bottom w:val="single" w:sz="4" w:space="0" w:color="000000"/>
              <w:right w:val="single" w:sz="4" w:space="0" w:color="000000"/>
            </w:tcBorders>
          </w:tcPr>
          <w:p>
            <w:pPr>
              <w:pStyle w:val="TableParagraph"/>
              <w:spacing w:line="212" w:lineRule="exact" w:before="59"/>
              <w:ind w:left="110"/>
              <w:rPr>
                <w:rFonts w:ascii="PMingLiU" w:eastAsia="PMingLiU" w:hint="eastAsia"/>
                <w:sz w:val="16"/>
              </w:rPr>
            </w:pPr>
            <w:r>
              <w:rPr>
                <w:rFonts w:ascii="PMingLiU" w:eastAsia="PMingLiU" w:hint="eastAsia"/>
                <w:sz w:val="16"/>
              </w:rPr>
              <w:t>中位随访时间</w:t>
            </w:r>
          </w:p>
        </w:tc>
        <w:tc>
          <w:tcPr>
            <w:tcW w:w="1589" w:type="dxa"/>
            <w:tcBorders>
              <w:left w:val="single" w:sz="4" w:space="0" w:color="000000"/>
              <w:bottom w:val="single" w:sz="4" w:space="0" w:color="000000"/>
              <w:right w:val="single" w:sz="4" w:space="0" w:color="000000"/>
            </w:tcBorders>
          </w:tcPr>
          <w:p>
            <w:pPr>
              <w:pStyle w:val="TableParagraph"/>
              <w:spacing w:before="83"/>
              <w:ind w:left="105"/>
              <w:rPr>
                <w:sz w:val="16"/>
              </w:rPr>
            </w:pPr>
            <w:r>
              <w:rPr>
                <w:sz w:val="16"/>
              </w:rPr>
              <w:t>63.1m</w:t>
            </w:r>
          </w:p>
        </w:tc>
        <w:tc>
          <w:tcPr>
            <w:tcW w:w="1638" w:type="dxa"/>
            <w:tcBorders>
              <w:left w:val="single" w:sz="4" w:space="0" w:color="000000"/>
              <w:bottom w:val="single" w:sz="4" w:space="0" w:color="000000"/>
              <w:right w:val="single" w:sz="4" w:space="0" w:color="000000"/>
            </w:tcBorders>
          </w:tcPr>
          <w:p>
            <w:pPr>
              <w:pStyle w:val="TableParagraph"/>
              <w:spacing w:before="83"/>
              <w:ind w:left="105"/>
              <w:rPr>
                <w:sz w:val="16"/>
              </w:rPr>
            </w:pPr>
            <w:r>
              <w:rPr>
                <w:sz w:val="16"/>
              </w:rPr>
              <w:t>40.3m</w:t>
            </w:r>
          </w:p>
        </w:tc>
        <w:tc>
          <w:tcPr>
            <w:tcW w:w="1589" w:type="dxa"/>
            <w:tcBorders>
              <w:left w:val="single" w:sz="4" w:space="0" w:color="000000"/>
              <w:bottom w:val="single" w:sz="4" w:space="0" w:color="000000"/>
              <w:right w:val="single" w:sz="4" w:space="0" w:color="000000"/>
            </w:tcBorders>
          </w:tcPr>
          <w:p>
            <w:pPr>
              <w:pStyle w:val="TableParagraph"/>
              <w:spacing w:before="83"/>
              <w:ind w:left="100"/>
              <w:rPr>
                <w:sz w:val="16"/>
              </w:rPr>
            </w:pPr>
            <w:r>
              <w:rPr>
                <w:sz w:val="16"/>
              </w:rPr>
              <w:t>24m</w:t>
            </w:r>
          </w:p>
        </w:tc>
        <w:tc>
          <w:tcPr>
            <w:tcW w:w="1590" w:type="dxa"/>
            <w:tcBorders>
              <w:left w:val="single" w:sz="4" w:space="0" w:color="000000"/>
              <w:bottom w:val="single" w:sz="4" w:space="0" w:color="000000"/>
            </w:tcBorders>
          </w:tcPr>
          <w:p>
            <w:pPr>
              <w:pStyle w:val="TableParagraph"/>
              <w:spacing w:before="83"/>
              <w:ind w:left="105"/>
              <w:rPr>
                <w:sz w:val="16"/>
              </w:rPr>
            </w:pPr>
            <w:r>
              <w:rPr>
                <w:sz w:val="16"/>
              </w:rPr>
              <w:t>17.9m</w:t>
            </w:r>
          </w:p>
        </w:tc>
      </w:tr>
      <w:tr>
        <w:trPr>
          <w:trHeight w:val="222" w:hRule="atLeast"/>
        </w:trPr>
        <w:tc>
          <w:tcPr>
            <w:tcW w:w="1431" w:type="dxa"/>
            <w:tcBorders>
              <w:top w:val="single" w:sz="4" w:space="0" w:color="000000"/>
              <w:right w:val="single" w:sz="4" w:space="0" w:color="000000"/>
            </w:tcBorders>
            <w:shd w:val="clear" w:color="auto" w:fill="F1F1F1"/>
          </w:tcPr>
          <w:p>
            <w:pPr>
              <w:pStyle w:val="TableParagraph"/>
              <w:spacing w:line="203" w:lineRule="exact"/>
              <w:ind w:left="110"/>
              <w:rPr>
                <w:rFonts w:ascii="PMingLiU" w:eastAsia="PMingLiU" w:hint="eastAsia"/>
                <w:sz w:val="16"/>
              </w:rPr>
            </w:pPr>
            <w:r>
              <w:rPr>
                <w:rFonts w:ascii="PMingLiU" w:eastAsia="PMingLiU" w:hint="eastAsia"/>
                <w:sz w:val="16"/>
              </w:rPr>
              <w:t>输注患者数</w:t>
            </w:r>
          </w:p>
        </w:tc>
        <w:tc>
          <w:tcPr>
            <w:tcW w:w="1589" w:type="dxa"/>
            <w:tcBorders>
              <w:top w:val="single" w:sz="4" w:space="0" w:color="000000"/>
              <w:left w:val="single" w:sz="4" w:space="0" w:color="000000"/>
              <w:right w:val="single" w:sz="4" w:space="0" w:color="000000"/>
            </w:tcBorders>
            <w:shd w:val="clear" w:color="auto" w:fill="F1F1F1"/>
          </w:tcPr>
          <w:p>
            <w:pPr>
              <w:pStyle w:val="TableParagraph"/>
              <w:spacing w:line="180" w:lineRule="exact" w:before="22"/>
              <w:ind w:left="105"/>
              <w:rPr>
                <w:sz w:val="16"/>
              </w:rPr>
            </w:pPr>
            <w:r>
              <w:rPr>
                <w:sz w:val="16"/>
              </w:rPr>
              <w:t>101</w:t>
            </w:r>
          </w:p>
        </w:tc>
        <w:tc>
          <w:tcPr>
            <w:tcW w:w="1638" w:type="dxa"/>
            <w:tcBorders>
              <w:top w:val="single" w:sz="4" w:space="0" w:color="000000"/>
              <w:left w:val="single" w:sz="4" w:space="0" w:color="000000"/>
              <w:right w:val="single" w:sz="4" w:space="0" w:color="000000"/>
            </w:tcBorders>
            <w:shd w:val="clear" w:color="auto" w:fill="F1F1F1"/>
          </w:tcPr>
          <w:p>
            <w:pPr>
              <w:pStyle w:val="TableParagraph"/>
              <w:spacing w:line="180" w:lineRule="exact" w:before="22"/>
              <w:ind w:left="105"/>
              <w:rPr>
                <w:sz w:val="16"/>
              </w:rPr>
            </w:pPr>
            <w:r>
              <w:rPr>
                <w:sz w:val="16"/>
              </w:rPr>
              <w:t>115</w:t>
            </w:r>
          </w:p>
        </w:tc>
        <w:tc>
          <w:tcPr>
            <w:tcW w:w="1589" w:type="dxa"/>
            <w:tcBorders>
              <w:top w:val="single" w:sz="4" w:space="0" w:color="000000"/>
              <w:left w:val="single" w:sz="4" w:space="0" w:color="000000"/>
              <w:right w:val="single" w:sz="4" w:space="0" w:color="000000"/>
            </w:tcBorders>
            <w:shd w:val="clear" w:color="auto" w:fill="F1F1F1"/>
          </w:tcPr>
          <w:p>
            <w:pPr>
              <w:pStyle w:val="TableParagraph"/>
              <w:spacing w:line="180" w:lineRule="exact" w:before="22"/>
              <w:ind w:left="100"/>
              <w:rPr>
                <w:sz w:val="16"/>
              </w:rPr>
            </w:pPr>
            <w:r>
              <w:rPr>
                <w:sz w:val="16"/>
              </w:rPr>
              <w:t>269</w:t>
            </w:r>
          </w:p>
        </w:tc>
        <w:tc>
          <w:tcPr>
            <w:tcW w:w="1590" w:type="dxa"/>
            <w:tcBorders>
              <w:top w:val="single" w:sz="4" w:space="0" w:color="000000"/>
              <w:left w:val="single" w:sz="4" w:space="0" w:color="000000"/>
            </w:tcBorders>
            <w:shd w:val="clear" w:color="auto" w:fill="F1F1F1"/>
          </w:tcPr>
          <w:p>
            <w:pPr>
              <w:pStyle w:val="TableParagraph"/>
              <w:spacing w:line="180" w:lineRule="exact" w:before="22"/>
              <w:ind w:left="105"/>
              <w:rPr>
                <w:sz w:val="16"/>
              </w:rPr>
            </w:pPr>
            <w:r>
              <w:rPr>
                <w:sz w:val="16"/>
              </w:rPr>
              <w:t>59</w:t>
            </w:r>
          </w:p>
        </w:tc>
      </w:tr>
      <w:tr>
        <w:trPr>
          <w:trHeight w:val="232" w:hRule="atLeast"/>
        </w:trPr>
        <w:tc>
          <w:tcPr>
            <w:tcW w:w="1431" w:type="dxa"/>
            <w:tcBorders>
              <w:right w:val="single" w:sz="4" w:space="0" w:color="000000"/>
            </w:tcBorders>
            <w:shd w:val="clear" w:color="auto" w:fill="F1F1F1"/>
          </w:tcPr>
          <w:p>
            <w:pPr>
              <w:pStyle w:val="TableParagraph"/>
              <w:spacing w:line="202" w:lineRule="exact" w:before="10"/>
              <w:ind w:left="110"/>
              <w:rPr>
                <w:rFonts w:ascii="PMingLiU" w:eastAsia="PMingLiU" w:hint="eastAsia"/>
                <w:sz w:val="16"/>
              </w:rPr>
            </w:pPr>
            <w:r>
              <w:rPr>
                <w:rFonts w:ascii="PMingLiU" w:eastAsia="PMingLiU" w:hint="eastAsia"/>
                <w:sz w:val="16"/>
              </w:rPr>
              <w:t>中位年龄</w:t>
            </w:r>
          </w:p>
        </w:tc>
        <w:tc>
          <w:tcPr>
            <w:tcW w:w="1589" w:type="dxa"/>
            <w:tcBorders>
              <w:left w:val="single" w:sz="4" w:space="0" w:color="000000"/>
              <w:right w:val="single" w:sz="4" w:space="0" w:color="000000"/>
            </w:tcBorders>
            <w:shd w:val="clear" w:color="auto" w:fill="F1F1F1"/>
          </w:tcPr>
          <w:p>
            <w:pPr>
              <w:pStyle w:val="TableParagraph"/>
              <w:spacing w:line="178" w:lineRule="exact" w:before="35"/>
              <w:ind w:left="105"/>
              <w:rPr>
                <w:sz w:val="16"/>
              </w:rPr>
            </w:pPr>
            <w:r>
              <w:rPr>
                <w:sz w:val="16"/>
              </w:rPr>
              <w:t>58</w:t>
            </w:r>
          </w:p>
        </w:tc>
        <w:tc>
          <w:tcPr>
            <w:tcW w:w="1638" w:type="dxa"/>
            <w:tcBorders>
              <w:left w:val="single" w:sz="4" w:space="0" w:color="000000"/>
              <w:right w:val="single" w:sz="4" w:space="0" w:color="000000"/>
            </w:tcBorders>
            <w:shd w:val="clear" w:color="auto" w:fill="F1F1F1"/>
          </w:tcPr>
          <w:p>
            <w:pPr>
              <w:pStyle w:val="TableParagraph"/>
              <w:spacing w:line="178" w:lineRule="exact" w:before="35"/>
              <w:ind w:left="105"/>
              <w:rPr>
                <w:sz w:val="16"/>
              </w:rPr>
            </w:pPr>
            <w:r>
              <w:rPr>
                <w:sz w:val="16"/>
              </w:rPr>
              <w:t>56</w:t>
            </w:r>
          </w:p>
        </w:tc>
        <w:tc>
          <w:tcPr>
            <w:tcW w:w="1589" w:type="dxa"/>
            <w:tcBorders>
              <w:left w:val="single" w:sz="4" w:space="0" w:color="000000"/>
              <w:right w:val="single" w:sz="4" w:space="0" w:color="000000"/>
            </w:tcBorders>
            <w:shd w:val="clear" w:color="auto" w:fill="F1F1F1"/>
          </w:tcPr>
          <w:p>
            <w:pPr>
              <w:pStyle w:val="TableParagraph"/>
              <w:spacing w:line="178" w:lineRule="exact" w:before="35"/>
              <w:ind w:left="100"/>
              <w:rPr>
                <w:sz w:val="16"/>
              </w:rPr>
            </w:pPr>
            <w:r>
              <w:rPr>
                <w:sz w:val="16"/>
              </w:rPr>
              <w:t>63</w:t>
            </w:r>
          </w:p>
        </w:tc>
        <w:tc>
          <w:tcPr>
            <w:tcW w:w="1590" w:type="dxa"/>
            <w:tcBorders>
              <w:left w:val="single" w:sz="4" w:space="0" w:color="000000"/>
            </w:tcBorders>
            <w:shd w:val="clear" w:color="auto" w:fill="F1F1F1"/>
          </w:tcPr>
          <w:p>
            <w:pPr>
              <w:pStyle w:val="TableParagraph"/>
              <w:spacing w:line="178" w:lineRule="exact" w:before="35"/>
              <w:ind w:left="105"/>
              <w:rPr>
                <w:sz w:val="16"/>
              </w:rPr>
            </w:pPr>
            <w:r>
              <w:rPr>
                <w:sz w:val="16"/>
              </w:rPr>
              <w:t>56</w:t>
            </w:r>
          </w:p>
        </w:tc>
      </w:tr>
      <w:tr>
        <w:trPr>
          <w:trHeight w:val="234" w:hRule="atLeast"/>
        </w:trPr>
        <w:tc>
          <w:tcPr>
            <w:tcW w:w="1431" w:type="dxa"/>
            <w:tcBorders>
              <w:right w:val="single" w:sz="4" w:space="0" w:color="000000"/>
            </w:tcBorders>
            <w:shd w:val="clear" w:color="auto" w:fill="F1F1F1"/>
          </w:tcPr>
          <w:p>
            <w:pPr>
              <w:pStyle w:val="TableParagraph"/>
              <w:spacing w:line="206" w:lineRule="exact" w:before="8"/>
              <w:ind w:left="110"/>
              <w:rPr>
                <w:rFonts w:ascii="PMingLiU" w:eastAsia="PMingLiU" w:hint="eastAsia"/>
                <w:sz w:val="16"/>
              </w:rPr>
            </w:pPr>
            <w:r>
              <w:rPr>
                <w:rFonts w:ascii="PMingLiU" w:eastAsia="PMingLiU" w:hint="eastAsia"/>
                <w:sz w:val="16"/>
              </w:rPr>
              <w:t>前线治疗中位数</w:t>
            </w:r>
          </w:p>
        </w:tc>
        <w:tc>
          <w:tcPr>
            <w:tcW w:w="1589" w:type="dxa"/>
            <w:tcBorders>
              <w:left w:val="single" w:sz="4" w:space="0" w:color="000000"/>
              <w:right w:val="single" w:sz="4" w:space="0" w:color="000000"/>
            </w:tcBorders>
            <w:shd w:val="clear" w:color="auto" w:fill="F1F1F1"/>
          </w:tcPr>
          <w:p>
            <w:pPr>
              <w:pStyle w:val="TableParagraph"/>
              <w:spacing w:line="177" w:lineRule="exact" w:before="37"/>
              <w:ind w:left="105"/>
              <w:rPr>
                <w:sz w:val="16"/>
              </w:rPr>
            </w:pPr>
            <w:r>
              <w:rPr>
                <w:w w:val="98"/>
                <w:sz w:val="16"/>
              </w:rPr>
              <w:t>3</w:t>
            </w:r>
          </w:p>
        </w:tc>
        <w:tc>
          <w:tcPr>
            <w:tcW w:w="1638" w:type="dxa"/>
            <w:tcBorders>
              <w:left w:val="single" w:sz="4" w:space="0" w:color="000000"/>
              <w:right w:val="single" w:sz="4" w:space="0" w:color="000000"/>
            </w:tcBorders>
            <w:shd w:val="clear" w:color="auto" w:fill="F1F1F1"/>
          </w:tcPr>
          <w:p>
            <w:pPr>
              <w:pStyle w:val="TableParagraph"/>
              <w:spacing w:line="177" w:lineRule="exact" w:before="37"/>
              <w:ind w:left="105"/>
              <w:rPr>
                <w:sz w:val="16"/>
              </w:rPr>
            </w:pPr>
            <w:r>
              <w:rPr>
                <w:w w:val="98"/>
                <w:sz w:val="16"/>
              </w:rPr>
              <w:t>3</w:t>
            </w:r>
          </w:p>
        </w:tc>
        <w:tc>
          <w:tcPr>
            <w:tcW w:w="1589" w:type="dxa"/>
            <w:tcBorders>
              <w:left w:val="single" w:sz="4" w:space="0" w:color="000000"/>
              <w:right w:val="single" w:sz="4" w:space="0" w:color="000000"/>
            </w:tcBorders>
            <w:shd w:val="clear" w:color="auto" w:fill="F1F1F1"/>
          </w:tcPr>
          <w:p>
            <w:pPr>
              <w:pStyle w:val="TableParagraph"/>
              <w:spacing w:line="177" w:lineRule="exact" w:before="37"/>
              <w:ind w:left="100"/>
              <w:rPr>
                <w:sz w:val="16"/>
              </w:rPr>
            </w:pPr>
            <w:r>
              <w:rPr>
                <w:w w:val="98"/>
                <w:sz w:val="16"/>
              </w:rPr>
              <w:t>3</w:t>
            </w:r>
          </w:p>
        </w:tc>
        <w:tc>
          <w:tcPr>
            <w:tcW w:w="1590" w:type="dxa"/>
            <w:tcBorders>
              <w:left w:val="single" w:sz="4" w:space="0" w:color="000000"/>
            </w:tcBorders>
            <w:shd w:val="clear" w:color="auto" w:fill="F1F1F1"/>
          </w:tcPr>
          <w:p>
            <w:pPr>
              <w:pStyle w:val="TableParagraph"/>
              <w:spacing w:line="177" w:lineRule="exact" w:before="37"/>
              <w:ind w:left="105"/>
              <w:rPr>
                <w:sz w:val="16"/>
              </w:rPr>
            </w:pPr>
            <w:r>
              <w:rPr>
                <w:w w:val="98"/>
                <w:sz w:val="16"/>
              </w:rPr>
              <w:t>2</w:t>
            </w:r>
          </w:p>
        </w:tc>
      </w:tr>
      <w:tr>
        <w:trPr>
          <w:trHeight w:val="267" w:hRule="atLeast"/>
        </w:trPr>
        <w:tc>
          <w:tcPr>
            <w:tcW w:w="1431" w:type="dxa"/>
            <w:tcBorders>
              <w:right w:val="single" w:sz="4" w:space="0" w:color="000000"/>
            </w:tcBorders>
            <w:shd w:val="clear" w:color="auto" w:fill="F1F1F1"/>
          </w:tcPr>
          <w:p>
            <w:pPr>
              <w:pStyle w:val="TableParagraph"/>
              <w:spacing w:before="9"/>
              <w:ind w:left="110"/>
              <w:rPr>
                <w:rFonts w:ascii="PMingLiU" w:eastAsia="PMingLiU" w:hint="eastAsia"/>
                <w:sz w:val="16"/>
              </w:rPr>
            </w:pPr>
            <w:r>
              <w:rPr>
                <w:rFonts w:ascii="PMingLiU" w:eastAsia="PMingLiU" w:hint="eastAsia"/>
                <w:sz w:val="16"/>
              </w:rPr>
              <w:t>中位回输时间</w:t>
            </w:r>
          </w:p>
        </w:tc>
        <w:tc>
          <w:tcPr>
            <w:tcW w:w="1589" w:type="dxa"/>
            <w:tcBorders>
              <w:left w:val="single" w:sz="4" w:space="0" w:color="000000"/>
              <w:right w:val="single" w:sz="4" w:space="0" w:color="000000"/>
            </w:tcBorders>
            <w:shd w:val="clear" w:color="auto" w:fill="F1F1F1"/>
          </w:tcPr>
          <w:p>
            <w:pPr>
              <w:pStyle w:val="TableParagraph"/>
              <w:spacing w:before="33"/>
              <w:ind w:left="105"/>
              <w:rPr>
                <w:sz w:val="16"/>
              </w:rPr>
            </w:pPr>
            <w:r>
              <w:rPr>
                <w:sz w:val="16"/>
              </w:rPr>
              <w:t>17d</w:t>
            </w:r>
          </w:p>
        </w:tc>
        <w:tc>
          <w:tcPr>
            <w:tcW w:w="1638" w:type="dxa"/>
            <w:tcBorders>
              <w:left w:val="single" w:sz="4" w:space="0" w:color="000000"/>
              <w:right w:val="single" w:sz="4" w:space="0" w:color="000000"/>
            </w:tcBorders>
            <w:shd w:val="clear" w:color="auto" w:fill="F1F1F1"/>
          </w:tcPr>
          <w:p>
            <w:pPr>
              <w:pStyle w:val="TableParagraph"/>
              <w:spacing w:before="33"/>
              <w:ind w:left="105"/>
              <w:rPr>
                <w:sz w:val="16"/>
              </w:rPr>
            </w:pPr>
            <w:r>
              <w:rPr>
                <w:sz w:val="16"/>
              </w:rPr>
              <w:t>54d</w:t>
            </w:r>
          </w:p>
        </w:tc>
        <w:tc>
          <w:tcPr>
            <w:tcW w:w="1589" w:type="dxa"/>
            <w:tcBorders>
              <w:left w:val="single" w:sz="4" w:space="0" w:color="000000"/>
              <w:right w:val="single" w:sz="4" w:space="0" w:color="000000"/>
            </w:tcBorders>
            <w:shd w:val="clear" w:color="auto" w:fill="F1F1F1"/>
          </w:tcPr>
          <w:p>
            <w:pPr>
              <w:pStyle w:val="TableParagraph"/>
              <w:spacing w:before="33"/>
              <w:ind w:left="100"/>
              <w:rPr>
                <w:sz w:val="16"/>
              </w:rPr>
            </w:pPr>
            <w:r>
              <w:rPr>
                <w:sz w:val="16"/>
              </w:rPr>
              <w:t>37d</w:t>
            </w:r>
          </w:p>
        </w:tc>
        <w:tc>
          <w:tcPr>
            <w:tcW w:w="1590" w:type="dxa"/>
            <w:tcBorders>
              <w:left w:val="single" w:sz="4" w:space="0" w:color="000000"/>
            </w:tcBorders>
            <w:shd w:val="clear" w:color="auto" w:fill="F1F1F1"/>
          </w:tcPr>
          <w:p>
            <w:pPr>
              <w:pStyle w:val="TableParagraph"/>
              <w:spacing w:before="33"/>
              <w:ind w:left="105"/>
              <w:rPr>
                <w:sz w:val="16"/>
              </w:rPr>
            </w:pPr>
            <w:r>
              <w:rPr>
                <w:sz w:val="16"/>
              </w:rPr>
              <w:t>19d</w:t>
            </w:r>
          </w:p>
        </w:tc>
      </w:tr>
      <w:tr>
        <w:trPr>
          <w:trHeight w:val="300" w:hRule="atLeast"/>
        </w:trPr>
        <w:tc>
          <w:tcPr>
            <w:tcW w:w="1431" w:type="dxa"/>
            <w:tcBorders>
              <w:right w:val="single" w:sz="4" w:space="0" w:color="000000"/>
            </w:tcBorders>
            <w:shd w:val="clear" w:color="auto" w:fill="F1F1F1"/>
          </w:tcPr>
          <w:p>
            <w:pPr>
              <w:pStyle w:val="TableParagraph"/>
              <w:spacing w:before="44"/>
              <w:ind w:left="110"/>
              <w:rPr>
                <w:rFonts w:ascii="PMingLiU" w:eastAsia="PMingLiU" w:hint="eastAsia"/>
                <w:sz w:val="16"/>
              </w:rPr>
            </w:pPr>
            <w:r>
              <w:rPr>
                <w:rFonts w:ascii="PMingLiU" w:eastAsia="PMingLiU" w:hint="eastAsia"/>
                <w:sz w:val="16"/>
              </w:rPr>
              <w:t>输注细胞数</w:t>
            </w:r>
          </w:p>
        </w:tc>
        <w:tc>
          <w:tcPr>
            <w:tcW w:w="1589" w:type="dxa"/>
            <w:tcBorders>
              <w:left w:val="single" w:sz="4" w:space="0" w:color="000000"/>
              <w:right w:val="single" w:sz="4" w:space="0" w:color="000000"/>
            </w:tcBorders>
            <w:shd w:val="clear" w:color="auto" w:fill="F1F1F1"/>
          </w:tcPr>
          <w:p>
            <w:pPr>
              <w:pStyle w:val="TableParagraph"/>
              <w:spacing w:before="44"/>
              <w:ind w:left="105"/>
              <w:rPr>
                <w:sz w:val="16"/>
              </w:rPr>
            </w:pPr>
            <w:r>
              <w:rPr>
                <w:sz w:val="16"/>
              </w:rPr>
              <w:t>2.0*10^6 </w:t>
            </w:r>
            <w:r>
              <w:rPr>
                <w:rFonts w:ascii="PMingLiU" w:eastAsia="PMingLiU" w:hint="eastAsia"/>
                <w:sz w:val="16"/>
              </w:rPr>
              <w:t>个</w:t>
            </w:r>
            <w:r>
              <w:rPr>
                <w:sz w:val="16"/>
              </w:rPr>
              <w:t>/kg</w:t>
            </w:r>
          </w:p>
        </w:tc>
        <w:tc>
          <w:tcPr>
            <w:tcW w:w="1638" w:type="dxa"/>
            <w:tcBorders>
              <w:left w:val="single" w:sz="4" w:space="0" w:color="000000"/>
              <w:right w:val="single" w:sz="4" w:space="0" w:color="000000"/>
            </w:tcBorders>
            <w:shd w:val="clear" w:color="auto" w:fill="F1F1F1"/>
          </w:tcPr>
          <w:p>
            <w:pPr>
              <w:pStyle w:val="TableParagraph"/>
              <w:spacing w:before="44"/>
              <w:ind w:left="105"/>
              <w:rPr>
                <w:rFonts w:ascii="PMingLiU" w:eastAsia="PMingLiU" w:hint="eastAsia"/>
                <w:sz w:val="16"/>
              </w:rPr>
            </w:pPr>
            <w:r>
              <w:rPr>
                <w:sz w:val="16"/>
              </w:rPr>
              <w:t>(0.1~6.0)*10^8 </w:t>
            </w:r>
            <w:r>
              <w:rPr>
                <w:rFonts w:ascii="PMingLiU" w:eastAsia="PMingLiU" w:hint="eastAsia"/>
                <w:sz w:val="16"/>
              </w:rPr>
              <w:t>个</w:t>
            </w:r>
          </w:p>
        </w:tc>
        <w:tc>
          <w:tcPr>
            <w:tcW w:w="1589" w:type="dxa"/>
            <w:tcBorders>
              <w:left w:val="single" w:sz="4" w:space="0" w:color="000000"/>
              <w:right w:val="single" w:sz="4" w:space="0" w:color="000000"/>
            </w:tcBorders>
            <w:shd w:val="clear" w:color="auto" w:fill="F1F1F1"/>
          </w:tcPr>
          <w:p>
            <w:pPr>
              <w:pStyle w:val="TableParagraph"/>
              <w:spacing w:before="44"/>
              <w:ind w:left="100"/>
              <w:rPr>
                <w:rFonts w:ascii="PMingLiU" w:eastAsia="PMingLiU" w:hint="eastAsia"/>
                <w:sz w:val="16"/>
              </w:rPr>
            </w:pPr>
            <w:r>
              <w:rPr>
                <w:sz w:val="16"/>
              </w:rPr>
              <w:t>91*10^6 </w:t>
            </w:r>
            <w:r>
              <w:rPr>
                <w:rFonts w:ascii="PMingLiU" w:eastAsia="PMingLiU" w:hint="eastAsia"/>
                <w:sz w:val="16"/>
              </w:rPr>
              <w:t>个</w:t>
            </w:r>
          </w:p>
        </w:tc>
        <w:tc>
          <w:tcPr>
            <w:tcW w:w="1590" w:type="dxa"/>
            <w:tcBorders>
              <w:left w:val="single" w:sz="4" w:space="0" w:color="000000"/>
            </w:tcBorders>
            <w:shd w:val="clear" w:color="auto" w:fill="F1F1F1"/>
          </w:tcPr>
          <w:p>
            <w:pPr>
              <w:pStyle w:val="TableParagraph"/>
              <w:spacing w:before="44"/>
              <w:ind w:left="105"/>
              <w:rPr>
                <w:rFonts w:ascii="PMingLiU" w:eastAsia="PMingLiU" w:hint="eastAsia"/>
                <w:sz w:val="16"/>
              </w:rPr>
            </w:pPr>
            <w:r>
              <w:rPr>
                <w:sz w:val="16"/>
              </w:rPr>
              <w:t>(1.0~1.5)*10^8 </w:t>
            </w:r>
            <w:r>
              <w:rPr>
                <w:rFonts w:ascii="PMingLiU" w:eastAsia="PMingLiU" w:hint="eastAsia"/>
                <w:sz w:val="16"/>
              </w:rPr>
              <w:t>个</w:t>
            </w:r>
          </w:p>
        </w:tc>
      </w:tr>
      <w:tr>
        <w:trPr>
          <w:trHeight w:val="268" w:hRule="atLeast"/>
        </w:trPr>
        <w:tc>
          <w:tcPr>
            <w:tcW w:w="1431" w:type="dxa"/>
            <w:tcBorders>
              <w:right w:val="single" w:sz="4" w:space="0" w:color="000000"/>
            </w:tcBorders>
            <w:shd w:val="clear" w:color="auto" w:fill="F1F1F1"/>
          </w:tcPr>
          <w:p>
            <w:pPr>
              <w:pStyle w:val="TableParagraph"/>
              <w:spacing w:line="206" w:lineRule="exact" w:before="42"/>
              <w:ind w:left="110"/>
              <w:rPr>
                <w:rFonts w:ascii="PMingLiU" w:eastAsia="PMingLiU" w:hint="eastAsia"/>
                <w:sz w:val="16"/>
              </w:rPr>
            </w:pPr>
            <w:r>
              <w:rPr>
                <w:rFonts w:ascii="PMingLiU" w:eastAsia="PMingLiU" w:hint="eastAsia"/>
                <w:sz w:val="16"/>
              </w:rPr>
              <w:t>制备成功率</w:t>
            </w:r>
          </w:p>
        </w:tc>
        <w:tc>
          <w:tcPr>
            <w:tcW w:w="1589" w:type="dxa"/>
            <w:tcBorders>
              <w:left w:val="single" w:sz="4" w:space="0" w:color="000000"/>
              <w:right w:val="single" w:sz="4" w:space="0" w:color="000000"/>
            </w:tcBorders>
            <w:shd w:val="clear" w:color="auto" w:fill="F1F1F1"/>
          </w:tcPr>
          <w:p>
            <w:pPr>
              <w:pStyle w:val="TableParagraph"/>
              <w:spacing w:line="177" w:lineRule="exact" w:before="71"/>
              <w:ind w:left="105"/>
              <w:rPr>
                <w:sz w:val="16"/>
              </w:rPr>
            </w:pPr>
            <w:r>
              <w:rPr>
                <w:sz w:val="16"/>
              </w:rPr>
              <w:t>99%</w:t>
            </w:r>
          </w:p>
        </w:tc>
        <w:tc>
          <w:tcPr>
            <w:tcW w:w="1638" w:type="dxa"/>
            <w:tcBorders>
              <w:left w:val="single" w:sz="4" w:space="0" w:color="000000"/>
              <w:right w:val="single" w:sz="4" w:space="0" w:color="000000"/>
            </w:tcBorders>
            <w:shd w:val="clear" w:color="auto" w:fill="F1F1F1"/>
          </w:tcPr>
          <w:p>
            <w:pPr>
              <w:pStyle w:val="TableParagraph"/>
              <w:spacing w:line="177" w:lineRule="exact" w:before="71"/>
              <w:ind w:left="105"/>
              <w:rPr>
                <w:sz w:val="16"/>
              </w:rPr>
            </w:pPr>
            <w:r>
              <w:rPr>
                <w:sz w:val="16"/>
              </w:rPr>
              <w:t>93%</w:t>
            </w:r>
          </w:p>
        </w:tc>
        <w:tc>
          <w:tcPr>
            <w:tcW w:w="1589" w:type="dxa"/>
            <w:tcBorders>
              <w:left w:val="single" w:sz="4" w:space="0" w:color="000000"/>
              <w:right w:val="single" w:sz="4" w:space="0" w:color="000000"/>
            </w:tcBorders>
            <w:shd w:val="clear" w:color="auto" w:fill="F1F1F1"/>
          </w:tcPr>
          <w:p>
            <w:pPr>
              <w:pStyle w:val="TableParagraph"/>
              <w:spacing w:line="177" w:lineRule="exact" w:before="71"/>
              <w:ind w:left="100"/>
              <w:rPr>
                <w:sz w:val="16"/>
              </w:rPr>
            </w:pPr>
            <w:r>
              <w:rPr>
                <w:sz w:val="16"/>
              </w:rPr>
              <w:t>99.4%</w:t>
            </w:r>
          </w:p>
        </w:tc>
        <w:tc>
          <w:tcPr>
            <w:tcW w:w="1590" w:type="dxa"/>
            <w:tcBorders>
              <w:left w:val="single" w:sz="4" w:space="0" w:color="000000"/>
            </w:tcBorders>
            <w:shd w:val="clear" w:color="auto" w:fill="F1F1F1"/>
          </w:tcPr>
          <w:p>
            <w:pPr>
              <w:pStyle w:val="TableParagraph"/>
              <w:spacing w:line="177" w:lineRule="exact" w:before="71"/>
              <w:ind w:left="105"/>
              <w:rPr>
                <w:sz w:val="16"/>
              </w:rPr>
            </w:pPr>
            <w:r>
              <w:rPr>
                <w:sz w:val="16"/>
              </w:rPr>
              <w:t>N/A</w:t>
            </w:r>
          </w:p>
        </w:tc>
      </w:tr>
      <w:tr>
        <w:trPr>
          <w:trHeight w:val="476" w:hRule="atLeast"/>
        </w:trPr>
        <w:tc>
          <w:tcPr>
            <w:tcW w:w="1431" w:type="dxa"/>
            <w:tcBorders>
              <w:bottom w:val="single" w:sz="4" w:space="0" w:color="000000"/>
              <w:right w:val="single" w:sz="4" w:space="0" w:color="000000"/>
            </w:tcBorders>
            <w:shd w:val="clear" w:color="auto" w:fill="F1F1F1"/>
          </w:tcPr>
          <w:p>
            <w:pPr>
              <w:pStyle w:val="TableParagraph"/>
              <w:spacing w:before="124"/>
              <w:ind w:left="110"/>
              <w:rPr>
                <w:rFonts w:ascii="PMingLiU" w:eastAsia="PMingLiU" w:hint="eastAsia"/>
                <w:sz w:val="16"/>
              </w:rPr>
            </w:pPr>
            <w:r>
              <w:rPr>
                <w:rFonts w:ascii="PMingLiU" w:eastAsia="PMingLiU" w:hint="eastAsia"/>
                <w:sz w:val="16"/>
              </w:rPr>
              <w:t>清淋方案</w:t>
            </w:r>
          </w:p>
        </w:tc>
        <w:tc>
          <w:tcPr>
            <w:tcW w:w="1589" w:type="dxa"/>
            <w:tcBorders>
              <w:left w:val="single" w:sz="4" w:space="0" w:color="000000"/>
              <w:bottom w:val="single" w:sz="4" w:space="0" w:color="000000"/>
              <w:right w:val="single" w:sz="4" w:space="0" w:color="000000"/>
            </w:tcBorders>
            <w:shd w:val="clear" w:color="auto" w:fill="F1F1F1"/>
          </w:tcPr>
          <w:p>
            <w:pPr>
              <w:pStyle w:val="TableParagraph"/>
              <w:spacing w:before="124"/>
              <w:ind w:left="105"/>
              <w:rPr>
                <w:rFonts w:ascii="PMingLiU" w:eastAsia="PMingLiU" w:hint="eastAsia"/>
                <w:sz w:val="16"/>
              </w:rPr>
            </w:pPr>
            <w:r>
              <w:rPr>
                <w:rFonts w:ascii="PMingLiU" w:eastAsia="PMingLiU" w:hint="eastAsia"/>
                <w:sz w:val="16"/>
              </w:rPr>
              <w:t>氟达拉宾</w:t>
            </w:r>
            <w:r>
              <w:rPr>
                <w:sz w:val="16"/>
              </w:rPr>
              <w:t>+</w:t>
            </w:r>
            <w:r>
              <w:rPr>
                <w:rFonts w:ascii="PMingLiU" w:eastAsia="PMingLiU" w:hint="eastAsia"/>
                <w:sz w:val="16"/>
              </w:rPr>
              <w:t>环磷酰胺</w:t>
            </w:r>
          </w:p>
        </w:tc>
        <w:tc>
          <w:tcPr>
            <w:tcW w:w="1638" w:type="dxa"/>
            <w:tcBorders>
              <w:left w:val="single" w:sz="4" w:space="0" w:color="000000"/>
              <w:bottom w:val="single" w:sz="4" w:space="0" w:color="000000"/>
              <w:right w:val="single" w:sz="4" w:space="0" w:color="000000"/>
            </w:tcBorders>
            <w:shd w:val="clear" w:color="auto" w:fill="F1F1F1"/>
          </w:tcPr>
          <w:p>
            <w:pPr>
              <w:pStyle w:val="TableParagraph"/>
              <w:spacing w:line="230" w:lineRule="atLeast"/>
              <w:ind w:left="105" w:right="107"/>
              <w:rPr>
                <w:rFonts w:ascii="PMingLiU" w:eastAsia="PMingLiU" w:hint="eastAsia"/>
                <w:sz w:val="16"/>
              </w:rPr>
            </w:pPr>
            <w:r>
              <w:rPr>
                <w:rFonts w:ascii="PMingLiU" w:eastAsia="PMingLiU" w:hint="eastAsia"/>
                <w:w w:val="95"/>
                <w:sz w:val="16"/>
              </w:rPr>
              <w:t>氟达拉宾</w:t>
            </w:r>
            <w:r>
              <w:rPr>
                <w:w w:val="95"/>
                <w:sz w:val="16"/>
              </w:rPr>
              <w:t>+</w:t>
            </w:r>
            <w:r>
              <w:rPr>
                <w:rFonts w:ascii="PMingLiU" w:eastAsia="PMingLiU" w:hint="eastAsia"/>
                <w:w w:val="95"/>
                <w:sz w:val="16"/>
              </w:rPr>
              <w:t>环磷酰胺</w:t>
            </w:r>
            <w:r>
              <w:rPr>
                <w:w w:val="95"/>
                <w:sz w:val="16"/>
              </w:rPr>
              <w:t>/ </w:t>
            </w:r>
            <w:r>
              <w:rPr>
                <w:rFonts w:ascii="PMingLiU" w:eastAsia="PMingLiU" w:hint="eastAsia"/>
                <w:sz w:val="16"/>
              </w:rPr>
              <w:t>苯达莫司汀</w:t>
            </w:r>
          </w:p>
        </w:tc>
        <w:tc>
          <w:tcPr>
            <w:tcW w:w="1589" w:type="dxa"/>
            <w:tcBorders>
              <w:left w:val="single" w:sz="4" w:space="0" w:color="000000"/>
              <w:bottom w:val="single" w:sz="4" w:space="0" w:color="000000"/>
              <w:right w:val="single" w:sz="4" w:space="0" w:color="000000"/>
            </w:tcBorders>
            <w:shd w:val="clear" w:color="auto" w:fill="F1F1F1"/>
          </w:tcPr>
          <w:p>
            <w:pPr>
              <w:pStyle w:val="TableParagraph"/>
              <w:spacing w:before="124"/>
              <w:ind w:left="100"/>
              <w:rPr>
                <w:rFonts w:ascii="PMingLiU" w:eastAsia="PMingLiU" w:hint="eastAsia"/>
                <w:sz w:val="16"/>
              </w:rPr>
            </w:pPr>
            <w:r>
              <w:rPr>
                <w:rFonts w:ascii="PMingLiU" w:eastAsia="PMingLiU" w:hint="eastAsia"/>
                <w:sz w:val="16"/>
              </w:rPr>
              <w:t>氟达拉宾</w:t>
            </w:r>
            <w:r>
              <w:rPr>
                <w:sz w:val="16"/>
              </w:rPr>
              <w:t>+</w:t>
            </w:r>
            <w:r>
              <w:rPr>
                <w:rFonts w:ascii="PMingLiU" w:eastAsia="PMingLiU" w:hint="eastAsia"/>
                <w:sz w:val="16"/>
              </w:rPr>
              <w:t>环磷酰胺</w:t>
            </w:r>
          </w:p>
        </w:tc>
        <w:tc>
          <w:tcPr>
            <w:tcW w:w="1590" w:type="dxa"/>
            <w:tcBorders>
              <w:left w:val="single" w:sz="4" w:space="0" w:color="000000"/>
              <w:bottom w:val="single" w:sz="4" w:space="0" w:color="000000"/>
            </w:tcBorders>
            <w:shd w:val="clear" w:color="auto" w:fill="F1F1F1"/>
          </w:tcPr>
          <w:p>
            <w:pPr>
              <w:pStyle w:val="TableParagraph"/>
              <w:spacing w:before="124"/>
              <w:ind w:left="105"/>
              <w:rPr>
                <w:rFonts w:ascii="PMingLiU" w:eastAsia="PMingLiU" w:hint="eastAsia"/>
                <w:sz w:val="16"/>
              </w:rPr>
            </w:pPr>
            <w:r>
              <w:rPr>
                <w:rFonts w:ascii="PMingLiU" w:eastAsia="PMingLiU" w:hint="eastAsia"/>
                <w:sz w:val="16"/>
              </w:rPr>
              <w:t>氟达拉宾</w:t>
            </w:r>
            <w:r>
              <w:rPr>
                <w:sz w:val="16"/>
              </w:rPr>
              <w:t>+</w:t>
            </w:r>
            <w:r>
              <w:rPr>
                <w:rFonts w:ascii="PMingLiU" w:eastAsia="PMingLiU" w:hint="eastAsia"/>
                <w:sz w:val="16"/>
              </w:rPr>
              <w:t>环磷酰胺</w:t>
            </w:r>
          </w:p>
        </w:tc>
      </w:tr>
      <w:tr>
        <w:trPr>
          <w:trHeight w:val="379" w:hRule="atLeast"/>
        </w:trPr>
        <w:tc>
          <w:tcPr>
            <w:tcW w:w="1431" w:type="dxa"/>
            <w:tcBorders>
              <w:top w:val="single" w:sz="4" w:space="0" w:color="000000"/>
              <w:right w:val="single" w:sz="4" w:space="0" w:color="000000"/>
            </w:tcBorders>
          </w:tcPr>
          <w:p>
            <w:pPr>
              <w:pStyle w:val="TableParagraph"/>
              <w:spacing w:before="123"/>
              <w:ind w:left="110"/>
              <w:rPr>
                <w:sz w:val="16"/>
              </w:rPr>
            </w:pPr>
            <w:r>
              <w:rPr>
                <w:sz w:val="16"/>
              </w:rPr>
              <w:t>ORR</w:t>
            </w:r>
          </w:p>
        </w:tc>
        <w:tc>
          <w:tcPr>
            <w:tcW w:w="1589" w:type="dxa"/>
            <w:tcBorders>
              <w:top w:val="single" w:sz="4" w:space="0" w:color="000000"/>
              <w:left w:val="single" w:sz="4" w:space="0" w:color="000000"/>
              <w:right w:val="single" w:sz="4" w:space="0" w:color="000000"/>
            </w:tcBorders>
          </w:tcPr>
          <w:p>
            <w:pPr>
              <w:pStyle w:val="TableParagraph"/>
              <w:spacing w:before="123"/>
              <w:ind w:left="105"/>
              <w:rPr>
                <w:sz w:val="16"/>
              </w:rPr>
            </w:pPr>
            <w:r>
              <w:rPr>
                <w:sz w:val="16"/>
              </w:rPr>
              <w:t>82%</w:t>
            </w:r>
          </w:p>
        </w:tc>
        <w:tc>
          <w:tcPr>
            <w:tcW w:w="1638" w:type="dxa"/>
            <w:tcBorders>
              <w:top w:val="single" w:sz="4" w:space="0" w:color="000000"/>
              <w:left w:val="single" w:sz="4" w:space="0" w:color="000000"/>
              <w:right w:val="single" w:sz="4" w:space="0" w:color="000000"/>
            </w:tcBorders>
          </w:tcPr>
          <w:p>
            <w:pPr>
              <w:pStyle w:val="TableParagraph"/>
              <w:spacing w:before="123"/>
              <w:ind w:left="105"/>
              <w:rPr>
                <w:sz w:val="16"/>
              </w:rPr>
            </w:pPr>
            <w:r>
              <w:rPr>
                <w:sz w:val="16"/>
              </w:rPr>
              <w:t>52%</w:t>
            </w:r>
          </w:p>
        </w:tc>
        <w:tc>
          <w:tcPr>
            <w:tcW w:w="1589" w:type="dxa"/>
            <w:tcBorders>
              <w:top w:val="single" w:sz="4" w:space="0" w:color="000000"/>
              <w:left w:val="single" w:sz="4" w:space="0" w:color="000000"/>
              <w:right w:val="single" w:sz="4" w:space="0" w:color="000000"/>
            </w:tcBorders>
          </w:tcPr>
          <w:p>
            <w:pPr>
              <w:pStyle w:val="TableParagraph"/>
              <w:spacing w:before="123"/>
              <w:ind w:left="100"/>
              <w:rPr>
                <w:sz w:val="16"/>
              </w:rPr>
            </w:pPr>
            <w:r>
              <w:rPr>
                <w:sz w:val="16"/>
              </w:rPr>
              <w:t>73%</w:t>
            </w:r>
          </w:p>
        </w:tc>
        <w:tc>
          <w:tcPr>
            <w:tcW w:w="1590" w:type="dxa"/>
            <w:tcBorders>
              <w:top w:val="single" w:sz="4" w:space="0" w:color="000000"/>
              <w:left w:val="single" w:sz="4" w:space="0" w:color="000000"/>
            </w:tcBorders>
          </w:tcPr>
          <w:p>
            <w:pPr>
              <w:pStyle w:val="TableParagraph"/>
              <w:spacing w:before="123"/>
              <w:ind w:left="105"/>
              <w:rPr>
                <w:sz w:val="16"/>
              </w:rPr>
            </w:pPr>
            <w:r>
              <w:rPr>
                <w:sz w:val="16"/>
              </w:rPr>
              <w:t>78%</w:t>
            </w:r>
          </w:p>
        </w:tc>
      </w:tr>
      <w:tr>
        <w:trPr>
          <w:trHeight w:val="324" w:hRule="atLeast"/>
        </w:trPr>
        <w:tc>
          <w:tcPr>
            <w:tcW w:w="1431" w:type="dxa"/>
            <w:tcBorders>
              <w:right w:val="single" w:sz="4" w:space="0" w:color="000000"/>
            </w:tcBorders>
          </w:tcPr>
          <w:p>
            <w:pPr>
              <w:pStyle w:val="TableParagraph"/>
              <w:spacing w:before="65"/>
              <w:ind w:left="110"/>
              <w:rPr>
                <w:sz w:val="16"/>
              </w:rPr>
            </w:pPr>
            <w:r>
              <w:rPr>
                <w:sz w:val="16"/>
              </w:rPr>
              <w:t>CR</w:t>
            </w:r>
          </w:p>
        </w:tc>
        <w:tc>
          <w:tcPr>
            <w:tcW w:w="1589" w:type="dxa"/>
            <w:tcBorders>
              <w:left w:val="single" w:sz="4" w:space="0" w:color="000000"/>
              <w:right w:val="single" w:sz="4" w:space="0" w:color="000000"/>
            </w:tcBorders>
          </w:tcPr>
          <w:p>
            <w:pPr>
              <w:pStyle w:val="TableParagraph"/>
              <w:spacing w:before="65"/>
              <w:ind w:left="105"/>
              <w:rPr>
                <w:sz w:val="16"/>
              </w:rPr>
            </w:pPr>
            <w:r>
              <w:rPr>
                <w:sz w:val="16"/>
              </w:rPr>
              <w:t>54%</w:t>
            </w:r>
          </w:p>
        </w:tc>
        <w:tc>
          <w:tcPr>
            <w:tcW w:w="1638" w:type="dxa"/>
            <w:tcBorders>
              <w:left w:val="single" w:sz="4" w:space="0" w:color="000000"/>
              <w:right w:val="single" w:sz="4" w:space="0" w:color="000000"/>
            </w:tcBorders>
          </w:tcPr>
          <w:p>
            <w:pPr>
              <w:pStyle w:val="TableParagraph"/>
              <w:spacing w:before="65"/>
              <w:ind w:left="105"/>
              <w:rPr>
                <w:sz w:val="16"/>
              </w:rPr>
            </w:pPr>
            <w:r>
              <w:rPr>
                <w:sz w:val="16"/>
              </w:rPr>
              <w:t>40%</w:t>
            </w:r>
          </w:p>
        </w:tc>
        <w:tc>
          <w:tcPr>
            <w:tcW w:w="1589" w:type="dxa"/>
            <w:tcBorders>
              <w:left w:val="single" w:sz="4" w:space="0" w:color="000000"/>
              <w:right w:val="single" w:sz="4" w:space="0" w:color="000000"/>
            </w:tcBorders>
          </w:tcPr>
          <w:p>
            <w:pPr>
              <w:pStyle w:val="TableParagraph"/>
              <w:spacing w:before="65"/>
              <w:ind w:left="100"/>
              <w:rPr>
                <w:sz w:val="16"/>
              </w:rPr>
            </w:pPr>
            <w:r>
              <w:rPr>
                <w:sz w:val="16"/>
              </w:rPr>
              <w:t>53%</w:t>
            </w:r>
          </w:p>
        </w:tc>
        <w:tc>
          <w:tcPr>
            <w:tcW w:w="1590" w:type="dxa"/>
            <w:tcBorders>
              <w:left w:val="single" w:sz="4" w:space="0" w:color="000000"/>
            </w:tcBorders>
          </w:tcPr>
          <w:p>
            <w:pPr>
              <w:pStyle w:val="TableParagraph"/>
              <w:spacing w:before="65"/>
              <w:ind w:left="105"/>
              <w:rPr>
                <w:sz w:val="16"/>
              </w:rPr>
            </w:pPr>
            <w:r>
              <w:rPr>
                <w:sz w:val="16"/>
              </w:rPr>
              <w:t>53%</w:t>
            </w:r>
          </w:p>
        </w:tc>
      </w:tr>
      <w:tr>
        <w:trPr>
          <w:trHeight w:val="326" w:hRule="atLeast"/>
        </w:trPr>
        <w:tc>
          <w:tcPr>
            <w:tcW w:w="1431" w:type="dxa"/>
            <w:tcBorders>
              <w:right w:val="single" w:sz="4" w:space="0" w:color="000000"/>
            </w:tcBorders>
          </w:tcPr>
          <w:p>
            <w:pPr>
              <w:pStyle w:val="TableParagraph"/>
              <w:spacing w:before="68"/>
              <w:ind w:left="110"/>
              <w:rPr>
                <w:sz w:val="16"/>
              </w:rPr>
            </w:pPr>
            <w:r>
              <w:rPr>
                <w:sz w:val="16"/>
              </w:rPr>
              <w:t>mDOR</w:t>
            </w:r>
          </w:p>
        </w:tc>
        <w:tc>
          <w:tcPr>
            <w:tcW w:w="1589" w:type="dxa"/>
            <w:tcBorders>
              <w:left w:val="single" w:sz="4" w:space="0" w:color="000000"/>
              <w:right w:val="single" w:sz="4" w:space="0" w:color="000000"/>
            </w:tcBorders>
          </w:tcPr>
          <w:p>
            <w:pPr>
              <w:pStyle w:val="TableParagraph"/>
              <w:spacing w:before="68"/>
              <w:ind w:left="105"/>
              <w:rPr>
                <w:sz w:val="16"/>
              </w:rPr>
            </w:pPr>
            <w:r>
              <w:rPr>
                <w:sz w:val="16"/>
              </w:rPr>
              <w:t>11.1m</w:t>
            </w:r>
          </w:p>
        </w:tc>
        <w:tc>
          <w:tcPr>
            <w:tcW w:w="1638" w:type="dxa"/>
            <w:tcBorders>
              <w:left w:val="single" w:sz="4" w:space="0" w:color="000000"/>
              <w:right w:val="single" w:sz="4" w:space="0" w:color="000000"/>
            </w:tcBorders>
          </w:tcPr>
          <w:p>
            <w:pPr>
              <w:pStyle w:val="TableParagraph"/>
              <w:spacing w:before="68"/>
              <w:ind w:left="105"/>
              <w:rPr>
                <w:sz w:val="16"/>
              </w:rPr>
            </w:pPr>
            <w:r>
              <w:rPr>
                <w:sz w:val="16"/>
              </w:rPr>
              <w:t>N/A</w:t>
            </w:r>
          </w:p>
        </w:tc>
        <w:tc>
          <w:tcPr>
            <w:tcW w:w="1589" w:type="dxa"/>
            <w:tcBorders>
              <w:left w:val="single" w:sz="4" w:space="0" w:color="000000"/>
              <w:right w:val="single" w:sz="4" w:space="0" w:color="000000"/>
            </w:tcBorders>
          </w:tcPr>
          <w:p>
            <w:pPr>
              <w:pStyle w:val="TableParagraph"/>
              <w:spacing w:before="68"/>
              <w:ind w:left="100"/>
              <w:rPr>
                <w:sz w:val="16"/>
              </w:rPr>
            </w:pPr>
            <w:r>
              <w:rPr>
                <w:sz w:val="16"/>
              </w:rPr>
              <w:t>23.1m</w:t>
            </w:r>
          </w:p>
        </w:tc>
        <w:tc>
          <w:tcPr>
            <w:tcW w:w="1590" w:type="dxa"/>
            <w:tcBorders>
              <w:left w:val="single" w:sz="4" w:space="0" w:color="000000"/>
            </w:tcBorders>
          </w:tcPr>
          <w:p>
            <w:pPr>
              <w:pStyle w:val="TableParagraph"/>
              <w:spacing w:before="68"/>
              <w:ind w:left="105"/>
              <w:rPr>
                <w:sz w:val="16"/>
              </w:rPr>
            </w:pPr>
            <w:r>
              <w:rPr>
                <w:sz w:val="16"/>
              </w:rPr>
              <w:t>20.3m</w:t>
            </w:r>
          </w:p>
        </w:tc>
      </w:tr>
      <w:tr>
        <w:trPr>
          <w:trHeight w:val="268" w:hRule="atLeast"/>
        </w:trPr>
        <w:tc>
          <w:tcPr>
            <w:tcW w:w="1431" w:type="dxa"/>
            <w:tcBorders>
              <w:right w:val="single" w:sz="4" w:space="0" w:color="000000"/>
            </w:tcBorders>
          </w:tcPr>
          <w:p>
            <w:pPr>
              <w:pStyle w:val="TableParagraph"/>
              <w:spacing w:line="181" w:lineRule="exact" w:before="68"/>
              <w:ind w:left="110"/>
              <w:rPr>
                <w:sz w:val="16"/>
              </w:rPr>
            </w:pPr>
            <w:r>
              <w:rPr>
                <w:sz w:val="16"/>
              </w:rPr>
              <w:t>DOR rate</w:t>
            </w:r>
          </w:p>
        </w:tc>
        <w:tc>
          <w:tcPr>
            <w:tcW w:w="1589" w:type="dxa"/>
            <w:tcBorders>
              <w:left w:val="single" w:sz="4" w:space="0" w:color="000000"/>
              <w:right w:val="single" w:sz="4" w:space="0" w:color="000000"/>
            </w:tcBorders>
          </w:tcPr>
          <w:p>
            <w:pPr>
              <w:pStyle w:val="TableParagraph"/>
              <w:spacing w:line="181" w:lineRule="exact" w:before="68"/>
              <w:ind w:left="105"/>
              <w:rPr>
                <w:sz w:val="16"/>
              </w:rPr>
            </w:pPr>
            <w:r>
              <w:rPr>
                <w:sz w:val="16"/>
              </w:rPr>
              <w:t>50% at 12m</w:t>
            </w:r>
          </w:p>
        </w:tc>
        <w:tc>
          <w:tcPr>
            <w:tcW w:w="1638" w:type="dxa"/>
            <w:tcBorders>
              <w:left w:val="single" w:sz="4" w:space="0" w:color="000000"/>
              <w:right w:val="single" w:sz="4" w:space="0" w:color="000000"/>
            </w:tcBorders>
          </w:tcPr>
          <w:p>
            <w:pPr>
              <w:pStyle w:val="TableParagraph"/>
              <w:spacing w:line="181" w:lineRule="exact" w:before="68"/>
              <w:ind w:left="105"/>
              <w:rPr>
                <w:sz w:val="16"/>
              </w:rPr>
            </w:pPr>
            <w:r>
              <w:rPr>
                <w:sz w:val="16"/>
              </w:rPr>
              <w:t>65% at 12m</w:t>
            </w:r>
          </w:p>
        </w:tc>
        <w:tc>
          <w:tcPr>
            <w:tcW w:w="1589" w:type="dxa"/>
            <w:tcBorders>
              <w:left w:val="single" w:sz="4" w:space="0" w:color="000000"/>
              <w:right w:val="single" w:sz="4" w:space="0" w:color="000000"/>
            </w:tcBorders>
          </w:tcPr>
          <w:p>
            <w:pPr>
              <w:pStyle w:val="TableParagraph"/>
              <w:spacing w:line="181" w:lineRule="exact" w:before="68"/>
              <w:ind w:left="100"/>
              <w:rPr>
                <w:sz w:val="16"/>
              </w:rPr>
            </w:pPr>
            <w:r>
              <w:rPr>
                <w:sz w:val="16"/>
              </w:rPr>
              <w:t>55% at 12m</w:t>
            </w:r>
          </w:p>
        </w:tc>
        <w:tc>
          <w:tcPr>
            <w:tcW w:w="1590" w:type="dxa"/>
            <w:tcBorders>
              <w:left w:val="single" w:sz="4" w:space="0" w:color="000000"/>
            </w:tcBorders>
          </w:tcPr>
          <w:p>
            <w:pPr>
              <w:pStyle w:val="TableParagraph"/>
              <w:spacing w:line="181" w:lineRule="exact" w:before="68"/>
              <w:ind w:left="105"/>
              <w:rPr>
                <w:sz w:val="16"/>
              </w:rPr>
            </w:pPr>
            <w:r>
              <w:rPr>
                <w:sz w:val="16"/>
              </w:rPr>
              <w:t>40% at 24m</w:t>
            </w:r>
          </w:p>
        </w:tc>
      </w:tr>
      <w:tr>
        <w:trPr>
          <w:trHeight w:val="213" w:hRule="atLeast"/>
        </w:trPr>
        <w:tc>
          <w:tcPr>
            <w:tcW w:w="1431" w:type="dxa"/>
            <w:tcBorders>
              <w:right w:val="single" w:sz="4" w:space="0" w:color="000000"/>
            </w:tcBorders>
          </w:tcPr>
          <w:p>
            <w:pPr>
              <w:pStyle w:val="TableParagraph"/>
              <w:spacing w:line="183" w:lineRule="exact" w:before="10"/>
              <w:ind w:left="110"/>
              <w:rPr>
                <w:sz w:val="16"/>
              </w:rPr>
            </w:pPr>
            <w:r>
              <w:rPr>
                <w:sz w:val="16"/>
              </w:rPr>
              <w:t>mPFS</w:t>
            </w:r>
          </w:p>
        </w:tc>
        <w:tc>
          <w:tcPr>
            <w:tcW w:w="1589" w:type="dxa"/>
            <w:tcBorders>
              <w:left w:val="single" w:sz="4" w:space="0" w:color="000000"/>
              <w:right w:val="single" w:sz="4" w:space="0" w:color="000000"/>
            </w:tcBorders>
          </w:tcPr>
          <w:p>
            <w:pPr>
              <w:pStyle w:val="TableParagraph"/>
              <w:spacing w:line="183" w:lineRule="exact" w:before="10"/>
              <w:ind w:left="105"/>
              <w:rPr>
                <w:sz w:val="16"/>
              </w:rPr>
            </w:pPr>
            <w:r>
              <w:rPr>
                <w:sz w:val="16"/>
              </w:rPr>
              <w:t>5.9m</w:t>
            </w:r>
          </w:p>
        </w:tc>
        <w:tc>
          <w:tcPr>
            <w:tcW w:w="1638" w:type="dxa"/>
            <w:tcBorders>
              <w:left w:val="single" w:sz="4" w:space="0" w:color="000000"/>
              <w:right w:val="single" w:sz="4" w:space="0" w:color="000000"/>
            </w:tcBorders>
          </w:tcPr>
          <w:p>
            <w:pPr>
              <w:pStyle w:val="TableParagraph"/>
              <w:spacing w:line="183" w:lineRule="exact" w:before="10"/>
              <w:ind w:left="105"/>
              <w:rPr>
                <w:sz w:val="16"/>
              </w:rPr>
            </w:pPr>
            <w:r>
              <w:rPr>
                <w:sz w:val="16"/>
              </w:rPr>
              <w:t>2.9m</w:t>
            </w:r>
          </w:p>
        </w:tc>
        <w:tc>
          <w:tcPr>
            <w:tcW w:w="1589" w:type="dxa"/>
            <w:tcBorders>
              <w:left w:val="single" w:sz="4" w:space="0" w:color="000000"/>
              <w:right w:val="single" w:sz="4" w:space="0" w:color="000000"/>
            </w:tcBorders>
          </w:tcPr>
          <w:p>
            <w:pPr>
              <w:pStyle w:val="TableParagraph"/>
              <w:spacing w:line="183" w:lineRule="exact" w:before="10"/>
              <w:ind w:left="100"/>
              <w:rPr>
                <w:sz w:val="16"/>
              </w:rPr>
            </w:pPr>
            <w:r>
              <w:rPr>
                <w:sz w:val="16"/>
              </w:rPr>
              <w:t>6.8m</w:t>
            </w:r>
          </w:p>
        </w:tc>
        <w:tc>
          <w:tcPr>
            <w:tcW w:w="1590" w:type="dxa"/>
            <w:tcBorders>
              <w:left w:val="single" w:sz="4" w:space="0" w:color="000000"/>
            </w:tcBorders>
          </w:tcPr>
          <w:p>
            <w:pPr>
              <w:pStyle w:val="TableParagraph"/>
              <w:spacing w:line="183" w:lineRule="exact" w:before="10"/>
              <w:ind w:left="105"/>
              <w:rPr>
                <w:sz w:val="16"/>
              </w:rPr>
            </w:pPr>
            <w:r>
              <w:rPr>
                <w:sz w:val="16"/>
              </w:rPr>
              <w:t>7.0m</w:t>
            </w:r>
          </w:p>
        </w:tc>
      </w:tr>
      <w:tr>
        <w:trPr>
          <w:trHeight w:val="213" w:hRule="atLeast"/>
        </w:trPr>
        <w:tc>
          <w:tcPr>
            <w:tcW w:w="1431" w:type="dxa"/>
            <w:tcBorders>
              <w:right w:val="single" w:sz="4" w:space="0" w:color="000000"/>
            </w:tcBorders>
          </w:tcPr>
          <w:p>
            <w:pPr>
              <w:pStyle w:val="TableParagraph"/>
              <w:spacing w:line="181" w:lineRule="exact" w:before="13"/>
              <w:ind w:left="110"/>
              <w:rPr>
                <w:sz w:val="16"/>
              </w:rPr>
            </w:pPr>
            <w:r>
              <w:rPr>
                <w:sz w:val="16"/>
              </w:rPr>
              <w:t>PFS rate</w:t>
            </w:r>
          </w:p>
        </w:tc>
        <w:tc>
          <w:tcPr>
            <w:tcW w:w="1589" w:type="dxa"/>
            <w:tcBorders>
              <w:left w:val="single" w:sz="4" w:space="0" w:color="000000"/>
              <w:right w:val="single" w:sz="4" w:space="0" w:color="000000"/>
            </w:tcBorders>
          </w:tcPr>
          <w:p>
            <w:pPr>
              <w:pStyle w:val="TableParagraph"/>
              <w:spacing w:line="181" w:lineRule="exact" w:before="13"/>
              <w:ind w:left="105"/>
              <w:rPr>
                <w:sz w:val="16"/>
              </w:rPr>
            </w:pPr>
            <w:r>
              <w:rPr>
                <w:sz w:val="16"/>
              </w:rPr>
              <w:t>40% at 24m</w:t>
            </w:r>
          </w:p>
        </w:tc>
        <w:tc>
          <w:tcPr>
            <w:tcW w:w="1638" w:type="dxa"/>
            <w:tcBorders>
              <w:left w:val="single" w:sz="4" w:space="0" w:color="000000"/>
              <w:right w:val="single" w:sz="4" w:space="0" w:color="000000"/>
            </w:tcBorders>
          </w:tcPr>
          <w:p>
            <w:pPr>
              <w:pStyle w:val="TableParagraph"/>
              <w:spacing w:line="181" w:lineRule="exact" w:before="13"/>
              <w:ind w:left="105"/>
              <w:rPr>
                <w:sz w:val="16"/>
              </w:rPr>
            </w:pPr>
            <w:r>
              <w:rPr>
                <w:sz w:val="16"/>
              </w:rPr>
              <w:t>35% at 24m</w:t>
            </w:r>
          </w:p>
        </w:tc>
        <w:tc>
          <w:tcPr>
            <w:tcW w:w="1589" w:type="dxa"/>
            <w:tcBorders>
              <w:left w:val="single" w:sz="4" w:space="0" w:color="000000"/>
              <w:right w:val="single" w:sz="4" w:space="0" w:color="000000"/>
            </w:tcBorders>
          </w:tcPr>
          <w:p>
            <w:pPr>
              <w:pStyle w:val="TableParagraph"/>
              <w:spacing w:line="181" w:lineRule="exact" w:before="13"/>
              <w:ind w:left="100"/>
              <w:rPr>
                <w:sz w:val="16"/>
              </w:rPr>
            </w:pPr>
            <w:r>
              <w:rPr>
                <w:sz w:val="16"/>
              </w:rPr>
              <w:t>41% at 24m</w:t>
            </w:r>
          </w:p>
        </w:tc>
        <w:tc>
          <w:tcPr>
            <w:tcW w:w="1590" w:type="dxa"/>
            <w:tcBorders>
              <w:left w:val="single" w:sz="4" w:space="0" w:color="000000"/>
            </w:tcBorders>
          </w:tcPr>
          <w:p>
            <w:pPr>
              <w:pStyle w:val="TableParagraph"/>
              <w:spacing w:line="181" w:lineRule="exact" w:before="13"/>
              <w:ind w:left="105"/>
              <w:rPr>
                <w:sz w:val="16"/>
              </w:rPr>
            </w:pPr>
            <w:r>
              <w:rPr>
                <w:sz w:val="16"/>
              </w:rPr>
              <w:t>39% at 24m</w:t>
            </w:r>
          </w:p>
        </w:tc>
      </w:tr>
      <w:tr>
        <w:trPr>
          <w:trHeight w:val="211" w:hRule="atLeast"/>
        </w:trPr>
        <w:tc>
          <w:tcPr>
            <w:tcW w:w="1431" w:type="dxa"/>
            <w:tcBorders>
              <w:right w:val="single" w:sz="4" w:space="0" w:color="000000"/>
            </w:tcBorders>
          </w:tcPr>
          <w:p>
            <w:pPr>
              <w:pStyle w:val="TableParagraph"/>
              <w:spacing w:line="181" w:lineRule="exact" w:before="10"/>
              <w:ind w:left="110"/>
              <w:rPr>
                <w:sz w:val="16"/>
              </w:rPr>
            </w:pPr>
            <w:r>
              <w:rPr>
                <w:sz w:val="16"/>
              </w:rPr>
              <w:t>mOS</w:t>
            </w:r>
          </w:p>
        </w:tc>
        <w:tc>
          <w:tcPr>
            <w:tcW w:w="1589" w:type="dxa"/>
            <w:tcBorders>
              <w:left w:val="single" w:sz="4" w:space="0" w:color="000000"/>
              <w:right w:val="single" w:sz="4" w:space="0" w:color="000000"/>
            </w:tcBorders>
          </w:tcPr>
          <w:p>
            <w:pPr>
              <w:pStyle w:val="TableParagraph"/>
              <w:spacing w:line="181" w:lineRule="exact" w:before="10"/>
              <w:ind w:left="105"/>
              <w:rPr>
                <w:sz w:val="16"/>
              </w:rPr>
            </w:pPr>
            <w:r>
              <w:rPr>
                <w:sz w:val="16"/>
              </w:rPr>
              <w:t>25.8m</w:t>
            </w:r>
          </w:p>
        </w:tc>
        <w:tc>
          <w:tcPr>
            <w:tcW w:w="1638" w:type="dxa"/>
            <w:tcBorders>
              <w:left w:val="single" w:sz="4" w:space="0" w:color="000000"/>
              <w:right w:val="single" w:sz="4" w:space="0" w:color="000000"/>
            </w:tcBorders>
          </w:tcPr>
          <w:p>
            <w:pPr>
              <w:pStyle w:val="TableParagraph"/>
              <w:spacing w:line="181" w:lineRule="exact" w:before="10"/>
              <w:ind w:left="105"/>
              <w:rPr>
                <w:sz w:val="16"/>
              </w:rPr>
            </w:pPr>
            <w:r>
              <w:rPr>
                <w:sz w:val="16"/>
              </w:rPr>
              <w:t>11.1m</w:t>
            </w:r>
          </w:p>
        </w:tc>
        <w:tc>
          <w:tcPr>
            <w:tcW w:w="1589" w:type="dxa"/>
            <w:tcBorders>
              <w:left w:val="single" w:sz="4" w:space="0" w:color="000000"/>
              <w:right w:val="single" w:sz="4" w:space="0" w:color="000000"/>
            </w:tcBorders>
          </w:tcPr>
          <w:p>
            <w:pPr>
              <w:pStyle w:val="TableParagraph"/>
              <w:spacing w:line="181" w:lineRule="exact" w:before="10"/>
              <w:ind w:left="100"/>
              <w:rPr>
                <w:sz w:val="16"/>
              </w:rPr>
            </w:pPr>
            <w:r>
              <w:rPr>
                <w:sz w:val="16"/>
              </w:rPr>
              <w:t>27.3m</w:t>
            </w:r>
          </w:p>
        </w:tc>
        <w:tc>
          <w:tcPr>
            <w:tcW w:w="1590" w:type="dxa"/>
            <w:tcBorders>
              <w:left w:val="single" w:sz="4" w:space="0" w:color="000000"/>
            </w:tcBorders>
          </w:tcPr>
          <w:p>
            <w:pPr>
              <w:pStyle w:val="TableParagraph"/>
              <w:spacing w:line="181" w:lineRule="exact" w:before="10"/>
              <w:ind w:left="105"/>
              <w:rPr>
                <w:sz w:val="16"/>
              </w:rPr>
            </w:pPr>
            <w:r>
              <w:rPr>
                <w:sz w:val="16"/>
              </w:rPr>
              <w:t>NR</w:t>
            </w:r>
          </w:p>
        </w:tc>
      </w:tr>
      <w:tr>
        <w:trPr>
          <w:trHeight w:val="213" w:hRule="atLeast"/>
        </w:trPr>
        <w:tc>
          <w:tcPr>
            <w:tcW w:w="1431" w:type="dxa"/>
            <w:tcBorders>
              <w:bottom w:val="single" w:sz="4" w:space="0" w:color="000000"/>
              <w:right w:val="single" w:sz="4" w:space="0" w:color="000000"/>
            </w:tcBorders>
          </w:tcPr>
          <w:p>
            <w:pPr>
              <w:pStyle w:val="TableParagraph"/>
              <w:spacing w:line="183" w:lineRule="exact" w:before="10"/>
              <w:ind w:left="110"/>
              <w:rPr>
                <w:sz w:val="16"/>
              </w:rPr>
            </w:pPr>
            <w:r>
              <w:rPr>
                <w:sz w:val="16"/>
              </w:rPr>
              <w:t>OS rate</w:t>
            </w:r>
          </w:p>
        </w:tc>
        <w:tc>
          <w:tcPr>
            <w:tcW w:w="1589" w:type="dxa"/>
            <w:tcBorders>
              <w:left w:val="single" w:sz="4" w:space="0" w:color="000000"/>
              <w:bottom w:val="single" w:sz="4" w:space="0" w:color="000000"/>
              <w:right w:val="single" w:sz="4" w:space="0" w:color="000000"/>
            </w:tcBorders>
          </w:tcPr>
          <w:p>
            <w:pPr>
              <w:pStyle w:val="TableParagraph"/>
              <w:spacing w:line="183" w:lineRule="exact" w:before="10"/>
              <w:ind w:left="105"/>
              <w:rPr>
                <w:sz w:val="16"/>
              </w:rPr>
            </w:pPr>
            <w:r>
              <w:rPr>
                <w:sz w:val="16"/>
              </w:rPr>
              <w:t>50.5% at 24m</w:t>
            </w:r>
          </w:p>
        </w:tc>
        <w:tc>
          <w:tcPr>
            <w:tcW w:w="1638" w:type="dxa"/>
            <w:tcBorders>
              <w:left w:val="single" w:sz="4" w:space="0" w:color="000000"/>
              <w:bottom w:val="single" w:sz="4" w:space="0" w:color="000000"/>
              <w:right w:val="single" w:sz="4" w:space="0" w:color="000000"/>
            </w:tcBorders>
          </w:tcPr>
          <w:p>
            <w:pPr>
              <w:pStyle w:val="TableParagraph"/>
              <w:spacing w:line="183" w:lineRule="exact" w:before="10"/>
              <w:ind w:left="105"/>
              <w:rPr>
                <w:sz w:val="16"/>
              </w:rPr>
            </w:pPr>
            <w:r>
              <w:rPr>
                <w:sz w:val="16"/>
              </w:rPr>
              <w:t>45% at 24m</w:t>
            </w:r>
          </w:p>
        </w:tc>
        <w:tc>
          <w:tcPr>
            <w:tcW w:w="1589" w:type="dxa"/>
            <w:tcBorders>
              <w:left w:val="single" w:sz="4" w:space="0" w:color="000000"/>
              <w:bottom w:val="single" w:sz="4" w:space="0" w:color="000000"/>
              <w:right w:val="single" w:sz="4" w:space="0" w:color="000000"/>
            </w:tcBorders>
          </w:tcPr>
          <w:p>
            <w:pPr>
              <w:pStyle w:val="TableParagraph"/>
              <w:spacing w:line="183" w:lineRule="exact" w:before="10"/>
              <w:ind w:left="100"/>
              <w:rPr>
                <w:sz w:val="16"/>
              </w:rPr>
            </w:pPr>
            <w:r>
              <w:rPr>
                <w:sz w:val="16"/>
              </w:rPr>
              <w:t>51% at 24m</w:t>
            </w:r>
          </w:p>
        </w:tc>
        <w:tc>
          <w:tcPr>
            <w:tcW w:w="1590" w:type="dxa"/>
            <w:tcBorders>
              <w:left w:val="single" w:sz="4" w:space="0" w:color="000000"/>
              <w:bottom w:val="single" w:sz="4" w:space="0" w:color="000000"/>
            </w:tcBorders>
          </w:tcPr>
          <w:p>
            <w:pPr>
              <w:pStyle w:val="TableParagraph"/>
              <w:spacing w:line="183" w:lineRule="exact" w:before="10"/>
              <w:ind w:left="105"/>
              <w:rPr>
                <w:sz w:val="16"/>
              </w:rPr>
            </w:pPr>
            <w:r>
              <w:rPr>
                <w:sz w:val="16"/>
              </w:rPr>
              <w:t>69% at 24m</w:t>
            </w:r>
          </w:p>
        </w:tc>
      </w:tr>
      <w:tr>
        <w:trPr>
          <w:trHeight w:val="453" w:hRule="atLeast"/>
        </w:trPr>
        <w:tc>
          <w:tcPr>
            <w:tcW w:w="1431" w:type="dxa"/>
            <w:tcBorders>
              <w:top w:val="single" w:sz="4" w:space="0" w:color="000000"/>
              <w:right w:val="single" w:sz="4" w:space="0" w:color="000000"/>
            </w:tcBorders>
            <w:shd w:val="clear" w:color="auto" w:fill="F1F1F1"/>
          </w:tcPr>
          <w:p>
            <w:pPr>
              <w:pStyle w:val="TableParagraph"/>
              <w:spacing w:line="222" w:lineRule="exact"/>
              <w:ind w:left="110"/>
              <w:rPr>
                <w:rFonts w:ascii="PMingLiU" w:eastAsia="PMingLiU" w:hint="eastAsia"/>
                <w:sz w:val="16"/>
              </w:rPr>
            </w:pPr>
            <w:r>
              <w:rPr>
                <w:rFonts w:ascii="PMingLiU" w:eastAsia="PMingLiU" w:hint="eastAsia"/>
                <w:sz w:val="16"/>
              </w:rPr>
              <w:t>是否允许</w:t>
            </w:r>
          </w:p>
          <w:p>
            <w:pPr>
              <w:pStyle w:val="TableParagraph"/>
              <w:spacing w:line="204" w:lineRule="exact" w:before="7"/>
              <w:ind w:left="110"/>
              <w:rPr>
                <w:rFonts w:ascii="PMingLiU" w:eastAsia="PMingLiU" w:hint="eastAsia"/>
                <w:sz w:val="16"/>
              </w:rPr>
            </w:pPr>
            <w:r>
              <w:rPr>
                <w:sz w:val="16"/>
              </w:rPr>
              <w:t>outpatient </w:t>
            </w:r>
            <w:r>
              <w:rPr>
                <w:rFonts w:ascii="PMingLiU" w:eastAsia="PMingLiU" w:hint="eastAsia"/>
                <w:sz w:val="16"/>
              </w:rPr>
              <w:t>治疗</w:t>
            </w:r>
          </w:p>
        </w:tc>
        <w:tc>
          <w:tcPr>
            <w:tcW w:w="1589" w:type="dxa"/>
            <w:tcBorders>
              <w:top w:val="single" w:sz="4" w:space="0" w:color="000000"/>
              <w:left w:val="single" w:sz="4" w:space="0" w:color="000000"/>
              <w:right w:val="single" w:sz="4" w:space="0" w:color="000000"/>
            </w:tcBorders>
            <w:shd w:val="clear" w:color="auto" w:fill="F1F1F1"/>
          </w:tcPr>
          <w:p>
            <w:pPr>
              <w:pStyle w:val="TableParagraph"/>
              <w:spacing w:before="113"/>
              <w:ind w:left="105"/>
              <w:rPr>
                <w:rFonts w:ascii="PMingLiU" w:eastAsia="PMingLiU" w:hint="eastAsia"/>
                <w:sz w:val="16"/>
              </w:rPr>
            </w:pPr>
            <w:r>
              <w:rPr>
                <w:rFonts w:ascii="PMingLiU" w:eastAsia="PMingLiU" w:hint="eastAsia"/>
                <w:sz w:val="16"/>
              </w:rPr>
              <w:t>不允许</w:t>
            </w:r>
          </w:p>
        </w:tc>
        <w:tc>
          <w:tcPr>
            <w:tcW w:w="1638" w:type="dxa"/>
            <w:tcBorders>
              <w:top w:val="single" w:sz="4" w:space="0" w:color="000000"/>
              <w:left w:val="single" w:sz="4" w:space="0" w:color="000000"/>
              <w:right w:val="single" w:sz="4" w:space="0" w:color="000000"/>
            </w:tcBorders>
            <w:shd w:val="clear" w:color="auto" w:fill="F1F1F1"/>
          </w:tcPr>
          <w:p>
            <w:pPr>
              <w:pStyle w:val="TableParagraph"/>
              <w:spacing w:before="113"/>
              <w:ind w:left="105"/>
              <w:rPr>
                <w:rFonts w:ascii="PMingLiU" w:eastAsia="PMingLiU" w:hint="eastAsia"/>
                <w:sz w:val="16"/>
              </w:rPr>
            </w:pPr>
            <w:r>
              <w:rPr>
                <w:rFonts w:ascii="PMingLiU" w:eastAsia="PMingLiU" w:hint="eastAsia"/>
                <w:sz w:val="16"/>
              </w:rPr>
              <w:t>允许</w:t>
            </w:r>
          </w:p>
        </w:tc>
        <w:tc>
          <w:tcPr>
            <w:tcW w:w="1589" w:type="dxa"/>
            <w:tcBorders>
              <w:top w:val="single" w:sz="4" w:space="0" w:color="000000"/>
              <w:left w:val="single" w:sz="4" w:space="0" w:color="000000"/>
              <w:right w:val="single" w:sz="4" w:space="0" w:color="000000"/>
            </w:tcBorders>
            <w:shd w:val="clear" w:color="auto" w:fill="F1F1F1"/>
          </w:tcPr>
          <w:p>
            <w:pPr>
              <w:pStyle w:val="TableParagraph"/>
              <w:spacing w:before="113"/>
              <w:ind w:left="100"/>
              <w:rPr>
                <w:rFonts w:ascii="PMingLiU" w:eastAsia="PMingLiU" w:hint="eastAsia"/>
                <w:sz w:val="16"/>
              </w:rPr>
            </w:pPr>
            <w:r>
              <w:rPr>
                <w:rFonts w:ascii="PMingLiU" w:eastAsia="PMingLiU" w:hint="eastAsia"/>
                <w:sz w:val="16"/>
              </w:rPr>
              <w:t>允许</w:t>
            </w:r>
          </w:p>
        </w:tc>
        <w:tc>
          <w:tcPr>
            <w:tcW w:w="1590" w:type="dxa"/>
            <w:tcBorders>
              <w:top w:val="single" w:sz="4" w:space="0" w:color="000000"/>
              <w:left w:val="single" w:sz="4" w:space="0" w:color="000000"/>
            </w:tcBorders>
            <w:shd w:val="clear" w:color="auto" w:fill="F1F1F1"/>
          </w:tcPr>
          <w:p>
            <w:pPr>
              <w:pStyle w:val="TableParagraph"/>
              <w:spacing w:before="138"/>
              <w:ind w:left="105"/>
              <w:rPr>
                <w:sz w:val="16"/>
              </w:rPr>
            </w:pPr>
            <w:r>
              <w:rPr>
                <w:sz w:val="16"/>
              </w:rPr>
              <w:t>N/A</w:t>
            </w:r>
          </w:p>
        </w:tc>
      </w:tr>
      <w:tr>
        <w:trPr>
          <w:trHeight w:val="232" w:hRule="atLeast"/>
        </w:trPr>
        <w:tc>
          <w:tcPr>
            <w:tcW w:w="1431" w:type="dxa"/>
            <w:tcBorders>
              <w:right w:val="single" w:sz="4" w:space="0" w:color="000000"/>
            </w:tcBorders>
            <w:shd w:val="clear" w:color="auto" w:fill="F1F1F1"/>
          </w:tcPr>
          <w:p>
            <w:pPr>
              <w:pStyle w:val="TableParagraph"/>
              <w:spacing w:line="202" w:lineRule="exact" w:before="10"/>
              <w:ind w:left="110"/>
              <w:rPr>
                <w:sz w:val="16"/>
              </w:rPr>
            </w:pPr>
            <w:r>
              <w:rPr>
                <w:sz w:val="16"/>
              </w:rPr>
              <w:t>1~2 </w:t>
            </w:r>
            <w:r>
              <w:rPr>
                <w:rFonts w:ascii="PMingLiU" w:eastAsia="PMingLiU" w:hint="eastAsia"/>
                <w:sz w:val="16"/>
              </w:rPr>
              <w:t>级</w:t>
            </w:r>
            <w:r>
              <w:rPr>
                <w:sz w:val="16"/>
              </w:rPr>
              <w:t>CRS</w:t>
            </w:r>
          </w:p>
        </w:tc>
        <w:tc>
          <w:tcPr>
            <w:tcW w:w="1589" w:type="dxa"/>
            <w:tcBorders>
              <w:left w:val="single" w:sz="4" w:space="0" w:color="000000"/>
              <w:right w:val="single" w:sz="4" w:space="0" w:color="000000"/>
            </w:tcBorders>
            <w:shd w:val="clear" w:color="auto" w:fill="F1F1F1"/>
          </w:tcPr>
          <w:p>
            <w:pPr>
              <w:pStyle w:val="TableParagraph"/>
              <w:spacing w:line="178" w:lineRule="exact" w:before="35"/>
              <w:ind w:left="105"/>
              <w:rPr>
                <w:sz w:val="16"/>
              </w:rPr>
            </w:pPr>
            <w:r>
              <w:rPr>
                <w:sz w:val="16"/>
              </w:rPr>
              <w:t>81%</w:t>
            </w:r>
          </w:p>
        </w:tc>
        <w:tc>
          <w:tcPr>
            <w:tcW w:w="1638" w:type="dxa"/>
            <w:tcBorders>
              <w:left w:val="single" w:sz="4" w:space="0" w:color="000000"/>
              <w:right w:val="single" w:sz="4" w:space="0" w:color="000000"/>
            </w:tcBorders>
            <w:shd w:val="clear" w:color="auto" w:fill="F1F1F1"/>
          </w:tcPr>
          <w:p>
            <w:pPr>
              <w:pStyle w:val="TableParagraph"/>
              <w:spacing w:line="178" w:lineRule="exact" w:before="35"/>
              <w:ind w:left="105"/>
              <w:rPr>
                <w:sz w:val="16"/>
              </w:rPr>
            </w:pPr>
            <w:r>
              <w:rPr>
                <w:sz w:val="16"/>
              </w:rPr>
              <w:t>40%</w:t>
            </w:r>
          </w:p>
        </w:tc>
        <w:tc>
          <w:tcPr>
            <w:tcW w:w="1589" w:type="dxa"/>
            <w:tcBorders>
              <w:left w:val="single" w:sz="4" w:space="0" w:color="000000"/>
              <w:right w:val="single" w:sz="4" w:space="0" w:color="000000"/>
            </w:tcBorders>
            <w:shd w:val="clear" w:color="auto" w:fill="F1F1F1"/>
          </w:tcPr>
          <w:p>
            <w:pPr>
              <w:pStyle w:val="TableParagraph"/>
              <w:spacing w:line="178" w:lineRule="exact" w:before="35"/>
              <w:ind w:left="100"/>
              <w:rPr>
                <w:sz w:val="16"/>
              </w:rPr>
            </w:pPr>
            <w:r>
              <w:rPr>
                <w:sz w:val="16"/>
              </w:rPr>
              <w:t>40%</w:t>
            </w:r>
          </w:p>
        </w:tc>
        <w:tc>
          <w:tcPr>
            <w:tcW w:w="1590" w:type="dxa"/>
            <w:tcBorders>
              <w:left w:val="single" w:sz="4" w:space="0" w:color="000000"/>
            </w:tcBorders>
            <w:shd w:val="clear" w:color="auto" w:fill="F1F1F1"/>
          </w:tcPr>
          <w:p>
            <w:pPr>
              <w:pStyle w:val="TableParagraph"/>
              <w:spacing w:line="178" w:lineRule="exact" w:before="35"/>
              <w:ind w:left="105"/>
              <w:rPr>
                <w:sz w:val="16"/>
              </w:rPr>
            </w:pPr>
            <w:r>
              <w:rPr>
                <w:sz w:val="16"/>
              </w:rPr>
              <w:t>42%</w:t>
            </w:r>
          </w:p>
        </w:tc>
      </w:tr>
      <w:tr>
        <w:trPr>
          <w:trHeight w:val="234" w:hRule="atLeast"/>
        </w:trPr>
        <w:tc>
          <w:tcPr>
            <w:tcW w:w="1431" w:type="dxa"/>
            <w:tcBorders>
              <w:right w:val="single" w:sz="4" w:space="0" w:color="000000"/>
            </w:tcBorders>
            <w:shd w:val="clear" w:color="auto" w:fill="F1F1F1"/>
          </w:tcPr>
          <w:p>
            <w:pPr>
              <w:pStyle w:val="TableParagraph"/>
              <w:spacing w:line="206" w:lineRule="exact" w:before="8"/>
              <w:ind w:left="110"/>
              <w:rPr>
                <w:sz w:val="16"/>
              </w:rPr>
            </w:pPr>
            <w:r>
              <w:rPr>
                <w:sz w:val="16"/>
              </w:rPr>
              <w:t>3~4 </w:t>
            </w:r>
            <w:r>
              <w:rPr>
                <w:rFonts w:ascii="PMingLiU" w:eastAsia="PMingLiU" w:hint="eastAsia"/>
                <w:sz w:val="16"/>
              </w:rPr>
              <w:t>级</w:t>
            </w:r>
            <w:r>
              <w:rPr>
                <w:sz w:val="16"/>
              </w:rPr>
              <w:t>CRS</w:t>
            </w:r>
          </w:p>
        </w:tc>
        <w:tc>
          <w:tcPr>
            <w:tcW w:w="1589" w:type="dxa"/>
            <w:tcBorders>
              <w:left w:val="single" w:sz="4" w:space="0" w:color="000000"/>
              <w:right w:val="single" w:sz="4" w:space="0" w:color="000000"/>
            </w:tcBorders>
            <w:shd w:val="clear" w:color="auto" w:fill="F1F1F1"/>
          </w:tcPr>
          <w:p>
            <w:pPr>
              <w:pStyle w:val="TableParagraph"/>
              <w:spacing w:line="177" w:lineRule="exact" w:before="37"/>
              <w:ind w:left="105"/>
              <w:rPr>
                <w:sz w:val="16"/>
              </w:rPr>
            </w:pPr>
            <w:r>
              <w:rPr>
                <w:sz w:val="16"/>
              </w:rPr>
              <w:t>11%</w:t>
            </w:r>
          </w:p>
        </w:tc>
        <w:tc>
          <w:tcPr>
            <w:tcW w:w="1638" w:type="dxa"/>
            <w:tcBorders>
              <w:left w:val="single" w:sz="4" w:space="0" w:color="000000"/>
              <w:right w:val="single" w:sz="4" w:space="0" w:color="000000"/>
            </w:tcBorders>
            <w:shd w:val="clear" w:color="auto" w:fill="F1F1F1"/>
          </w:tcPr>
          <w:p>
            <w:pPr>
              <w:pStyle w:val="TableParagraph"/>
              <w:spacing w:line="177" w:lineRule="exact" w:before="37"/>
              <w:ind w:left="105"/>
              <w:rPr>
                <w:sz w:val="16"/>
              </w:rPr>
            </w:pPr>
            <w:r>
              <w:rPr>
                <w:sz w:val="16"/>
              </w:rPr>
              <w:t>17%</w:t>
            </w:r>
          </w:p>
        </w:tc>
        <w:tc>
          <w:tcPr>
            <w:tcW w:w="1589" w:type="dxa"/>
            <w:tcBorders>
              <w:left w:val="single" w:sz="4" w:space="0" w:color="000000"/>
              <w:right w:val="single" w:sz="4" w:space="0" w:color="000000"/>
            </w:tcBorders>
            <w:shd w:val="clear" w:color="auto" w:fill="F1F1F1"/>
          </w:tcPr>
          <w:p>
            <w:pPr>
              <w:pStyle w:val="TableParagraph"/>
              <w:spacing w:line="177" w:lineRule="exact" w:before="37"/>
              <w:ind w:left="100"/>
              <w:rPr>
                <w:sz w:val="16"/>
              </w:rPr>
            </w:pPr>
            <w:r>
              <w:rPr>
                <w:sz w:val="16"/>
              </w:rPr>
              <w:t>2%</w:t>
            </w:r>
          </w:p>
        </w:tc>
        <w:tc>
          <w:tcPr>
            <w:tcW w:w="1590" w:type="dxa"/>
            <w:tcBorders>
              <w:left w:val="single" w:sz="4" w:space="0" w:color="000000"/>
            </w:tcBorders>
            <w:shd w:val="clear" w:color="auto" w:fill="F1F1F1"/>
          </w:tcPr>
          <w:p>
            <w:pPr>
              <w:pStyle w:val="TableParagraph"/>
              <w:spacing w:line="177" w:lineRule="exact" w:before="37"/>
              <w:ind w:left="105"/>
              <w:rPr>
                <w:sz w:val="16"/>
              </w:rPr>
            </w:pPr>
            <w:r>
              <w:rPr>
                <w:sz w:val="16"/>
              </w:rPr>
              <w:t>5%</w:t>
            </w:r>
          </w:p>
        </w:tc>
      </w:tr>
      <w:tr>
        <w:trPr>
          <w:trHeight w:val="233" w:hRule="atLeast"/>
        </w:trPr>
        <w:tc>
          <w:tcPr>
            <w:tcW w:w="1431" w:type="dxa"/>
            <w:tcBorders>
              <w:right w:val="single" w:sz="4" w:space="0" w:color="000000"/>
            </w:tcBorders>
            <w:shd w:val="clear" w:color="auto" w:fill="F1F1F1"/>
          </w:tcPr>
          <w:p>
            <w:pPr>
              <w:pStyle w:val="TableParagraph"/>
              <w:spacing w:line="204" w:lineRule="exact" w:before="9"/>
              <w:ind w:left="110"/>
              <w:rPr>
                <w:sz w:val="16"/>
              </w:rPr>
            </w:pPr>
            <w:r>
              <w:rPr>
                <w:sz w:val="16"/>
              </w:rPr>
              <w:t>1~2 </w:t>
            </w:r>
            <w:r>
              <w:rPr>
                <w:rFonts w:ascii="PMingLiU" w:eastAsia="PMingLiU" w:hint="eastAsia"/>
                <w:sz w:val="16"/>
              </w:rPr>
              <w:t>级</w:t>
            </w:r>
            <w:r>
              <w:rPr>
                <w:sz w:val="16"/>
              </w:rPr>
              <w:t>ICANS</w:t>
            </w:r>
          </w:p>
        </w:tc>
        <w:tc>
          <w:tcPr>
            <w:tcW w:w="1589" w:type="dxa"/>
            <w:tcBorders>
              <w:left w:val="single" w:sz="4" w:space="0" w:color="000000"/>
              <w:right w:val="single" w:sz="4" w:space="0" w:color="000000"/>
            </w:tcBorders>
            <w:shd w:val="clear" w:color="auto" w:fill="F1F1F1"/>
          </w:tcPr>
          <w:p>
            <w:pPr>
              <w:pStyle w:val="TableParagraph"/>
              <w:spacing w:line="180" w:lineRule="exact" w:before="33"/>
              <w:ind w:left="105"/>
              <w:rPr>
                <w:sz w:val="16"/>
              </w:rPr>
            </w:pPr>
            <w:r>
              <w:rPr>
                <w:sz w:val="16"/>
              </w:rPr>
              <w:t>34%</w:t>
            </w:r>
          </w:p>
        </w:tc>
        <w:tc>
          <w:tcPr>
            <w:tcW w:w="1638" w:type="dxa"/>
            <w:tcBorders>
              <w:left w:val="single" w:sz="4" w:space="0" w:color="000000"/>
              <w:right w:val="single" w:sz="4" w:space="0" w:color="000000"/>
            </w:tcBorders>
            <w:shd w:val="clear" w:color="auto" w:fill="F1F1F1"/>
          </w:tcPr>
          <w:p>
            <w:pPr>
              <w:pStyle w:val="TableParagraph"/>
              <w:spacing w:line="180" w:lineRule="exact" w:before="33"/>
              <w:ind w:left="105"/>
              <w:rPr>
                <w:sz w:val="16"/>
              </w:rPr>
            </w:pPr>
            <w:r>
              <w:rPr>
                <w:sz w:val="16"/>
              </w:rPr>
              <w:t>9%</w:t>
            </w:r>
          </w:p>
        </w:tc>
        <w:tc>
          <w:tcPr>
            <w:tcW w:w="1589" w:type="dxa"/>
            <w:tcBorders>
              <w:left w:val="single" w:sz="4" w:space="0" w:color="000000"/>
              <w:right w:val="single" w:sz="4" w:space="0" w:color="000000"/>
            </w:tcBorders>
            <w:shd w:val="clear" w:color="auto" w:fill="F1F1F1"/>
          </w:tcPr>
          <w:p>
            <w:pPr>
              <w:pStyle w:val="TableParagraph"/>
              <w:spacing w:line="180" w:lineRule="exact" w:before="33"/>
              <w:ind w:left="100"/>
              <w:rPr>
                <w:sz w:val="16"/>
              </w:rPr>
            </w:pPr>
            <w:r>
              <w:rPr>
                <w:sz w:val="16"/>
              </w:rPr>
              <w:t>20%</w:t>
            </w:r>
          </w:p>
        </w:tc>
        <w:tc>
          <w:tcPr>
            <w:tcW w:w="1590" w:type="dxa"/>
            <w:tcBorders>
              <w:left w:val="single" w:sz="4" w:space="0" w:color="000000"/>
            </w:tcBorders>
            <w:shd w:val="clear" w:color="auto" w:fill="F1F1F1"/>
          </w:tcPr>
          <w:p>
            <w:pPr>
              <w:pStyle w:val="TableParagraph"/>
              <w:spacing w:line="180" w:lineRule="exact" w:before="33"/>
              <w:ind w:left="105"/>
              <w:rPr>
                <w:sz w:val="16"/>
              </w:rPr>
            </w:pPr>
            <w:r>
              <w:rPr>
                <w:sz w:val="16"/>
              </w:rPr>
              <w:t>17%</w:t>
            </w:r>
          </w:p>
        </w:tc>
      </w:tr>
      <w:tr>
        <w:trPr>
          <w:trHeight w:val="232" w:hRule="atLeast"/>
        </w:trPr>
        <w:tc>
          <w:tcPr>
            <w:tcW w:w="1431" w:type="dxa"/>
            <w:tcBorders>
              <w:right w:val="single" w:sz="4" w:space="0" w:color="000000"/>
            </w:tcBorders>
            <w:shd w:val="clear" w:color="auto" w:fill="F1F1F1"/>
          </w:tcPr>
          <w:p>
            <w:pPr>
              <w:pStyle w:val="TableParagraph"/>
              <w:spacing w:line="202" w:lineRule="exact" w:before="10"/>
              <w:ind w:left="110"/>
              <w:rPr>
                <w:sz w:val="16"/>
              </w:rPr>
            </w:pPr>
            <w:r>
              <w:rPr>
                <w:sz w:val="16"/>
              </w:rPr>
              <w:t>3~4 </w:t>
            </w:r>
            <w:r>
              <w:rPr>
                <w:rFonts w:ascii="PMingLiU" w:eastAsia="PMingLiU" w:hint="eastAsia"/>
                <w:sz w:val="16"/>
              </w:rPr>
              <w:t>级</w:t>
            </w:r>
            <w:r>
              <w:rPr>
                <w:sz w:val="16"/>
              </w:rPr>
              <w:t>ICANS</w:t>
            </w:r>
          </w:p>
        </w:tc>
        <w:tc>
          <w:tcPr>
            <w:tcW w:w="1589" w:type="dxa"/>
            <w:tcBorders>
              <w:left w:val="single" w:sz="4" w:space="0" w:color="000000"/>
              <w:right w:val="single" w:sz="4" w:space="0" w:color="000000"/>
            </w:tcBorders>
            <w:shd w:val="clear" w:color="auto" w:fill="F1F1F1"/>
          </w:tcPr>
          <w:p>
            <w:pPr>
              <w:pStyle w:val="TableParagraph"/>
              <w:spacing w:line="178" w:lineRule="exact" w:before="35"/>
              <w:ind w:left="105"/>
              <w:rPr>
                <w:sz w:val="16"/>
              </w:rPr>
            </w:pPr>
            <w:r>
              <w:rPr>
                <w:sz w:val="16"/>
              </w:rPr>
              <w:t>30%</w:t>
            </w:r>
          </w:p>
        </w:tc>
        <w:tc>
          <w:tcPr>
            <w:tcW w:w="1638" w:type="dxa"/>
            <w:tcBorders>
              <w:left w:val="single" w:sz="4" w:space="0" w:color="000000"/>
              <w:right w:val="single" w:sz="4" w:space="0" w:color="000000"/>
            </w:tcBorders>
            <w:shd w:val="clear" w:color="auto" w:fill="F1F1F1"/>
          </w:tcPr>
          <w:p>
            <w:pPr>
              <w:pStyle w:val="TableParagraph"/>
              <w:spacing w:line="178" w:lineRule="exact" w:before="35"/>
              <w:ind w:left="105"/>
              <w:rPr>
                <w:sz w:val="16"/>
              </w:rPr>
            </w:pPr>
            <w:r>
              <w:rPr>
                <w:sz w:val="16"/>
              </w:rPr>
              <w:t>11%</w:t>
            </w:r>
          </w:p>
        </w:tc>
        <w:tc>
          <w:tcPr>
            <w:tcW w:w="1589" w:type="dxa"/>
            <w:tcBorders>
              <w:left w:val="single" w:sz="4" w:space="0" w:color="000000"/>
              <w:right w:val="single" w:sz="4" w:space="0" w:color="000000"/>
            </w:tcBorders>
            <w:shd w:val="clear" w:color="auto" w:fill="F1F1F1"/>
          </w:tcPr>
          <w:p>
            <w:pPr>
              <w:pStyle w:val="TableParagraph"/>
              <w:spacing w:line="178" w:lineRule="exact" w:before="35"/>
              <w:ind w:left="100"/>
              <w:rPr>
                <w:sz w:val="16"/>
              </w:rPr>
            </w:pPr>
            <w:r>
              <w:rPr>
                <w:sz w:val="16"/>
              </w:rPr>
              <w:t>10%</w:t>
            </w:r>
          </w:p>
        </w:tc>
        <w:tc>
          <w:tcPr>
            <w:tcW w:w="1590" w:type="dxa"/>
            <w:tcBorders>
              <w:left w:val="single" w:sz="4" w:space="0" w:color="000000"/>
            </w:tcBorders>
            <w:shd w:val="clear" w:color="auto" w:fill="F1F1F1"/>
          </w:tcPr>
          <w:p>
            <w:pPr>
              <w:pStyle w:val="TableParagraph"/>
              <w:spacing w:line="178" w:lineRule="exact" w:before="35"/>
              <w:ind w:left="105"/>
              <w:rPr>
                <w:sz w:val="16"/>
              </w:rPr>
            </w:pPr>
            <w:r>
              <w:rPr>
                <w:sz w:val="16"/>
              </w:rPr>
              <w:t>3%</w:t>
            </w:r>
          </w:p>
        </w:tc>
      </w:tr>
      <w:tr>
        <w:trPr>
          <w:trHeight w:val="259" w:hRule="atLeast"/>
        </w:trPr>
        <w:tc>
          <w:tcPr>
            <w:tcW w:w="1431" w:type="dxa"/>
            <w:tcBorders>
              <w:right w:val="single" w:sz="4" w:space="0" w:color="000000"/>
            </w:tcBorders>
            <w:shd w:val="clear" w:color="auto" w:fill="F1F1F1"/>
          </w:tcPr>
          <w:p>
            <w:pPr>
              <w:pStyle w:val="TableParagraph"/>
              <w:spacing w:before="8"/>
              <w:ind w:left="110"/>
              <w:rPr>
                <w:rFonts w:ascii="PMingLiU" w:eastAsia="PMingLiU" w:hint="eastAsia"/>
                <w:sz w:val="16"/>
              </w:rPr>
            </w:pPr>
            <w:r>
              <w:rPr>
                <w:sz w:val="16"/>
              </w:rPr>
              <w:t>Tocilizumab </w:t>
            </w:r>
            <w:r>
              <w:rPr>
                <w:rFonts w:ascii="PMingLiU" w:eastAsia="PMingLiU" w:hint="eastAsia"/>
                <w:sz w:val="16"/>
              </w:rPr>
              <w:t>输注</w:t>
            </w:r>
          </w:p>
        </w:tc>
        <w:tc>
          <w:tcPr>
            <w:tcW w:w="1589" w:type="dxa"/>
            <w:tcBorders>
              <w:left w:val="single" w:sz="4" w:space="0" w:color="000000"/>
              <w:right w:val="single" w:sz="4" w:space="0" w:color="000000"/>
            </w:tcBorders>
            <w:shd w:val="clear" w:color="auto" w:fill="F1F1F1"/>
          </w:tcPr>
          <w:p>
            <w:pPr>
              <w:pStyle w:val="TableParagraph"/>
              <w:spacing w:before="32"/>
              <w:ind w:left="105"/>
              <w:rPr>
                <w:sz w:val="16"/>
              </w:rPr>
            </w:pPr>
            <w:r>
              <w:rPr>
                <w:sz w:val="16"/>
              </w:rPr>
              <w:t>43%</w:t>
            </w:r>
          </w:p>
        </w:tc>
        <w:tc>
          <w:tcPr>
            <w:tcW w:w="1638" w:type="dxa"/>
            <w:tcBorders>
              <w:left w:val="single" w:sz="4" w:space="0" w:color="000000"/>
              <w:right w:val="single" w:sz="4" w:space="0" w:color="000000"/>
            </w:tcBorders>
            <w:shd w:val="clear" w:color="auto" w:fill="F1F1F1"/>
          </w:tcPr>
          <w:p>
            <w:pPr>
              <w:pStyle w:val="TableParagraph"/>
              <w:spacing w:before="32"/>
              <w:ind w:left="105"/>
              <w:rPr>
                <w:sz w:val="16"/>
              </w:rPr>
            </w:pPr>
            <w:r>
              <w:rPr>
                <w:sz w:val="16"/>
              </w:rPr>
              <w:t>14%</w:t>
            </w:r>
          </w:p>
        </w:tc>
        <w:tc>
          <w:tcPr>
            <w:tcW w:w="1589" w:type="dxa"/>
            <w:tcBorders>
              <w:left w:val="single" w:sz="4" w:space="0" w:color="000000"/>
              <w:right w:val="single" w:sz="4" w:space="0" w:color="000000"/>
            </w:tcBorders>
            <w:shd w:val="clear" w:color="auto" w:fill="F1F1F1"/>
          </w:tcPr>
          <w:p>
            <w:pPr>
              <w:pStyle w:val="TableParagraph"/>
              <w:spacing w:before="32"/>
              <w:ind w:left="100"/>
              <w:rPr>
                <w:sz w:val="16"/>
              </w:rPr>
            </w:pPr>
            <w:r>
              <w:rPr>
                <w:sz w:val="16"/>
              </w:rPr>
              <w:t>20%</w:t>
            </w:r>
          </w:p>
        </w:tc>
        <w:tc>
          <w:tcPr>
            <w:tcW w:w="1590" w:type="dxa"/>
            <w:tcBorders>
              <w:left w:val="single" w:sz="4" w:space="0" w:color="000000"/>
            </w:tcBorders>
            <w:shd w:val="clear" w:color="auto" w:fill="F1F1F1"/>
          </w:tcPr>
          <w:p>
            <w:pPr>
              <w:pStyle w:val="TableParagraph"/>
              <w:spacing w:before="32"/>
              <w:ind w:left="105"/>
              <w:rPr>
                <w:sz w:val="16"/>
              </w:rPr>
            </w:pPr>
            <w:r>
              <w:rPr>
                <w:sz w:val="16"/>
              </w:rPr>
              <w:t>27%</w:t>
            </w:r>
          </w:p>
        </w:tc>
      </w:tr>
    </w:tbl>
    <w:p>
      <w:pPr>
        <w:pStyle w:val="BodyText"/>
        <w:spacing w:line="28" w:lineRule="exact"/>
        <w:ind w:left="181"/>
        <w:rPr>
          <w:rFonts w:ascii="Microsoft JhengHei UI"/>
          <w:sz w:val="2"/>
        </w:rPr>
      </w:pPr>
      <w:r>
        <w:rPr>
          <w:rFonts w:ascii="Microsoft JhengHei UI"/>
          <w:position w:val="0"/>
          <w:sz w:val="2"/>
        </w:rPr>
        <w:pict>
          <v:group style="width:400.05pt;height:1.45pt;mso-position-horizontal-relative:char;mso-position-vertical-relative:line" coordorigin="0,0" coordsize="8001,29">
            <v:rect style="position:absolute;left:0;top:0;width:8001;height:29" filled="true" fillcolor="#000000" stroked="false">
              <v:fill type="solid"/>
            </v:rect>
          </v:group>
        </w:pict>
      </w:r>
      <w:r>
        <w:rPr>
          <w:rFonts w:ascii="Microsoft JhengHei UI"/>
          <w:position w:val="0"/>
          <w:sz w:val="2"/>
        </w:rPr>
      </w:r>
    </w:p>
    <w:p>
      <w:pPr>
        <w:spacing w:before="4"/>
        <w:ind w:left="210" w:right="0" w:firstLine="0"/>
        <w:jc w:val="both"/>
        <w:rPr>
          <w:sz w:val="16"/>
        </w:rPr>
      </w:pPr>
      <w:r>
        <w:rPr>
          <w:sz w:val="16"/>
        </w:rPr>
        <w:t>资料来源</w:t>
      </w:r>
      <w:r>
        <w:rPr>
          <w:rFonts w:ascii="Arial" w:eastAsia="Arial"/>
          <w:sz w:val="16"/>
        </w:rPr>
        <w:t>: FDA, Pubmed</w:t>
      </w:r>
      <w:r>
        <w:rPr>
          <w:sz w:val="16"/>
        </w:rPr>
        <w:t>，</w:t>
      </w:r>
      <w:r>
        <w:rPr>
          <w:rFonts w:ascii="Arial" w:eastAsia="Arial"/>
          <w:sz w:val="16"/>
        </w:rPr>
        <w:t>American journal of hematology, </w:t>
      </w:r>
      <w:r>
        <w:rPr>
          <w:sz w:val="16"/>
        </w:rPr>
        <w:t>招银国际证券</w:t>
      </w:r>
    </w:p>
    <w:p>
      <w:pPr>
        <w:pStyle w:val="BodyText"/>
        <w:spacing w:before="6"/>
        <w:ind w:left="0"/>
        <w:rPr>
          <w:sz w:val="21"/>
        </w:rPr>
      </w:pPr>
    </w:p>
    <w:p>
      <w:pPr>
        <w:pStyle w:val="Heading3"/>
        <w:spacing w:before="45"/>
        <w:jc w:val="left"/>
      </w:pPr>
      <w:r>
        <w:rPr>
          <w:rFonts w:ascii="Arial" w:eastAsia="Arial"/>
        </w:rPr>
        <w:t>Yescarta </w:t>
      </w:r>
      <w:r>
        <w:rPr/>
        <w:t>的五年随访数据显示长期获益，具备治愈潜力</w:t>
      </w:r>
    </w:p>
    <w:p>
      <w:pPr>
        <w:pStyle w:val="BodyText"/>
        <w:spacing w:before="150"/>
      </w:pPr>
      <w:r>
        <w:rPr>
          <w:rFonts w:ascii="Arial" w:eastAsia="Arial"/>
        </w:rPr>
        <w:t>Gilead/</w:t>
      </w:r>
      <w:r>
        <w:rPr>
          <w:rFonts w:ascii="Arial" w:eastAsia="Arial"/>
          <w:spacing w:val="33"/>
        </w:rPr>
        <w:t> </w:t>
      </w:r>
      <w:r>
        <w:rPr>
          <w:rFonts w:ascii="Arial" w:eastAsia="Arial"/>
        </w:rPr>
        <w:t>Norvatis/</w:t>
      </w:r>
      <w:r>
        <w:rPr>
          <w:rFonts w:ascii="Arial" w:eastAsia="Arial"/>
          <w:spacing w:val="38"/>
        </w:rPr>
        <w:t> </w:t>
      </w:r>
      <w:r>
        <w:rPr>
          <w:rFonts w:ascii="Arial" w:eastAsia="Arial"/>
        </w:rPr>
        <w:t>BMS</w:t>
      </w:r>
      <w:r>
        <w:rPr>
          <w:rFonts w:ascii="Arial" w:eastAsia="Arial"/>
          <w:spacing w:val="38"/>
        </w:rPr>
        <w:t> </w:t>
      </w:r>
      <w:r>
        <w:rPr>
          <w:spacing w:val="-3"/>
        </w:rPr>
        <w:t>均对其注册临床中使用  </w:t>
      </w:r>
      <w:r>
        <w:rPr>
          <w:rFonts w:ascii="Arial" w:eastAsia="Arial"/>
        </w:rPr>
        <w:t>CAR-T</w:t>
      </w:r>
      <w:r>
        <w:rPr>
          <w:rFonts w:ascii="Arial" w:eastAsia="Arial"/>
          <w:spacing w:val="38"/>
        </w:rPr>
        <w:t> </w:t>
      </w:r>
      <w:r>
        <w:rPr>
          <w:spacing w:val="-1"/>
        </w:rPr>
        <w:t>疗法的患者进行了长期随访。目前</w:t>
      </w:r>
    </w:p>
    <w:p>
      <w:pPr>
        <w:pStyle w:val="BodyText"/>
        <w:spacing w:before="56"/>
      </w:pPr>
      <w:r>
        <w:rPr>
          <w:rFonts w:ascii="Arial" w:eastAsia="Arial"/>
        </w:rPr>
        <w:t>Yescarta</w:t>
      </w:r>
      <w:r>
        <w:rPr>
          <w:rFonts w:ascii="Arial" w:eastAsia="Arial"/>
          <w:spacing w:val="11"/>
        </w:rPr>
        <w:t> </w:t>
      </w:r>
      <w:r>
        <w:rPr>
          <w:spacing w:val="11"/>
        </w:rPr>
        <w:t>和 </w:t>
      </w:r>
      <w:r>
        <w:rPr>
          <w:rFonts w:ascii="Arial" w:eastAsia="Arial"/>
        </w:rPr>
        <w:t>Kymriah</w:t>
      </w:r>
      <w:r>
        <w:rPr>
          <w:rFonts w:ascii="Arial" w:eastAsia="Arial"/>
          <w:spacing w:val="11"/>
        </w:rPr>
        <w:t> </w:t>
      </w:r>
      <w:r>
        <w:rPr>
          <w:spacing w:val="-5"/>
        </w:rPr>
        <w:t>已经获得了五年随访的结果，</w:t>
      </w:r>
      <w:r>
        <w:rPr>
          <w:rFonts w:ascii="Arial" w:eastAsia="Arial"/>
        </w:rPr>
        <w:t>Breyanzi</w:t>
      </w:r>
      <w:r>
        <w:rPr>
          <w:rFonts w:ascii="Arial" w:eastAsia="Arial"/>
          <w:spacing w:val="15"/>
        </w:rPr>
        <w:t> </w:t>
      </w:r>
      <w:r>
        <w:rPr>
          <w:spacing w:val="-1"/>
        </w:rPr>
        <w:t>也已经获得了 </w:t>
      </w:r>
      <w:r>
        <w:rPr>
          <w:rFonts w:ascii="Arial" w:eastAsia="Arial"/>
        </w:rPr>
        <w:t>mOS</w:t>
      </w:r>
      <w:r>
        <w:rPr>
          <w:rFonts w:ascii="Arial" w:eastAsia="Arial"/>
          <w:spacing w:val="8"/>
        </w:rPr>
        <w:t> </w:t>
      </w:r>
      <w:r>
        <w:rPr>
          <w:spacing w:val="-2"/>
        </w:rPr>
        <w:t>数据。几</w:t>
      </w:r>
    </w:p>
    <w:p>
      <w:pPr>
        <w:spacing w:after="0"/>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15"/>
        <w:jc w:val="both"/>
      </w:pPr>
      <w:r>
        <w:rPr/>
        <w:t>项临床研究均提示，靶向 </w:t>
      </w:r>
      <w:r>
        <w:rPr>
          <w:rFonts w:ascii="Arial" w:eastAsia="Arial"/>
        </w:rPr>
        <w:t>CD19 CAR-T </w:t>
      </w:r>
      <w:r>
        <w:rPr/>
        <w:t>可能治愈 </w:t>
      </w:r>
      <w:r>
        <w:rPr>
          <w:rFonts w:ascii="Arial" w:eastAsia="Arial"/>
        </w:rPr>
        <w:t>30%~40%</w:t>
      </w:r>
      <w:r>
        <w:rPr/>
        <w:t>的 </w:t>
      </w:r>
      <w:r>
        <w:rPr>
          <w:rFonts w:ascii="Arial" w:eastAsia="Arial"/>
        </w:rPr>
        <w:t>r/r LBCL </w:t>
      </w:r>
      <w:r>
        <w:rPr/>
        <w:t>患者。此外，从长期获益的角度，</w:t>
      </w:r>
      <w:r>
        <w:rPr>
          <w:rFonts w:ascii="Arial" w:eastAsia="Arial"/>
        </w:rPr>
        <w:t>Yescarta </w:t>
      </w:r>
      <w:r>
        <w:rPr/>
        <w:t>和 </w:t>
      </w:r>
      <w:r>
        <w:rPr>
          <w:rFonts w:ascii="Arial" w:eastAsia="Arial"/>
        </w:rPr>
        <w:t>Breyanzi </w:t>
      </w:r>
      <w:r>
        <w:rPr/>
        <w:t>相比 </w:t>
      </w:r>
      <w:r>
        <w:rPr>
          <w:rFonts w:ascii="Arial" w:eastAsia="Arial"/>
        </w:rPr>
        <w:t>Kymriah </w:t>
      </w:r>
      <w:r>
        <w:rPr/>
        <w:t>存在优势。</w:t>
      </w:r>
    </w:p>
    <w:p>
      <w:pPr>
        <w:pStyle w:val="BodyText"/>
        <w:spacing w:line="285" w:lineRule="auto" w:before="122"/>
        <w:ind w:right="2812"/>
        <w:jc w:val="both"/>
      </w:pPr>
      <w:r>
        <w:rPr>
          <w:rFonts w:ascii="Arial" w:eastAsia="Arial"/>
        </w:rPr>
        <w:t>2021</w:t>
      </w:r>
      <w:r>
        <w:rPr>
          <w:rFonts w:ascii="Arial" w:eastAsia="Arial"/>
          <w:spacing w:val="-8"/>
        </w:rPr>
        <w:t> </w:t>
      </w:r>
      <w:r>
        <w:rPr>
          <w:spacing w:val="1"/>
        </w:rPr>
        <w:t>年 </w:t>
      </w:r>
      <w:r>
        <w:rPr>
          <w:rFonts w:ascii="Arial" w:eastAsia="Arial"/>
        </w:rPr>
        <w:t>12</w:t>
      </w:r>
      <w:r>
        <w:rPr>
          <w:rFonts w:ascii="Arial" w:eastAsia="Arial"/>
          <w:spacing w:val="-7"/>
        </w:rPr>
        <w:t> </w:t>
      </w:r>
      <w:r>
        <w:rPr/>
        <w:t>月，</w:t>
      </w:r>
      <w:r>
        <w:rPr>
          <w:rFonts w:ascii="Arial" w:eastAsia="Arial"/>
        </w:rPr>
        <w:t>Gilead</w:t>
      </w:r>
      <w:r>
        <w:rPr>
          <w:rFonts w:ascii="Arial" w:eastAsia="Arial"/>
          <w:spacing w:val="-12"/>
        </w:rPr>
        <w:t> </w:t>
      </w:r>
      <w:r>
        <w:rPr>
          <w:spacing w:val="2"/>
        </w:rPr>
        <w:t>在 </w:t>
      </w:r>
      <w:r>
        <w:rPr>
          <w:rFonts w:ascii="Arial" w:eastAsia="Arial"/>
        </w:rPr>
        <w:t>ASH</w:t>
      </w:r>
      <w:r>
        <w:rPr>
          <w:rFonts w:ascii="Arial" w:eastAsia="Arial"/>
          <w:spacing w:val="28"/>
        </w:rPr>
        <w:t> </w:t>
      </w:r>
      <w:r>
        <w:rPr>
          <w:spacing w:val="-3"/>
        </w:rPr>
        <w:t>会议公布了接受 </w:t>
      </w:r>
      <w:r>
        <w:rPr>
          <w:rFonts w:ascii="Arial" w:eastAsia="Arial"/>
        </w:rPr>
        <w:t>Yescarta</w:t>
      </w:r>
      <w:r>
        <w:rPr>
          <w:rFonts w:ascii="Arial" w:eastAsia="Arial"/>
          <w:spacing w:val="-7"/>
        </w:rPr>
        <w:t> </w:t>
      </w:r>
      <w:r>
        <w:rPr>
          <w:spacing w:val="-1"/>
        </w:rPr>
        <w:t>治疗的 </w:t>
      </w:r>
      <w:r>
        <w:rPr>
          <w:rFonts w:ascii="Arial" w:eastAsia="Arial"/>
        </w:rPr>
        <w:t>r/r</w:t>
      </w:r>
      <w:r>
        <w:rPr>
          <w:rFonts w:ascii="Arial" w:eastAsia="Arial"/>
          <w:spacing w:val="30"/>
        </w:rPr>
        <w:t> </w:t>
      </w:r>
      <w:r>
        <w:rPr>
          <w:rFonts w:ascii="Arial" w:eastAsia="Arial"/>
        </w:rPr>
        <w:t>LBCL</w:t>
      </w:r>
      <w:r>
        <w:rPr>
          <w:rFonts w:ascii="Arial" w:eastAsia="Arial"/>
          <w:spacing w:val="-7"/>
        </w:rPr>
        <w:t> </w:t>
      </w:r>
      <w:r>
        <w:rPr>
          <w:spacing w:val="-4"/>
        </w:rPr>
        <w:t>患者的五年随访</w:t>
      </w:r>
      <w:r>
        <w:rPr>
          <w:spacing w:val="11"/>
        </w:rPr>
        <w:t>结果 </w:t>
      </w:r>
      <w:r>
        <w:rPr>
          <w:rFonts w:ascii="Arial" w:eastAsia="Arial"/>
        </w:rPr>
        <w:t>(ZUMA-1)</w:t>
      </w:r>
      <w:r>
        <w:rPr>
          <w:spacing w:val="-2"/>
        </w:rPr>
        <w:t>，展现了临床治愈的潜力。在 </w:t>
      </w:r>
      <w:r>
        <w:rPr>
          <w:rFonts w:ascii="Arial" w:eastAsia="Arial"/>
        </w:rPr>
        <w:t>63.1</w:t>
      </w:r>
      <w:r>
        <w:rPr>
          <w:rFonts w:ascii="Arial" w:eastAsia="Arial"/>
          <w:spacing w:val="22"/>
        </w:rPr>
        <w:t> </w:t>
      </w:r>
      <w:r>
        <w:rPr>
          <w:spacing w:val="-4"/>
        </w:rPr>
        <w:t>个月的中位随访时间内，</w:t>
      </w:r>
      <w:r>
        <w:rPr>
          <w:rFonts w:ascii="Arial" w:eastAsia="Arial"/>
        </w:rPr>
        <w:t>5</w:t>
      </w:r>
      <w:r>
        <w:rPr>
          <w:rFonts w:ascii="Arial" w:eastAsia="Arial"/>
          <w:spacing w:val="21"/>
        </w:rPr>
        <w:t> </w:t>
      </w:r>
      <w:r>
        <w:rPr>
          <w:spacing w:val="18"/>
        </w:rPr>
        <w:t>年 </w:t>
      </w:r>
      <w:r>
        <w:rPr>
          <w:rFonts w:ascii="Arial" w:eastAsia="Arial"/>
        </w:rPr>
        <w:t>OS</w:t>
      </w:r>
      <w:r>
        <w:rPr>
          <w:rFonts w:ascii="Arial" w:eastAsia="Arial"/>
          <w:spacing w:val="23"/>
        </w:rPr>
        <w:t> </w:t>
      </w:r>
      <w:r>
        <w:rPr>
          <w:spacing w:val="-5"/>
        </w:rPr>
        <w:t>率为</w:t>
      </w:r>
      <w:r>
        <w:rPr>
          <w:rFonts w:ascii="Arial" w:eastAsia="Arial"/>
        </w:rPr>
        <w:t>42.6%</w:t>
      </w:r>
      <w:r>
        <w:rPr/>
        <w:t>；</w:t>
      </w:r>
      <w:r>
        <w:rPr>
          <w:rFonts w:ascii="Arial" w:eastAsia="Arial"/>
        </w:rPr>
        <w:t>CR</w:t>
      </w:r>
      <w:r>
        <w:rPr>
          <w:rFonts w:ascii="Arial" w:eastAsia="Arial"/>
          <w:spacing w:val="-11"/>
        </w:rPr>
        <w:t> </w:t>
      </w:r>
      <w:r>
        <w:rPr/>
        <w:t>患者的 </w:t>
      </w:r>
      <w:r>
        <w:rPr>
          <w:rFonts w:ascii="Arial" w:eastAsia="Arial"/>
        </w:rPr>
        <w:t>5</w:t>
      </w:r>
      <w:r>
        <w:rPr>
          <w:rFonts w:ascii="Arial" w:eastAsia="Arial"/>
          <w:spacing w:val="-12"/>
        </w:rPr>
        <w:t> </w:t>
      </w:r>
      <w:r>
        <w:rPr>
          <w:spacing w:val="48"/>
        </w:rPr>
        <w:t>年</w:t>
      </w:r>
      <w:r>
        <w:rPr>
          <w:rFonts w:ascii="Arial" w:eastAsia="Arial"/>
        </w:rPr>
        <w:t>OS</w:t>
      </w:r>
      <w:r>
        <w:rPr>
          <w:rFonts w:ascii="Arial" w:eastAsia="Arial"/>
          <w:spacing w:val="-9"/>
        </w:rPr>
        <w:t> </w:t>
      </w:r>
      <w:r>
        <w:rPr>
          <w:spacing w:val="-1"/>
        </w:rPr>
        <w:t>率为 </w:t>
      </w:r>
      <w:r>
        <w:rPr>
          <w:rFonts w:ascii="Arial" w:eastAsia="Arial"/>
        </w:rPr>
        <w:t>64.4%</w:t>
      </w:r>
      <w:r>
        <w:rPr>
          <w:spacing w:val="14"/>
        </w:rPr>
        <w:t>，中位</w:t>
      </w:r>
      <w:r>
        <w:rPr>
          <w:rFonts w:ascii="Arial" w:eastAsia="Arial"/>
        </w:rPr>
        <w:t>OS</w:t>
      </w:r>
      <w:r>
        <w:rPr>
          <w:rFonts w:ascii="Arial" w:eastAsia="Arial"/>
          <w:spacing w:val="-9"/>
        </w:rPr>
        <w:t> </w:t>
      </w:r>
      <w:r>
        <w:rPr>
          <w:spacing w:val="-1"/>
        </w:rPr>
        <w:t>仍未达到， </w:t>
      </w:r>
      <w:r>
        <w:rPr>
          <w:rFonts w:ascii="Arial" w:eastAsia="Arial"/>
          <w:spacing w:val="-2"/>
        </w:rPr>
        <w:t>63%</w:t>
      </w:r>
      <w:r>
        <w:rPr>
          <w:spacing w:val="-1"/>
        </w:rPr>
        <w:t>的 </w:t>
      </w:r>
      <w:r>
        <w:rPr>
          <w:rFonts w:ascii="Arial" w:eastAsia="Arial"/>
        </w:rPr>
        <w:t>CR</w:t>
      </w:r>
      <w:r>
        <w:rPr>
          <w:rFonts w:ascii="Arial" w:eastAsia="Arial"/>
          <w:spacing w:val="-10"/>
        </w:rPr>
        <w:t> </w:t>
      </w:r>
      <w:r>
        <w:rPr/>
        <w:t>患者在 </w:t>
      </w:r>
      <w:r>
        <w:rPr>
          <w:rFonts w:ascii="Arial" w:eastAsia="Arial"/>
        </w:rPr>
        <w:t>5</w:t>
      </w:r>
      <w:r>
        <w:rPr>
          <w:rFonts w:ascii="Arial" w:eastAsia="Arial"/>
          <w:spacing w:val="-12"/>
        </w:rPr>
        <w:t> </w:t>
      </w:r>
      <w:r>
        <w:rPr/>
        <w:t>年数据</w:t>
      </w:r>
      <w:r>
        <w:rPr>
          <w:spacing w:val="-2"/>
        </w:rPr>
        <w:t>截止时仍生存；</w:t>
      </w:r>
      <w:r>
        <w:rPr>
          <w:rFonts w:ascii="Arial" w:eastAsia="Arial"/>
        </w:rPr>
        <w:t>5</w:t>
      </w:r>
      <w:r>
        <w:rPr>
          <w:rFonts w:ascii="Arial" w:eastAsia="Arial"/>
          <w:spacing w:val="-3"/>
        </w:rPr>
        <w:t> </w:t>
      </w:r>
      <w:r>
        <w:rPr>
          <w:spacing w:val="-1"/>
        </w:rPr>
        <w:t>年生存的患者中 </w:t>
      </w:r>
      <w:r>
        <w:rPr>
          <w:rFonts w:ascii="Arial" w:eastAsia="Arial"/>
          <w:spacing w:val="-2"/>
        </w:rPr>
        <w:t>92%</w:t>
      </w:r>
      <w:r>
        <w:rPr>
          <w:spacing w:val="-4"/>
        </w:rPr>
        <w:t>不需要额外的抗癌治疗。</w:t>
      </w:r>
      <w:r>
        <w:rPr>
          <w:rFonts w:ascii="Arial" w:eastAsia="Arial"/>
        </w:rPr>
        <w:t>2021</w:t>
      </w:r>
      <w:r>
        <w:rPr>
          <w:rFonts w:ascii="Arial" w:eastAsia="Arial"/>
          <w:spacing w:val="3"/>
        </w:rPr>
        <w:t> </w:t>
      </w:r>
      <w:r>
        <w:rPr>
          <w:spacing w:val="7"/>
        </w:rPr>
        <w:t>年 </w:t>
      </w:r>
      <w:r>
        <w:rPr>
          <w:rFonts w:ascii="Arial" w:eastAsia="Arial"/>
        </w:rPr>
        <w:t>2</w:t>
      </w:r>
      <w:r>
        <w:rPr>
          <w:rFonts w:ascii="Arial" w:eastAsia="Arial"/>
          <w:spacing w:val="3"/>
        </w:rPr>
        <w:t> </w:t>
      </w:r>
      <w:r>
        <w:rPr>
          <w:spacing w:val="-3"/>
        </w:rPr>
        <w:t>月，</w:t>
      </w:r>
      <w:r>
        <w:rPr>
          <w:rFonts w:ascii="Arial" w:eastAsia="Arial"/>
        </w:rPr>
        <w:t>NEJM </w:t>
      </w:r>
      <w:r>
        <w:rPr/>
        <w:t>发布</w:t>
      </w:r>
      <w:r>
        <w:rPr>
          <w:spacing w:val="-1"/>
        </w:rPr>
        <w:t>了 </w:t>
      </w:r>
      <w:r>
        <w:rPr>
          <w:rFonts w:ascii="Arial" w:eastAsia="Arial"/>
        </w:rPr>
        <w:t>Kymriah</w:t>
      </w:r>
      <w:r>
        <w:rPr>
          <w:rFonts w:ascii="Arial" w:eastAsia="Arial"/>
          <w:spacing w:val="-11"/>
        </w:rPr>
        <w:t> </w:t>
      </w:r>
      <w:r>
        <w:rPr>
          <w:spacing w:val="-2"/>
        </w:rPr>
        <w:t>的注册性 </w:t>
      </w:r>
      <w:r>
        <w:rPr>
          <w:rFonts w:ascii="Arial" w:eastAsia="Arial"/>
        </w:rPr>
        <w:t>JULIET</w:t>
      </w:r>
      <w:r>
        <w:rPr>
          <w:rFonts w:ascii="Arial" w:eastAsia="Arial"/>
          <w:spacing w:val="-7"/>
        </w:rPr>
        <w:t> </w:t>
      </w:r>
      <w:r>
        <w:rPr>
          <w:spacing w:val="-4"/>
        </w:rPr>
        <w:t>研究的五年随访结果 </w:t>
      </w:r>
      <w:r>
        <w:rPr>
          <w:rFonts w:ascii="Arial" w:eastAsia="Arial"/>
        </w:rPr>
        <w:t>(JULIET)</w:t>
      </w:r>
      <w:r>
        <w:rPr>
          <w:spacing w:val="-1"/>
        </w:rPr>
        <w:t>，在 </w:t>
      </w:r>
      <w:r>
        <w:rPr>
          <w:rFonts w:ascii="Arial" w:eastAsia="Arial"/>
        </w:rPr>
        <w:t>24</w:t>
      </w:r>
      <w:r>
        <w:rPr>
          <w:rFonts w:ascii="Arial" w:eastAsia="Arial"/>
          <w:spacing w:val="-12"/>
        </w:rPr>
        <w:t> </w:t>
      </w:r>
      <w:r>
        <w:rPr>
          <w:spacing w:val="6"/>
        </w:rPr>
        <w:t>例可供分析的</w:t>
      </w:r>
      <w:r>
        <w:rPr>
          <w:rFonts w:ascii="Arial" w:eastAsia="Arial"/>
        </w:rPr>
        <w:t>r/r</w:t>
      </w:r>
      <w:r>
        <w:rPr>
          <w:rFonts w:ascii="Arial" w:eastAsia="Arial"/>
          <w:spacing w:val="-4"/>
        </w:rPr>
        <w:t> </w:t>
      </w:r>
      <w:r>
        <w:rPr>
          <w:rFonts w:ascii="Arial" w:eastAsia="Arial"/>
        </w:rPr>
        <w:t>LBCL </w:t>
      </w:r>
      <w:r>
        <w:rPr>
          <w:spacing w:val="-3"/>
        </w:rPr>
        <w:t>患者中，观察到 </w:t>
      </w:r>
      <w:r>
        <w:rPr>
          <w:rFonts w:ascii="Arial" w:eastAsia="Arial"/>
        </w:rPr>
        <w:t>11</w:t>
      </w:r>
      <w:r>
        <w:rPr>
          <w:rFonts w:ascii="Arial" w:eastAsia="Arial"/>
          <w:spacing w:val="-14"/>
        </w:rPr>
        <w:t> </w:t>
      </w:r>
      <w:r>
        <w:rPr>
          <w:spacing w:val="48"/>
        </w:rPr>
        <w:t>例</w:t>
      </w:r>
      <w:r>
        <w:rPr>
          <w:rFonts w:ascii="Arial" w:eastAsia="Arial"/>
        </w:rPr>
        <w:t>CR (46%)</w:t>
      </w:r>
      <w:r>
        <w:rPr>
          <w:spacing w:val="-1"/>
        </w:rPr>
        <w:t>，五年 </w:t>
      </w:r>
      <w:r>
        <w:rPr>
          <w:rFonts w:ascii="Arial" w:eastAsia="Arial"/>
        </w:rPr>
        <w:t>PFS</w:t>
      </w:r>
      <w:r>
        <w:rPr>
          <w:rFonts w:ascii="Arial" w:eastAsia="Arial"/>
          <w:spacing w:val="-12"/>
        </w:rPr>
        <w:t> </w:t>
      </w:r>
      <w:r>
        <w:rPr>
          <w:spacing w:val="-1"/>
        </w:rPr>
        <w:t>率达 </w:t>
      </w:r>
      <w:r>
        <w:rPr>
          <w:rFonts w:ascii="Arial" w:eastAsia="Arial"/>
        </w:rPr>
        <w:t>31%</w:t>
      </w:r>
      <w:r>
        <w:rPr/>
        <w:t>，</w:t>
      </w:r>
      <w:r>
        <w:rPr>
          <w:rFonts w:ascii="Arial" w:eastAsia="Arial"/>
        </w:rPr>
        <w:t>mDOR</w:t>
      </w:r>
      <w:r>
        <w:rPr>
          <w:rFonts w:ascii="Arial" w:eastAsia="Arial"/>
          <w:spacing w:val="-14"/>
        </w:rPr>
        <w:t> </w:t>
      </w:r>
      <w:r>
        <w:rPr>
          <w:spacing w:val="-2"/>
        </w:rPr>
        <w:t>达 </w:t>
      </w:r>
      <w:r>
        <w:rPr>
          <w:rFonts w:ascii="Arial" w:eastAsia="Arial"/>
        </w:rPr>
        <w:t>61.4</w:t>
      </w:r>
      <w:r>
        <w:rPr>
          <w:rFonts w:ascii="Arial" w:eastAsia="Arial"/>
          <w:spacing w:val="-15"/>
        </w:rPr>
        <w:t> </w:t>
      </w:r>
      <w:r>
        <w:rPr>
          <w:spacing w:val="-2"/>
        </w:rPr>
        <w:t>个月。</w:t>
      </w:r>
    </w:p>
    <w:p>
      <w:pPr>
        <w:pStyle w:val="Heading3"/>
        <w:spacing w:before="80" w:after="4"/>
      </w:pPr>
      <w:r>
        <w:rPr/>
        <w:t>图 </w:t>
      </w:r>
      <w:r>
        <w:rPr>
          <w:rFonts w:ascii="Arial" w:eastAsia="Arial"/>
        </w:rPr>
        <w:t>24: ZUMA-1/ JULIET/ TRANSCEND NHL 001 </w:t>
      </w:r>
      <w:r>
        <w:rPr/>
        <w:t>中的</w:t>
      </w:r>
      <w:r>
        <w:rPr>
          <w:rFonts w:ascii="Arial" w:eastAsia="Arial"/>
        </w:rPr>
        <w:t>OS/ PFS </w:t>
      </w:r>
      <w:r>
        <w:rPr/>
        <w:t>曲线</w:t>
      </w:r>
    </w:p>
    <w:p>
      <w:pPr>
        <w:pStyle w:val="BodyText"/>
        <w:ind w:left="181"/>
        <w:rPr>
          <w:rFonts w:ascii="Microsoft JhengHei UI"/>
        </w:rPr>
      </w:pPr>
      <w:r>
        <w:rPr>
          <w:rFonts w:ascii="Microsoft JhengHei UI"/>
        </w:rPr>
        <w:drawing>
          <wp:inline distT="0" distB="0" distL="0" distR="0">
            <wp:extent cx="5078481" cy="2743200"/>
            <wp:effectExtent l="0" t="0" r="0" b="0"/>
            <wp:docPr id="19" name="image20.png"/>
            <wp:cNvGraphicFramePr>
              <a:graphicFrameLocks noChangeAspect="1"/>
            </wp:cNvGraphicFramePr>
            <a:graphic>
              <a:graphicData uri="http://schemas.openxmlformats.org/drawingml/2006/picture">
                <pic:pic>
                  <pic:nvPicPr>
                    <pic:cNvPr id="20" name="image20.png"/>
                    <pic:cNvPicPr/>
                  </pic:nvPicPr>
                  <pic:blipFill>
                    <a:blip r:embed="rId30" cstate="print"/>
                    <a:stretch>
                      <a:fillRect/>
                    </a:stretch>
                  </pic:blipFill>
                  <pic:spPr>
                    <a:xfrm>
                      <a:off x="0" y="0"/>
                      <a:ext cx="5078481" cy="2743200"/>
                    </a:xfrm>
                    <a:prstGeom prst="rect">
                      <a:avLst/>
                    </a:prstGeom>
                  </pic:spPr>
                </pic:pic>
              </a:graphicData>
            </a:graphic>
          </wp:inline>
        </w:drawing>
      </w:r>
      <w:r>
        <w:rPr>
          <w:rFonts w:ascii="Microsoft JhengHei UI"/>
        </w:rPr>
      </w:r>
    </w:p>
    <w:p>
      <w:pPr>
        <w:spacing w:before="19"/>
        <w:ind w:left="210" w:right="0" w:firstLine="0"/>
        <w:jc w:val="both"/>
        <w:rPr>
          <w:sz w:val="16"/>
        </w:rPr>
      </w:pPr>
      <w:r>
        <w:rPr>
          <w:sz w:val="16"/>
        </w:rPr>
        <w:t>资料来源</w:t>
      </w:r>
      <w:r>
        <w:rPr>
          <w:rFonts w:ascii="Arial" w:eastAsia="Arial"/>
          <w:sz w:val="16"/>
        </w:rPr>
        <w:t>:clinicaloptions.com, </w:t>
      </w:r>
      <w:r>
        <w:rPr>
          <w:sz w:val="16"/>
        </w:rPr>
        <w:t>招银国际证券</w:t>
      </w:r>
    </w:p>
    <w:p>
      <w:pPr>
        <w:spacing w:before="11"/>
        <w:ind w:left="210" w:right="0" w:firstLine="0"/>
        <w:jc w:val="both"/>
        <w:rPr>
          <w:rFonts w:ascii="Arial" w:eastAsia="Arial"/>
          <w:sz w:val="16"/>
        </w:rPr>
      </w:pPr>
      <w:r>
        <w:rPr>
          <w:sz w:val="16"/>
        </w:rPr>
        <w:t>注：</w:t>
      </w:r>
      <w:r>
        <w:rPr>
          <w:rFonts w:ascii="Arial" w:eastAsia="Arial"/>
          <w:sz w:val="16"/>
        </w:rPr>
        <w:t>Kymriah (axi-cel)</w:t>
      </w:r>
      <w:r>
        <w:rPr>
          <w:sz w:val="16"/>
        </w:rPr>
        <w:t>，</w:t>
      </w:r>
      <w:r>
        <w:rPr>
          <w:rFonts w:ascii="Arial" w:eastAsia="Arial"/>
          <w:sz w:val="16"/>
        </w:rPr>
        <w:t>Yescarta (tisa-cel), Breyanzi (liso-cel)</w:t>
      </w:r>
    </w:p>
    <w:p>
      <w:pPr>
        <w:pStyle w:val="BodyText"/>
        <w:spacing w:before="8"/>
        <w:ind w:left="0"/>
        <w:rPr>
          <w:rFonts w:ascii="Arial"/>
          <w:sz w:val="29"/>
        </w:rPr>
      </w:pPr>
    </w:p>
    <w:p>
      <w:pPr>
        <w:pStyle w:val="BodyText"/>
        <w:spacing w:line="288" w:lineRule="auto"/>
        <w:ind w:right="2809"/>
        <w:jc w:val="both"/>
      </w:pPr>
      <w:r>
        <w:rPr>
          <w:spacing w:val="-1"/>
        </w:rPr>
        <w:t>其他两款已上市 </w:t>
      </w:r>
      <w:r>
        <w:rPr>
          <w:rFonts w:ascii="Arial" w:eastAsia="Arial"/>
        </w:rPr>
        <w:t>CD19</w:t>
      </w:r>
      <w:r>
        <w:rPr>
          <w:rFonts w:ascii="Arial" w:eastAsia="Arial"/>
          <w:spacing w:val="35"/>
        </w:rPr>
        <w:t> </w:t>
      </w:r>
      <w:r>
        <w:rPr>
          <w:rFonts w:ascii="Arial" w:eastAsia="Arial"/>
        </w:rPr>
        <w:t>CAR-T</w:t>
      </w:r>
      <w:r>
        <w:rPr>
          <w:rFonts w:ascii="Arial" w:eastAsia="Arial"/>
          <w:spacing w:val="2"/>
        </w:rPr>
        <w:t> </w:t>
      </w:r>
      <w:r>
        <w:rPr>
          <w:spacing w:val="-4"/>
        </w:rPr>
        <w:t>产品的随访数据也可以证明 </w:t>
      </w:r>
      <w:r>
        <w:rPr>
          <w:rFonts w:ascii="Arial" w:eastAsia="Arial"/>
        </w:rPr>
        <w:t>CAR-T</w:t>
      </w:r>
      <w:r>
        <w:rPr>
          <w:rFonts w:ascii="Arial" w:eastAsia="Arial"/>
          <w:spacing w:val="-2"/>
        </w:rPr>
        <w:t> </w:t>
      </w:r>
      <w:r>
        <w:rPr>
          <w:spacing w:val="1"/>
        </w:rPr>
        <w:t>治疗对于 </w:t>
      </w:r>
      <w:r>
        <w:rPr>
          <w:rFonts w:ascii="Arial" w:eastAsia="Arial"/>
        </w:rPr>
        <w:t>r/r</w:t>
      </w:r>
      <w:r>
        <w:rPr>
          <w:rFonts w:ascii="Arial" w:eastAsia="Arial"/>
          <w:spacing w:val="33"/>
        </w:rPr>
        <w:t> </w:t>
      </w:r>
      <w:r>
        <w:rPr>
          <w:rFonts w:ascii="Arial" w:eastAsia="Arial"/>
        </w:rPr>
        <w:t>LBCL</w:t>
      </w:r>
      <w:r>
        <w:rPr>
          <w:rFonts w:ascii="Arial" w:eastAsia="Arial"/>
          <w:spacing w:val="-1"/>
        </w:rPr>
        <w:t> </w:t>
      </w:r>
      <w:r>
        <w:rPr/>
        <w:t>患者</w:t>
      </w:r>
      <w:r>
        <w:rPr>
          <w:spacing w:val="4"/>
        </w:rPr>
        <w:t>的长期有效性。</w:t>
      </w:r>
      <w:r>
        <w:rPr>
          <w:rFonts w:ascii="Arial" w:eastAsia="Arial"/>
        </w:rPr>
        <w:t>BMS</w:t>
      </w:r>
      <w:r>
        <w:rPr>
          <w:rFonts w:ascii="Arial" w:eastAsia="Arial"/>
          <w:spacing w:val="34"/>
        </w:rPr>
        <w:t> </w:t>
      </w:r>
      <w:r>
        <w:rPr>
          <w:spacing w:val="5"/>
        </w:rPr>
        <w:t>公布的 </w:t>
      </w:r>
      <w:r>
        <w:rPr>
          <w:rFonts w:ascii="Arial" w:eastAsia="Arial"/>
        </w:rPr>
        <w:t>TRANSCEND</w:t>
      </w:r>
      <w:r>
        <w:rPr>
          <w:rFonts w:ascii="Arial" w:eastAsia="Arial"/>
          <w:spacing w:val="38"/>
        </w:rPr>
        <w:t> </w:t>
      </w:r>
      <w:r>
        <w:rPr>
          <w:rFonts w:ascii="Arial" w:eastAsia="Arial"/>
        </w:rPr>
        <w:t>NHL</w:t>
      </w:r>
      <w:r>
        <w:rPr>
          <w:rFonts w:ascii="Arial" w:eastAsia="Arial"/>
          <w:spacing w:val="33"/>
        </w:rPr>
        <w:t> </w:t>
      </w:r>
      <w:r>
        <w:rPr>
          <w:rFonts w:ascii="Arial" w:eastAsia="Arial"/>
        </w:rPr>
        <w:t>001</w:t>
      </w:r>
      <w:r>
        <w:rPr>
          <w:rFonts w:ascii="Arial" w:eastAsia="Arial"/>
          <w:spacing w:val="40"/>
        </w:rPr>
        <w:t> </w:t>
      </w:r>
      <w:r>
        <w:rPr>
          <w:spacing w:val="5"/>
        </w:rPr>
        <w:t>研究的 </w:t>
      </w:r>
      <w:r>
        <w:rPr>
          <w:rFonts w:ascii="Arial" w:eastAsia="Arial"/>
        </w:rPr>
        <w:t>2</w:t>
      </w:r>
      <w:r>
        <w:rPr>
          <w:rFonts w:ascii="Arial" w:eastAsia="Arial"/>
          <w:spacing w:val="38"/>
        </w:rPr>
        <w:t> </w:t>
      </w:r>
      <w:r>
        <w:rPr>
          <w:spacing w:val="3"/>
        </w:rPr>
        <w:t>年随访数据显示，接受</w:t>
      </w:r>
      <w:r>
        <w:rPr>
          <w:rFonts w:ascii="Arial" w:eastAsia="Arial"/>
          <w:spacing w:val="3"/>
        </w:rPr>
        <w:t>Breyanzi</w:t>
      </w:r>
      <w:r>
        <w:rPr>
          <w:rFonts w:ascii="Arial" w:eastAsia="Arial"/>
          <w:spacing w:val="-8"/>
        </w:rPr>
        <w:t> </w:t>
      </w:r>
      <w:r>
        <w:rPr>
          <w:spacing w:val="15"/>
        </w:rPr>
        <w:t>治疗的</w:t>
      </w:r>
      <w:r>
        <w:rPr>
          <w:rFonts w:ascii="Arial" w:eastAsia="Arial"/>
        </w:rPr>
        <w:t>r/r</w:t>
      </w:r>
      <w:r>
        <w:rPr>
          <w:rFonts w:ascii="Arial" w:eastAsia="Arial"/>
          <w:spacing w:val="20"/>
        </w:rPr>
        <w:t> </w:t>
      </w:r>
      <w:r>
        <w:rPr>
          <w:rFonts w:ascii="Arial" w:eastAsia="Arial"/>
        </w:rPr>
        <w:t>LBCL</w:t>
      </w:r>
      <w:r>
        <w:rPr>
          <w:rFonts w:ascii="Arial" w:eastAsia="Arial"/>
          <w:spacing w:val="-11"/>
        </w:rPr>
        <w:t> </w:t>
      </w:r>
      <w:r>
        <w:rPr>
          <w:spacing w:val="-2"/>
        </w:rPr>
        <w:t>患者，</w:t>
      </w:r>
      <w:r>
        <w:rPr>
          <w:rFonts w:ascii="Arial" w:eastAsia="Arial"/>
        </w:rPr>
        <w:t>mDOR</w:t>
      </w:r>
      <w:r>
        <w:rPr>
          <w:rFonts w:ascii="Arial" w:eastAsia="Arial"/>
          <w:spacing w:val="-11"/>
        </w:rPr>
        <w:t> </w:t>
      </w:r>
      <w:r>
        <w:rPr>
          <w:spacing w:val="-1"/>
        </w:rPr>
        <w:t>为 </w:t>
      </w:r>
      <w:r>
        <w:rPr>
          <w:rFonts w:ascii="Arial" w:eastAsia="Arial"/>
        </w:rPr>
        <w:t>23.1</w:t>
      </w:r>
      <w:r>
        <w:rPr>
          <w:rFonts w:ascii="Arial" w:eastAsia="Arial"/>
          <w:spacing w:val="-13"/>
        </w:rPr>
        <w:t> </w:t>
      </w:r>
      <w:r>
        <w:rPr/>
        <w:t>个月，</w:t>
      </w:r>
      <w:r>
        <w:rPr>
          <w:rFonts w:ascii="Arial" w:eastAsia="Arial"/>
        </w:rPr>
        <w:t>mPFS</w:t>
      </w:r>
      <w:r>
        <w:rPr>
          <w:rFonts w:ascii="Arial" w:eastAsia="Arial"/>
          <w:spacing w:val="-10"/>
        </w:rPr>
        <w:t> </w:t>
      </w:r>
      <w:r>
        <w:rPr>
          <w:spacing w:val="-4"/>
        </w:rPr>
        <w:t>和 </w:t>
      </w:r>
      <w:r>
        <w:rPr>
          <w:rFonts w:ascii="Arial" w:eastAsia="Arial"/>
        </w:rPr>
        <w:t>mOS</w:t>
      </w:r>
      <w:r>
        <w:rPr>
          <w:rFonts w:ascii="Arial" w:eastAsia="Arial"/>
          <w:spacing w:val="-11"/>
        </w:rPr>
        <w:t> </w:t>
      </w:r>
      <w:r>
        <w:rPr>
          <w:spacing w:val="-2"/>
        </w:rPr>
        <w:t>分别达到了 </w:t>
      </w:r>
      <w:r>
        <w:rPr>
          <w:rFonts w:ascii="Arial" w:eastAsia="Arial"/>
        </w:rPr>
        <w:t>6.8</w:t>
      </w:r>
      <w:r>
        <w:rPr>
          <w:rFonts w:ascii="Arial" w:eastAsia="Arial"/>
          <w:spacing w:val="-11"/>
        </w:rPr>
        <w:t> </w:t>
      </w:r>
      <w:r>
        <w:rPr>
          <w:spacing w:val="-5"/>
        </w:rPr>
        <w:t>个月</w:t>
      </w:r>
      <w:r>
        <w:rPr>
          <w:spacing w:val="-1"/>
        </w:rPr>
        <w:t>和 </w:t>
      </w:r>
      <w:r>
        <w:rPr>
          <w:rFonts w:ascii="Arial" w:eastAsia="Arial"/>
        </w:rPr>
        <w:t>27.3</w:t>
      </w:r>
      <w:r>
        <w:rPr>
          <w:rFonts w:ascii="Arial" w:eastAsia="Arial"/>
          <w:spacing w:val="-11"/>
        </w:rPr>
        <w:t> </w:t>
      </w:r>
      <w:r>
        <w:rPr>
          <w:spacing w:val="9"/>
        </w:rPr>
        <w:t>个月，两年</w:t>
      </w:r>
      <w:r>
        <w:rPr>
          <w:rFonts w:ascii="Arial" w:eastAsia="Arial"/>
        </w:rPr>
        <w:t>DOR</w:t>
      </w:r>
      <w:r>
        <w:rPr>
          <w:rFonts w:ascii="Arial" w:eastAsia="Arial"/>
          <w:spacing w:val="-16"/>
        </w:rPr>
        <w:t> </w:t>
      </w:r>
      <w:r>
        <w:rPr/>
        <w:t>率</w:t>
      </w:r>
      <w:r>
        <w:rPr>
          <w:rFonts w:ascii="Arial" w:eastAsia="Arial"/>
        </w:rPr>
        <w:t>/</w:t>
      </w:r>
      <w:r>
        <w:rPr>
          <w:rFonts w:ascii="Arial" w:eastAsia="Arial"/>
          <w:spacing w:val="2"/>
        </w:rPr>
        <w:t> </w:t>
      </w:r>
      <w:r>
        <w:rPr>
          <w:rFonts w:ascii="Arial" w:eastAsia="Arial"/>
        </w:rPr>
        <w:t>PFS/</w:t>
      </w:r>
      <w:r>
        <w:rPr>
          <w:rFonts w:ascii="Arial" w:eastAsia="Arial"/>
          <w:spacing w:val="-3"/>
        </w:rPr>
        <w:t> </w:t>
      </w:r>
      <w:r>
        <w:rPr>
          <w:rFonts w:ascii="Arial" w:eastAsia="Arial"/>
        </w:rPr>
        <w:t>OS</w:t>
      </w:r>
      <w:r>
        <w:rPr>
          <w:rFonts w:ascii="Arial" w:eastAsia="Arial"/>
          <w:spacing w:val="-3"/>
        </w:rPr>
        <w:t> </w:t>
      </w:r>
      <w:r>
        <w:rPr>
          <w:spacing w:val="-2"/>
        </w:rPr>
        <w:t>率分别达到了 </w:t>
      </w:r>
      <w:r>
        <w:rPr>
          <w:rFonts w:ascii="Arial" w:eastAsia="Arial"/>
          <w:spacing w:val="-2"/>
        </w:rPr>
        <w:t>49.5%/</w:t>
      </w:r>
      <w:r>
        <w:rPr>
          <w:rFonts w:ascii="Arial" w:eastAsia="Arial"/>
          <w:spacing w:val="3"/>
        </w:rPr>
        <w:t> </w:t>
      </w:r>
      <w:r>
        <w:rPr>
          <w:rFonts w:ascii="Arial" w:eastAsia="Arial"/>
        </w:rPr>
        <w:t>40.6%/</w:t>
      </w:r>
      <w:r>
        <w:rPr>
          <w:rFonts w:ascii="Arial" w:eastAsia="Arial"/>
          <w:spacing w:val="2"/>
        </w:rPr>
        <w:t> </w:t>
      </w:r>
      <w:r>
        <w:rPr>
          <w:rFonts w:ascii="Arial" w:eastAsia="Arial"/>
        </w:rPr>
        <w:t>50.5%</w:t>
      </w:r>
      <w:r>
        <w:rPr>
          <w:spacing w:val="-4"/>
        </w:rPr>
        <w:t>。药明巨诺的倍</w:t>
      </w:r>
      <w:r>
        <w:rPr>
          <w:spacing w:val="-5"/>
        </w:rPr>
        <w:t>诺达也显示出持久缓解和长期生存获益，</w:t>
      </w:r>
      <w:r>
        <w:rPr>
          <w:rFonts w:ascii="Arial" w:eastAsia="Arial"/>
        </w:rPr>
        <w:t>RELIANCE</w:t>
      </w:r>
      <w:r>
        <w:rPr>
          <w:rFonts w:ascii="Arial" w:eastAsia="Arial"/>
          <w:spacing w:val="-3"/>
        </w:rPr>
        <w:t> </w:t>
      </w:r>
      <w:r>
        <w:rPr>
          <w:spacing w:val="-5"/>
        </w:rPr>
        <w:t>研究两年随访数据显示，在 </w:t>
      </w:r>
      <w:r>
        <w:rPr>
          <w:rFonts w:ascii="Arial" w:eastAsia="Arial"/>
        </w:rPr>
        <w:t>58</w:t>
      </w:r>
      <w:r>
        <w:rPr>
          <w:rFonts w:ascii="Arial" w:eastAsia="Arial"/>
          <w:spacing w:val="-12"/>
        </w:rPr>
        <w:t> </w:t>
      </w:r>
      <w:r>
        <w:rPr>
          <w:spacing w:val="-4"/>
        </w:rPr>
        <w:t>例可评</w:t>
      </w:r>
      <w:r>
        <w:rPr>
          <w:spacing w:val="-5"/>
        </w:rPr>
        <w:t>估有效性患者中，最佳 </w:t>
      </w:r>
      <w:r>
        <w:rPr>
          <w:rFonts w:ascii="Arial" w:eastAsia="Arial"/>
        </w:rPr>
        <w:t>ORR</w:t>
      </w:r>
      <w:r>
        <w:rPr>
          <w:rFonts w:ascii="Arial" w:eastAsia="Arial"/>
          <w:spacing w:val="-23"/>
        </w:rPr>
        <w:t> </w:t>
      </w:r>
      <w:r>
        <w:rPr>
          <w:spacing w:val="-4"/>
        </w:rPr>
        <w:t>为 </w:t>
      </w:r>
      <w:r>
        <w:rPr>
          <w:rFonts w:ascii="Arial" w:eastAsia="Arial"/>
          <w:spacing w:val="-2"/>
        </w:rPr>
        <w:t>77.6%</w:t>
      </w:r>
      <w:r>
        <w:rPr>
          <w:spacing w:val="-3"/>
        </w:rPr>
        <w:t>，最佳 </w:t>
      </w:r>
      <w:r>
        <w:rPr>
          <w:rFonts w:ascii="Arial" w:eastAsia="Arial"/>
        </w:rPr>
        <w:t>CR</w:t>
      </w:r>
      <w:r>
        <w:rPr>
          <w:rFonts w:ascii="Arial" w:eastAsia="Arial"/>
          <w:spacing w:val="-25"/>
        </w:rPr>
        <w:t> </w:t>
      </w:r>
      <w:r>
        <w:rPr>
          <w:spacing w:val="-3"/>
        </w:rPr>
        <w:t>率为 </w:t>
      </w:r>
      <w:r>
        <w:rPr>
          <w:rFonts w:ascii="Arial" w:eastAsia="Arial"/>
          <w:spacing w:val="-3"/>
        </w:rPr>
        <w:t>53.5%</w:t>
      </w:r>
      <w:r>
        <w:rPr>
          <w:spacing w:val="-5"/>
        </w:rPr>
        <w:t>。</w:t>
      </w:r>
      <w:r>
        <w:rPr>
          <w:rFonts w:ascii="Arial" w:eastAsia="Arial"/>
        </w:rPr>
        <w:t>mDOR</w:t>
      </w:r>
      <w:r>
        <w:rPr>
          <w:rFonts w:ascii="Arial" w:eastAsia="Arial"/>
          <w:spacing w:val="-23"/>
        </w:rPr>
        <w:t> </w:t>
      </w:r>
      <w:r>
        <w:rPr>
          <w:spacing w:val="-4"/>
        </w:rPr>
        <w:t>为 </w:t>
      </w:r>
      <w:r>
        <w:rPr>
          <w:rFonts w:ascii="Arial" w:eastAsia="Arial"/>
        </w:rPr>
        <w:t>20.3</w:t>
      </w:r>
      <w:r>
        <w:rPr>
          <w:rFonts w:ascii="Arial" w:eastAsia="Arial"/>
          <w:spacing w:val="-23"/>
        </w:rPr>
        <w:t> </w:t>
      </w:r>
      <w:r>
        <w:rPr/>
        <w:t>个月，</w:t>
      </w:r>
      <w:r>
        <w:rPr>
          <w:rFonts w:ascii="Arial" w:eastAsia="Arial"/>
        </w:rPr>
        <w:t>mPFS </w:t>
      </w:r>
      <w:r>
        <w:rPr>
          <w:spacing w:val="-1"/>
        </w:rPr>
        <w:t>为 </w:t>
      </w:r>
      <w:r>
        <w:rPr>
          <w:rFonts w:ascii="Arial" w:eastAsia="Arial"/>
        </w:rPr>
        <w:t>7</w:t>
      </w:r>
      <w:r>
        <w:rPr>
          <w:rFonts w:ascii="Arial" w:eastAsia="Arial"/>
          <w:spacing w:val="-13"/>
        </w:rPr>
        <w:t> </w:t>
      </w:r>
      <w:r>
        <w:rPr/>
        <w:t>个月，</w:t>
      </w:r>
      <w:r>
        <w:rPr>
          <w:rFonts w:ascii="Arial" w:eastAsia="Arial"/>
        </w:rPr>
        <w:t>mOS</w:t>
      </w:r>
      <w:r>
        <w:rPr>
          <w:rFonts w:ascii="Arial" w:eastAsia="Arial"/>
          <w:spacing w:val="-14"/>
        </w:rPr>
        <w:t> </w:t>
      </w:r>
      <w:r>
        <w:rPr>
          <w:spacing w:val="4"/>
        </w:rPr>
        <w:t>尚未达到，两年</w:t>
      </w:r>
      <w:r>
        <w:rPr>
          <w:rFonts w:ascii="Arial" w:eastAsia="Arial"/>
        </w:rPr>
        <w:t>DOR</w:t>
      </w:r>
      <w:r>
        <w:rPr>
          <w:rFonts w:ascii="Arial" w:eastAsia="Arial"/>
          <w:spacing w:val="-12"/>
        </w:rPr>
        <w:t> </w:t>
      </w:r>
      <w:r>
        <w:rPr/>
        <w:t>率</w:t>
      </w:r>
      <w:r>
        <w:rPr>
          <w:rFonts w:ascii="Arial" w:eastAsia="Arial"/>
        </w:rPr>
        <w:t>/</w:t>
      </w:r>
      <w:r>
        <w:rPr>
          <w:rFonts w:ascii="Arial" w:eastAsia="Arial"/>
          <w:spacing w:val="2"/>
        </w:rPr>
        <w:t> </w:t>
      </w:r>
      <w:r>
        <w:rPr>
          <w:rFonts w:ascii="Arial" w:eastAsia="Arial"/>
        </w:rPr>
        <w:t>PFS</w:t>
      </w:r>
      <w:r>
        <w:rPr>
          <w:rFonts w:ascii="Arial" w:eastAsia="Arial"/>
          <w:spacing w:val="-11"/>
        </w:rPr>
        <w:t> </w:t>
      </w:r>
      <w:r>
        <w:rPr/>
        <w:t>率</w:t>
      </w:r>
      <w:r>
        <w:rPr>
          <w:rFonts w:ascii="Arial" w:eastAsia="Arial"/>
        </w:rPr>
        <w:t>/</w:t>
      </w:r>
      <w:r>
        <w:rPr>
          <w:rFonts w:ascii="Arial" w:eastAsia="Arial"/>
          <w:spacing w:val="2"/>
        </w:rPr>
        <w:t> </w:t>
      </w:r>
      <w:r>
        <w:rPr>
          <w:rFonts w:ascii="Arial" w:eastAsia="Arial"/>
        </w:rPr>
        <w:t>OS</w:t>
      </w:r>
      <w:r>
        <w:rPr>
          <w:rFonts w:ascii="Arial" w:eastAsia="Arial"/>
          <w:spacing w:val="-16"/>
        </w:rPr>
        <w:t> </w:t>
      </w:r>
      <w:r>
        <w:rPr>
          <w:spacing w:val="-1"/>
        </w:rPr>
        <w:t>率分别为 </w:t>
      </w:r>
      <w:r>
        <w:rPr>
          <w:rFonts w:ascii="Arial" w:eastAsia="Arial"/>
        </w:rPr>
        <w:t>40.3%/</w:t>
      </w:r>
      <w:r>
        <w:rPr>
          <w:rFonts w:ascii="Arial" w:eastAsia="Arial"/>
          <w:spacing w:val="1"/>
        </w:rPr>
        <w:t> </w:t>
      </w:r>
      <w:r>
        <w:rPr>
          <w:rFonts w:ascii="Arial" w:eastAsia="Arial"/>
        </w:rPr>
        <w:t>38.8%/</w:t>
      </w:r>
      <w:r>
        <w:rPr>
          <w:rFonts w:ascii="Arial" w:eastAsia="Arial"/>
          <w:spacing w:val="8"/>
        </w:rPr>
        <w:t> </w:t>
      </w:r>
      <w:r>
        <w:rPr>
          <w:rFonts w:ascii="Arial" w:eastAsia="Arial"/>
          <w:spacing w:val="-3"/>
        </w:rPr>
        <w:t>69.3%</w:t>
      </w:r>
      <w:r>
        <w:rPr/>
        <w:t>。</w:t>
      </w:r>
    </w:p>
    <w:p>
      <w:pPr>
        <w:pStyle w:val="Heading2"/>
        <w:spacing w:before="57"/>
        <w:jc w:val="both"/>
      </w:pPr>
      <w:bookmarkStart w:name="_bookmark11" w:id="12"/>
      <w:bookmarkEnd w:id="12"/>
      <w:r>
        <w:rPr>
          <w:b w:val="0"/>
        </w:rPr>
      </w:r>
      <w:r>
        <w:rPr>
          <w:rFonts w:ascii="Arial" w:eastAsia="Arial"/>
          <w:color w:val="585858"/>
        </w:rPr>
        <w:t>Yescarta </w:t>
      </w:r>
      <w:r>
        <w:rPr>
          <w:color w:val="585858"/>
        </w:rPr>
        <w:t>首个获批 </w:t>
      </w:r>
      <w:r>
        <w:rPr>
          <w:rFonts w:ascii="Arial" w:eastAsia="Arial"/>
          <w:color w:val="585858"/>
        </w:rPr>
        <w:t>LBCL </w:t>
      </w:r>
      <w:r>
        <w:rPr>
          <w:color w:val="585858"/>
        </w:rPr>
        <w:t>前线治疗，</w:t>
      </w:r>
      <w:r>
        <w:rPr>
          <w:rFonts w:ascii="Arial" w:eastAsia="Arial"/>
          <w:color w:val="585858"/>
        </w:rPr>
        <w:t>Kymriah </w:t>
      </w:r>
      <w:r>
        <w:rPr>
          <w:color w:val="585858"/>
        </w:rPr>
        <w:t>面临生产环节挑战</w:t>
      </w:r>
    </w:p>
    <w:p>
      <w:pPr>
        <w:pStyle w:val="Heading3"/>
        <w:spacing w:before="65"/>
      </w:pPr>
      <w:r>
        <w:rPr/>
        <w:t>提高患者响应率，</w:t>
      </w:r>
      <w:r>
        <w:rPr>
          <w:rFonts w:ascii="Arial" w:eastAsia="Arial"/>
        </w:rPr>
        <w:t>CAR-T </w:t>
      </w:r>
      <w:r>
        <w:rPr/>
        <w:t>治疗向前线推移可能增加患者获益</w:t>
      </w:r>
    </w:p>
    <w:p>
      <w:pPr>
        <w:pStyle w:val="BodyText"/>
        <w:spacing w:line="288" w:lineRule="auto" w:before="155"/>
        <w:ind w:right="2809"/>
        <w:jc w:val="both"/>
      </w:pPr>
      <w:r>
        <w:rPr/>
        <w:t>随着三家公司的四款 </w:t>
      </w:r>
      <w:r>
        <w:rPr>
          <w:rFonts w:ascii="Arial" w:eastAsia="Arial"/>
        </w:rPr>
        <w:t>CAR-T </w:t>
      </w:r>
      <w:r>
        <w:rPr/>
        <w:t>产品获得 </w:t>
      </w:r>
      <w:r>
        <w:rPr>
          <w:rFonts w:ascii="Arial" w:eastAsia="Arial"/>
        </w:rPr>
        <w:t>FDA </w:t>
      </w:r>
      <w:r>
        <w:rPr/>
        <w:t>批准用于治疗三线及以上 </w:t>
      </w:r>
      <w:r>
        <w:rPr>
          <w:rFonts w:ascii="Arial" w:eastAsia="Arial"/>
        </w:rPr>
        <w:t>r/r LBCL</w:t>
      </w:r>
      <w:r>
        <w:rPr/>
        <w:t>，各厂商均在积极布局</w:t>
      </w:r>
      <w:r>
        <w:rPr>
          <w:rFonts w:ascii="Arial" w:eastAsia="Arial"/>
        </w:rPr>
        <w:t>CAR-T </w:t>
      </w:r>
      <w:r>
        <w:rPr/>
        <w:t>疗法的前线适应症。作为具备治愈潜力的单次给药疗法，</w:t>
      </w:r>
      <w:r>
        <w:rPr>
          <w:rFonts w:ascii="Arial" w:eastAsia="Arial"/>
        </w:rPr>
        <w:t>CAR-T </w:t>
      </w:r>
      <w:r>
        <w:rPr/>
        <w:t>用于前线治疗将带给患者更高的生存质量和更好的治疗效果。研究证明更早使用 </w:t>
      </w:r>
      <w:r>
        <w:rPr>
          <w:rFonts w:ascii="Arial" w:eastAsia="Arial"/>
        </w:rPr>
        <w:t>CAR-T </w:t>
      </w:r>
      <w:r>
        <w:rPr/>
        <w:t>疗法替代普通化疗可提升患者响应率。</w:t>
      </w:r>
    </w:p>
    <w:p>
      <w:pPr>
        <w:spacing w:after="0" w:line="288" w:lineRule="auto"/>
        <w:jc w:val="both"/>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11"/>
        <w:jc w:val="both"/>
      </w:pPr>
      <w:r>
        <w:rPr/>
        <w:t>上述 </w:t>
      </w:r>
      <w:r>
        <w:rPr>
          <w:rFonts w:ascii="Arial" w:eastAsia="Arial"/>
        </w:rPr>
        <w:t>2020 </w:t>
      </w:r>
      <w:r>
        <w:rPr/>
        <w:t>年发表于 </w:t>
      </w:r>
      <w:r>
        <w:rPr>
          <w:rFonts w:ascii="Arial" w:eastAsia="Arial"/>
        </w:rPr>
        <w:t>Blood Advance </w:t>
      </w:r>
      <w:r>
        <w:rPr>
          <w:spacing w:val="-4"/>
        </w:rPr>
        <w:t>的单中心回顾性观察性研究 </w:t>
      </w:r>
      <w:r>
        <w:rPr>
          <w:rFonts w:ascii="Arial" w:eastAsia="Arial"/>
        </w:rPr>
        <w:t>(</w:t>
      </w:r>
      <w:hyperlink r:id="rId27">
        <w:r>
          <w:rPr>
            <w:rFonts w:ascii="Arial" w:eastAsia="Arial"/>
            <w:color w:val="0000FF"/>
            <w:u w:val="single" w:color="0000FF"/>
          </w:rPr>
          <w:t>link</w:t>
        </w:r>
      </w:hyperlink>
      <w:r>
        <w:rPr>
          <w:rFonts w:ascii="Arial" w:eastAsia="Arial"/>
          <w:spacing w:val="6"/>
        </w:rPr>
        <w:t>) </w:t>
      </w:r>
      <w:r>
        <w:rPr>
          <w:spacing w:val="-4"/>
        </w:rPr>
        <w:t>也表明，无论既往治</w:t>
      </w:r>
      <w:r>
        <w:rPr>
          <w:spacing w:val="3"/>
        </w:rPr>
        <w:t>疗线数为多少</w:t>
      </w:r>
      <w:r>
        <w:rPr>
          <w:rFonts w:ascii="Arial" w:eastAsia="Arial"/>
        </w:rPr>
        <w:t>(2 </w:t>
      </w:r>
      <w:r>
        <w:rPr/>
        <w:t>线、</w:t>
      </w:r>
      <w:r>
        <w:rPr>
          <w:rFonts w:ascii="Arial" w:eastAsia="Arial"/>
        </w:rPr>
        <w:t>3 </w:t>
      </w:r>
      <w:r>
        <w:rPr>
          <w:spacing w:val="2"/>
        </w:rPr>
        <w:t>线或 </w:t>
      </w:r>
      <w:r>
        <w:rPr>
          <w:rFonts w:ascii="Arial" w:eastAsia="Arial"/>
        </w:rPr>
        <w:t>4 </w:t>
      </w:r>
      <w:r>
        <w:rPr/>
        <w:t>线</w:t>
      </w:r>
      <w:r>
        <w:rPr>
          <w:rFonts w:ascii="Arial" w:eastAsia="Arial"/>
        </w:rPr>
        <w:t>)</w:t>
      </w:r>
      <w:r>
        <w:rPr/>
        <w:t>，</w:t>
      </w:r>
      <w:r>
        <w:rPr>
          <w:rFonts w:ascii="Arial" w:eastAsia="Arial"/>
        </w:rPr>
        <w:t>CAR-T </w:t>
      </w:r>
      <w:r>
        <w:rPr>
          <w:spacing w:val="-6"/>
        </w:rPr>
        <w:t>疗法相较于传统疗法均显示出显著疗效，但随着</w:t>
      </w:r>
      <w:r>
        <w:rPr>
          <w:spacing w:val="-3"/>
        </w:rPr>
        <w:t>治疗线数的后移，</w:t>
      </w:r>
      <w:r>
        <w:rPr>
          <w:rFonts w:ascii="Arial" w:eastAsia="Arial"/>
        </w:rPr>
        <w:t>CAR-T </w:t>
      </w:r>
      <w:r>
        <w:rPr>
          <w:spacing w:val="-5"/>
        </w:rPr>
        <w:t>治疗组的缓解率呈现相对下降趋势。</w:t>
      </w:r>
    </w:p>
    <w:p>
      <w:pPr>
        <w:pStyle w:val="BodyText"/>
        <w:spacing w:before="11"/>
        <w:ind w:left="0"/>
        <w:rPr>
          <w:sz w:val="8"/>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53"/>
        <w:gridCol w:w="5316"/>
      </w:tblGrid>
      <w:tr>
        <w:trPr>
          <w:trHeight w:val="4296" w:hRule="atLeast"/>
        </w:trPr>
        <w:tc>
          <w:tcPr>
            <w:tcW w:w="5153" w:type="dxa"/>
          </w:tcPr>
          <w:p>
            <w:pPr>
              <w:pStyle w:val="TableParagraph"/>
              <w:spacing w:line="301" w:lineRule="exact" w:after="9"/>
              <w:ind w:left="214"/>
              <w:rPr>
                <w:rFonts w:ascii="Microsoft JhengHei UI" w:eastAsia="Microsoft JhengHei UI" w:hint="eastAsia"/>
                <w:b/>
                <w:sz w:val="20"/>
              </w:rPr>
            </w:pPr>
            <w:r>
              <w:rPr>
                <w:rFonts w:ascii="Microsoft JhengHei UI" w:eastAsia="Microsoft JhengHei UI" w:hint="eastAsia"/>
                <w:b/>
                <w:sz w:val="20"/>
              </w:rPr>
              <w:t>图 </w:t>
            </w:r>
            <w:r>
              <w:rPr>
                <w:b/>
                <w:sz w:val="20"/>
              </w:rPr>
              <w:t>25: CAR-T </w:t>
            </w:r>
            <w:r>
              <w:rPr>
                <w:rFonts w:ascii="Microsoft JhengHei UI" w:eastAsia="Microsoft JhengHei UI" w:hint="eastAsia"/>
                <w:b/>
                <w:sz w:val="20"/>
              </w:rPr>
              <w:t>疗法与其他疗法的</w:t>
            </w:r>
            <w:r>
              <w:rPr>
                <w:b/>
                <w:sz w:val="20"/>
              </w:rPr>
              <w:t>ORR </w:t>
            </w:r>
            <w:r>
              <w:rPr>
                <w:rFonts w:ascii="Microsoft JhengHei UI" w:eastAsia="Microsoft JhengHei UI" w:hint="eastAsia"/>
                <w:b/>
                <w:sz w:val="20"/>
              </w:rPr>
              <w:t>对比</w:t>
            </w:r>
          </w:p>
          <w:p>
            <w:pPr>
              <w:pStyle w:val="TableParagraph"/>
              <w:spacing w:line="28" w:lineRule="exact"/>
              <w:ind w:left="185"/>
              <w:rPr>
                <w:rFonts w:ascii="PMingLiU"/>
                <w:sz w:val="2"/>
              </w:rPr>
            </w:pPr>
            <w:r>
              <w:rPr>
                <w:rFonts w:ascii="PMingLiU"/>
                <w:position w:val="0"/>
                <w:sz w:val="2"/>
              </w:rPr>
              <w:pict>
                <v:group style="width:237.95pt;height:1.45pt;mso-position-horizontal-relative:char;mso-position-vertical-relative:line" coordorigin="0,0" coordsize="4759,29">
                  <v:rect style="position:absolute;left:0;top:0;width:4759;height:29" filled="true" fillcolor="#000000" stroked="false">
                    <v:fill type="solid"/>
                  </v:rect>
                </v:group>
              </w:pict>
            </w:r>
            <w:r>
              <w:rPr>
                <w:rFonts w:ascii="PMingLiU"/>
                <w:position w:val="0"/>
                <w:sz w:val="2"/>
              </w:rPr>
            </w:r>
          </w:p>
          <w:p>
            <w:pPr>
              <w:pStyle w:val="TableParagraph"/>
              <w:spacing w:before="11"/>
              <w:rPr>
                <w:rFonts w:ascii="PMingLiU"/>
                <w:sz w:val="20"/>
              </w:rPr>
            </w:pPr>
          </w:p>
          <w:p>
            <w:pPr>
              <w:pStyle w:val="TableParagraph"/>
              <w:ind w:left="251"/>
              <w:rPr>
                <w:rFonts w:ascii="PMingLiU"/>
                <w:sz w:val="20"/>
              </w:rPr>
            </w:pPr>
            <w:r>
              <w:rPr>
                <w:rFonts w:ascii="PMingLiU"/>
                <w:sz w:val="20"/>
              </w:rPr>
              <w:drawing>
                <wp:inline distT="0" distB="0" distL="0" distR="0">
                  <wp:extent cx="2900630" cy="2065115"/>
                  <wp:effectExtent l="0" t="0" r="0" b="0"/>
                  <wp:docPr id="21" name="image21.png"/>
                  <wp:cNvGraphicFramePr>
                    <a:graphicFrameLocks noChangeAspect="1"/>
                  </wp:cNvGraphicFramePr>
                  <a:graphic>
                    <a:graphicData uri="http://schemas.openxmlformats.org/drawingml/2006/picture">
                      <pic:pic>
                        <pic:nvPicPr>
                          <pic:cNvPr id="22" name="image21.png"/>
                          <pic:cNvPicPr/>
                        </pic:nvPicPr>
                        <pic:blipFill>
                          <a:blip r:embed="rId31" cstate="print"/>
                          <a:stretch>
                            <a:fillRect/>
                          </a:stretch>
                        </pic:blipFill>
                        <pic:spPr>
                          <a:xfrm>
                            <a:off x="0" y="0"/>
                            <a:ext cx="2900630" cy="2065115"/>
                          </a:xfrm>
                          <a:prstGeom prst="rect">
                            <a:avLst/>
                          </a:prstGeom>
                        </pic:spPr>
                      </pic:pic>
                    </a:graphicData>
                  </a:graphic>
                </wp:inline>
              </w:drawing>
            </w:r>
            <w:r>
              <w:rPr>
                <w:rFonts w:ascii="PMingLiU"/>
                <w:sz w:val="20"/>
              </w:rPr>
            </w:r>
          </w:p>
          <w:p>
            <w:pPr>
              <w:pStyle w:val="TableParagraph"/>
              <w:spacing w:before="4" w:after="1"/>
              <w:rPr>
                <w:rFonts w:ascii="PMingLiU"/>
                <w:sz w:val="11"/>
              </w:rPr>
            </w:pPr>
          </w:p>
          <w:p>
            <w:pPr>
              <w:pStyle w:val="TableParagraph"/>
              <w:spacing w:line="28" w:lineRule="exact"/>
              <w:ind w:left="185" w:right="-15"/>
              <w:rPr>
                <w:rFonts w:ascii="PMingLiU"/>
                <w:sz w:val="2"/>
              </w:rPr>
            </w:pPr>
            <w:r>
              <w:rPr>
                <w:rFonts w:ascii="PMingLiU"/>
                <w:position w:val="0"/>
                <w:sz w:val="2"/>
              </w:rPr>
              <w:pict>
                <v:group style="width:245.65pt;height:1.45pt;mso-position-horizontal-relative:char;mso-position-vertical-relative:line" coordorigin="0,0" coordsize="4913,29">
                  <v:rect style="position:absolute;left:0;top:0;width:4913;height:29" filled="true" fillcolor="#000000" stroked="false">
                    <v:fill type="solid"/>
                  </v:rect>
                </v:group>
              </w:pict>
            </w:r>
            <w:r>
              <w:rPr>
                <w:rFonts w:ascii="PMingLiU"/>
                <w:position w:val="0"/>
                <w:sz w:val="2"/>
              </w:rPr>
            </w:r>
          </w:p>
          <w:p>
            <w:pPr>
              <w:pStyle w:val="TableParagraph"/>
              <w:spacing w:line="190" w:lineRule="exact" w:before="18"/>
              <w:ind w:left="214"/>
              <w:rPr>
                <w:rFonts w:ascii="PMingLiU" w:eastAsia="PMingLiU" w:hint="eastAsia"/>
                <w:sz w:val="16"/>
              </w:rPr>
            </w:pPr>
            <w:r>
              <w:rPr>
                <w:rFonts w:ascii="PMingLiU" w:eastAsia="PMingLiU" w:hint="eastAsia"/>
                <w:sz w:val="16"/>
              </w:rPr>
              <w:t>资料来源：</w:t>
            </w:r>
            <w:r>
              <w:rPr>
                <w:sz w:val="16"/>
              </w:rPr>
              <w:t>Sermer D et al. Blood Advance 2020</w:t>
            </w:r>
            <w:r>
              <w:rPr>
                <w:rFonts w:ascii="PMingLiU" w:eastAsia="PMingLiU" w:hint="eastAsia"/>
                <w:sz w:val="16"/>
              </w:rPr>
              <w:t>，招银国际证券</w:t>
            </w:r>
          </w:p>
        </w:tc>
        <w:tc>
          <w:tcPr>
            <w:tcW w:w="5316" w:type="dxa"/>
          </w:tcPr>
          <w:p>
            <w:pPr>
              <w:pStyle w:val="TableParagraph"/>
              <w:spacing w:line="301" w:lineRule="exact" w:after="9"/>
              <w:ind w:left="132"/>
              <w:rPr>
                <w:rFonts w:ascii="Microsoft JhengHei UI" w:eastAsia="Microsoft JhengHei UI" w:hint="eastAsia"/>
                <w:b/>
                <w:sz w:val="20"/>
              </w:rPr>
            </w:pPr>
            <w:r>
              <w:rPr>
                <w:rFonts w:ascii="Microsoft JhengHei UI" w:eastAsia="Microsoft JhengHei UI" w:hint="eastAsia"/>
                <w:b/>
                <w:sz w:val="20"/>
              </w:rPr>
              <w:t>图 </w:t>
            </w:r>
            <w:r>
              <w:rPr>
                <w:b/>
                <w:sz w:val="20"/>
              </w:rPr>
              <w:t>26: CAR-T </w:t>
            </w:r>
            <w:r>
              <w:rPr>
                <w:rFonts w:ascii="Microsoft JhengHei UI" w:eastAsia="Microsoft JhengHei UI" w:hint="eastAsia"/>
                <w:b/>
                <w:sz w:val="20"/>
              </w:rPr>
              <w:t>疗法与其他疗法的 </w:t>
            </w:r>
            <w:r>
              <w:rPr>
                <w:b/>
                <w:sz w:val="20"/>
              </w:rPr>
              <w:t>CR </w:t>
            </w:r>
            <w:r>
              <w:rPr>
                <w:rFonts w:ascii="Microsoft JhengHei UI" w:eastAsia="Microsoft JhengHei UI" w:hint="eastAsia"/>
                <w:b/>
                <w:sz w:val="20"/>
              </w:rPr>
              <w:t>对比</w:t>
            </w:r>
          </w:p>
          <w:p>
            <w:pPr>
              <w:pStyle w:val="TableParagraph"/>
              <w:spacing w:line="28" w:lineRule="exact"/>
              <w:ind w:left="103"/>
              <w:rPr>
                <w:rFonts w:ascii="PMingLiU"/>
                <w:sz w:val="2"/>
              </w:rPr>
            </w:pPr>
            <w:r>
              <w:rPr>
                <w:rFonts w:ascii="PMingLiU"/>
                <w:position w:val="0"/>
                <w:sz w:val="2"/>
              </w:rPr>
              <w:pict>
                <v:group style="width:252.6pt;height:1.45pt;mso-position-horizontal-relative:char;mso-position-vertical-relative:line" coordorigin="0,0" coordsize="5052,29">
                  <v:rect style="position:absolute;left:0;top:0;width:5052;height:29" filled="true" fillcolor="#000000" stroked="false">
                    <v:fill type="solid"/>
                  </v:rect>
                </v:group>
              </w:pict>
            </w:r>
            <w:r>
              <w:rPr>
                <w:rFonts w:ascii="PMingLiU"/>
                <w:position w:val="0"/>
                <w:sz w:val="2"/>
              </w:rPr>
            </w:r>
          </w:p>
          <w:p>
            <w:pPr>
              <w:pStyle w:val="TableParagraph"/>
              <w:spacing w:before="11"/>
              <w:rPr>
                <w:rFonts w:ascii="PMingLiU"/>
                <w:sz w:val="20"/>
              </w:rPr>
            </w:pPr>
          </w:p>
          <w:p>
            <w:pPr>
              <w:pStyle w:val="TableParagraph"/>
              <w:ind w:left="167"/>
              <w:rPr>
                <w:rFonts w:ascii="PMingLiU"/>
                <w:sz w:val="20"/>
              </w:rPr>
            </w:pPr>
            <w:r>
              <w:rPr>
                <w:rFonts w:ascii="PMingLiU"/>
                <w:sz w:val="20"/>
              </w:rPr>
              <w:drawing>
                <wp:inline distT="0" distB="0" distL="0" distR="0">
                  <wp:extent cx="2891526" cy="2083974"/>
                  <wp:effectExtent l="0" t="0" r="0" b="0"/>
                  <wp:docPr id="23" name="image22.png"/>
                  <wp:cNvGraphicFramePr>
                    <a:graphicFrameLocks noChangeAspect="1"/>
                  </wp:cNvGraphicFramePr>
                  <a:graphic>
                    <a:graphicData uri="http://schemas.openxmlformats.org/drawingml/2006/picture">
                      <pic:pic>
                        <pic:nvPicPr>
                          <pic:cNvPr id="24" name="image22.png"/>
                          <pic:cNvPicPr/>
                        </pic:nvPicPr>
                        <pic:blipFill>
                          <a:blip r:embed="rId32" cstate="print"/>
                          <a:stretch>
                            <a:fillRect/>
                          </a:stretch>
                        </pic:blipFill>
                        <pic:spPr>
                          <a:xfrm>
                            <a:off x="0" y="0"/>
                            <a:ext cx="2891526" cy="2083974"/>
                          </a:xfrm>
                          <a:prstGeom prst="rect">
                            <a:avLst/>
                          </a:prstGeom>
                        </pic:spPr>
                      </pic:pic>
                    </a:graphicData>
                  </a:graphic>
                </wp:inline>
              </w:drawing>
            </w:r>
            <w:r>
              <w:rPr>
                <w:rFonts w:ascii="PMingLiU"/>
                <w:sz w:val="20"/>
              </w:rPr>
            </w:r>
          </w:p>
          <w:p>
            <w:pPr>
              <w:pStyle w:val="TableParagraph"/>
              <w:spacing w:before="3" w:after="1"/>
              <w:rPr>
                <w:rFonts w:ascii="PMingLiU"/>
                <w:sz w:val="9"/>
              </w:rPr>
            </w:pPr>
          </w:p>
          <w:p>
            <w:pPr>
              <w:pStyle w:val="TableParagraph"/>
              <w:spacing w:line="28" w:lineRule="exact"/>
              <w:ind w:left="103" w:right="-58"/>
              <w:rPr>
                <w:rFonts w:ascii="PMingLiU"/>
                <w:sz w:val="2"/>
              </w:rPr>
            </w:pPr>
            <w:r>
              <w:rPr>
                <w:rFonts w:ascii="PMingLiU"/>
                <w:position w:val="0"/>
                <w:sz w:val="2"/>
              </w:rPr>
              <w:pict>
                <v:group style="width:260.3pt;height:1.45pt;mso-position-horizontal-relative:char;mso-position-vertical-relative:line" coordorigin="0,0" coordsize="5206,29">
                  <v:rect style="position:absolute;left:0;top:0;width:5206;height:29" filled="true" fillcolor="#000000" stroked="false">
                    <v:fill type="solid"/>
                  </v:rect>
                </v:group>
              </w:pict>
            </w:r>
            <w:r>
              <w:rPr>
                <w:rFonts w:ascii="PMingLiU"/>
                <w:position w:val="0"/>
                <w:sz w:val="2"/>
              </w:rPr>
            </w:r>
          </w:p>
          <w:p>
            <w:pPr>
              <w:pStyle w:val="TableParagraph"/>
              <w:spacing w:line="190" w:lineRule="exact" w:before="18"/>
              <w:ind w:left="132"/>
              <w:rPr>
                <w:rFonts w:ascii="PMingLiU" w:eastAsia="PMingLiU" w:hint="eastAsia"/>
                <w:sz w:val="16"/>
              </w:rPr>
            </w:pPr>
            <w:r>
              <w:rPr>
                <w:rFonts w:ascii="PMingLiU" w:eastAsia="PMingLiU" w:hint="eastAsia"/>
                <w:sz w:val="16"/>
              </w:rPr>
              <w:t>资料来源：</w:t>
            </w:r>
            <w:r>
              <w:rPr>
                <w:sz w:val="16"/>
              </w:rPr>
              <w:t>Sermer D et al. Blood Advance 2020</w:t>
            </w:r>
            <w:r>
              <w:rPr>
                <w:rFonts w:ascii="PMingLiU" w:eastAsia="PMingLiU" w:hint="eastAsia"/>
                <w:sz w:val="16"/>
              </w:rPr>
              <w:t>，招银国际证券</w:t>
            </w:r>
          </w:p>
        </w:tc>
      </w:tr>
    </w:tbl>
    <w:p>
      <w:pPr>
        <w:pStyle w:val="BodyText"/>
        <w:spacing w:before="9"/>
        <w:ind w:left="0"/>
        <w:rPr>
          <w:sz w:val="25"/>
        </w:rPr>
      </w:pPr>
    </w:p>
    <w:p>
      <w:pPr>
        <w:pStyle w:val="Heading3"/>
        <w:spacing w:before="0"/>
      </w:pPr>
      <w:r>
        <w:rPr>
          <w:rFonts w:ascii="Arial" w:eastAsia="Arial"/>
        </w:rPr>
        <w:t>Yescarta </w:t>
      </w:r>
      <w:r>
        <w:rPr/>
        <w:t>已获批前线治疗，</w:t>
      </w:r>
      <w:r>
        <w:rPr>
          <w:rFonts w:ascii="Arial" w:eastAsia="Arial"/>
        </w:rPr>
        <w:t>Kymriah </w:t>
      </w:r>
      <w:r>
        <w:rPr/>
        <w:t>相对 </w:t>
      </w:r>
      <w:r>
        <w:rPr>
          <w:rFonts w:ascii="Arial" w:eastAsia="Arial"/>
        </w:rPr>
        <w:t>SOC </w:t>
      </w:r>
      <w:r>
        <w:rPr/>
        <w:t>未有统计学差异</w:t>
      </w:r>
    </w:p>
    <w:p>
      <w:pPr>
        <w:pStyle w:val="BodyText"/>
        <w:spacing w:line="288" w:lineRule="auto" w:before="154"/>
        <w:ind w:right="2814"/>
        <w:jc w:val="both"/>
      </w:pPr>
      <w:r>
        <w:rPr>
          <w:rFonts w:ascii="Arial" w:eastAsia="Arial"/>
        </w:rPr>
        <w:t>Gilead/ Novartis/ BMS </w:t>
      </w:r>
      <w:r>
        <w:rPr/>
        <w:t>已经分别开展了 </w:t>
      </w:r>
      <w:r>
        <w:rPr>
          <w:rFonts w:ascii="Arial" w:eastAsia="Arial"/>
        </w:rPr>
        <w:t>Yescarta/ Kymriah/ Breyanzi </w:t>
      </w:r>
      <w:r>
        <w:rPr/>
        <w:t>在二线 </w:t>
      </w:r>
      <w:r>
        <w:rPr>
          <w:rFonts w:ascii="Arial" w:eastAsia="Arial"/>
        </w:rPr>
        <w:t>LBCL </w:t>
      </w:r>
      <w:r>
        <w:rPr/>
        <w:t>的临床试验，包括</w:t>
      </w:r>
      <w:r>
        <w:rPr>
          <w:rFonts w:ascii="Arial" w:eastAsia="Arial"/>
        </w:rPr>
        <w:t>ZUMA-7/ BELINDA/ TRANSFORM</w:t>
      </w:r>
      <w:r>
        <w:rPr/>
        <w:t>。三项研究的患者基线相似，均为 </w:t>
      </w:r>
      <w:r>
        <w:rPr>
          <w:rFonts w:ascii="Arial" w:eastAsia="Arial"/>
        </w:rPr>
        <w:t>LBCL </w:t>
      </w:r>
      <w:r>
        <w:rPr/>
        <w:t>一线治疗后复发或进展的患者，对照组均为标准二线挽救化疗联合自体造血干细胞移植。由于对照组在治疗无效后将接受</w:t>
      </w:r>
      <w:r>
        <w:rPr>
          <w:rFonts w:ascii="Arial" w:eastAsia="Arial"/>
        </w:rPr>
        <w:t>CAR-T </w:t>
      </w:r>
      <w:r>
        <w:rPr/>
        <w:t>治疗，因此</w:t>
      </w:r>
      <w:r>
        <w:rPr>
          <w:rFonts w:ascii="Arial" w:eastAsia="Arial"/>
        </w:rPr>
        <w:t>OS </w:t>
      </w:r>
      <w:r>
        <w:rPr/>
        <w:t>均不作为试验的主要终点。</w:t>
      </w:r>
    </w:p>
    <w:p>
      <w:pPr>
        <w:pStyle w:val="BodyText"/>
        <w:spacing w:line="288" w:lineRule="auto" w:before="117"/>
        <w:ind w:right="2809"/>
        <w:jc w:val="both"/>
      </w:pPr>
      <w:r>
        <w:rPr>
          <w:spacing w:val="-5"/>
        </w:rPr>
        <w:t>近期，上述三项研究分别公布结果，其中 </w:t>
      </w:r>
      <w:r>
        <w:rPr>
          <w:rFonts w:ascii="Arial" w:eastAsia="Arial"/>
        </w:rPr>
        <w:t>ZUMA-7</w:t>
      </w:r>
      <w:r>
        <w:rPr>
          <w:rFonts w:ascii="Arial" w:eastAsia="Arial"/>
          <w:spacing w:val="-3"/>
        </w:rPr>
        <w:t> </w:t>
      </w:r>
      <w:r>
        <w:rPr>
          <w:spacing w:val="5"/>
        </w:rPr>
        <w:t>和 </w:t>
      </w:r>
      <w:r>
        <w:rPr>
          <w:rFonts w:ascii="Arial" w:eastAsia="Arial"/>
        </w:rPr>
        <w:t>TRANSFORM</w:t>
      </w:r>
      <w:r>
        <w:rPr>
          <w:rFonts w:ascii="Arial" w:eastAsia="Arial"/>
          <w:spacing w:val="-7"/>
        </w:rPr>
        <w:t> </w:t>
      </w:r>
      <w:r>
        <w:rPr/>
        <w:t>研究均显示 </w:t>
      </w:r>
      <w:r>
        <w:rPr>
          <w:rFonts w:ascii="Arial" w:eastAsia="Arial"/>
        </w:rPr>
        <w:t>CAR-T </w:t>
      </w:r>
      <w:r>
        <w:rPr/>
        <w:t>治</w:t>
      </w:r>
      <w:r>
        <w:rPr>
          <w:spacing w:val="-3"/>
        </w:rPr>
        <w:t>疗优于标准治疗。</w:t>
      </w:r>
      <w:r>
        <w:rPr>
          <w:rFonts w:ascii="Arial" w:eastAsia="Arial"/>
        </w:rPr>
        <w:t>2022</w:t>
      </w:r>
      <w:r>
        <w:rPr>
          <w:rFonts w:ascii="Arial" w:eastAsia="Arial"/>
          <w:spacing w:val="-16"/>
        </w:rPr>
        <w:t> </w:t>
      </w:r>
      <w:r>
        <w:rPr>
          <w:spacing w:val="-3"/>
        </w:rPr>
        <w:t>年 </w:t>
      </w:r>
      <w:r>
        <w:rPr>
          <w:rFonts w:ascii="Arial" w:eastAsia="Arial"/>
        </w:rPr>
        <w:t>4</w:t>
      </w:r>
      <w:r>
        <w:rPr>
          <w:rFonts w:ascii="Arial" w:eastAsia="Arial"/>
          <w:spacing w:val="-21"/>
        </w:rPr>
        <w:t> </w:t>
      </w:r>
      <w:r>
        <w:rPr>
          <w:spacing w:val="-3"/>
        </w:rPr>
        <w:t>月 </w:t>
      </w:r>
      <w:r>
        <w:rPr>
          <w:rFonts w:ascii="Arial" w:eastAsia="Arial"/>
        </w:rPr>
        <w:t>1</w:t>
      </w:r>
      <w:r>
        <w:rPr>
          <w:rFonts w:ascii="Arial" w:eastAsia="Arial"/>
          <w:spacing w:val="-16"/>
        </w:rPr>
        <w:t> </w:t>
      </w:r>
      <w:r>
        <w:rPr>
          <w:spacing w:val="-3"/>
        </w:rPr>
        <w:t>日，</w:t>
      </w:r>
      <w:r>
        <w:rPr>
          <w:rFonts w:ascii="Arial" w:eastAsia="Arial"/>
        </w:rPr>
        <w:t>Yescarta</w:t>
      </w:r>
      <w:r>
        <w:rPr>
          <w:rFonts w:ascii="Arial" w:eastAsia="Arial"/>
          <w:spacing w:val="-15"/>
        </w:rPr>
        <w:t> </w:t>
      </w:r>
      <w:r>
        <w:rPr>
          <w:spacing w:val="38"/>
        </w:rPr>
        <w:t>获</w:t>
      </w:r>
      <w:r>
        <w:rPr>
          <w:rFonts w:ascii="Arial" w:eastAsia="Arial"/>
        </w:rPr>
        <w:t>FDA</w:t>
      </w:r>
      <w:r>
        <w:rPr>
          <w:rFonts w:ascii="Arial" w:eastAsia="Arial"/>
          <w:spacing w:val="-19"/>
        </w:rPr>
        <w:t> </w:t>
      </w:r>
      <w:r>
        <w:rPr/>
        <w:t>批准用于一线治疗失败的</w:t>
      </w:r>
      <w:r>
        <w:rPr>
          <w:rFonts w:ascii="Arial" w:eastAsia="Arial"/>
        </w:rPr>
        <w:t>r/r</w:t>
      </w:r>
      <w:r>
        <w:rPr>
          <w:rFonts w:ascii="Arial" w:eastAsia="Arial"/>
          <w:spacing w:val="-9"/>
        </w:rPr>
        <w:t> </w:t>
      </w:r>
      <w:r>
        <w:rPr>
          <w:rFonts w:ascii="Arial" w:eastAsia="Arial"/>
        </w:rPr>
        <w:t>LBCL</w:t>
      </w:r>
      <w:r>
        <w:rPr/>
        <w:t>。</w:t>
      </w:r>
      <w:r>
        <w:rPr>
          <w:rFonts w:ascii="Arial" w:eastAsia="Arial"/>
        </w:rPr>
        <w:t>2022</w:t>
      </w:r>
      <w:r>
        <w:rPr>
          <w:rFonts w:ascii="Arial" w:eastAsia="Arial"/>
          <w:spacing w:val="10"/>
        </w:rPr>
        <w:t> </w:t>
      </w:r>
      <w:r>
        <w:rPr>
          <w:spacing w:val="13"/>
        </w:rPr>
        <w:t>年 </w:t>
      </w:r>
      <w:r>
        <w:rPr>
          <w:rFonts w:ascii="Arial" w:eastAsia="Arial"/>
        </w:rPr>
        <w:t>6</w:t>
      </w:r>
      <w:r>
        <w:rPr>
          <w:rFonts w:ascii="Arial" w:eastAsia="Arial"/>
          <w:spacing w:val="11"/>
        </w:rPr>
        <w:t> </w:t>
      </w:r>
      <w:r>
        <w:rPr>
          <w:spacing w:val="13"/>
        </w:rPr>
        <w:t>月 </w:t>
      </w:r>
      <w:r>
        <w:rPr>
          <w:rFonts w:ascii="Arial" w:eastAsia="Arial"/>
        </w:rPr>
        <w:t>24</w:t>
      </w:r>
      <w:r>
        <w:rPr>
          <w:rFonts w:ascii="Arial" w:eastAsia="Arial"/>
          <w:spacing w:val="10"/>
        </w:rPr>
        <w:t> </w:t>
      </w:r>
      <w:r>
        <w:rPr/>
        <w:t>日，</w:t>
      </w:r>
      <w:r>
        <w:rPr>
          <w:rFonts w:ascii="Arial" w:eastAsia="Arial"/>
        </w:rPr>
        <w:t>BMS</w:t>
      </w:r>
      <w:r>
        <w:rPr>
          <w:rFonts w:ascii="Arial" w:eastAsia="Arial"/>
          <w:spacing w:val="8"/>
        </w:rPr>
        <w:t> </w:t>
      </w:r>
      <w:r>
        <w:rPr>
          <w:spacing w:val="7"/>
        </w:rPr>
        <w:t>宣布 </w:t>
      </w:r>
      <w:r>
        <w:rPr>
          <w:rFonts w:ascii="Arial" w:eastAsia="Arial"/>
        </w:rPr>
        <w:t>FDA</w:t>
      </w:r>
      <w:r>
        <w:rPr>
          <w:rFonts w:ascii="Arial" w:eastAsia="Arial"/>
          <w:spacing w:val="14"/>
        </w:rPr>
        <w:t> </w:t>
      </w:r>
      <w:r>
        <w:rPr>
          <w:spacing w:val="6"/>
        </w:rPr>
        <w:t>批准 </w:t>
      </w:r>
      <w:r>
        <w:rPr>
          <w:rFonts w:ascii="Arial" w:eastAsia="Arial"/>
        </w:rPr>
        <w:t>Breyanzi</w:t>
      </w:r>
      <w:r>
        <w:rPr>
          <w:rFonts w:ascii="Arial" w:eastAsia="Arial"/>
          <w:spacing w:val="12"/>
        </w:rPr>
        <w:t> </w:t>
      </w:r>
      <w:r>
        <w:rPr>
          <w:spacing w:val="-1"/>
        </w:rPr>
        <w:t>用于一线治疗失败的 </w:t>
      </w:r>
      <w:r>
        <w:rPr>
          <w:rFonts w:ascii="Arial" w:eastAsia="Arial"/>
        </w:rPr>
        <w:t>r/r</w:t>
      </w:r>
      <w:r>
        <w:rPr>
          <w:rFonts w:ascii="Arial" w:eastAsia="Arial"/>
          <w:spacing w:val="33"/>
        </w:rPr>
        <w:t> </w:t>
      </w:r>
      <w:r>
        <w:rPr>
          <w:rFonts w:ascii="Arial" w:eastAsia="Arial"/>
        </w:rPr>
        <w:t>LBCL</w:t>
      </w:r>
      <w:r>
        <w:rPr>
          <w:spacing w:val="-2"/>
        </w:rPr>
        <w:t>。然而</w:t>
      </w:r>
      <w:r>
        <w:rPr>
          <w:rFonts w:ascii="Arial" w:eastAsia="Arial"/>
          <w:spacing w:val="-2"/>
        </w:rPr>
        <w:t>Novartis</w:t>
      </w:r>
      <w:r>
        <w:rPr>
          <w:rFonts w:ascii="Arial" w:eastAsia="Arial"/>
          <w:spacing w:val="12"/>
        </w:rPr>
        <w:t> </w:t>
      </w:r>
      <w:r>
        <w:rPr>
          <w:spacing w:val="15"/>
        </w:rPr>
        <w:t>的 </w:t>
      </w:r>
      <w:r>
        <w:rPr>
          <w:rFonts w:ascii="Arial" w:eastAsia="Arial"/>
        </w:rPr>
        <w:t>BELINDA</w:t>
      </w:r>
      <w:r>
        <w:rPr>
          <w:rFonts w:ascii="Arial" w:eastAsia="Arial"/>
          <w:spacing w:val="17"/>
        </w:rPr>
        <w:t> </w:t>
      </w:r>
      <w:r>
        <w:rPr>
          <w:spacing w:val="-3"/>
        </w:rPr>
        <w:t>研究结果并不理想，在二线侵袭性 </w:t>
      </w:r>
      <w:r>
        <w:rPr>
          <w:rFonts w:ascii="Arial" w:eastAsia="Arial"/>
        </w:rPr>
        <w:t>B-NHL</w:t>
      </w:r>
      <w:r>
        <w:rPr>
          <w:rFonts w:ascii="Arial" w:eastAsia="Arial"/>
          <w:spacing w:val="16"/>
        </w:rPr>
        <w:t> </w:t>
      </w:r>
      <w:r>
        <w:rPr>
          <w:spacing w:val="-3"/>
        </w:rPr>
        <w:t>患者当中，</w:t>
      </w:r>
      <w:r>
        <w:rPr>
          <w:rFonts w:ascii="Arial" w:eastAsia="Arial"/>
        </w:rPr>
        <w:t>Kymriah</w:t>
      </w:r>
      <w:r>
        <w:rPr>
          <w:rFonts w:ascii="Arial" w:eastAsia="Arial"/>
          <w:spacing w:val="15"/>
        </w:rPr>
        <w:t> </w:t>
      </w:r>
      <w:r>
        <w:rPr>
          <w:spacing w:val="-5"/>
        </w:rPr>
        <w:t>对照</w:t>
      </w:r>
      <w:r>
        <w:rPr>
          <w:rFonts w:ascii="Arial" w:eastAsia="Arial"/>
        </w:rPr>
        <w:t>SOC</w:t>
      </w:r>
      <w:r>
        <w:rPr>
          <w:rFonts w:ascii="Arial" w:eastAsia="Arial"/>
          <w:spacing w:val="-11"/>
        </w:rPr>
        <w:t> </w:t>
      </w:r>
      <w:r>
        <w:rPr>
          <w:spacing w:val="-2"/>
        </w:rPr>
        <w:t>未能体现统计学差异的临床获益，未达到</w:t>
      </w:r>
      <w:r>
        <w:rPr>
          <w:rFonts w:ascii="Arial" w:eastAsia="Arial"/>
        </w:rPr>
        <w:t>EFS</w:t>
      </w:r>
      <w:r>
        <w:rPr>
          <w:rFonts w:ascii="Arial" w:eastAsia="Arial"/>
          <w:spacing w:val="-8"/>
        </w:rPr>
        <w:t> </w:t>
      </w:r>
      <w:r>
        <w:rPr>
          <w:spacing w:val="5"/>
        </w:rPr>
        <w:t>的主要终点和</w:t>
      </w:r>
      <w:r>
        <w:rPr>
          <w:rFonts w:ascii="Arial" w:eastAsia="Arial"/>
        </w:rPr>
        <w:t>ORR</w:t>
      </w:r>
      <w:r>
        <w:rPr>
          <w:rFonts w:ascii="Arial" w:eastAsia="Arial"/>
          <w:spacing w:val="-10"/>
        </w:rPr>
        <w:t> </w:t>
      </w:r>
      <w:r>
        <w:rPr>
          <w:spacing w:val="-3"/>
        </w:rPr>
        <w:t>的次要终点。</w:t>
      </w:r>
    </w:p>
    <w:p>
      <w:pPr>
        <w:pStyle w:val="BodyText"/>
        <w:spacing w:line="288" w:lineRule="auto" w:before="118"/>
        <w:ind w:right="2808"/>
        <w:jc w:val="both"/>
      </w:pPr>
      <w:r>
        <w:rPr>
          <w:rFonts w:ascii="Arial" w:eastAsia="Arial"/>
        </w:rPr>
        <w:t>ZUMA-7 </w:t>
      </w:r>
      <w:r>
        <w:rPr>
          <w:spacing w:val="-1"/>
        </w:rPr>
        <w:t>研究入组 </w:t>
      </w:r>
      <w:r>
        <w:rPr>
          <w:rFonts w:ascii="Arial" w:eastAsia="Arial"/>
        </w:rPr>
        <w:t>359 </w:t>
      </w:r>
      <w:r>
        <w:rPr>
          <w:spacing w:val="4"/>
        </w:rPr>
        <w:t>例患者， </w:t>
      </w:r>
      <w:r>
        <w:rPr>
          <w:rFonts w:ascii="Arial" w:eastAsia="Arial"/>
        </w:rPr>
        <w:t>CAR-T </w:t>
      </w:r>
      <w:r>
        <w:rPr>
          <w:spacing w:val="-5"/>
        </w:rPr>
        <w:t>治疗组不接受化疗作为桥接治疗，</w:t>
      </w:r>
      <w:r>
        <w:rPr>
          <w:rFonts w:ascii="Arial" w:eastAsia="Arial"/>
        </w:rPr>
        <w:t>94%</w:t>
      </w:r>
      <w:r>
        <w:rPr>
          <w:spacing w:val="-2"/>
        </w:rPr>
        <w:t>的患者接受</w:t>
      </w:r>
      <w:r>
        <w:rPr>
          <w:spacing w:val="4"/>
        </w:rPr>
        <w:t>了预期的 </w:t>
      </w:r>
      <w:r>
        <w:rPr>
          <w:rFonts w:ascii="Arial" w:eastAsia="Arial"/>
        </w:rPr>
        <w:t>CAR-T </w:t>
      </w:r>
      <w:r>
        <w:rPr>
          <w:spacing w:val="-3"/>
        </w:rPr>
        <w:t>细胞治疗，从抽取外周血到输注的中位时间为 </w:t>
      </w:r>
      <w:r>
        <w:rPr>
          <w:rFonts w:ascii="Arial" w:eastAsia="Arial"/>
        </w:rPr>
        <w:t>29 </w:t>
      </w:r>
      <w:r>
        <w:rPr>
          <w:spacing w:val="-3"/>
        </w:rPr>
        <w:t>天。</w:t>
      </w:r>
      <w:r>
        <w:rPr>
          <w:rFonts w:ascii="Arial" w:eastAsia="Arial"/>
        </w:rPr>
        <w:t>CAR-T </w:t>
      </w:r>
      <w:r>
        <w:rPr>
          <w:spacing w:val="10"/>
        </w:rPr>
        <w:t>组的 </w:t>
      </w:r>
      <w:r>
        <w:rPr>
          <w:rFonts w:ascii="Arial" w:eastAsia="Arial"/>
        </w:rPr>
        <w:t>ORR </w:t>
      </w:r>
      <w:r>
        <w:rPr>
          <w:spacing w:val="-2"/>
        </w:rPr>
        <w:t>和 </w:t>
      </w:r>
      <w:r>
        <w:rPr>
          <w:rFonts w:ascii="Arial" w:eastAsia="Arial"/>
        </w:rPr>
        <w:t>CR</w:t>
      </w:r>
      <w:r>
        <w:rPr>
          <w:rFonts w:ascii="Arial" w:eastAsia="Arial"/>
          <w:spacing w:val="1"/>
        </w:rPr>
        <w:t> (</w:t>
      </w:r>
      <w:r>
        <w:rPr>
          <w:rFonts w:ascii="Arial" w:eastAsia="Arial"/>
        </w:rPr>
        <w:t>83%</w:t>
      </w:r>
      <w:r>
        <w:rPr>
          <w:spacing w:val="-2"/>
        </w:rPr>
        <w:t>和 </w:t>
      </w:r>
      <w:r>
        <w:rPr>
          <w:rFonts w:ascii="Arial" w:eastAsia="Arial"/>
        </w:rPr>
        <w:t>65%</w:t>
      </w:r>
      <w:r>
        <w:rPr>
          <w:rFonts w:ascii="Arial" w:eastAsia="Arial"/>
          <w:spacing w:val="2"/>
        </w:rPr>
        <w:t>) </w:t>
      </w:r>
      <w:r>
        <w:rPr>
          <w:spacing w:val="-2"/>
        </w:rPr>
        <w:t>均显著高于 </w:t>
      </w:r>
      <w:r>
        <w:rPr>
          <w:rFonts w:ascii="Arial" w:eastAsia="Arial"/>
        </w:rPr>
        <w:t>SOC </w:t>
      </w:r>
      <w:r>
        <w:rPr>
          <w:spacing w:val="1"/>
        </w:rPr>
        <w:t>组 </w:t>
      </w:r>
      <w:r>
        <w:rPr>
          <w:rFonts w:ascii="Arial" w:eastAsia="Arial"/>
        </w:rPr>
        <w:t>(50%</w:t>
      </w:r>
      <w:r>
        <w:rPr>
          <w:spacing w:val="-1"/>
        </w:rPr>
        <w:t>和 </w:t>
      </w:r>
      <w:r>
        <w:rPr>
          <w:rFonts w:ascii="Arial" w:eastAsia="Arial"/>
        </w:rPr>
        <w:t>32%)</w:t>
      </w:r>
      <w:r>
        <w:rPr>
          <w:spacing w:val="-2"/>
        </w:rPr>
        <w:t>。中位随访期 </w:t>
      </w:r>
      <w:r>
        <w:rPr>
          <w:rFonts w:ascii="Arial" w:eastAsia="Arial"/>
        </w:rPr>
        <w:t>24.9 </w:t>
      </w:r>
      <w:r>
        <w:rPr/>
        <w:t>个月，</w:t>
      </w:r>
      <w:r>
        <w:rPr>
          <w:rFonts w:ascii="Arial" w:eastAsia="Arial"/>
        </w:rPr>
        <w:t>CAR-T </w:t>
      </w:r>
      <w:r>
        <w:rPr/>
        <w:t>和</w:t>
      </w:r>
      <w:r>
        <w:rPr>
          <w:rFonts w:ascii="Arial" w:eastAsia="Arial"/>
        </w:rPr>
        <w:t>SOC </w:t>
      </w:r>
      <w:r>
        <w:rPr/>
        <w:t>的主要终点 </w:t>
      </w:r>
      <w:r>
        <w:rPr>
          <w:rFonts w:ascii="Arial" w:eastAsia="Arial"/>
        </w:rPr>
        <w:t>EFS </w:t>
      </w:r>
      <w:r>
        <w:rPr>
          <w:spacing w:val="-3"/>
        </w:rPr>
        <w:t>存在显著差异，</w:t>
      </w:r>
      <w:r>
        <w:rPr>
          <w:rFonts w:ascii="Arial" w:eastAsia="Arial"/>
        </w:rPr>
        <w:t>CAR-T </w:t>
      </w:r>
      <w:r>
        <w:rPr>
          <w:spacing w:val="-5"/>
        </w:rPr>
        <w:t>组</w:t>
      </w:r>
      <w:r>
        <w:rPr>
          <w:rFonts w:ascii="Arial" w:eastAsia="Arial"/>
        </w:rPr>
        <w:t>/SOC </w:t>
      </w:r>
      <w:r>
        <w:rPr>
          <w:spacing w:val="3"/>
        </w:rPr>
        <w:t>组的 </w:t>
      </w:r>
      <w:r>
        <w:rPr>
          <w:rFonts w:ascii="Arial" w:eastAsia="Arial"/>
        </w:rPr>
        <w:t>mEFS </w:t>
      </w:r>
      <w:r>
        <w:rPr>
          <w:spacing w:val="2"/>
        </w:rPr>
        <w:t>分别为 </w:t>
      </w:r>
      <w:r>
        <w:rPr>
          <w:rFonts w:ascii="Arial" w:eastAsia="Arial"/>
        </w:rPr>
        <w:t>8.3 </w:t>
      </w:r>
      <w:r>
        <w:rPr>
          <w:spacing w:val="-3"/>
        </w:rPr>
        <w:t>个月</w:t>
      </w:r>
      <w:r>
        <w:rPr>
          <w:rFonts w:ascii="Arial" w:eastAsia="Arial"/>
        </w:rPr>
        <w:t>/ 2.0 </w:t>
      </w:r>
      <w:r>
        <w:rPr/>
        <w:t>个月，</w:t>
      </w:r>
      <w:r>
        <w:rPr>
          <w:rFonts w:ascii="Arial" w:eastAsia="Arial"/>
        </w:rPr>
        <w:t>24 </w:t>
      </w:r>
      <w:r>
        <w:rPr>
          <w:spacing w:val="15"/>
        </w:rPr>
        <w:t>个月的</w:t>
      </w:r>
      <w:r>
        <w:rPr>
          <w:rFonts w:ascii="Arial" w:eastAsia="Arial"/>
        </w:rPr>
        <w:t>EFS </w:t>
      </w:r>
      <w:r>
        <w:rPr>
          <w:spacing w:val="-3"/>
        </w:rPr>
        <w:t>率分别为 </w:t>
      </w:r>
      <w:r>
        <w:rPr>
          <w:rFonts w:ascii="Arial" w:eastAsia="Arial"/>
        </w:rPr>
        <w:t>40.5%/ 16.3%</w:t>
      </w:r>
      <w:r>
        <w:rPr/>
        <w:t>。</w:t>
      </w:r>
    </w:p>
    <w:p>
      <w:pPr>
        <w:pStyle w:val="BodyText"/>
        <w:spacing w:line="288" w:lineRule="auto" w:before="117"/>
        <w:ind w:right="2809"/>
        <w:jc w:val="both"/>
      </w:pPr>
      <w:r>
        <w:rPr>
          <w:rFonts w:ascii="Arial" w:eastAsia="Arial"/>
        </w:rPr>
        <w:t>TRANSFORM </w:t>
      </w:r>
      <w:r>
        <w:rPr/>
        <w:t>研究入组 </w:t>
      </w:r>
      <w:r>
        <w:rPr>
          <w:rFonts w:ascii="Arial" w:eastAsia="Arial"/>
        </w:rPr>
        <w:t>184 </w:t>
      </w:r>
      <w:r>
        <w:rPr/>
        <w:t>例患者，</w:t>
      </w:r>
      <w:r>
        <w:rPr>
          <w:rFonts w:ascii="Arial" w:eastAsia="Arial"/>
        </w:rPr>
        <w:t>CAR-T </w:t>
      </w:r>
      <w:r>
        <w:rPr/>
        <w:t>组 </w:t>
      </w:r>
      <w:r>
        <w:rPr>
          <w:rFonts w:ascii="Arial" w:eastAsia="Arial"/>
        </w:rPr>
        <w:t>63%</w:t>
      </w:r>
      <w:r>
        <w:rPr/>
        <w:t>的患者接受了一个周期的桥接化疗， </w:t>
      </w:r>
      <w:r>
        <w:rPr>
          <w:rFonts w:ascii="Arial" w:eastAsia="Arial"/>
        </w:rPr>
        <w:t>97.8%</w:t>
      </w:r>
      <w:r>
        <w:rPr/>
        <w:t>的患者接受了预期的 </w:t>
      </w:r>
      <w:r>
        <w:rPr>
          <w:rFonts w:ascii="Arial" w:eastAsia="Arial"/>
        </w:rPr>
        <w:t>CAR-T </w:t>
      </w:r>
      <w:r>
        <w:rPr/>
        <w:t>细胞治疗。</w:t>
      </w:r>
      <w:r>
        <w:rPr>
          <w:rFonts w:ascii="Arial" w:eastAsia="Arial"/>
        </w:rPr>
        <w:t>Breyanzi </w:t>
      </w:r>
      <w:r>
        <w:rPr/>
        <w:t>组的 </w:t>
      </w:r>
      <w:r>
        <w:rPr>
          <w:rFonts w:ascii="Arial" w:eastAsia="Arial"/>
        </w:rPr>
        <w:t>ORR </w:t>
      </w:r>
      <w:r>
        <w:rPr/>
        <w:t>和 </w:t>
      </w:r>
      <w:r>
        <w:rPr>
          <w:rFonts w:ascii="Arial" w:eastAsia="Arial"/>
        </w:rPr>
        <w:t>CR (86%</w:t>
      </w:r>
      <w:r>
        <w:rPr/>
        <w:t>和 </w:t>
      </w:r>
      <w:r>
        <w:rPr>
          <w:rFonts w:ascii="Arial" w:eastAsia="Arial"/>
        </w:rPr>
        <w:t>66%) </w:t>
      </w:r>
      <w:r>
        <w:rPr/>
        <w:t>显著高于标准治疗组 </w:t>
      </w:r>
      <w:r>
        <w:rPr>
          <w:rFonts w:ascii="Arial" w:eastAsia="Arial"/>
        </w:rPr>
        <w:t>(48%</w:t>
      </w:r>
      <w:r>
        <w:rPr/>
        <w:t>和 </w:t>
      </w:r>
      <w:r>
        <w:rPr>
          <w:rFonts w:ascii="Arial" w:eastAsia="Arial"/>
        </w:rPr>
        <w:t>39%)</w:t>
      </w:r>
      <w:r>
        <w:rPr/>
        <w:t>。在中位随访 </w:t>
      </w:r>
      <w:r>
        <w:rPr>
          <w:rFonts w:ascii="Arial" w:eastAsia="Arial"/>
        </w:rPr>
        <w:t>6.2 </w:t>
      </w:r>
      <w:r>
        <w:rPr/>
        <w:t>个月时进行中期分析</w:t>
      </w:r>
      <w:r>
        <w:rPr>
          <w:rFonts w:ascii="Arial" w:eastAsia="Arial"/>
        </w:rPr>
        <w:t>CAR-T </w:t>
      </w:r>
      <w:r>
        <w:rPr/>
        <w:t>组</w:t>
      </w:r>
      <w:r>
        <w:rPr>
          <w:rFonts w:ascii="Arial" w:eastAsia="Arial"/>
        </w:rPr>
        <w:t>/ SOC </w:t>
      </w:r>
      <w:r>
        <w:rPr/>
        <w:t>组的 </w:t>
      </w:r>
      <w:r>
        <w:rPr>
          <w:rFonts w:ascii="Arial" w:eastAsia="Arial"/>
        </w:rPr>
        <w:t>mEFS </w:t>
      </w:r>
      <w:r>
        <w:rPr/>
        <w:t>分别为 </w:t>
      </w:r>
      <w:r>
        <w:rPr>
          <w:rFonts w:ascii="Arial" w:eastAsia="Arial"/>
        </w:rPr>
        <w:t>10.1 </w:t>
      </w:r>
      <w:r>
        <w:rPr/>
        <w:t>个月和 </w:t>
      </w:r>
      <w:r>
        <w:rPr>
          <w:rFonts w:ascii="Arial" w:eastAsia="Arial"/>
        </w:rPr>
        <w:t>2.3 </w:t>
      </w:r>
      <w:r>
        <w:rPr/>
        <w:t>个月，</w:t>
      </w:r>
      <w:r>
        <w:rPr>
          <w:rFonts w:ascii="Arial" w:eastAsia="Arial"/>
        </w:rPr>
        <w:t>6 </w:t>
      </w:r>
      <w:r>
        <w:rPr/>
        <w:t>个月 </w:t>
      </w:r>
      <w:r>
        <w:rPr>
          <w:rFonts w:ascii="Arial" w:eastAsia="Arial"/>
        </w:rPr>
        <w:t>EFS </w:t>
      </w:r>
      <w:r>
        <w:rPr/>
        <w:t>率分别为 </w:t>
      </w:r>
      <w:r>
        <w:rPr>
          <w:rFonts w:ascii="Arial" w:eastAsia="Arial"/>
        </w:rPr>
        <w:t>63%/ 33%</w:t>
      </w:r>
      <w:r>
        <w:rPr/>
        <w:t>，</w:t>
      </w:r>
      <w:r>
        <w:rPr>
          <w:rFonts w:ascii="Arial" w:eastAsia="Arial"/>
        </w:rPr>
        <w:t>12 </w:t>
      </w:r>
      <w:r>
        <w:rPr/>
        <w:t>个月 </w:t>
      </w:r>
      <w:r>
        <w:rPr>
          <w:rFonts w:ascii="Arial" w:eastAsia="Arial"/>
        </w:rPr>
        <w:t>EFS </w:t>
      </w:r>
      <w:r>
        <w:rPr/>
        <w:t>率分别为 </w:t>
      </w:r>
      <w:r>
        <w:rPr>
          <w:rFonts w:ascii="Arial" w:eastAsia="Arial"/>
        </w:rPr>
        <w:t>45%</w:t>
      </w:r>
      <w:r>
        <w:rPr/>
        <w:t>和 </w:t>
      </w:r>
      <w:r>
        <w:rPr>
          <w:rFonts w:ascii="Arial" w:eastAsia="Arial"/>
        </w:rPr>
        <w:t>24%</w:t>
      </w:r>
      <w:r>
        <w:rPr/>
        <w:t>。</w:t>
      </w:r>
    </w:p>
    <w:p>
      <w:pPr>
        <w:pStyle w:val="BodyText"/>
        <w:spacing w:before="118"/>
        <w:jc w:val="both"/>
        <w:rPr>
          <w:rFonts w:ascii="Arial" w:eastAsia="Arial"/>
        </w:rPr>
      </w:pPr>
      <w:r>
        <w:rPr>
          <w:rFonts w:ascii="Arial" w:eastAsia="Arial"/>
        </w:rPr>
        <w:t>BELINDA</w:t>
      </w:r>
      <w:r>
        <w:rPr>
          <w:rFonts w:ascii="Arial" w:eastAsia="Arial"/>
          <w:spacing w:val="14"/>
        </w:rPr>
        <w:t> </w:t>
      </w:r>
      <w:r>
        <w:rPr>
          <w:spacing w:val="5"/>
        </w:rPr>
        <w:t>研究入组 </w:t>
      </w:r>
      <w:r>
        <w:rPr>
          <w:rFonts w:ascii="Arial" w:eastAsia="Arial"/>
        </w:rPr>
        <w:t>322</w:t>
      </w:r>
      <w:r>
        <w:rPr>
          <w:rFonts w:ascii="Arial" w:eastAsia="Arial"/>
          <w:spacing w:val="12"/>
        </w:rPr>
        <w:t> </w:t>
      </w:r>
      <w:r>
        <w:rPr>
          <w:spacing w:val="-2"/>
        </w:rPr>
        <w:t>例患者，</w:t>
      </w:r>
      <w:r>
        <w:rPr>
          <w:rFonts w:ascii="Arial" w:eastAsia="Arial"/>
        </w:rPr>
        <w:t>Kymriah</w:t>
      </w:r>
      <w:r>
        <w:rPr>
          <w:rFonts w:ascii="Arial" w:eastAsia="Arial"/>
          <w:spacing w:val="12"/>
        </w:rPr>
        <w:t> </w:t>
      </w:r>
      <w:r>
        <w:rPr>
          <w:spacing w:val="7"/>
        </w:rPr>
        <w:t>治疗组 </w:t>
      </w:r>
      <w:r>
        <w:rPr>
          <w:rFonts w:ascii="Arial" w:eastAsia="Arial"/>
          <w:spacing w:val="-4"/>
        </w:rPr>
        <w:t>83%</w:t>
      </w:r>
      <w:r>
        <w:rPr>
          <w:spacing w:val="-2"/>
        </w:rPr>
        <w:t>的患者接受了桥接化疗，其中 </w:t>
      </w:r>
      <w:r>
        <w:rPr>
          <w:rFonts w:ascii="Arial" w:eastAsia="Arial"/>
          <w:spacing w:val="-2"/>
        </w:rPr>
        <w:t>48%</w:t>
      </w:r>
    </w:p>
    <w:p>
      <w:pPr>
        <w:pStyle w:val="BodyText"/>
        <w:spacing w:before="57"/>
        <w:jc w:val="both"/>
        <w:rPr>
          <w:rFonts w:ascii="Arial" w:eastAsia="Arial"/>
        </w:rPr>
      </w:pPr>
      <w:r>
        <w:rPr>
          <w:spacing w:val="-2"/>
        </w:rPr>
        <w:t>接受了</w:t>
      </w:r>
      <w:r>
        <w:rPr>
          <w:rFonts w:ascii="Arial" w:eastAsia="Arial"/>
        </w:rPr>
        <w:t>&gt; 1</w:t>
      </w:r>
      <w:r>
        <w:rPr>
          <w:rFonts w:ascii="Arial" w:eastAsia="Arial"/>
          <w:spacing w:val="-3"/>
        </w:rPr>
        <w:t> </w:t>
      </w:r>
      <w:r>
        <w:rPr>
          <w:spacing w:val="-3"/>
        </w:rPr>
        <w:t>个周期的治疗，</w:t>
      </w:r>
      <w:r>
        <w:rPr>
          <w:rFonts w:ascii="Arial" w:eastAsia="Arial"/>
        </w:rPr>
        <w:t>12%</w:t>
      </w:r>
      <w:r>
        <w:rPr>
          <w:spacing w:val="-2"/>
        </w:rPr>
        <w:t>接受了</w:t>
      </w:r>
      <w:r>
        <w:rPr>
          <w:rFonts w:ascii="Arial" w:eastAsia="Arial"/>
        </w:rPr>
        <w:t>&gt; 1</w:t>
      </w:r>
      <w:r>
        <w:rPr>
          <w:rFonts w:ascii="Arial" w:eastAsia="Arial"/>
          <w:spacing w:val="-3"/>
        </w:rPr>
        <w:t> </w:t>
      </w:r>
      <w:r>
        <w:rPr>
          <w:spacing w:val="-4"/>
        </w:rPr>
        <w:t>个方案的治疗。</w:t>
      </w:r>
      <w:r>
        <w:rPr>
          <w:rFonts w:ascii="Arial" w:eastAsia="Arial"/>
        </w:rPr>
        <w:t>95.7%</w:t>
      </w:r>
      <w:r>
        <w:rPr>
          <w:spacing w:val="2"/>
        </w:rPr>
        <w:t>的患者接受了预期的</w:t>
      </w:r>
      <w:r>
        <w:rPr>
          <w:rFonts w:ascii="Arial" w:eastAsia="Arial"/>
        </w:rPr>
        <w:t>CAR-</w:t>
      </w:r>
    </w:p>
    <w:p>
      <w:pPr>
        <w:spacing w:after="0"/>
        <w:jc w:val="both"/>
        <w:rPr>
          <w:rFonts w:ascii="Arial" w:eastAsia="Arial"/>
        </w:rPr>
        <w:sectPr>
          <w:pgSz w:w="11910" w:h="16840"/>
          <w:pgMar w:header="682" w:footer="358" w:top="1380" w:bottom="540" w:left="640" w:right="300"/>
        </w:sectPr>
      </w:pPr>
    </w:p>
    <w:p>
      <w:pPr>
        <w:pStyle w:val="BodyText"/>
        <w:spacing w:before="10"/>
        <w:ind w:left="0"/>
        <w:rPr>
          <w:rFonts w:ascii="Arial"/>
          <w:sz w:val="14"/>
        </w:rPr>
      </w:pPr>
    </w:p>
    <w:p>
      <w:pPr>
        <w:pStyle w:val="BodyText"/>
        <w:spacing w:before="99"/>
      </w:pPr>
      <w:r>
        <w:rPr>
          <w:rFonts w:ascii="Arial" w:eastAsia="Arial"/>
        </w:rPr>
        <w:t>T </w:t>
      </w:r>
      <w:r>
        <w:rPr/>
        <w:t>细胞治疗，从抽取外周血到输注的中位时间为 </w:t>
      </w:r>
      <w:r>
        <w:rPr>
          <w:rFonts w:ascii="Arial" w:eastAsia="Arial"/>
        </w:rPr>
        <w:t>52 </w:t>
      </w:r>
      <w:r>
        <w:rPr/>
        <w:t>天。</w:t>
      </w:r>
      <w:r>
        <w:rPr>
          <w:rFonts w:ascii="Arial" w:eastAsia="Arial"/>
        </w:rPr>
        <w:t>Kymriah </w:t>
      </w:r>
      <w:r>
        <w:rPr/>
        <w:t>组与 </w:t>
      </w:r>
      <w:r>
        <w:rPr>
          <w:rFonts w:ascii="Arial" w:eastAsia="Arial"/>
        </w:rPr>
        <w:t>SOC </w:t>
      </w:r>
      <w:r>
        <w:rPr/>
        <w:t>组的 </w:t>
      </w:r>
      <w:r>
        <w:rPr>
          <w:rFonts w:ascii="Arial" w:eastAsia="Arial"/>
        </w:rPr>
        <w:t>ORR </w:t>
      </w:r>
      <w:r>
        <w:rPr/>
        <w:t>和</w:t>
      </w:r>
    </w:p>
    <w:p>
      <w:pPr>
        <w:spacing w:line="350" w:lineRule="auto" w:before="56"/>
        <w:ind w:left="210" w:right="4595" w:firstLine="0"/>
        <w:jc w:val="left"/>
        <w:rPr>
          <w:rFonts w:ascii="Microsoft JhengHei UI" w:eastAsia="Microsoft JhengHei UI" w:hint="eastAsia"/>
          <w:b/>
          <w:sz w:val="20"/>
        </w:rPr>
      </w:pPr>
      <w:r>
        <w:rPr/>
        <w:pict>
          <v:shape style="position:absolute;margin-left:42.504002pt;margin-top:41.149971pt;width:398.35pt;height:194.7pt;mso-position-horizontal-relative:page;mso-position-vertical-relative:paragraph;z-index:15743488" type="#_x0000_t202" filled="false" stroked="false">
            <v:textbox inset="0,0,0,0">
              <w:txbxContent>
                <w:tbl>
                  <w:tblPr>
                    <w:tblW w:w="0" w:type="auto"/>
                    <w:jc w:val="left"/>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74"/>
                    <w:gridCol w:w="1537"/>
                    <w:gridCol w:w="826"/>
                    <w:gridCol w:w="1181"/>
                    <w:gridCol w:w="1181"/>
                    <w:gridCol w:w="1186"/>
                    <w:gridCol w:w="1181"/>
                  </w:tblGrid>
                  <w:tr>
                    <w:trPr>
                      <w:trHeight w:val="258" w:hRule="atLeast"/>
                    </w:trPr>
                    <w:tc>
                      <w:tcPr>
                        <w:tcW w:w="874" w:type="dxa"/>
                        <w:tcBorders>
                          <w:left w:val="nil"/>
                          <w:bottom w:val="single" w:sz="4" w:space="0" w:color="000000"/>
                          <w:right w:val="single" w:sz="4" w:space="0" w:color="000000"/>
                        </w:tcBorders>
                        <w:shd w:val="clear" w:color="auto" w:fill="C00000"/>
                      </w:tcPr>
                      <w:p>
                        <w:pPr>
                          <w:pStyle w:val="TableParagraph"/>
                          <w:spacing w:line="238" w:lineRule="exact"/>
                          <w:ind w:left="110"/>
                          <w:rPr>
                            <w:rFonts w:ascii="Microsoft JhengHei UI" w:eastAsia="Microsoft JhengHei UI" w:hint="eastAsia"/>
                            <w:b/>
                            <w:sz w:val="16"/>
                          </w:rPr>
                        </w:pPr>
                        <w:r>
                          <w:rPr>
                            <w:rFonts w:ascii="Microsoft JhengHei UI" w:eastAsia="Microsoft JhengHei UI" w:hint="eastAsia"/>
                            <w:b/>
                            <w:color w:val="FFFFFF"/>
                            <w:sz w:val="16"/>
                          </w:rPr>
                          <w:t>临床研究</w:t>
                        </w:r>
                      </w:p>
                    </w:tc>
                    <w:tc>
                      <w:tcPr>
                        <w:tcW w:w="2363" w:type="dxa"/>
                        <w:gridSpan w:val="2"/>
                        <w:tcBorders>
                          <w:left w:val="single" w:sz="4" w:space="0" w:color="000000"/>
                          <w:bottom w:val="nil"/>
                          <w:right w:val="single" w:sz="4" w:space="0" w:color="000000"/>
                        </w:tcBorders>
                        <w:shd w:val="clear" w:color="auto" w:fill="C00000"/>
                      </w:tcPr>
                      <w:p>
                        <w:pPr>
                          <w:pStyle w:val="TableParagraph"/>
                          <w:spacing w:before="36"/>
                          <w:ind w:left="105"/>
                          <w:rPr>
                            <w:b/>
                            <w:sz w:val="16"/>
                          </w:rPr>
                        </w:pPr>
                        <w:r>
                          <w:rPr>
                            <w:b/>
                            <w:color w:val="FFFFFF"/>
                            <w:sz w:val="16"/>
                          </w:rPr>
                          <w:t>ZUMA-7</w:t>
                        </w:r>
                      </w:p>
                    </w:tc>
                    <w:tc>
                      <w:tcPr>
                        <w:tcW w:w="2362" w:type="dxa"/>
                        <w:gridSpan w:val="2"/>
                        <w:tcBorders>
                          <w:left w:val="single" w:sz="4" w:space="0" w:color="000000"/>
                          <w:bottom w:val="nil"/>
                          <w:right w:val="single" w:sz="4" w:space="0" w:color="000000"/>
                        </w:tcBorders>
                        <w:shd w:val="clear" w:color="auto" w:fill="C00000"/>
                      </w:tcPr>
                      <w:p>
                        <w:pPr>
                          <w:pStyle w:val="TableParagraph"/>
                          <w:spacing w:before="36"/>
                          <w:ind w:left="105"/>
                          <w:rPr>
                            <w:b/>
                            <w:sz w:val="16"/>
                          </w:rPr>
                        </w:pPr>
                        <w:r>
                          <w:rPr>
                            <w:b/>
                            <w:color w:val="FFFFFF"/>
                            <w:sz w:val="16"/>
                          </w:rPr>
                          <w:t>BELINDA</w:t>
                        </w:r>
                      </w:p>
                    </w:tc>
                    <w:tc>
                      <w:tcPr>
                        <w:tcW w:w="2367" w:type="dxa"/>
                        <w:gridSpan w:val="2"/>
                        <w:tcBorders>
                          <w:left w:val="single" w:sz="4" w:space="0" w:color="000000"/>
                          <w:bottom w:val="nil"/>
                          <w:right w:val="nil"/>
                        </w:tcBorders>
                        <w:shd w:val="clear" w:color="auto" w:fill="C00000"/>
                      </w:tcPr>
                      <w:p>
                        <w:pPr>
                          <w:pStyle w:val="TableParagraph"/>
                          <w:spacing w:before="36"/>
                          <w:ind w:left="105"/>
                          <w:rPr>
                            <w:b/>
                            <w:sz w:val="16"/>
                          </w:rPr>
                        </w:pPr>
                        <w:r>
                          <w:rPr>
                            <w:b/>
                            <w:color w:val="FFFFFF"/>
                            <w:sz w:val="16"/>
                          </w:rPr>
                          <w:t>TRANSFORM</w:t>
                        </w:r>
                      </w:p>
                    </w:tc>
                  </w:tr>
                  <w:tr>
                    <w:trPr>
                      <w:trHeight w:val="263" w:hRule="atLeast"/>
                    </w:trPr>
                    <w:tc>
                      <w:tcPr>
                        <w:tcW w:w="874" w:type="dxa"/>
                        <w:tcBorders>
                          <w:top w:val="single" w:sz="4" w:space="0" w:color="000000"/>
                          <w:left w:val="nil"/>
                          <w:bottom w:val="single" w:sz="4" w:space="0" w:color="000000"/>
                          <w:right w:val="single" w:sz="4" w:space="0" w:color="000000"/>
                        </w:tcBorders>
                        <w:shd w:val="clear" w:color="auto" w:fill="F8CAAC"/>
                      </w:tcPr>
                      <w:p>
                        <w:pPr>
                          <w:pStyle w:val="TableParagraph"/>
                          <w:spacing w:before="12"/>
                          <w:ind w:left="110"/>
                          <w:rPr>
                            <w:rFonts w:ascii="PMingLiU" w:eastAsia="PMingLiU" w:hint="eastAsia"/>
                            <w:sz w:val="16"/>
                          </w:rPr>
                        </w:pPr>
                        <w:r>
                          <w:rPr>
                            <w:rFonts w:ascii="PMingLiU" w:eastAsia="PMingLiU" w:hint="eastAsia"/>
                            <w:sz w:val="16"/>
                          </w:rPr>
                          <w:t>疗法</w:t>
                        </w:r>
                      </w:p>
                    </w:tc>
                    <w:tc>
                      <w:tcPr>
                        <w:tcW w:w="1537" w:type="dxa"/>
                        <w:tcBorders>
                          <w:top w:val="nil"/>
                          <w:left w:val="single" w:sz="4" w:space="0" w:color="000000"/>
                          <w:bottom w:val="single" w:sz="4" w:space="0" w:color="000000"/>
                          <w:right w:val="dashSmallGap" w:sz="4" w:space="0" w:color="000000"/>
                        </w:tcBorders>
                        <w:shd w:val="clear" w:color="auto" w:fill="F8CAAC"/>
                      </w:tcPr>
                      <w:p>
                        <w:pPr>
                          <w:pStyle w:val="TableParagraph"/>
                          <w:spacing w:before="41"/>
                          <w:ind w:left="105"/>
                          <w:rPr>
                            <w:sz w:val="16"/>
                          </w:rPr>
                        </w:pPr>
                        <w:r>
                          <w:rPr>
                            <w:sz w:val="16"/>
                          </w:rPr>
                          <w:t>Yescarta</w:t>
                        </w:r>
                      </w:p>
                    </w:tc>
                    <w:tc>
                      <w:tcPr>
                        <w:tcW w:w="826" w:type="dxa"/>
                        <w:tcBorders>
                          <w:top w:val="nil"/>
                          <w:left w:val="dashSmallGap" w:sz="4" w:space="0" w:color="000000"/>
                          <w:bottom w:val="single" w:sz="4" w:space="0" w:color="000000"/>
                          <w:right w:val="single" w:sz="4" w:space="0" w:color="000000"/>
                        </w:tcBorders>
                        <w:shd w:val="clear" w:color="auto" w:fill="F8CAAC"/>
                      </w:tcPr>
                      <w:p>
                        <w:pPr>
                          <w:pStyle w:val="TableParagraph"/>
                          <w:spacing w:before="41"/>
                          <w:ind w:left="104"/>
                          <w:rPr>
                            <w:sz w:val="16"/>
                          </w:rPr>
                        </w:pPr>
                        <w:r>
                          <w:rPr>
                            <w:sz w:val="16"/>
                          </w:rPr>
                          <w:t>SOC</w:t>
                        </w:r>
                      </w:p>
                    </w:tc>
                    <w:tc>
                      <w:tcPr>
                        <w:tcW w:w="1181" w:type="dxa"/>
                        <w:tcBorders>
                          <w:top w:val="nil"/>
                          <w:left w:val="single" w:sz="4" w:space="0" w:color="000000"/>
                          <w:bottom w:val="single" w:sz="4" w:space="0" w:color="000000"/>
                          <w:right w:val="dashSmallGap" w:sz="4" w:space="0" w:color="000000"/>
                        </w:tcBorders>
                        <w:shd w:val="clear" w:color="auto" w:fill="F8CAAC"/>
                      </w:tcPr>
                      <w:p>
                        <w:pPr>
                          <w:pStyle w:val="TableParagraph"/>
                          <w:spacing w:before="41"/>
                          <w:ind w:left="105"/>
                          <w:rPr>
                            <w:sz w:val="16"/>
                          </w:rPr>
                        </w:pPr>
                        <w:r>
                          <w:rPr>
                            <w:sz w:val="16"/>
                          </w:rPr>
                          <w:t>Kymriah</w:t>
                        </w:r>
                      </w:p>
                    </w:tc>
                    <w:tc>
                      <w:tcPr>
                        <w:tcW w:w="1181" w:type="dxa"/>
                        <w:tcBorders>
                          <w:top w:val="nil"/>
                          <w:left w:val="dashSmallGap" w:sz="4" w:space="0" w:color="000000"/>
                          <w:bottom w:val="single" w:sz="4" w:space="0" w:color="000000"/>
                          <w:right w:val="single" w:sz="4" w:space="0" w:color="000000"/>
                        </w:tcBorders>
                        <w:shd w:val="clear" w:color="auto" w:fill="F8CAAC"/>
                      </w:tcPr>
                      <w:p>
                        <w:pPr>
                          <w:pStyle w:val="TableParagraph"/>
                          <w:spacing w:before="41"/>
                          <w:ind w:left="105"/>
                          <w:rPr>
                            <w:sz w:val="16"/>
                          </w:rPr>
                        </w:pPr>
                        <w:r>
                          <w:rPr>
                            <w:sz w:val="16"/>
                          </w:rPr>
                          <w:t>SOC</w:t>
                        </w:r>
                      </w:p>
                    </w:tc>
                    <w:tc>
                      <w:tcPr>
                        <w:tcW w:w="1186" w:type="dxa"/>
                        <w:tcBorders>
                          <w:top w:val="nil"/>
                          <w:left w:val="single" w:sz="4" w:space="0" w:color="000000"/>
                          <w:bottom w:val="single" w:sz="4" w:space="0" w:color="000000"/>
                          <w:right w:val="dashSmallGap" w:sz="4" w:space="0" w:color="000000"/>
                        </w:tcBorders>
                        <w:shd w:val="clear" w:color="auto" w:fill="F8CAAC"/>
                      </w:tcPr>
                      <w:p>
                        <w:pPr>
                          <w:pStyle w:val="TableParagraph"/>
                          <w:spacing w:before="41"/>
                          <w:ind w:left="105"/>
                          <w:rPr>
                            <w:sz w:val="16"/>
                          </w:rPr>
                        </w:pPr>
                        <w:r>
                          <w:rPr>
                            <w:sz w:val="16"/>
                          </w:rPr>
                          <w:t>Breyanzi</w:t>
                        </w:r>
                      </w:p>
                    </w:tc>
                    <w:tc>
                      <w:tcPr>
                        <w:tcW w:w="1181" w:type="dxa"/>
                        <w:tcBorders>
                          <w:top w:val="nil"/>
                          <w:left w:val="dashSmallGap" w:sz="4" w:space="0" w:color="000000"/>
                          <w:bottom w:val="single" w:sz="4" w:space="0" w:color="000000"/>
                          <w:right w:val="nil"/>
                        </w:tcBorders>
                        <w:shd w:val="clear" w:color="auto" w:fill="F8CAAC"/>
                      </w:tcPr>
                      <w:p>
                        <w:pPr>
                          <w:pStyle w:val="TableParagraph"/>
                          <w:spacing w:before="41"/>
                          <w:ind w:left="100"/>
                          <w:rPr>
                            <w:sz w:val="16"/>
                          </w:rPr>
                        </w:pPr>
                        <w:r>
                          <w:rPr>
                            <w:sz w:val="16"/>
                          </w:rPr>
                          <w:t>SOC</w:t>
                        </w:r>
                      </w:p>
                    </w:tc>
                  </w:tr>
                  <w:tr>
                    <w:trPr>
                      <w:trHeight w:val="263" w:hRule="atLeast"/>
                    </w:trPr>
                    <w:tc>
                      <w:tcPr>
                        <w:tcW w:w="874" w:type="dxa"/>
                        <w:tcBorders>
                          <w:top w:val="single" w:sz="4" w:space="0" w:color="000000"/>
                          <w:left w:val="nil"/>
                          <w:bottom w:val="single" w:sz="4" w:space="0" w:color="000000"/>
                          <w:right w:val="single" w:sz="4" w:space="0" w:color="000000"/>
                        </w:tcBorders>
                      </w:tcPr>
                      <w:p>
                        <w:pPr>
                          <w:pStyle w:val="TableParagraph"/>
                          <w:spacing w:before="12"/>
                          <w:ind w:left="110"/>
                          <w:rPr>
                            <w:rFonts w:ascii="PMingLiU" w:eastAsia="PMingLiU" w:hint="eastAsia"/>
                            <w:sz w:val="16"/>
                          </w:rPr>
                        </w:pPr>
                        <w:r>
                          <w:rPr>
                            <w:rFonts w:ascii="PMingLiU" w:eastAsia="PMingLiU" w:hint="eastAsia"/>
                            <w:sz w:val="16"/>
                          </w:rPr>
                          <w:t>治疗人数</w:t>
                        </w:r>
                      </w:p>
                    </w:tc>
                    <w:tc>
                      <w:tcPr>
                        <w:tcW w:w="1537"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180</w:t>
                        </w:r>
                      </w:p>
                    </w:tc>
                    <w:tc>
                      <w:tcPr>
                        <w:tcW w:w="826"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4"/>
                          <w:rPr>
                            <w:sz w:val="16"/>
                          </w:rPr>
                        </w:pPr>
                        <w:r>
                          <w:rPr>
                            <w:sz w:val="16"/>
                          </w:rPr>
                          <w:t>179</w:t>
                        </w:r>
                      </w:p>
                    </w:tc>
                    <w:tc>
                      <w:tcPr>
                        <w:tcW w:w="1181"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162</w:t>
                        </w:r>
                      </w:p>
                    </w:tc>
                    <w:tc>
                      <w:tcPr>
                        <w:tcW w:w="1181"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5"/>
                          <w:rPr>
                            <w:sz w:val="16"/>
                          </w:rPr>
                        </w:pPr>
                        <w:r>
                          <w:rPr>
                            <w:sz w:val="16"/>
                          </w:rPr>
                          <w:t>160</w:t>
                        </w:r>
                      </w:p>
                    </w:tc>
                    <w:tc>
                      <w:tcPr>
                        <w:tcW w:w="1186"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92</w:t>
                        </w:r>
                      </w:p>
                    </w:tc>
                    <w:tc>
                      <w:tcPr>
                        <w:tcW w:w="1181" w:type="dxa"/>
                        <w:tcBorders>
                          <w:top w:val="single" w:sz="4" w:space="0" w:color="000000"/>
                          <w:left w:val="dashSmallGap" w:sz="4" w:space="0" w:color="000000"/>
                          <w:bottom w:val="single" w:sz="4" w:space="0" w:color="000000"/>
                          <w:right w:val="nil"/>
                        </w:tcBorders>
                      </w:tcPr>
                      <w:p>
                        <w:pPr>
                          <w:pStyle w:val="TableParagraph"/>
                          <w:spacing w:before="37"/>
                          <w:ind w:left="100"/>
                          <w:rPr>
                            <w:sz w:val="16"/>
                          </w:rPr>
                        </w:pPr>
                        <w:r>
                          <w:rPr>
                            <w:sz w:val="16"/>
                          </w:rPr>
                          <w:t>92</w:t>
                        </w:r>
                      </w:p>
                    </w:tc>
                  </w:tr>
                  <w:tr>
                    <w:trPr>
                      <w:trHeight w:val="258" w:hRule="atLeast"/>
                    </w:trPr>
                    <w:tc>
                      <w:tcPr>
                        <w:tcW w:w="874" w:type="dxa"/>
                        <w:tcBorders>
                          <w:top w:val="single" w:sz="4" w:space="0" w:color="000000"/>
                          <w:left w:val="nil"/>
                          <w:bottom w:val="single" w:sz="4" w:space="0" w:color="000000"/>
                          <w:right w:val="single" w:sz="4" w:space="0" w:color="000000"/>
                        </w:tcBorders>
                      </w:tcPr>
                      <w:p>
                        <w:pPr>
                          <w:pStyle w:val="TableParagraph"/>
                          <w:spacing w:before="12"/>
                          <w:ind w:left="110"/>
                          <w:rPr>
                            <w:rFonts w:ascii="PMingLiU" w:eastAsia="PMingLiU" w:hint="eastAsia"/>
                            <w:sz w:val="16"/>
                          </w:rPr>
                        </w:pPr>
                        <w:r>
                          <w:rPr>
                            <w:rFonts w:ascii="PMingLiU" w:eastAsia="PMingLiU" w:hint="eastAsia"/>
                            <w:sz w:val="16"/>
                          </w:rPr>
                          <w:t>桥接治疗</w:t>
                        </w:r>
                      </w:p>
                    </w:tc>
                    <w:tc>
                      <w:tcPr>
                        <w:tcW w:w="1537" w:type="dxa"/>
                        <w:tcBorders>
                          <w:top w:val="single" w:sz="4" w:space="0" w:color="000000"/>
                          <w:left w:val="single" w:sz="4" w:space="0" w:color="000000"/>
                          <w:bottom w:val="single" w:sz="4" w:space="0" w:color="000000"/>
                          <w:right w:val="dashSmallGap" w:sz="4" w:space="0" w:color="000000"/>
                        </w:tcBorders>
                      </w:tcPr>
                      <w:p>
                        <w:pPr>
                          <w:pStyle w:val="TableParagraph"/>
                          <w:spacing w:before="12"/>
                          <w:ind w:left="105"/>
                          <w:rPr>
                            <w:sz w:val="16"/>
                          </w:rPr>
                        </w:pPr>
                        <w:r>
                          <w:rPr>
                            <w:rFonts w:ascii="PMingLiU" w:eastAsia="PMingLiU" w:hint="eastAsia"/>
                            <w:sz w:val="16"/>
                          </w:rPr>
                          <w:t>糖皮质激素 </w:t>
                        </w:r>
                        <w:r>
                          <w:rPr>
                            <w:sz w:val="16"/>
                          </w:rPr>
                          <w:t>(36%)</w:t>
                        </w:r>
                      </w:p>
                    </w:tc>
                    <w:tc>
                      <w:tcPr>
                        <w:tcW w:w="826"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4"/>
                          <w:rPr>
                            <w:sz w:val="16"/>
                          </w:rPr>
                        </w:pPr>
                        <w:r>
                          <w:rPr>
                            <w:sz w:val="16"/>
                          </w:rPr>
                          <w:t>N/A</w:t>
                        </w:r>
                      </w:p>
                    </w:tc>
                    <w:tc>
                      <w:tcPr>
                        <w:tcW w:w="1181" w:type="dxa"/>
                        <w:tcBorders>
                          <w:top w:val="single" w:sz="4" w:space="0" w:color="000000"/>
                          <w:left w:val="single" w:sz="4" w:space="0" w:color="000000"/>
                          <w:bottom w:val="single" w:sz="4" w:space="0" w:color="000000"/>
                          <w:right w:val="dashSmallGap" w:sz="4" w:space="0" w:color="000000"/>
                        </w:tcBorders>
                      </w:tcPr>
                      <w:p>
                        <w:pPr>
                          <w:pStyle w:val="TableParagraph"/>
                          <w:spacing w:before="12"/>
                          <w:ind w:left="105"/>
                          <w:rPr>
                            <w:sz w:val="16"/>
                          </w:rPr>
                        </w:pPr>
                        <w:r>
                          <w:rPr>
                            <w:rFonts w:ascii="PMingLiU" w:eastAsia="PMingLiU" w:hint="eastAsia"/>
                            <w:sz w:val="16"/>
                          </w:rPr>
                          <w:t>化疗 </w:t>
                        </w:r>
                        <w:r>
                          <w:rPr>
                            <w:sz w:val="16"/>
                          </w:rPr>
                          <w:t>(83%)</w:t>
                        </w:r>
                      </w:p>
                    </w:tc>
                    <w:tc>
                      <w:tcPr>
                        <w:tcW w:w="1181"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5"/>
                          <w:rPr>
                            <w:sz w:val="16"/>
                          </w:rPr>
                        </w:pPr>
                        <w:r>
                          <w:rPr>
                            <w:sz w:val="16"/>
                          </w:rPr>
                          <w:t>N/A</w:t>
                        </w:r>
                      </w:p>
                    </w:tc>
                    <w:tc>
                      <w:tcPr>
                        <w:tcW w:w="1186" w:type="dxa"/>
                        <w:tcBorders>
                          <w:top w:val="single" w:sz="4" w:space="0" w:color="000000"/>
                          <w:left w:val="single" w:sz="4" w:space="0" w:color="000000"/>
                          <w:bottom w:val="single" w:sz="4" w:space="0" w:color="000000"/>
                          <w:right w:val="dashSmallGap" w:sz="4" w:space="0" w:color="000000"/>
                        </w:tcBorders>
                      </w:tcPr>
                      <w:p>
                        <w:pPr>
                          <w:pStyle w:val="TableParagraph"/>
                          <w:spacing w:before="12"/>
                          <w:ind w:left="105"/>
                          <w:rPr>
                            <w:sz w:val="16"/>
                          </w:rPr>
                        </w:pPr>
                        <w:r>
                          <w:rPr>
                            <w:rFonts w:ascii="PMingLiU" w:eastAsia="PMingLiU" w:hint="eastAsia"/>
                            <w:sz w:val="16"/>
                          </w:rPr>
                          <w:t>化疗 </w:t>
                        </w:r>
                        <w:r>
                          <w:rPr>
                            <w:sz w:val="16"/>
                          </w:rPr>
                          <w:t>(63%)</w:t>
                        </w:r>
                      </w:p>
                    </w:tc>
                    <w:tc>
                      <w:tcPr>
                        <w:tcW w:w="1181" w:type="dxa"/>
                        <w:tcBorders>
                          <w:top w:val="single" w:sz="4" w:space="0" w:color="000000"/>
                          <w:left w:val="dashSmallGap" w:sz="4" w:space="0" w:color="000000"/>
                          <w:bottom w:val="single" w:sz="4" w:space="0" w:color="000000"/>
                          <w:right w:val="nil"/>
                        </w:tcBorders>
                      </w:tcPr>
                      <w:p>
                        <w:pPr>
                          <w:pStyle w:val="TableParagraph"/>
                          <w:spacing w:before="37"/>
                          <w:ind w:left="100"/>
                          <w:rPr>
                            <w:sz w:val="16"/>
                          </w:rPr>
                        </w:pPr>
                        <w:r>
                          <w:rPr>
                            <w:sz w:val="16"/>
                          </w:rPr>
                          <w:t>N/A</w:t>
                        </w:r>
                      </w:p>
                    </w:tc>
                  </w:tr>
                  <w:tr>
                    <w:trPr>
                      <w:trHeight w:val="263" w:hRule="atLeast"/>
                    </w:trPr>
                    <w:tc>
                      <w:tcPr>
                        <w:tcW w:w="874" w:type="dxa"/>
                        <w:tcBorders>
                          <w:top w:val="single" w:sz="4" w:space="0" w:color="000000"/>
                          <w:left w:val="nil"/>
                          <w:bottom w:val="single" w:sz="4" w:space="0" w:color="000000"/>
                          <w:right w:val="single" w:sz="4" w:space="0" w:color="000000"/>
                        </w:tcBorders>
                      </w:tcPr>
                      <w:p>
                        <w:pPr>
                          <w:pStyle w:val="TableParagraph"/>
                          <w:spacing w:before="13"/>
                          <w:ind w:left="110"/>
                          <w:rPr>
                            <w:rFonts w:ascii="PMingLiU" w:eastAsia="PMingLiU" w:hint="eastAsia"/>
                            <w:sz w:val="16"/>
                          </w:rPr>
                        </w:pPr>
                        <w:r>
                          <w:rPr>
                            <w:rFonts w:ascii="PMingLiU" w:eastAsia="PMingLiU" w:hint="eastAsia"/>
                            <w:sz w:val="16"/>
                          </w:rPr>
                          <w:t>制备周期</w:t>
                        </w:r>
                      </w:p>
                    </w:tc>
                    <w:tc>
                      <w:tcPr>
                        <w:tcW w:w="1537" w:type="dxa"/>
                        <w:tcBorders>
                          <w:top w:val="single" w:sz="4" w:space="0" w:color="000000"/>
                          <w:left w:val="single" w:sz="4" w:space="0" w:color="000000"/>
                          <w:bottom w:val="single" w:sz="4" w:space="0" w:color="000000"/>
                          <w:right w:val="dashSmallGap" w:sz="4" w:space="0" w:color="000000"/>
                        </w:tcBorders>
                      </w:tcPr>
                      <w:p>
                        <w:pPr>
                          <w:pStyle w:val="TableParagraph"/>
                          <w:spacing w:before="42"/>
                          <w:ind w:left="105"/>
                          <w:rPr>
                            <w:sz w:val="16"/>
                          </w:rPr>
                        </w:pPr>
                        <w:r>
                          <w:rPr>
                            <w:sz w:val="16"/>
                          </w:rPr>
                          <w:t>29d</w:t>
                        </w:r>
                      </w:p>
                    </w:tc>
                    <w:tc>
                      <w:tcPr>
                        <w:tcW w:w="826" w:type="dxa"/>
                        <w:tcBorders>
                          <w:top w:val="single" w:sz="4" w:space="0" w:color="000000"/>
                          <w:left w:val="dashSmallGap" w:sz="4" w:space="0" w:color="000000"/>
                          <w:bottom w:val="single" w:sz="4" w:space="0" w:color="000000"/>
                          <w:right w:val="single" w:sz="4" w:space="0" w:color="000000"/>
                        </w:tcBorders>
                      </w:tcPr>
                      <w:p>
                        <w:pPr>
                          <w:pStyle w:val="TableParagraph"/>
                          <w:spacing w:before="42"/>
                          <w:ind w:left="104"/>
                          <w:rPr>
                            <w:sz w:val="16"/>
                          </w:rPr>
                        </w:pPr>
                        <w:r>
                          <w:rPr>
                            <w:sz w:val="16"/>
                          </w:rPr>
                          <w:t>N/A</w:t>
                        </w:r>
                      </w:p>
                    </w:tc>
                    <w:tc>
                      <w:tcPr>
                        <w:tcW w:w="1181" w:type="dxa"/>
                        <w:tcBorders>
                          <w:top w:val="single" w:sz="4" w:space="0" w:color="000000"/>
                          <w:left w:val="single" w:sz="4" w:space="0" w:color="000000"/>
                          <w:bottom w:val="single" w:sz="4" w:space="0" w:color="000000"/>
                          <w:right w:val="dashSmallGap" w:sz="4" w:space="0" w:color="000000"/>
                        </w:tcBorders>
                      </w:tcPr>
                      <w:p>
                        <w:pPr>
                          <w:pStyle w:val="TableParagraph"/>
                          <w:spacing w:before="42"/>
                          <w:ind w:left="105"/>
                          <w:rPr>
                            <w:sz w:val="16"/>
                          </w:rPr>
                        </w:pPr>
                        <w:r>
                          <w:rPr>
                            <w:sz w:val="16"/>
                          </w:rPr>
                          <w:t>52d</w:t>
                        </w:r>
                      </w:p>
                    </w:tc>
                    <w:tc>
                      <w:tcPr>
                        <w:tcW w:w="1181" w:type="dxa"/>
                        <w:tcBorders>
                          <w:top w:val="single" w:sz="4" w:space="0" w:color="000000"/>
                          <w:left w:val="dashSmallGap" w:sz="4" w:space="0" w:color="000000"/>
                          <w:bottom w:val="single" w:sz="4" w:space="0" w:color="000000"/>
                          <w:right w:val="single" w:sz="4" w:space="0" w:color="000000"/>
                        </w:tcBorders>
                      </w:tcPr>
                      <w:p>
                        <w:pPr>
                          <w:pStyle w:val="TableParagraph"/>
                          <w:spacing w:before="42"/>
                          <w:ind w:left="105"/>
                          <w:rPr>
                            <w:sz w:val="16"/>
                          </w:rPr>
                        </w:pPr>
                        <w:r>
                          <w:rPr>
                            <w:sz w:val="16"/>
                          </w:rPr>
                          <w:t>N/A</w:t>
                        </w:r>
                      </w:p>
                    </w:tc>
                    <w:tc>
                      <w:tcPr>
                        <w:tcW w:w="1186" w:type="dxa"/>
                        <w:tcBorders>
                          <w:top w:val="single" w:sz="4" w:space="0" w:color="000000"/>
                          <w:left w:val="single" w:sz="4" w:space="0" w:color="000000"/>
                          <w:bottom w:val="single" w:sz="4" w:space="0" w:color="000000"/>
                          <w:right w:val="dashSmallGap" w:sz="4" w:space="0" w:color="000000"/>
                        </w:tcBorders>
                      </w:tcPr>
                      <w:p>
                        <w:pPr>
                          <w:pStyle w:val="TableParagraph"/>
                          <w:spacing w:before="42"/>
                          <w:ind w:left="105"/>
                          <w:rPr>
                            <w:sz w:val="16"/>
                          </w:rPr>
                        </w:pPr>
                        <w:r>
                          <w:rPr>
                            <w:sz w:val="16"/>
                          </w:rPr>
                          <w:t>N/A</w:t>
                        </w:r>
                      </w:p>
                    </w:tc>
                    <w:tc>
                      <w:tcPr>
                        <w:tcW w:w="1181" w:type="dxa"/>
                        <w:tcBorders>
                          <w:top w:val="single" w:sz="4" w:space="0" w:color="000000"/>
                          <w:left w:val="dashSmallGap" w:sz="4" w:space="0" w:color="000000"/>
                          <w:bottom w:val="single" w:sz="4" w:space="0" w:color="000000"/>
                          <w:right w:val="nil"/>
                        </w:tcBorders>
                      </w:tcPr>
                      <w:p>
                        <w:pPr>
                          <w:pStyle w:val="TableParagraph"/>
                          <w:spacing w:before="42"/>
                          <w:ind w:left="100"/>
                          <w:rPr>
                            <w:sz w:val="16"/>
                          </w:rPr>
                        </w:pPr>
                        <w:r>
                          <w:rPr>
                            <w:sz w:val="16"/>
                          </w:rPr>
                          <w:t>N/A</w:t>
                        </w:r>
                      </w:p>
                    </w:tc>
                  </w:tr>
                  <w:tr>
                    <w:trPr>
                      <w:trHeight w:val="263" w:hRule="atLeast"/>
                    </w:trPr>
                    <w:tc>
                      <w:tcPr>
                        <w:tcW w:w="874" w:type="dxa"/>
                        <w:tcBorders>
                          <w:top w:val="single" w:sz="4" w:space="0" w:color="000000"/>
                          <w:left w:val="nil"/>
                          <w:bottom w:val="single" w:sz="4" w:space="0" w:color="000000"/>
                          <w:right w:val="single" w:sz="4" w:space="0" w:color="000000"/>
                        </w:tcBorders>
                      </w:tcPr>
                      <w:p>
                        <w:pPr>
                          <w:pStyle w:val="TableParagraph"/>
                          <w:spacing w:before="37"/>
                          <w:ind w:left="110"/>
                          <w:rPr>
                            <w:sz w:val="16"/>
                          </w:rPr>
                        </w:pPr>
                        <w:r>
                          <w:rPr>
                            <w:sz w:val="16"/>
                          </w:rPr>
                          <w:t>ORR</w:t>
                        </w:r>
                      </w:p>
                    </w:tc>
                    <w:tc>
                      <w:tcPr>
                        <w:tcW w:w="1537"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83%</w:t>
                        </w:r>
                      </w:p>
                    </w:tc>
                    <w:tc>
                      <w:tcPr>
                        <w:tcW w:w="826"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4"/>
                          <w:rPr>
                            <w:sz w:val="16"/>
                          </w:rPr>
                        </w:pPr>
                        <w:r>
                          <w:rPr>
                            <w:sz w:val="16"/>
                          </w:rPr>
                          <w:t>50%</w:t>
                        </w:r>
                      </w:p>
                    </w:tc>
                    <w:tc>
                      <w:tcPr>
                        <w:tcW w:w="1181"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46%</w:t>
                        </w:r>
                      </w:p>
                    </w:tc>
                    <w:tc>
                      <w:tcPr>
                        <w:tcW w:w="1181"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5"/>
                          <w:rPr>
                            <w:sz w:val="16"/>
                          </w:rPr>
                        </w:pPr>
                        <w:r>
                          <w:rPr>
                            <w:sz w:val="16"/>
                          </w:rPr>
                          <w:t>43%</w:t>
                        </w:r>
                      </w:p>
                    </w:tc>
                    <w:tc>
                      <w:tcPr>
                        <w:tcW w:w="1186"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86%</w:t>
                        </w:r>
                      </w:p>
                    </w:tc>
                    <w:tc>
                      <w:tcPr>
                        <w:tcW w:w="1181" w:type="dxa"/>
                        <w:tcBorders>
                          <w:top w:val="single" w:sz="4" w:space="0" w:color="000000"/>
                          <w:left w:val="dashSmallGap" w:sz="4" w:space="0" w:color="000000"/>
                          <w:bottom w:val="single" w:sz="4" w:space="0" w:color="000000"/>
                          <w:right w:val="nil"/>
                        </w:tcBorders>
                      </w:tcPr>
                      <w:p>
                        <w:pPr>
                          <w:pStyle w:val="TableParagraph"/>
                          <w:spacing w:before="37"/>
                          <w:ind w:left="100"/>
                          <w:rPr>
                            <w:sz w:val="16"/>
                          </w:rPr>
                        </w:pPr>
                        <w:r>
                          <w:rPr>
                            <w:sz w:val="16"/>
                          </w:rPr>
                          <w:t>48%</w:t>
                        </w:r>
                      </w:p>
                    </w:tc>
                  </w:tr>
                  <w:tr>
                    <w:trPr>
                      <w:trHeight w:val="258" w:hRule="atLeast"/>
                    </w:trPr>
                    <w:tc>
                      <w:tcPr>
                        <w:tcW w:w="874" w:type="dxa"/>
                        <w:tcBorders>
                          <w:top w:val="single" w:sz="4" w:space="0" w:color="000000"/>
                          <w:left w:val="nil"/>
                          <w:bottom w:val="single" w:sz="4" w:space="0" w:color="000000"/>
                          <w:right w:val="single" w:sz="4" w:space="0" w:color="000000"/>
                        </w:tcBorders>
                      </w:tcPr>
                      <w:p>
                        <w:pPr>
                          <w:pStyle w:val="TableParagraph"/>
                          <w:spacing w:before="37"/>
                          <w:ind w:left="110"/>
                          <w:rPr>
                            <w:sz w:val="16"/>
                          </w:rPr>
                        </w:pPr>
                        <w:r>
                          <w:rPr>
                            <w:sz w:val="16"/>
                          </w:rPr>
                          <w:t>CR</w:t>
                        </w:r>
                      </w:p>
                    </w:tc>
                    <w:tc>
                      <w:tcPr>
                        <w:tcW w:w="1537"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65%</w:t>
                        </w:r>
                      </w:p>
                    </w:tc>
                    <w:tc>
                      <w:tcPr>
                        <w:tcW w:w="826"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4"/>
                          <w:rPr>
                            <w:sz w:val="16"/>
                          </w:rPr>
                        </w:pPr>
                        <w:r>
                          <w:rPr>
                            <w:sz w:val="16"/>
                          </w:rPr>
                          <w:t>32%</w:t>
                        </w:r>
                      </w:p>
                    </w:tc>
                    <w:tc>
                      <w:tcPr>
                        <w:tcW w:w="1181"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28%</w:t>
                        </w:r>
                      </w:p>
                    </w:tc>
                    <w:tc>
                      <w:tcPr>
                        <w:tcW w:w="1181"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5"/>
                          <w:rPr>
                            <w:sz w:val="16"/>
                          </w:rPr>
                        </w:pPr>
                        <w:r>
                          <w:rPr>
                            <w:sz w:val="16"/>
                          </w:rPr>
                          <w:t>28%</w:t>
                        </w:r>
                      </w:p>
                    </w:tc>
                    <w:tc>
                      <w:tcPr>
                        <w:tcW w:w="1186"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66%</w:t>
                        </w:r>
                      </w:p>
                    </w:tc>
                    <w:tc>
                      <w:tcPr>
                        <w:tcW w:w="1181" w:type="dxa"/>
                        <w:tcBorders>
                          <w:top w:val="single" w:sz="4" w:space="0" w:color="000000"/>
                          <w:left w:val="dashSmallGap" w:sz="4" w:space="0" w:color="000000"/>
                          <w:bottom w:val="single" w:sz="4" w:space="0" w:color="000000"/>
                          <w:right w:val="nil"/>
                        </w:tcBorders>
                      </w:tcPr>
                      <w:p>
                        <w:pPr>
                          <w:pStyle w:val="TableParagraph"/>
                          <w:spacing w:before="37"/>
                          <w:ind w:left="100"/>
                          <w:rPr>
                            <w:sz w:val="16"/>
                          </w:rPr>
                        </w:pPr>
                        <w:r>
                          <w:rPr>
                            <w:sz w:val="16"/>
                          </w:rPr>
                          <w:t>39%</w:t>
                        </w:r>
                      </w:p>
                    </w:tc>
                  </w:tr>
                  <w:tr>
                    <w:trPr>
                      <w:trHeight w:val="263" w:hRule="atLeast"/>
                    </w:trPr>
                    <w:tc>
                      <w:tcPr>
                        <w:tcW w:w="874" w:type="dxa"/>
                        <w:tcBorders>
                          <w:top w:val="single" w:sz="4" w:space="0" w:color="000000"/>
                          <w:left w:val="nil"/>
                          <w:bottom w:val="single" w:sz="4" w:space="0" w:color="000000"/>
                          <w:right w:val="single" w:sz="4" w:space="0" w:color="000000"/>
                        </w:tcBorders>
                      </w:tcPr>
                      <w:p>
                        <w:pPr>
                          <w:pStyle w:val="TableParagraph"/>
                          <w:spacing w:before="12"/>
                          <w:ind w:left="110"/>
                          <w:rPr>
                            <w:rFonts w:ascii="PMingLiU" w:eastAsia="PMingLiU" w:hint="eastAsia"/>
                            <w:sz w:val="16"/>
                          </w:rPr>
                        </w:pPr>
                        <w:r>
                          <w:rPr>
                            <w:rFonts w:ascii="PMingLiU" w:eastAsia="PMingLiU" w:hint="eastAsia"/>
                            <w:sz w:val="16"/>
                          </w:rPr>
                          <w:t>中位随访</w:t>
                        </w:r>
                      </w:p>
                    </w:tc>
                    <w:tc>
                      <w:tcPr>
                        <w:tcW w:w="1537" w:type="dxa"/>
                        <w:tcBorders>
                          <w:top w:val="single" w:sz="4" w:space="0" w:color="000000"/>
                          <w:left w:val="single" w:sz="4" w:space="0" w:color="000000"/>
                          <w:bottom w:val="single" w:sz="4" w:space="0" w:color="000000"/>
                          <w:right w:val="dashSmallGap" w:sz="4" w:space="0" w:color="000000"/>
                        </w:tcBorders>
                      </w:tcPr>
                      <w:p>
                        <w:pPr>
                          <w:pStyle w:val="TableParagraph"/>
                          <w:spacing w:before="41"/>
                          <w:ind w:left="105"/>
                          <w:rPr>
                            <w:sz w:val="16"/>
                          </w:rPr>
                        </w:pPr>
                        <w:r>
                          <w:rPr>
                            <w:sz w:val="16"/>
                          </w:rPr>
                          <w:t>24.9m</w:t>
                        </w:r>
                      </w:p>
                    </w:tc>
                    <w:tc>
                      <w:tcPr>
                        <w:tcW w:w="826" w:type="dxa"/>
                        <w:tcBorders>
                          <w:top w:val="single" w:sz="4" w:space="0" w:color="000000"/>
                          <w:left w:val="dashSmallGap" w:sz="4" w:space="0" w:color="000000"/>
                          <w:bottom w:val="single" w:sz="4" w:space="0" w:color="000000"/>
                          <w:right w:val="single" w:sz="4" w:space="0" w:color="000000"/>
                        </w:tcBorders>
                      </w:tcPr>
                      <w:p>
                        <w:pPr>
                          <w:pStyle w:val="TableParagraph"/>
                          <w:spacing w:before="41"/>
                          <w:ind w:left="104"/>
                          <w:rPr>
                            <w:sz w:val="16"/>
                          </w:rPr>
                        </w:pPr>
                        <w:r>
                          <w:rPr>
                            <w:sz w:val="16"/>
                          </w:rPr>
                          <w:t>24.9m</w:t>
                        </w:r>
                      </w:p>
                    </w:tc>
                    <w:tc>
                      <w:tcPr>
                        <w:tcW w:w="1181" w:type="dxa"/>
                        <w:tcBorders>
                          <w:top w:val="single" w:sz="4" w:space="0" w:color="000000"/>
                          <w:left w:val="single" w:sz="4" w:space="0" w:color="000000"/>
                          <w:bottom w:val="single" w:sz="4" w:space="0" w:color="000000"/>
                          <w:right w:val="dashSmallGap" w:sz="4" w:space="0" w:color="000000"/>
                        </w:tcBorders>
                      </w:tcPr>
                      <w:p>
                        <w:pPr>
                          <w:pStyle w:val="TableParagraph"/>
                          <w:spacing w:before="41"/>
                          <w:ind w:left="105"/>
                          <w:rPr>
                            <w:sz w:val="16"/>
                          </w:rPr>
                        </w:pPr>
                        <w:r>
                          <w:rPr>
                            <w:sz w:val="16"/>
                          </w:rPr>
                          <w:t>10.0m</w:t>
                        </w:r>
                      </w:p>
                    </w:tc>
                    <w:tc>
                      <w:tcPr>
                        <w:tcW w:w="1181" w:type="dxa"/>
                        <w:tcBorders>
                          <w:top w:val="single" w:sz="4" w:space="0" w:color="000000"/>
                          <w:left w:val="dashSmallGap" w:sz="4" w:space="0" w:color="000000"/>
                          <w:bottom w:val="single" w:sz="4" w:space="0" w:color="000000"/>
                          <w:right w:val="single" w:sz="4" w:space="0" w:color="000000"/>
                        </w:tcBorders>
                      </w:tcPr>
                      <w:p>
                        <w:pPr>
                          <w:pStyle w:val="TableParagraph"/>
                          <w:spacing w:before="41"/>
                          <w:ind w:left="105"/>
                          <w:rPr>
                            <w:sz w:val="16"/>
                          </w:rPr>
                        </w:pPr>
                        <w:r>
                          <w:rPr>
                            <w:sz w:val="16"/>
                          </w:rPr>
                          <w:t>10.0m</w:t>
                        </w:r>
                      </w:p>
                    </w:tc>
                    <w:tc>
                      <w:tcPr>
                        <w:tcW w:w="1186" w:type="dxa"/>
                        <w:tcBorders>
                          <w:top w:val="single" w:sz="4" w:space="0" w:color="000000"/>
                          <w:left w:val="single" w:sz="4" w:space="0" w:color="000000"/>
                          <w:bottom w:val="single" w:sz="4" w:space="0" w:color="000000"/>
                          <w:right w:val="dashSmallGap" w:sz="4" w:space="0" w:color="000000"/>
                        </w:tcBorders>
                      </w:tcPr>
                      <w:p>
                        <w:pPr>
                          <w:pStyle w:val="TableParagraph"/>
                          <w:spacing w:before="41"/>
                          <w:ind w:left="105"/>
                          <w:rPr>
                            <w:sz w:val="16"/>
                          </w:rPr>
                        </w:pPr>
                        <w:r>
                          <w:rPr>
                            <w:sz w:val="16"/>
                          </w:rPr>
                          <w:t>6.2m</w:t>
                        </w:r>
                      </w:p>
                    </w:tc>
                    <w:tc>
                      <w:tcPr>
                        <w:tcW w:w="1181" w:type="dxa"/>
                        <w:tcBorders>
                          <w:top w:val="single" w:sz="4" w:space="0" w:color="000000"/>
                          <w:left w:val="dashSmallGap" w:sz="4" w:space="0" w:color="000000"/>
                          <w:bottom w:val="single" w:sz="4" w:space="0" w:color="000000"/>
                          <w:right w:val="nil"/>
                        </w:tcBorders>
                      </w:tcPr>
                      <w:p>
                        <w:pPr>
                          <w:pStyle w:val="TableParagraph"/>
                          <w:spacing w:before="41"/>
                          <w:ind w:left="100"/>
                          <w:rPr>
                            <w:sz w:val="16"/>
                          </w:rPr>
                        </w:pPr>
                        <w:r>
                          <w:rPr>
                            <w:sz w:val="16"/>
                          </w:rPr>
                          <w:t>6.2m</w:t>
                        </w:r>
                      </w:p>
                    </w:tc>
                  </w:tr>
                  <w:tr>
                    <w:trPr>
                      <w:trHeight w:val="263" w:hRule="atLeast"/>
                    </w:trPr>
                    <w:tc>
                      <w:tcPr>
                        <w:tcW w:w="874" w:type="dxa"/>
                        <w:tcBorders>
                          <w:top w:val="single" w:sz="4" w:space="0" w:color="000000"/>
                          <w:left w:val="nil"/>
                          <w:bottom w:val="single" w:sz="4" w:space="0" w:color="000000"/>
                          <w:right w:val="single" w:sz="4" w:space="0" w:color="000000"/>
                        </w:tcBorders>
                      </w:tcPr>
                      <w:p>
                        <w:pPr>
                          <w:pStyle w:val="TableParagraph"/>
                          <w:spacing w:before="37"/>
                          <w:ind w:left="110"/>
                          <w:rPr>
                            <w:sz w:val="16"/>
                          </w:rPr>
                        </w:pPr>
                        <w:r>
                          <w:rPr>
                            <w:sz w:val="16"/>
                          </w:rPr>
                          <w:t>mEFS</w:t>
                        </w:r>
                      </w:p>
                    </w:tc>
                    <w:tc>
                      <w:tcPr>
                        <w:tcW w:w="1537"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8.3m</w:t>
                        </w:r>
                      </w:p>
                    </w:tc>
                    <w:tc>
                      <w:tcPr>
                        <w:tcW w:w="826"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4"/>
                          <w:rPr>
                            <w:sz w:val="16"/>
                          </w:rPr>
                        </w:pPr>
                        <w:r>
                          <w:rPr>
                            <w:sz w:val="16"/>
                          </w:rPr>
                          <w:t>2.0m</w:t>
                        </w:r>
                      </w:p>
                    </w:tc>
                    <w:tc>
                      <w:tcPr>
                        <w:tcW w:w="1181"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3.0m</w:t>
                        </w:r>
                      </w:p>
                    </w:tc>
                    <w:tc>
                      <w:tcPr>
                        <w:tcW w:w="1181"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5"/>
                          <w:rPr>
                            <w:sz w:val="16"/>
                          </w:rPr>
                        </w:pPr>
                        <w:r>
                          <w:rPr>
                            <w:sz w:val="16"/>
                          </w:rPr>
                          <w:t>3.0m</w:t>
                        </w:r>
                      </w:p>
                    </w:tc>
                    <w:tc>
                      <w:tcPr>
                        <w:tcW w:w="1186"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10.1m</w:t>
                        </w:r>
                      </w:p>
                    </w:tc>
                    <w:tc>
                      <w:tcPr>
                        <w:tcW w:w="1181" w:type="dxa"/>
                        <w:tcBorders>
                          <w:top w:val="single" w:sz="4" w:space="0" w:color="000000"/>
                          <w:left w:val="dashSmallGap" w:sz="4" w:space="0" w:color="000000"/>
                          <w:bottom w:val="single" w:sz="4" w:space="0" w:color="000000"/>
                          <w:right w:val="nil"/>
                        </w:tcBorders>
                      </w:tcPr>
                      <w:p>
                        <w:pPr>
                          <w:pStyle w:val="TableParagraph"/>
                          <w:spacing w:before="37"/>
                          <w:ind w:left="100"/>
                          <w:rPr>
                            <w:sz w:val="16"/>
                          </w:rPr>
                        </w:pPr>
                        <w:r>
                          <w:rPr>
                            <w:sz w:val="16"/>
                          </w:rPr>
                          <w:t>2.3m</w:t>
                        </w:r>
                      </w:p>
                    </w:tc>
                  </w:tr>
                  <w:tr>
                    <w:trPr>
                      <w:trHeight w:val="258" w:hRule="atLeast"/>
                    </w:trPr>
                    <w:tc>
                      <w:tcPr>
                        <w:tcW w:w="874" w:type="dxa"/>
                        <w:tcBorders>
                          <w:top w:val="single" w:sz="4" w:space="0" w:color="000000"/>
                          <w:left w:val="nil"/>
                          <w:bottom w:val="single" w:sz="4" w:space="0" w:color="000000"/>
                          <w:right w:val="single" w:sz="4" w:space="0" w:color="000000"/>
                        </w:tcBorders>
                      </w:tcPr>
                      <w:p>
                        <w:pPr>
                          <w:pStyle w:val="TableParagraph"/>
                          <w:spacing w:before="37"/>
                          <w:ind w:left="110"/>
                          <w:rPr>
                            <w:sz w:val="16"/>
                          </w:rPr>
                        </w:pPr>
                        <w:r>
                          <w:rPr>
                            <w:sz w:val="16"/>
                          </w:rPr>
                          <w:t>mPFS</w:t>
                        </w:r>
                      </w:p>
                    </w:tc>
                    <w:tc>
                      <w:tcPr>
                        <w:tcW w:w="1537"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14.7m</w:t>
                        </w:r>
                      </w:p>
                    </w:tc>
                    <w:tc>
                      <w:tcPr>
                        <w:tcW w:w="826"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4"/>
                          <w:rPr>
                            <w:sz w:val="16"/>
                          </w:rPr>
                        </w:pPr>
                        <w:r>
                          <w:rPr>
                            <w:sz w:val="16"/>
                          </w:rPr>
                          <w:t>3.7m</w:t>
                        </w:r>
                      </w:p>
                    </w:tc>
                    <w:tc>
                      <w:tcPr>
                        <w:tcW w:w="1181"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NR</w:t>
                        </w:r>
                      </w:p>
                    </w:tc>
                    <w:tc>
                      <w:tcPr>
                        <w:tcW w:w="1181" w:type="dxa"/>
                        <w:tcBorders>
                          <w:top w:val="single" w:sz="4" w:space="0" w:color="000000"/>
                          <w:left w:val="dashSmallGap" w:sz="4" w:space="0" w:color="000000"/>
                          <w:bottom w:val="single" w:sz="4" w:space="0" w:color="000000"/>
                          <w:right w:val="single" w:sz="4" w:space="0" w:color="000000"/>
                        </w:tcBorders>
                      </w:tcPr>
                      <w:p>
                        <w:pPr>
                          <w:pStyle w:val="TableParagraph"/>
                          <w:spacing w:before="37"/>
                          <w:ind w:left="105"/>
                          <w:rPr>
                            <w:sz w:val="16"/>
                          </w:rPr>
                        </w:pPr>
                        <w:r>
                          <w:rPr>
                            <w:sz w:val="16"/>
                          </w:rPr>
                          <w:t>NR</w:t>
                        </w:r>
                      </w:p>
                    </w:tc>
                    <w:tc>
                      <w:tcPr>
                        <w:tcW w:w="1186" w:type="dxa"/>
                        <w:tcBorders>
                          <w:top w:val="single" w:sz="4" w:space="0" w:color="000000"/>
                          <w:left w:val="single" w:sz="4" w:space="0" w:color="000000"/>
                          <w:bottom w:val="single" w:sz="4" w:space="0" w:color="000000"/>
                          <w:right w:val="dashSmallGap" w:sz="4" w:space="0" w:color="000000"/>
                        </w:tcBorders>
                      </w:tcPr>
                      <w:p>
                        <w:pPr>
                          <w:pStyle w:val="TableParagraph"/>
                          <w:spacing w:before="37"/>
                          <w:ind w:left="105"/>
                          <w:rPr>
                            <w:sz w:val="16"/>
                          </w:rPr>
                        </w:pPr>
                        <w:r>
                          <w:rPr>
                            <w:sz w:val="16"/>
                          </w:rPr>
                          <w:t>14.8m</w:t>
                        </w:r>
                      </w:p>
                    </w:tc>
                    <w:tc>
                      <w:tcPr>
                        <w:tcW w:w="1181" w:type="dxa"/>
                        <w:tcBorders>
                          <w:top w:val="single" w:sz="4" w:space="0" w:color="000000"/>
                          <w:left w:val="dashSmallGap" w:sz="4" w:space="0" w:color="000000"/>
                          <w:bottom w:val="single" w:sz="4" w:space="0" w:color="000000"/>
                          <w:right w:val="nil"/>
                        </w:tcBorders>
                      </w:tcPr>
                      <w:p>
                        <w:pPr>
                          <w:pStyle w:val="TableParagraph"/>
                          <w:spacing w:before="37"/>
                          <w:ind w:left="100"/>
                          <w:rPr>
                            <w:sz w:val="16"/>
                          </w:rPr>
                        </w:pPr>
                        <w:r>
                          <w:rPr>
                            <w:sz w:val="16"/>
                          </w:rPr>
                          <w:t>5.7m</w:t>
                        </w:r>
                      </w:p>
                    </w:tc>
                  </w:tr>
                  <w:tr>
                    <w:trPr>
                      <w:trHeight w:val="264" w:hRule="atLeast"/>
                    </w:trPr>
                    <w:tc>
                      <w:tcPr>
                        <w:tcW w:w="874" w:type="dxa"/>
                        <w:tcBorders>
                          <w:top w:val="single" w:sz="4" w:space="0" w:color="000000"/>
                          <w:left w:val="nil"/>
                          <w:bottom w:val="single" w:sz="4" w:space="0" w:color="000000"/>
                          <w:right w:val="single" w:sz="4" w:space="0" w:color="000000"/>
                        </w:tcBorders>
                      </w:tcPr>
                      <w:p>
                        <w:pPr>
                          <w:pStyle w:val="TableParagraph"/>
                          <w:spacing w:before="42"/>
                          <w:ind w:left="110"/>
                          <w:rPr>
                            <w:sz w:val="16"/>
                          </w:rPr>
                        </w:pPr>
                        <w:r>
                          <w:rPr>
                            <w:sz w:val="16"/>
                          </w:rPr>
                          <w:t>mOS</w:t>
                        </w:r>
                      </w:p>
                    </w:tc>
                    <w:tc>
                      <w:tcPr>
                        <w:tcW w:w="1537" w:type="dxa"/>
                        <w:tcBorders>
                          <w:top w:val="single" w:sz="4" w:space="0" w:color="000000"/>
                          <w:left w:val="single" w:sz="4" w:space="0" w:color="000000"/>
                          <w:bottom w:val="single" w:sz="4" w:space="0" w:color="000000"/>
                          <w:right w:val="dashSmallGap" w:sz="4" w:space="0" w:color="000000"/>
                        </w:tcBorders>
                      </w:tcPr>
                      <w:p>
                        <w:pPr>
                          <w:pStyle w:val="TableParagraph"/>
                          <w:spacing w:before="42"/>
                          <w:ind w:left="105"/>
                          <w:rPr>
                            <w:sz w:val="16"/>
                          </w:rPr>
                        </w:pPr>
                        <w:r>
                          <w:rPr>
                            <w:sz w:val="16"/>
                          </w:rPr>
                          <w:t>NR</w:t>
                        </w:r>
                      </w:p>
                    </w:tc>
                    <w:tc>
                      <w:tcPr>
                        <w:tcW w:w="826" w:type="dxa"/>
                        <w:tcBorders>
                          <w:top w:val="single" w:sz="4" w:space="0" w:color="000000"/>
                          <w:left w:val="dashSmallGap" w:sz="4" w:space="0" w:color="000000"/>
                          <w:bottom w:val="single" w:sz="4" w:space="0" w:color="000000"/>
                          <w:right w:val="single" w:sz="4" w:space="0" w:color="000000"/>
                        </w:tcBorders>
                      </w:tcPr>
                      <w:p>
                        <w:pPr>
                          <w:pStyle w:val="TableParagraph"/>
                          <w:spacing w:before="42"/>
                          <w:ind w:left="104"/>
                          <w:rPr>
                            <w:sz w:val="16"/>
                          </w:rPr>
                        </w:pPr>
                        <w:r>
                          <w:rPr>
                            <w:sz w:val="16"/>
                          </w:rPr>
                          <w:t>25.7m</w:t>
                        </w:r>
                      </w:p>
                    </w:tc>
                    <w:tc>
                      <w:tcPr>
                        <w:tcW w:w="1181" w:type="dxa"/>
                        <w:tcBorders>
                          <w:top w:val="single" w:sz="4" w:space="0" w:color="000000"/>
                          <w:left w:val="single" w:sz="4" w:space="0" w:color="000000"/>
                          <w:bottom w:val="single" w:sz="4" w:space="0" w:color="000000"/>
                          <w:right w:val="dashSmallGap" w:sz="4" w:space="0" w:color="000000"/>
                        </w:tcBorders>
                      </w:tcPr>
                      <w:p>
                        <w:pPr>
                          <w:pStyle w:val="TableParagraph"/>
                          <w:spacing w:before="42"/>
                          <w:ind w:left="105"/>
                          <w:rPr>
                            <w:sz w:val="16"/>
                          </w:rPr>
                        </w:pPr>
                        <w:r>
                          <w:rPr>
                            <w:sz w:val="16"/>
                          </w:rPr>
                          <w:t>16.9m</w:t>
                        </w:r>
                      </w:p>
                    </w:tc>
                    <w:tc>
                      <w:tcPr>
                        <w:tcW w:w="1181" w:type="dxa"/>
                        <w:tcBorders>
                          <w:top w:val="single" w:sz="4" w:space="0" w:color="000000"/>
                          <w:left w:val="dashSmallGap" w:sz="4" w:space="0" w:color="000000"/>
                          <w:bottom w:val="single" w:sz="4" w:space="0" w:color="000000"/>
                          <w:right w:val="single" w:sz="4" w:space="0" w:color="000000"/>
                        </w:tcBorders>
                      </w:tcPr>
                      <w:p>
                        <w:pPr>
                          <w:pStyle w:val="TableParagraph"/>
                          <w:spacing w:before="42"/>
                          <w:ind w:left="105"/>
                          <w:rPr>
                            <w:sz w:val="16"/>
                          </w:rPr>
                        </w:pPr>
                        <w:r>
                          <w:rPr>
                            <w:sz w:val="16"/>
                          </w:rPr>
                          <w:t>15.3m</w:t>
                        </w:r>
                      </w:p>
                    </w:tc>
                    <w:tc>
                      <w:tcPr>
                        <w:tcW w:w="1186" w:type="dxa"/>
                        <w:tcBorders>
                          <w:top w:val="single" w:sz="4" w:space="0" w:color="000000"/>
                          <w:left w:val="single" w:sz="4" w:space="0" w:color="000000"/>
                          <w:bottom w:val="single" w:sz="4" w:space="0" w:color="000000"/>
                          <w:right w:val="dashSmallGap" w:sz="4" w:space="0" w:color="000000"/>
                        </w:tcBorders>
                      </w:tcPr>
                      <w:p>
                        <w:pPr>
                          <w:pStyle w:val="TableParagraph"/>
                          <w:spacing w:before="42"/>
                          <w:ind w:left="105"/>
                          <w:rPr>
                            <w:sz w:val="16"/>
                          </w:rPr>
                        </w:pPr>
                        <w:r>
                          <w:rPr>
                            <w:sz w:val="16"/>
                          </w:rPr>
                          <w:t>NR</w:t>
                        </w:r>
                      </w:p>
                    </w:tc>
                    <w:tc>
                      <w:tcPr>
                        <w:tcW w:w="1181" w:type="dxa"/>
                        <w:tcBorders>
                          <w:top w:val="single" w:sz="4" w:space="0" w:color="000000"/>
                          <w:left w:val="dashSmallGap" w:sz="4" w:space="0" w:color="000000"/>
                          <w:bottom w:val="single" w:sz="4" w:space="0" w:color="000000"/>
                          <w:right w:val="nil"/>
                        </w:tcBorders>
                      </w:tcPr>
                      <w:p>
                        <w:pPr>
                          <w:pStyle w:val="TableParagraph"/>
                          <w:spacing w:before="42"/>
                          <w:ind w:left="100"/>
                          <w:rPr>
                            <w:sz w:val="16"/>
                          </w:rPr>
                        </w:pPr>
                        <w:r>
                          <w:rPr>
                            <w:sz w:val="16"/>
                          </w:rPr>
                          <w:t>16.4m</w:t>
                        </w:r>
                      </w:p>
                    </w:tc>
                  </w:tr>
                  <w:tr>
                    <w:trPr>
                      <w:trHeight w:val="417" w:hRule="atLeast"/>
                    </w:trPr>
                    <w:tc>
                      <w:tcPr>
                        <w:tcW w:w="874" w:type="dxa"/>
                        <w:tcBorders>
                          <w:top w:val="single" w:sz="4" w:space="0" w:color="000000"/>
                          <w:left w:val="nil"/>
                          <w:bottom w:val="single" w:sz="4" w:space="0" w:color="000000"/>
                          <w:right w:val="single" w:sz="4" w:space="0" w:color="000000"/>
                        </w:tcBorders>
                      </w:tcPr>
                      <w:p>
                        <w:pPr>
                          <w:pStyle w:val="TableParagraph"/>
                          <w:tabs>
                            <w:tab w:pos="604" w:val="left" w:leader="none"/>
                          </w:tabs>
                          <w:spacing w:line="222" w:lineRule="exact"/>
                          <w:ind w:left="110"/>
                          <w:rPr>
                            <w:rFonts w:ascii="PMingLiU" w:hAnsi="PMingLiU" w:eastAsia="PMingLiU" w:hint="eastAsia"/>
                            <w:sz w:val="16"/>
                          </w:rPr>
                        </w:pPr>
                        <w:r>
                          <w:rPr>
                            <w:sz w:val="16"/>
                          </w:rPr>
                          <w:t>≥3</w:t>
                          <w:tab/>
                        </w:r>
                        <w:r>
                          <w:rPr>
                            <w:rFonts w:ascii="PMingLiU" w:hAnsi="PMingLiU" w:eastAsia="PMingLiU" w:hint="eastAsia"/>
                            <w:sz w:val="16"/>
                          </w:rPr>
                          <w:t>级</w:t>
                        </w:r>
                      </w:p>
                      <w:p>
                        <w:pPr>
                          <w:pStyle w:val="TableParagraph"/>
                          <w:spacing w:line="163" w:lineRule="exact" w:before="11"/>
                          <w:ind w:left="110"/>
                          <w:rPr>
                            <w:sz w:val="16"/>
                          </w:rPr>
                        </w:pPr>
                        <w:r>
                          <w:rPr>
                            <w:sz w:val="16"/>
                          </w:rPr>
                          <w:t>CRS</w:t>
                        </w:r>
                      </w:p>
                    </w:tc>
                    <w:tc>
                      <w:tcPr>
                        <w:tcW w:w="1537" w:type="dxa"/>
                        <w:tcBorders>
                          <w:top w:val="single" w:sz="4" w:space="0" w:color="000000"/>
                          <w:left w:val="single" w:sz="4" w:space="0" w:color="000000"/>
                          <w:bottom w:val="single" w:sz="4" w:space="0" w:color="000000"/>
                          <w:right w:val="dashSmallGap" w:sz="4" w:space="0" w:color="000000"/>
                        </w:tcBorders>
                      </w:tcPr>
                      <w:p>
                        <w:pPr>
                          <w:pStyle w:val="TableParagraph"/>
                          <w:spacing w:before="113"/>
                          <w:ind w:left="105"/>
                          <w:rPr>
                            <w:sz w:val="16"/>
                          </w:rPr>
                        </w:pPr>
                        <w:r>
                          <w:rPr>
                            <w:sz w:val="16"/>
                          </w:rPr>
                          <w:t>6%</w:t>
                        </w:r>
                      </w:p>
                    </w:tc>
                    <w:tc>
                      <w:tcPr>
                        <w:tcW w:w="826" w:type="dxa"/>
                        <w:tcBorders>
                          <w:top w:val="single" w:sz="4" w:space="0" w:color="000000"/>
                          <w:left w:val="dashSmallGap" w:sz="4" w:space="0" w:color="000000"/>
                          <w:bottom w:val="single" w:sz="4" w:space="0" w:color="000000"/>
                          <w:right w:val="single" w:sz="4" w:space="0" w:color="000000"/>
                        </w:tcBorders>
                      </w:tcPr>
                      <w:p>
                        <w:pPr>
                          <w:pStyle w:val="TableParagraph"/>
                          <w:spacing w:before="113"/>
                          <w:ind w:left="104"/>
                          <w:rPr>
                            <w:sz w:val="16"/>
                          </w:rPr>
                        </w:pPr>
                        <w:r>
                          <w:rPr>
                            <w:sz w:val="16"/>
                          </w:rPr>
                          <w:t>N/A</w:t>
                        </w:r>
                      </w:p>
                    </w:tc>
                    <w:tc>
                      <w:tcPr>
                        <w:tcW w:w="1181" w:type="dxa"/>
                        <w:tcBorders>
                          <w:top w:val="single" w:sz="4" w:space="0" w:color="000000"/>
                          <w:left w:val="single" w:sz="4" w:space="0" w:color="000000"/>
                          <w:bottom w:val="single" w:sz="4" w:space="0" w:color="000000"/>
                          <w:right w:val="dashSmallGap" w:sz="4" w:space="0" w:color="000000"/>
                        </w:tcBorders>
                      </w:tcPr>
                      <w:p>
                        <w:pPr>
                          <w:pStyle w:val="TableParagraph"/>
                          <w:spacing w:before="113"/>
                          <w:ind w:left="105"/>
                          <w:rPr>
                            <w:sz w:val="16"/>
                          </w:rPr>
                        </w:pPr>
                        <w:r>
                          <w:rPr>
                            <w:sz w:val="16"/>
                          </w:rPr>
                          <w:t>5%</w:t>
                        </w:r>
                      </w:p>
                    </w:tc>
                    <w:tc>
                      <w:tcPr>
                        <w:tcW w:w="1181" w:type="dxa"/>
                        <w:tcBorders>
                          <w:top w:val="single" w:sz="4" w:space="0" w:color="000000"/>
                          <w:left w:val="dashSmallGap" w:sz="4" w:space="0" w:color="000000"/>
                          <w:bottom w:val="single" w:sz="4" w:space="0" w:color="000000"/>
                          <w:right w:val="single" w:sz="4" w:space="0" w:color="000000"/>
                        </w:tcBorders>
                      </w:tcPr>
                      <w:p>
                        <w:pPr>
                          <w:pStyle w:val="TableParagraph"/>
                          <w:spacing w:before="113"/>
                          <w:ind w:left="105"/>
                          <w:rPr>
                            <w:sz w:val="16"/>
                          </w:rPr>
                        </w:pPr>
                        <w:r>
                          <w:rPr>
                            <w:sz w:val="16"/>
                          </w:rPr>
                          <w:t>N/A</w:t>
                        </w:r>
                      </w:p>
                    </w:tc>
                    <w:tc>
                      <w:tcPr>
                        <w:tcW w:w="1186" w:type="dxa"/>
                        <w:tcBorders>
                          <w:top w:val="single" w:sz="4" w:space="0" w:color="000000"/>
                          <w:left w:val="single" w:sz="4" w:space="0" w:color="000000"/>
                          <w:bottom w:val="single" w:sz="4" w:space="0" w:color="000000"/>
                          <w:right w:val="dashSmallGap" w:sz="4" w:space="0" w:color="000000"/>
                        </w:tcBorders>
                      </w:tcPr>
                      <w:p>
                        <w:pPr>
                          <w:pStyle w:val="TableParagraph"/>
                          <w:spacing w:before="113"/>
                          <w:ind w:left="105"/>
                          <w:rPr>
                            <w:sz w:val="16"/>
                          </w:rPr>
                        </w:pPr>
                        <w:r>
                          <w:rPr>
                            <w:sz w:val="16"/>
                          </w:rPr>
                          <w:t>1%</w:t>
                        </w:r>
                      </w:p>
                    </w:tc>
                    <w:tc>
                      <w:tcPr>
                        <w:tcW w:w="1181" w:type="dxa"/>
                        <w:tcBorders>
                          <w:top w:val="single" w:sz="4" w:space="0" w:color="000000"/>
                          <w:left w:val="dashSmallGap" w:sz="4" w:space="0" w:color="000000"/>
                          <w:bottom w:val="single" w:sz="4" w:space="0" w:color="000000"/>
                          <w:right w:val="nil"/>
                        </w:tcBorders>
                      </w:tcPr>
                      <w:p>
                        <w:pPr>
                          <w:pStyle w:val="TableParagraph"/>
                          <w:spacing w:before="113"/>
                          <w:ind w:left="100"/>
                          <w:rPr>
                            <w:sz w:val="16"/>
                          </w:rPr>
                        </w:pPr>
                        <w:r>
                          <w:rPr>
                            <w:sz w:val="16"/>
                          </w:rPr>
                          <w:t>N/A</w:t>
                        </w:r>
                      </w:p>
                    </w:tc>
                  </w:tr>
                  <w:tr>
                    <w:trPr>
                      <w:trHeight w:val="416" w:hRule="atLeast"/>
                    </w:trPr>
                    <w:tc>
                      <w:tcPr>
                        <w:tcW w:w="874" w:type="dxa"/>
                        <w:tcBorders>
                          <w:top w:val="single" w:sz="4" w:space="0" w:color="000000"/>
                          <w:left w:val="nil"/>
                          <w:right w:val="single" w:sz="4" w:space="0" w:color="000000"/>
                        </w:tcBorders>
                      </w:tcPr>
                      <w:p>
                        <w:pPr>
                          <w:pStyle w:val="TableParagraph"/>
                          <w:tabs>
                            <w:tab w:pos="604" w:val="left" w:leader="none"/>
                          </w:tabs>
                          <w:spacing w:line="222" w:lineRule="exact"/>
                          <w:ind w:left="110"/>
                          <w:rPr>
                            <w:rFonts w:ascii="PMingLiU" w:hAnsi="PMingLiU" w:eastAsia="PMingLiU" w:hint="eastAsia"/>
                            <w:sz w:val="16"/>
                          </w:rPr>
                        </w:pPr>
                        <w:r>
                          <w:rPr>
                            <w:sz w:val="16"/>
                          </w:rPr>
                          <w:t>≥3</w:t>
                          <w:tab/>
                        </w:r>
                        <w:r>
                          <w:rPr>
                            <w:rFonts w:ascii="PMingLiU" w:hAnsi="PMingLiU" w:eastAsia="PMingLiU" w:hint="eastAsia"/>
                            <w:sz w:val="16"/>
                          </w:rPr>
                          <w:t>级</w:t>
                        </w:r>
                      </w:p>
                      <w:p>
                        <w:pPr>
                          <w:pStyle w:val="TableParagraph"/>
                          <w:spacing w:line="163" w:lineRule="exact" w:before="11"/>
                          <w:ind w:left="110"/>
                          <w:rPr>
                            <w:sz w:val="16"/>
                          </w:rPr>
                        </w:pPr>
                        <w:r>
                          <w:rPr>
                            <w:sz w:val="16"/>
                          </w:rPr>
                          <w:t>ICANS</w:t>
                        </w:r>
                      </w:p>
                    </w:tc>
                    <w:tc>
                      <w:tcPr>
                        <w:tcW w:w="1537" w:type="dxa"/>
                        <w:tcBorders>
                          <w:top w:val="single" w:sz="4" w:space="0" w:color="000000"/>
                          <w:left w:val="single" w:sz="4" w:space="0" w:color="000000"/>
                          <w:right w:val="dashSmallGap" w:sz="4" w:space="0" w:color="000000"/>
                        </w:tcBorders>
                      </w:tcPr>
                      <w:p>
                        <w:pPr>
                          <w:pStyle w:val="TableParagraph"/>
                          <w:spacing w:before="113"/>
                          <w:ind w:left="105"/>
                          <w:rPr>
                            <w:sz w:val="16"/>
                          </w:rPr>
                        </w:pPr>
                        <w:r>
                          <w:rPr>
                            <w:sz w:val="16"/>
                          </w:rPr>
                          <w:t>21%</w:t>
                        </w:r>
                      </w:p>
                    </w:tc>
                    <w:tc>
                      <w:tcPr>
                        <w:tcW w:w="826" w:type="dxa"/>
                        <w:tcBorders>
                          <w:top w:val="single" w:sz="4" w:space="0" w:color="000000"/>
                          <w:left w:val="dashSmallGap" w:sz="4" w:space="0" w:color="000000"/>
                          <w:right w:val="single" w:sz="4" w:space="0" w:color="000000"/>
                        </w:tcBorders>
                      </w:tcPr>
                      <w:p>
                        <w:pPr>
                          <w:pStyle w:val="TableParagraph"/>
                          <w:spacing w:before="113"/>
                          <w:ind w:left="104"/>
                          <w:rPr>
                            <w:sz w:val="16"/>
                          </w:rPr>
                        </w:pPr>
                        <w:r>
                          <w:rPr>
                            <w:sz w:val="16"/>
                          </w:rPr>
                          <w:t>N/A</w:t>
                        </w:r>
                      </w:p>
                    </w:tc>
                    <w:tc>
                      <w:tcPr>
                        <w:tcW w:w="1181" w:type="dxa"/>
                        <w:tcBorders>
                          <w:top w:val="single" w:sz="4" w:space="0" w:color="000000"/>
                          <w:left w:val="single" w:sz="4" w:space="0" w:color="000000"/>
                          <w:right w:val="dashSmallGap" w:sz="4" w:space="0" w:color="000000"/>
                        </w:tcBorders>
                      </w:tcPr>
                      <w:p>
                        <w:pPr>
                          <w:pStyle w:val="TableParagraph"/>
                          <w:spacing w:before="113"/>
                          <w:ind w:left="105"/>
                          <w:rPr>
                            <w:sz w:val="16"/>
                          </w:rPr>
                        </w:pPr>
                        <w:r>
                          <w:rPr>
                            <w:sz w:val="16"/>
                          </w:rPr>
                          <w:t>2%</w:t>
                        </w:r>
                      </w:p>
                    </w:tc>
                    <w:tc>
                      <w:tcPr>
                        <w:tcW w:w="1181" w:type="dxa"/>
                        <w:tcBorders>
                          <w:top w:val="single" w:sz="4" w:space="0" w:color="000000"/>
                          <w:left w:val="dashSmallGap" w:sz="4" w:space="0" w:color="000000"/>
                          <w:right w:val="single" w:sz="4" w:space="0" w:color="000000"/>
                        </w:tcBorders>
                      </w:tcPr>
                      <w:p>
                        <w:pPr>
                          <w:pStyle w:val="TableParagraph"/>
                          <w:spacing w:before="113"/>
                          <w:ind w:left="105"/>
                          <w:rPr>
                            <w:sz w:val="16"/>
                          </w:rPr>
                        </w:pPr>
                        <w:r>
                          <w:rPr>
                            <w:sz w:val="16"/>
                          </w:rPr>
                          <w:t>N/A</w:t>
                        </w:r>
                      </w:p>
                    </w:tc>
                    <w:tc>
                      <w:tcPr>
                        <w:tcW w:w="1186" w:type="dxa"/>
                        <w:tcBorders>
                          <w:top w:val="single" w:sz="4" w:space="0" w:color="000000"/>
                          <w:left w:val="single" w:sz="4" w:space="0" w:color="000000"/>
                          <w:right w:val="dashSmallGap" w:sz="4" w:space="0" w:color="000000"/>
                        </w:tcBorders>
                      </w:tcPr>
                      <w:p>
                        <w:pPr>
                          <w:pStyle w:val="TableParagraph"/>
                          <w:spacing w:before="113"/>
                          <w:ind w:left="105"/>
                          <w:rPr>
                            <w:sz w:val="16"/>
                          </w:rPr>
                        </w:pPr>
                        <w:r>
                          <w:rPr>
                            <w:sz w:val="16"/>
                          </w:rPr>
                          <w:t>4%</w:t>
                        </w:r>
                      </w:p>
                    </w:tc>
                    <w:tc>
                      <w:tcPr>
                        <w:tcW w:w="1181" w:type="dxa"/>
                        <w:tcBorders>
                          <w:top w:val="single" w:sz="4" w:space="0" w:color="000000"/>
                          <w:left w:val="dashSmallGap" w:sz="4" w:space="0" w:color="000000"/>
                          <w:right w:val="nil"/>
                        </w:tcBorders>
                      </w:tcPr>
                      <w:p>
                        <w:pPr>
                          <w:pStyle w:val="TableParagraph"/>
                          <w:spacing w:before="113"/>
                          <w:ind w:left="100"/>
                          <w:rPr>
                            <w:sz w:val="16"/>
                          </w:rPr>
                        </w:pPr>
                        <w:r>
                          <w:rPr>
                            <w:sz w:val="16"/>
                          </w:rPr>
                          <w:t>N/A</w:t>
                        </w:r>
                      </w:p>
                    </w:tc>
                  </w:tr>
                </w:tbl>
                <w:p>
                  <w:pPr>
                    <w:pStyle w:val="BodyText"/>
                    <w:ind w:left="0"/>
                  </w:pPr>
                </w:p>
              </w:txbxContent>
            </v:textbox>
            <w10:wrap type="none"/>
          </v:shape>
        </w:pict>
      </w:r>
      <w:r>
        <w:rPr>
          <w:rFonts w:ascii="Arial" w:eastAsia="Arial"/>
          <w:sz w:val="20"/>
        </w:rPr>
        <w:t>CR </w:t>
      </w:r>
      <w:r>
        <w:rPr>
          <w:sz w:val="20"/>
        </w:rPr>
        <w:t>均无差异；中位随访 </w:t>
      </w:r>
      <w:r>
        <w:rPr>
          <w:rFonts w:ascii="Arial" w:eastAsia="Arial"/>
          <w:sz w:val="20"/>
        </w:rPr>
        <w:t>10.0 </w:t>
      </w:r>
      <w:r>
        <w:rPr>
          <w:sz w:val="20"/>
        </w:rPr>
        <w:t>个月时，两组的中位 </w:t>
      </w:r>
      <w:r>
        <w:rPr>
          <w:rFonts w:ascii="Arial" w:eastAsia="Arial"/>
          <w:sz w:val="20"/>
        </w:rPr>
        <w:t>EFS </w:t>
      </w:r>
      <w:r>
        <w:rPr>
          <w:sz w:val="20"/>
        </w:rPr>
        <w:t>也几乎相同。</w:t>
      </w:r>
      <w:r>
        <w:rPr>
          <w:rFonts w:ascii="Microsoft JhengHei UI" w:eastAsia="Microsoft JhengHei UI" w:hint="eastAsia"/>
          <w:b/>
          <w:sz w:val="20"/>
        </w:rPr>
        <w:t>图 </w:t>
      </w:r>
      <w:r>
        <w:rPr>
          <w:rFonts w:ascii="Arial" w:eastAsia="Arial"/>
          <w:b/>
          <w:sz w:val="20"/>
        </w:rPr>
        <w:t>27: CAR-T </w:t>
      </w:r>
      <w:r>
        <w:rPr>
          <w:rFonts w:ascii="Microsoft JhengHei UI" w:eastAsia="Microsoft JhengHei UI" w:hint="eastAsia"/>
          <w:b/>
          <w:sz w:val="20"/>
        </w:rPr>
        <w:t>用于二线治疗</w:t>
      </w:r>
      <w:r>
        <w:rPr>
          <w:rFonts w:ascii="Arial" w:eastAsia="Arial"/>
          <w:b/>
          <w:sz w:val="20"/>
        </w:rPr>
        <w:t>LBCL </w:t>
      </w:r>
      <w:r>
        <w:rPr>
          <w:rFonts w:ascii="Microsoft JhengHei UI" w:eastAsia="Microsoft JhengHei UI" w:hint="eastAsia"/>
          <w:b/>
          <w:sz w:val="20"/>
        </w:rPr>
        <w:t>注册临床结果对比</w:t>
      </w:r>
    </w:p>
    <w:p>
      <w:pPr>
        <w:pStyle w:val="BodyText"/>
        <w:ind w:left="0"/>
        <w:rPr>
          <w:rFonts w:ascii="Microsoft JhengHei UI"/>
          <w:b/>
          <w:sz w:val="26"/>
        </w:rPr>
      </w:pPr>
    </w:p>
    <w:p>
      <w:pPr>
        <w:pStyle w:val="BodyText"/>
        <w:ind w:left="0"/>
        <w:rPr>
          <w:rFonts w:ascii="Microsoft JhengHei UI"/>
          <w:b/>
          <w:sz w:val="26"/>
        </w:rPr>
      </w:pPr>
    </w:p>
    <w:p>
      <w:pPr>
        <w:pStyle w:val="BodyText"/>
        <w:ind w:left="0"/>
        <w:rPr>
          <w:rFonts w:ascii="Microsoft JhengHei UI"/>
          <w:b/>
          <w:sz w:val="26"/>
        </w:rPr>
      </w:pPr>
    </w:p>
    <w:p>
      <w:pPr>
        <w:pStyle w:val="BodyText"/>
        <w:ind w:left="0"/>
        <w:rPr>
          <w:rFonts w:ascii="Microsoft JhengHei UI"/>
          <w:b/>
          <w:sz w:val="26"/>
        </w:rPr>
      </w:pPr>
    </w:p>
    <w:p>
      <w:pPr>
        <w:pStyle w:val="BodyText"/>
        <w:ind w:left="0"/>
        <w:rPr>
          <w:rFonts w:ascii="Microsoft JhengHei UI"/>
          <w:b/>
          <w:sz w:val="26"/>
        </w:rPr>
      </w:pPr>
    </w:p>
    <w:p>
      <w:pPr>
        <w:pStyle w:val="BodyText"/>
        <w:ind w:left="0"/>
        <w:rPr>
          <w:rFonts w:ascii="Microsoft JhengHei UI"/>
          <w:b/>
          <w:sz w:val="26"/>
        </w:rPr>
      </w:pPr>
    </w:p>
    <w:p>
      <w:pPr>
        <w:pStyle w:val="BodyText"/>
        <w:ind w:left="0"/>
        <w:rPr>
          <w:rFonts w:ascii="Microsoft JhengHei UI"/>
          <w:b/>
          <w:sz w:val="26"/>
        </w:rPr>
      </w:pPr>
    </w:p>
    <w:p>
      <w:pPr>
        <w:pStyle w:val="BodyText"/>
        <w:spacing w:before="15"/>
        <w:ind w:left="0"/>
        <w:rPr>
          <w:rFonts w:ascii="Microsoft JhengHei UI"/>
          <w:b/>
          <w:sz w:val="28"/>
        </w:rPr>
      </w:pPr>
    </w:p>
    <w:p>
      <w:pPr>
        <w:spacing w:before="1"/>
        <w:ind w:left="210" w:right="0" w:firstLine="0"/>
        <w:jc w:val="left"/>
        <w:rPr>
          <w:sz w:val="16"/>
        </w:rPr>
      </w:pPr>
      <w:r>
        <w:rPr>
          <w:sz w:val="16"/>
        </w:rPr>
        <w:t>资料来源</w:t>
      </w:r>
      <w:r>
        <w:rPr>
          <w:rFonts w:ascii="Arial" w:eastAsia="Arial"/>
          <w:sz w:val="16"/>
        </w:rPr>
        <w:t>: ASH 2021, FDA</w:t>
      </w:r>
      <w:r>
        <w:rPr>
          <w:sz w:val="16"/>
        </w:rPr>
        <w:t>， 公司官网，招银国际证券</w:t>
      </w:r>
    </w:p>
    <w:p>
      <w:pPr>
        <w:pStyle w:val="BodyText"/>
        <w:spacing w:before="11"/>
        <w:ind w:left="0"/>
        <w:rPr>
          <w:sz w:val="21"/>
        </w:rPr>
      </w:pPr>
    </w:p>
    <w:p>
      <w:pPr>
        <w:pStyle w:val="Heading3"/>
        <w:spacing w:before="45" w:after="4"/>
        <w:jc w:val="left"/>
      </w:pPr>
      <w:r>
        <w:rPr/>
        <w:t>图 </w:t>
      </w:r>
      <w:r>
        <w:rPr>
          <w:rFonts w:ascii="Arial" w:eastAsia="Arial"/>
        </w:rPr>
        <w:t>28: ZUMA-7/ TRANSFORM/ BELINDA </w:t>
      </w:r>
      <w:r>
        <w:rPr/>
        <w:t>中的 </w:t>
      </w:r>
      <w:r>
        <w:rPr>
          <w:rFonts w:ascii="Arial" w:eastAsia="Arial"/>
        </w:rPr>
        <w:t>EFS </w:t>
      </w:r>
      <w:r>
        <w:rPr/>
        <w:t>曲线</w:t>
      </w:r>
    </w:p>
    <w:p>
      <w:pPr>
        <w:pStyle w:val="BodyText"/>
        <w:ind w:left="181"/>
        <w:rPr>
          <w:rFonts w:ascii="Microsoft JhengHei UI"/>
        </w:rPr>
      </w:pPr>
      <w:r>
        <w:rPr>
          <w:rFonts w:ascii="Microsoft JhengHei UI"/>
        </w:rPr>
        <w:drawing>
          <wp:inline distT="0" distB="0" distL="0" distR="0">
            <wp:extent cx="5080916" cy="2043112"/>
            <wp:effectExtent l="0" t="0" r="0" b="0"/>
            <wp:docPr id="25" name="image23.png"/>
            <wp:cNvGraphicFramePr>
              <a:graphicFrameLocks noChangeAspect="1"/>
            </wp:cNvGraphicFramePr>
            <a:graphic>
              <a:graphicData uri="http://schemas.openxmlformats.org/drawingml/2006/picture">
                <pic:pic>
                  <pic:nvPicPr>
                    <pic:cNvPr id="26" name="image23.png"/>
                    <pic:cNvPicPr/>
                  </pic:nvPicPr>
                  <pic:blipFill>
                    <a:blip r:embed="rId33" cstate="print"/>
                    <a:stretch>
                      <a:fillRect/>
                    </a:stretch>
                  </pic:blipFill>
                  <pic:spPr>
                    <a:xfrm>
                      <a:off x="0" y="0"/>
                      <a:ext cx="5080916" cy="2043112"/>
                    </a:xfrm>
                    <a:prstGeom prst="rect">
                      <a:avLst/>
                    </a:prstGeom>
                  </pic:spPr>
                </pic:pic>
              </a:graphicData>
            </a:graphic>
          </wp:inline>
        </w:drawing>
      </w:r>
      <w:r>
        <w:rPr>
          <w:rFonts w:ascii="Microsoft JhengHei UI"/>
        </w:rPr>
      </w:r>
    </w:p>
    <w:p>
      <w:pPr>
        <w:spacing w:before="16"/>
        <w:ind w:left="210" w:right="0" w:firstLine="0"/>
        <w:jc w:val="left"/>
        <w:rPr>
          <w:sz w:val="16"/>
        </w:rPr>
      </w:pPr>
      <w:r>
        <w:rPr>
          <w:sz w:val="16"/>
        </w:rPr>
        <w:t>资料来源</w:t>
      </w:r>
      <w:r>
        <w:rPr>
          <w:rFonts w:ascii="Arial" w:eastAsia="Arial"/>
          <w:sz w:val="16"/>
        </w:rPr>
        <w:t>:clinicaloptions.com, </w:t>
      </w:r>
      <w:r>
        <w:rPr>
          <w:sz w:val="16"/>
        </w:rPr>
        <w:t>招银国际证券</w:t>
      </w:r>
    </w:p>
    <w:p>
      <w:pPr>
        <w:spacing w:before="12"/>
        <w:ind w:left="210" w:right="0" w:firstLine="0"/>
        <w:jc w:val="left"/>
        <w:rPr>
          <w:rFonts w:ascii="Arial" w:eastAsia="Arial"/>
          <w:sz w:val="16"/>
        </w:rPr>
      </w:pPr>
      <w:r>
        <w:rPr>
          <w:sz w:val="16"/>
        </w:rPr>
        <w:t>注：</w:t>
      </w:r>
      <w:r>
        <w:rPr>
          <w:rFonts w:ascii="Arial" w:eastAsia="Arial"/>
          <w:sz w:val="16"/>
        </w:rPr>
        <w:t>Kymriah (axi-cel)</w:t>
      </w:r>
      <w:r>
        <w:rPr>
          <w:sz w:val="16"/>
        </w:rPr>
        <w:t>，</w:t>
      </w:r>
      <w:r>
        <w:rPr>
          <w:rFonts w:ascii="Arial" w:eastAsia="Arial"/>
          <w:sz w:val="16"/>
        </w:rPr>
        <w:t>Yescarta (tisa-cel), Breyanzi (liso-cel)</w:t>
      </w:r>
    </w:p>
    <w:p>
      <w:pPr>
        <w:pStyle w:val="BodyText"/>
        <w:spacing w:before="7"/>
        <w:ind w:left="0"/>
        <w:rPr>
          <w:rFonts w:ascii="Arial"/>
          <w:sz w:val="29"/>
        </w:rPr>
      </w:pPr>
    </w:p>
    <w:p>
      <w:pPr>
        <w:pStyle w:val="BodyText"/>
        <w:spacing w:line="288" w:lineRule="auto"/>
        <w:ind w:right="2614"/>
      </w:pPr>
      <w:r>
        <w:rPr>
          <w:spacing w:val="1"/>
        </w:rPr>
        <w:t>安全性方面，所有研究的 </w:t>
      </w:r>
      <w:r>
        <w:rPr>
          <w:rFonts w:ascii="Arial" w:eastAsia="Arial"/>
          <w:spacing w:val="-3"/>
        </w:rPr>
        <w:t>CAR-</w:t>
      </w:r>
      <w:r>
        <w:rPr>
          <w:spacing w:val="1"/>
        </w:rPr>
        <w:t>治疗组中三级及以上 </w:t>
      </w:r>
      <w:r>
        <w:rPr>
          <w:rFonts w:ascii="Arial" w:eastAsia="Arial"/>
          <w:spacing w:val="-3"/>
        </w:rPr>
        <w:t>CRS</w:t>
      </w:r>
      <w:r>
        <w:rPr>
          <w:rFonts w:ascii="Arial" w:eastAsia="Arial"/>
          <w:spacing w:val="29"/>
        </w:rPr>
        <w:t> </w:t>
      </w:r>
      <w:r>
        <w:rPr>
          <w:spacing w:val="-5"/>
        </w:rPr>
        <w:t>的发生率均较低，为个位数级别； </w:t>
      </w:r>
      <w:r>
        <w:rPr>
          <w:spacing w:val="8"/>
        </w:rPr>
        <w:t>三级及以上</w:t>
      </w:r>
      <w:r>
        <w:rPr>
          <w:rFonts w:ascii="Arial" w:eastAsia="Arial"/>
        </w:rPr>
        <w:t>ICANS</w:t>
      </w:r>
      <w:r>
        <w:rPr>
          <w:rFonts w:ascii="Arial" w:eastAsia="Arial"/>
          <w:spacing w:val="-8"/>
        </w:rPr>
        <w:t> </w:t>
      </w:r>
      <w:r>
        <w:rPr>
          <w:spacing w:val="48"/>
        </w:rPr>
        <w:t>在</w:t>
      </w:r>
      <w:r>
        <w:rPr>
          <w:rFonts w:ascii="Arial" w:eastAsia="Arial"/>
        </w:rPr>
        <w:t>ZUMA-7</w:t>
      </w:r>
      <w:r>
        <w:rPr>
          <w:rFonts w:ascii="Arial" w:eastAsia="Arial"/>
          <w:spacing w:val="-10"/>
        </w:rPr>
        <w:t> </w:t>
      </w:r>
      <w:r>
        <w:rPr>
          <w:spacing w:val="-3"/>
        </w:rPr>
        <w:t>研究中更常见，达 </w:t>
      </w:r>
      <w:r>
        <w:rPr>
          <w:rFonts w:ascii="Arial" w:eastAsia="Arial"/>
        </w:rPr>
        <w:t>21%</w:t>
      </w:r>
      <w:r>
        <w:rPr/>
        <w:t>，而 </w:t>
      </w:r>
      <w:r>
        <w:rPr>
          <w:rFonts w:ascii="Arial" w:eastAsia="Arial"/>
        </w:rPr>
        <w:t>BELINDA/</w:t>
      </w:r>
      <w:r>
        <w:rPr>
          <w:rFonts w:ascii="Arial" w:eastAsia="Arial"/>
          <w:spacing w:val="19"/>
        </w:rPr>
        <w:t> </w:t>
      </w:r>
      <w:r>
        <w:rPr>
          <w:rFonts w:ascii="Arial" w:eastAsia="Arial"/>
        </w:rPr>
        <w:t>TRANSFORM</w:t>
      </w:r>
      <w:r>
        <w:rPr>
          <w:rFonts w:ascii="Arial" w:eastAsia="Arial"/>
          <w:spacing w:val="-6"/>
        </w:rPr>
        <w:t> </w:t>
      </w:r>
      <w:r>
        <w:rPr/>
        <w:t>研究 </w:t>
      </w:r>
      <w:r>
        <w:rPr>
          <w:spacing w:val="2"/>
        </w:rPr>
        <w:t>中分别仅 </w:t>
      </w:r>
      <w:r>
        <w:rPr>
          <w:rFonts w:ascii="Arial" w:eastAsia="Arial"/>
        </w:rPr>
        <w:t>2%/</w:t>
      </w:r>
      <w:r>
        <w:rPr>
          <w:rFonts w:ascii="Arial" w:eastAsia="Arial"/>
          <w:spacing w:val="38"/>
        </w:rPr>
        <w:t> </w:t>
      </w:r>
      <w:r>
        <w:rPr>
          <w:rFonts w:ascii="Arial" w:eastAsia="Arial"/>
        </w:rPr>
        <w:t>4%</w:t>
      </w:r>
      <w:r>
        <w:rPr/>
        <w:t>。三项研究中治疗组的因治疗导致的致死性不良事件发生率没有差异。</w:t>
      </w:r>
      <w:r>
        <w:rPr>
          <w:rFonts w:ascii="Arial" w:eastAsia="Arial"/>
        </w:rPr>
        <w:t>SOC</w:t>
      </w:r>
      <w:r>
        <w:rPr>
          <w:rFonts w:ascii="Arial" w:eastAsia="Arial"/>
          <w:spacing w:val="-11"/>
        </w:rPr>
        <w:t> </w:t>
      </w:r>
      <w:r>
        <w:rPr>
          <w:spacing w:val="24"/>
        </w:rPr>
        <w:t>组比</w:t>
      </w:r>
      <w:r>
        <w:rPr>
          <w:rFonts w:ascii="Arial" w:eastAsia="Arial"/>
        </w:rPr>
        <w:t>CAR-T</w:t>
      </w:r>
      <w:r>
        <w:rPr>
          <w:rFonts w:ascii="Arial" w:eastAsia="Arial"/>
          <w:spacing w:val="-12"/>
        </w:rPr>
        <w:t> </w:t>
      </w:r>
      <w:r>
        <w:rPr>
          <w:spacing w:val="-5"/>
        </w:rPr>
        <w:t>细胞治疗组更常见的毒性包括发热性中性粒细胞减少、贫血和恶心。</w:t>
      </w:r>
    </w:p>
    <w:p>
      <w:pPr>
        <w:pStyle w:val="BodyText"/>
        <w:spacing w:line="283" w:lineRule="auto" w:before="122"/>
        <w:ind w:right="2811"/>
        <w:jc w:val="both"/>
      </w:pPr>
      <w:r>
        <w:rPr>
          <w:rFonts w:ascii="Arial" w:eastAsia="Arial"/>
        </w:rPr>
        <w:t>BELINDA</w:t>
      </w:r>
      <w:r>
        <w:rPr>
          <w:rFonts w:ascii="Arial" w:eastAsia="Arial"/>
          <w:spacing w:val="4"/>
        </w:rPr>
        <w:t> </w:t>
      </w:r>
      <w:r>
        <w:rPr>
          <w:spacing w:val="-1"/>
        </w:rPr>
        <w:t>研究虽然与 </w:t>
      </w:r>
      <w:r>
        <w:rPr>
          <w:rFonts w:ascii="Arial" w:eastAsia="Arial"/>
        </w:rPr>
        <w:t>ZUMA-7</w:t>
      </w:r>
      <w:r>
        <w:rPr>
          <w:rFonts w:ascii="Arial" w:eastAsia="Arial"/>
          <w:spacing w:val="2"/>
        </w:rPr>
        <w:t> </w:t>
      </w:r>
      <w:r>
        <w:rPr>
          <w:spacing w:val="3"/>
        </w:rPr>
        <w:t>和 </w:t>
      </w:r>
      <w:r>
        <w:rPr>
          <w:rFonts w:ascii="Arial" w:eastAsia="Arial"/>
        </w:rPr>
        <w:t>TRANSFORM</w:t>
      </w:r>
      <w:r>
        <w:rPr>
          <w:rFonts w:ascii="Arial" w:eastAsia="Arial"/>
          <w:spacing w:val="5"/>
        </w:rPr>
        <w:t> </w:t>
      </w:r>
      <w:r>
        <w:rPr>
          <w:spacing w:val="-5"/>
        </w:rPr>
        <w:t>研究设计类似，但其研究结论却与其他疗法完全相反。对比三项研究的细节，我们推测 </w:t>
      </w:r>
      <w:r>
        <w:rPr>
          <w:rFonts w:ascii="Arial" w:eastAsia="Arial"/>
        </w:rPr>
        <w:t>BELINDA</w:t>
      </w:r>
      <w:r>
        <w:rPr>
          <w:rFonts w:ascii="Arial" w:eastAsia="Arial"/>
          <w:spacing w:val="-8"/>
        </w:rPr>
        <w:t> </w:t>
      </w:r>
      <w:r>
        <w:rPr>
          <w:spacing w:val="-4"/>
        </w:rPr>
        <w:t>研究失败主要原因可能在于：</w:t>
      </w:r>
    </w:p>
    <w:p>
      <w:pPr>
        <w:pStyle w:val="ListParagraph"/>
        <w:numPr>
          <w:ilvl w:val="0"/>
          <w:numId w:val="4"/>
        </w:numPr>
        <w:tabs>
          <w:tab w:pos="571" w:val="left" w:leader="none"/>
        </w:tabs>
        <w:spacing w:line="278" w:lineRule="auto" w:before="74" w:after="0"/>
        <w:ind w:left="570" w:right="2809" w:hanging="360"/>
        <w:jc w:val="both"/>
        <w:rPr>
          <w:sz w:val="20"/>
        </w:rPr>
      </w:pPr>
      <w:r>
        <w:rPr>
          <w:rFonts w:ascii="Arial" w:eastAsia="Arial"/>
          <w:b/>
          <w:sz w:val="20"/>
        </w:rPr>
        <w:t>Kymriah</w:t>
      </w:r>
      <w:r>
        <w:rPr>
          <w:rFonts w:ascii="Arial" w:eastAsia="Arial"/>
          <w:b/>
          <w:spacing w:val="23"/>
          <w:sz w:val="20"/>
        </w:rPr>
        <w:t> </w:t>
      </w:r>
      <w:r>
        <w:rPr>
          <w:rFonts w:ascii="Microsoft JhengHei UI" w:eastAsia="Microsoft JhengHei UI" w:hint="eastAsia"/>
          <w:b/>
          <w:spacing w:val="-5"/>
          <w:sz w:val="20"/>
        </w:rPr>
        <w:t>生产周期显著延长，并因此允许患者接受多个周期桥接化疗。</w:t>
      </w:r>
      <w:r>
        <w:rPr>
          <w:rFonts w:ascii="Arial" w:eastAsia="Arial"/>
          <w:sz w:val="20"/>
        </w:rPr>
        <w:t>BELINDA</w:t>
      </w:r>
      <w:r>
        <w:rPr>
          <w:rFonts w:ascii="Arial" w:eastAsia="Arial"/>
          <w:spacing w:val="16"/>
          <w:sz w:val="20"/>
        </w:rPr>
        <w:t> </w:t>
      </w:r>
      <w:r>
        <w:rPr>
          <w:sz w:val="20"/>
        </w:rPr>
        <w:t>研究</w:t>
      </w:r>
      <w:r>
        <w:rPr>
          <w:spacing w:val="-3"/>
          <w:sz w:val="20"/>
        </w:rPr>
        <w:t>中患者的回输间隔为 </w:t>
      </w:r>
      <w:r>
        <w:rPr>
          <w:rFonts w:ascii="Arial" w:eastAsia="Arial"/>
          <w:sz w:val="20"/>
        </w:rPr>
        <w:t>52</w:t>
      </w:r>
      <w:r>
        <w:rPr>
          <w:rFonts w:ascii="Arial" w:eastAsia="Arial"/>
          <w:spacing w:val="17"/>
          <w:sz w:val="20"/>
        </w:rPr>
        <w:t> </w:t>
      </w:r>
      <w:r>
        <w:rPr>
          <w:spacing w:val="9"/>
          <w:sz w:val="20"/>
        </w:rPr>
        <w:t>天 </w:t>
      </w:r>
      <w:r>
        <w:rPr>
          <w:rFonts w:ascii="Arial" w:eastAsia="Arial"/>
          <w:sz w:val="20"/>
        </w:rPr>
        <w:t>(31</w:t>
      </w:r>
      <w:r>
        <w:rPr>
          <w:rFonts w:ascii="Arial" w:eastAsia="Arial"/>
          <w:spacing w:val="-10"/>
          <w:sz w:val="20"/>
        </w:rPr>
        <w:t> </w:t>
      </w:r>
      <w:r>
        <w:rPr>
          <w:spacing w:val="-5"/>
          <w:sz w:val="20"/>
        </w:rPr>
        <w:t>天</w:t>
      </w:r>
      <w:r>
        <w:rPr>
          <w:rFonts w:ascii="Arial" w:eastAsia="Arial"/>
          <w:sz w:val="20"/>
        </w:rPr>
        <w:t>~135</w:t>
      </w:r>
      <w:r>
        <w:rPr>
          <w:rFonts w:ascii="Arial" w:eastAsia="Arial"/>
          <w:spacing w:val="-9"/>
          <w:sz w:val="20"/>
        </w:rPr>
        <w:t> </w:t>
      </w:r>
      <w:r>
        <w:rPr>
          <w:sz w:val="20"/>
        </w:rPr>
        <w:t>天</w:t>
      </w:r>
      <w:r>
        <w:rPr>
          <w:rFonts w:ascii="Arial" w:eastAsia="Arial"/>
          <w:sz w:val="20"/>
        </w:rPr>
        <w:t>)</w:t>
      </w:r>
      <w:r>
        <w:rPr>
          <w:sz w:val="20"/>
        </w:rPr>
        <w:t>，相比 </w:t>
      </w:r>
      <w:r>
        <w:rPr>
          <w:rFonts w:ascii="Arial" w:eastAsia="Arial"/>
          <w:sz w:val="20"/>
        </w:rPr>
        <w:t>Yescarta</w:t>
      </w:r>
      <w:r>
        <w:rPr>
          <w:rFonts w:ascii="Arial" w:eastAsia="Arial"/>
          <w:spacing w:val="-9"/>
          <w:sz w:val="20"/>
        </w:rPr>
        <w:t> </w:t>
      </w:r>
      <w:r>
        <w:rPr>
          <w:spacing w:val="-4"/>
          <w:sz w:val="20"/>
        </w:rPr>
        <w:t>几乎延长一倍，导致患者在</w:t>
      </w:r>
      <w:r>
        <w:rPr>
          <w:spacing w:val="-5"/>
          <w:sz w:val="20"/>
        </w:rPr>
        <w:t>等待输注过程中发生进展。由于制备周期长，</w:t>
      </w:r>
      <w:r>
        <w:rPr>
          <w:rFonts w:ascii="Arial" w:eastAsia="Arial"/>
          <w:sz w:val="20"/>
        </w:rPr>
        <w:t>BELINDA</w:t>
      </w:r>
      <w:r>
        <w:rPr>
          <w:rFonts w:ascii="Arial" w:eastAsia="Arial"/>
          <w:spacing w:val="26"/>
          <w:sz w:val="20"/>
        </w:rPr>
        <w:t> </w:t>
      </w:r>
      <w:r>
        <w:rPr>
          <w:spacing w:val="10"/>
          <w:sz w:val="20"/>
        </w:rPr>
        <w:t>研究中 </w:t>
      </w:r>
      <w:r>
        <w:rPr>
          <w:rFonts w:ascii="Arial" w:eastAsia="Arial"/>
          <w:spacing w:val="-2"/>
          <w:sz w:val="20"/>
        </w:rPr>
        <w:t>83%</w:t>
      </w:r>
      <w:r>
        <w:rPr>
          <w:spacing w:val="20"/>
          <w:sz w:val="20"/>
        </w:rPr>
        <w:t>的 </w:t>
      </w:r>
      <w:r>
        <w:rPr>
          <w:rFonts w:ascii="Arial" w:eastAsia="Arial"/>
          <w:sz w:val="20"/>
        </w:rPr>
        <w:t>CAR-T</w:t>
      </w:r>
      <w:r>
        <w:rPr>
          <w:rFonts w:ascii="Arial" w:eastAsia="Arial"/>
          <w:spacing w:val="23"/>
          <w:sz w:val="20"/>
        </w:rPr>
        <w:t> </w:t>
      </w:r>
      <w:r>
        <w:rPr>
          <w:spacing w:val="-4"/>
          <w:sz w:val="20"/>
        </w:rPr>
        <w:t>治疗组</w:t>
      </w:r>
      <w:r>
        <w:rPr>
          <w:spacing w:val="-3"/>
          <w:sz w:val="20"/>
        </w:rPr>
        <w:t>患者在等待细胞期间需接受桥接治疗 </w:t>
      </w:r>
      <w:r>
        <w:rPr>
          <w:rFonts w:ascii="Arial" w:eastAsia="Arial"/>
          <w:sz w:val="20"/>
        </w:rPr>
        <w:t>(43%</w:t>
      </w:r>
      <w:r>
        <w:rPr>
          <w:spacing w:val="-3"/>
          <w:sz w:val="20"/>
        </w:rPr>
        <w:t>需要接受</w:t>
      </w:r>
      <w:r>
        <w:rPr>
          <w:rFonts w:ascii="Arial" w:eastAsia="Arial"/>
          <w:sz w:val="20"/>
        </w:rPr>
        <w:t>&gt;1</w:t>
      </w:r>
      <w:r>
        <w:rPr>
          <w:rFonts w:ascii="Arial" w:eastAsia="Arial"/>
          <w:spacing w:val="-2"/>
          <w:sz w:val="20"/>
        </w:rPr>
        <w:t> </w:t>
      </w:r>
      <w:r>
        <w:rPr>
          <w:spacing w:val="3"/>
          <w:sz w:val="20"/>
        </w:rPr>
        <w:t>个周期的 </w:t>
      </w:r>
      <w:r>
        <w:rPr>
          <w:rFonts w:ascii="Arial" w:eastAsia="Arial"/>
          <w:sz w:val="20"/>
        </w:rPr>
        <w:t>SOC</w:t>
      </w:r>
      <w:r>
        <w:rPr>
          <w:rFonts w:ascii="Arial" w:eastAsia="Arial"/>
          <w:spacing w:val="4"/>
          <w:sz w:val="20"/>
        </w:rPr>
        <w:t> </w:t>
      </w:r>
      <w:r>
        <w:rPr>
          <w:spacing w:val="-2"/>
          <w:sz w:val="20"/>
        </w:rPr>
        <w:t>治疗，</w:t>
      </w:r>
      <w:r>
        <w:rPr>
          <w:rFonts w:ascii="Arial" w:eastAsia="Arial"/>
          <w:sz w:val="20"/>
        </w:rPr>
        <w:t>12%</w:t>
      </w:r>
      <w:r>
        <w:rPr>
          <w:sz w:val="20"/>
        </w:rPr>
        <w:t>需要</w:t>
      </w:r>
    </w:p>
    <w:p>
      <w:pPr>
        <w:spacing w:after="0" w:line="278" w:lineRule="auto"/>
        <w:jc w:val="both"/>
        <w:rPr>
          <w:sz w:val="20"/>
        </w:rPr>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left="570" w:right="2815"/>
        <w:jc w:val="both"/>
      </w:pPr>
      <w:r>
        <w:rPr>
          <w:spacing w:val="-3"/>
        </w:rPr>
        <w:t>接受第二种方案治疗</w:t>
      </w:r>
      <w:r>
        <w:rPr>
          <w:rFonts w:ascii="Arial" w:eastAsia="Arial"/>
          <w:spacing w:val="-3"/>
        </w:rPr>
        <w:t>)</w:t>
      </w:r>
      <w:r>
        <w:rPr/>
        <w:t>，相比之下 </w:t>
      </w:r>
      <w:r>
        <w:rPr>
          <w:rFonts w:ascii="Arial" w:eastAsia="Arial"/>
        </w:rPr>
        <w:t>TRANSFORM </w:t>
      </w:r>
      <w:r>
        <w:rPr>
          <w:spacing w:val="1"/>
        </w:rPr>
        <w:t>研究仅允许 </w:t>
      </w:r>
      <w:r>
        <w:rPr>
          <w:rFonts w:ascii="Arial" w:eastAsia="Arial"/>
        </w:rPr>
        <w:t>CAR-T </w:t>
      </w:r>
      <w:r>
        <w:rPr>
          <w:spacing w:val="-5"/>
        </w:rPr>
        <w:t>治疗组患者接受一</w:t>
      </w:r>
      <w:r>
        <w:rPr>
          <w:spacing w:val="2"/>
        </w:rPr>
        <w:t>个周期的桥接，而 </w:t>
      </w:r>
      <w:r>
        <w:rPr>
          <w:rFonts w:ascii="Arial" w:eastAsia="Arial"/>
        </w:rPr>
        <w:t>ZUMA-7 </w:t>
      </w:r>
      <w:r>
        <w:rPr>
          <w:spacing w:val="-2"/>
        </w:rPr>
        <w:t>研究不允许进行桥接化疗，仅允许使用皮质类固醇以稳定疾病。综上，</w:t>
      </w:r>
      <w:r>
        <w:rPr>
          <w:rFonts w:ascii="Arial" w:eastAsia="Arial"/>
        </w:rPr>
        <w:t>BELINDA </w:t>
      </w:r>
      <w:r>
        <w:rPr>
          <w:spacing w:val="3"/>
        </w:rPr>
        <w:t>研究中接受 </w:t>
      </w:r>
      <w:r>
        <w:rPr>
          <w:rFonts w:ascii="Arial" w:eastAsia="Arial"/>
        </w:rPr>
        <w:t>Kymriah </w:t>
      </w:r>
      <w:r>
        <w:rPr>
          <w:spacing w:val="-6"/>
        </w:rPr>
        <w:t>治疗的患者在回输时可能已经是二线甚至</w:t>
      </w:r>
      <w:r>
        <w:rPr>
          <w:spacing w:val="1"/>
        </w:rPr>
        <w:t>三线治疗后复发，影响了</w:t>
      </w:r>
      <w:r>
        <w:rPr>
          <w:rFonts w:ascii="Arial" w:eastAsia="Arial"/>
        </w:rPr>
        <w:t>CAT-T </w:t>
      </w:r>
      <w:r>
        <w:rPr>
          <w:spacing w:val="-3"/>
        </w:rPr>
        <w:t>治疗的效果。</w:t>
      </w:r>
    </w:p>
    <w:p>
      <w:pPr>
        <w:pStyle w:val="ListParagraph"/>
        <w:numPr>
          <w:ilvl w:val="0"/>
          <w:numId w:val="4"/>
        </w:numPr>
        <w:tabs>
          <w:tab w:pos="571" w:val="left" w:leader="none"/>
        </w:tabs>
        <w:spacing w:line="299" w:lineRule="exact" w:before="0" w:after="0"/>
        <w:ind w:left="570" w:right="0" w:hanging="361"/>
        <w:jc w:val="left"/>
        <w:rPr>
          <w:rFonts w:ascii="Arial" w:eastAsia="Arial"/>
          <w:sz w:val="20"/>
        </w:rPr>
      </w:pPr>
      <w:r>
        <w:rPr>
          <w:rFonts w:ascii="Arial" w:eastAsia="Arial"/>
          <w:b/>
          <w:sz w:val="20"/>
        </w:rPr>
        <w:t>BELINDA</w:t>
      </w:r>
      <w:r>
        <w:rPr>
          <w:rFonts w:ascii="Arial" w:eastAsia="Arial"/>
          <w:b/>
          <w:spacing w:val="35"/>
          <w:sz w:val="20"/>
        </w:rPr>
        <w:t> </w:t>
      </w:r>
      <w:r>
        <w:rPr>
          <w:rFonts w:ascii="Microsoft JhengHei UI" w:eastAsia="Microsoft JhengHei UI" w:hint="eastAsia"/>
          <w:b/>
          <w:spacing w:val="-2"/>
          <w:sz w:val="20"/>
        </w:rPr>
        <w:t>研究入组患者更高危，且预后更差的亚型占比较多。</w:t>
      </w:r>
      <w:r>
        <w:rPr>
          <w:rFonts w:ascii="Arial" w:eastAsia="Arial"/>
          <w:sz w:val="20"/>
        </w:rPr>
        <w:t>ZUMA-7</w:t>
      </w:r>
      <w:r>
        <w:rPr>
          <w:rFonts w:ascii="Arial" w:eastAsia="Arial"/>
          <w:spacing w:val="31"/>
          <w:sz w:val="20"/>
        </w:rPr>
        <w:t> </w:t>
      </w:r>
      <w:r>
        <w:rPr>
          <w:spacing w:val="12"/>
          <w:sz w:val="20"/>
        </w:rPr>
        <w:t>研究中 </w:t>
      </w:r>
      <w:r>
        <w:rPr>
          <w:rFonts w:ascii="Arial" w:eastAsia="Arial"/>
          <w:sz w:val="20"/>
        </w:rPr>
        <w:t>SOC</w:t>
      </w:r>
    </w:p>
    <w:p>
      <w:pPr>
        <w:pStyle w:val="BodyText"/>
        <w:spacing w:line="288" w:lineRule="auto" w:before="35"/>
        <w:ind w:left="570" w:right="2814"/>
        <w:jc w:val="both"/>
      </w:pPr>
      <w:r>
        <w:rPr/>
        <w:t>组的 </w:t>
      </w:r>
      <w:r>
        <w:rPr>
          <w:rFonts w:ascii="Arial" w:eastAsia="Arial"/>
        </w:rPr>
        <w:t>mOS </w:t>
      </w:r>
      <w:r>
        <w:rPr/>
        <w:t>最长，为 </w:t>
      </w:r>
      <w:r>
        <w:rPr>
          <w:rFonts w:ascii="Arial" w:eastAsia="Arial"/>
        </w:rPr>
        <w:t>25.7 </w:t>
      </w:r>
      <w:r>
        <w:rPr/>
        <w:t>个月，</w:t>
      </w:r>
      <w:r>
        <w:rPr>
          <w:rFonts w:ascii="Arial" w:eastAsia="Arial"/>
        </w:rPr>
        <w:t>TRANSFORM </w:t>
      </w:r>
      <w:r>
        <w:rPr/>
        <w:t>研究 </w:t>
      </w:r>
      <w:r>
        <w:rPr>
          <w:rFonts w:ascii="Arial" w:eastAsia="Arial"/>
        </w:rPr>
        <w:t>SOC </w:t>
      </w:r>
      <w:r>
        <w:rPr/>
        <w:t>组的 </w:t>
      </w:r>
      <w:r>
        <w:rPr>
          <w:rFonts w:ascii="Arial" w:eastAsia="Arial"/>
        </w:rPr>
        <w:t>mOS </w:t>
      </w:r>
      <w:r>
        <w:rPr/>
        <w:t>为 </w:t>
      </w:r>
      <w:r>
        <w:rPr>
          <w:rFonts w:ascii="Arial" w:eastAsia="Arial"/>
        </w:rPr>
        <w:t>16.4 </w:t>
      </w:r>
      <w:r>
        <w:rPr/>
        <w:t>个月，相比之下 </w:t>
      </w:r>
      <w:r>
        <w:rPr>
          <w:rFonts w:ascii="Arial" w:eastAsia="Arial"/>
        </w:rPr>
        <w:t>BELINDA </w:t>
      </w:r>
      <w:r>
        <w:rPr/>
        <w:t>研究仅为 </w:t>
      </w:r>
      <w:r>
        <w:rPr>
          <w:rFonts w:ascii="Arial" w:eastAsia="Arial"/>
        </w:rPr>
        <w:t>15.3 </w:t>
      </w:r>
      <w:r>
        <w:rPr/>
        <w:t>个月，表明 </w:t>
      </w:r>
      <w:r>
        <w:rPr>
          <w:rFonts w:ascii="Arial" w:eastAsia="Arial"/>
        </w:rPr>
        <w:t>BELINDA </w:t>
      </w:r>
      <w:r>
        <w:rPr/>
        <w:t>研究中入组患者的基线可能最差。此外，</w:t>
      </w:r>
      <w:r>
        <w:rPr>
          <w:rFonts w:ascii="Arial" w:eastAsia="Arial"/>
        </w:rPr>
        <w:t>BELINDA </w:t>
      </w:r>
      <w:r>
        <w:rPr/>
        <w:t>研究 </w:t>
      </w:r>
      <w:r>
        <w:rPr>
          <w:rFonts w:ascii="Arial" w:eastAsia="Arial"/>
        </w:rPr>
        <w:t>CAR-T </w:t>
      </w:r>
      <w:r>
        <w:rPr/>
        <w:t>治疗组中，预后更差的 </w:t>
      </w:r>
      <w:r>
        <w:rPr>
          <w:rFonts w:ascii="Arial" w:eastAsia="Arial"/>
        </w:rPr>
        <w:t>ABC </w:t>
      </w:r>
      <w:r>
        <w:rPr/>
        <w:t>亚型占比更高 </w:t>
      </w:r>
      <w:r>
        <w:rPr>
          <w:rFonts w:ascii="Arial" w:eastAsia="Arial"/>
        </w:rPr>
        <w:t>(CAR-T </w:t>
      </w:r>
      <w:r>
        <w:rPr/>
        <w:t>组 </w:t>
      </w:r>
      <w:r>
        <w:rPr>
          <w:rFonts w:ascii="Arial" w:eastAsia="Arial"/>
        </w:rPr>
        <w:t>32%</w:t>
      </w:r>
      <w:r>
        <w:rPr/>
        <w:t>，</w:t>
      </w:r>
      <w:r>
        <w:rPr>
          <w:rFonts w:ascii="Arial" w:eastAsia="Arial"/>
        </w:rPr>
        <w:t>SOC </w:t>
      </w:r>
      <w:r>
        <w:rPr/>
        <w:t>组 </w:t>
      </w:r>
      <w:r>
        <w:rPr>
          <w:rFonts w:ascii="Arial" w:eastAsia="Arial"/>
        </w:rPr>
        <w:t>26%)</w:t>
      </w:r>
      <w:r>
        <w:rPr/>
        <w:t>，相比之下 </w:t>
      </w:r>
      <w:r>
        <w:rPr>
          <w:rFonts w:ascii="Arial" w:eastAsia="Arial"/>
        </w:rPr>
        <w:t>ZUMA-7 </w:t>
      </w:r>
      <w:r>
        <w:rPr/>
        <w:t>研究中 </w:t>
      </w:r>
      <w:r>
        <w:rPr>
          <w:rFonts w:ascii="Arial" w:eastAsia="Arial"/>
        </w:rPr>
        <w:t>ABC </w:t>
      </w:r>
      <w:r>
        <w:rPr/>
        <w:t>亚型患者仅占 </w:t>
      </w:r>
      <w:r>
        <w:rPr>
          <w:rFonts w:ascii="Arial" w:eastAsia="Arial"/>
        </w:rPr>
        <w:t>9% </w:t>
      </w:r>
      <w:r>
        <w:rPr/>
        <w:t>。</w:t>
      </w:r>
    </w:p>
    <w:p>
      <w:pPr>
        <w:pStyle w:val="BodyText"/>
        <w:spacing w:line="288" w:lineRule="auto"/>
        <w:ind w:right="2810"/>
        <w:jc w:val="both"/>
      </w:pPr>
      <w:r>
        <w:rPr/>
        <w:t>目前，为解决生产周期长的问题，</w:t>
      </w:r>
      <w:r>
        <w:rPr>
          <w:rFonts w:ascii="Arial" w:eastAsia="Arial"/>
        </w:rPr>
        <w:t>Novartis </w:t>
      </w:r>
      <w:r>
        <w:rPr/>
        <w:t>已经推出了新一代 </w:t>
      </w:r>
      <w:r>
        <w:rPr>
          <w:rFonts w:ascii="Arial" w:eastAsia="Arial"/>
        </w:rPr>
        <w:t>T-Charge </w:t>
      </w:r>
      <w:r>
        <w:rPr/>
        <w:t>技术，仍使用慢病毒作为转导，可在 </w:t>
      </w:r>
      <w:r>
        <w:rPr>
          <w:rFonts w:ascii="Arial" w:eastAsia="Arial"/>
        </w:rPr>
        <w:t>24 </w:t>
      </w:r>
      <w:r>
        <w:rPr/>
        <w:t>小时内完成自体 </w:t>
      </w:r>
      <w:r>
        <w:rPr>
          <w:rFonts w:ascii="Arial" w:eastAsia="Arial"/>
        </w:rPr>
        <w:t>CAR-T </w:t>
      </w:r>
      <w:r>
        <w:rPr/>
        <w:t>的制备。目前，</w:t>
      </w:r>
      <w:r>
        <w:rPr>
          <w:rFonts w:ascii="Arial" w:eastAsia="Arial"/>
        </w:rPr>
        <w:t>T-Charge </w:t>
      </w:r>
      <w:r>
        <w:rPr/>
        <w:t>平台将主要应用于两种二代</w:t>
      </w:r>
      <w:r>
        <w:rPr>
          <w:rFonts w:ascii="Arial" w:eastAsia="Arial"/>
        </w:rPr>
        <w:t>CAR-T </w:t>
      </w:r>
      <w:r>
        <w:rPr/>
        <w:t>产品</w:t>
      </w:r>
      <w:r>
        <w:rPr>
          <w:rFonts w:ascii="Arial" w:eastAsia="Arial"/>
        </w:rPr>
        <w:t>YTB323 </w:t>
      </w:r>
      <w:r>
        <w:rPr/>
        <w:t>和 </w:t>
      </w:r>
      <w:r>
        <w:rPr>
          <w:rFonts w:ascii="Arial" w:eastAsia="Arial"/>
        </w:rPr>
        <w:t>PHE885</w:t>
      </w:r>
      <w:r>
        <w:rPr/>
        <w:t>。</w:t>
      </w:r>
    </w:p>
    <w:p>
      <w:pPr>
        <w:pStyle w:val="BodyText"/>
        <w:spacing w:line="288" w:lineRule="auto" w:before="114"/>
        <w:ind w:right="2809"/>
        <w:jc w:val="both"/>
      </w:pPr>
      <w:r>
        <w:rPr>
          <w:rFonts w:ascii="Arial" w:eastAsia="Arial"/>
        </w:rPr>
        <w:t>Gilead </w:t>
      </w:r>
      <w:r>
        <w:rPr/>
        <w:t>选择进一步推进前线治疗。</w:t>
      </w:r>
      <w:r>
        <w:rPr>
          <w:rFonts w:ascii="Arial" w:eastAsia="Arial"/>
        </w:rPr>
        <w:t>ZUMA-12 </w:t>
      </w:r>
      <w:r>
        <w:rPr/>
        <w:t>研究探索了一线使用 </w:t>
      </w:r>
      <w:r>
        <w:rPr>
          <w:rFonts w:ascii="Arial" w:eastAsia="Arial"/>
        </w:rPr>
        <w:t>CAR-T </w:t>
      </w:r>
      <w:r>
        <w:rPr/>
        <w:t>治疗的可行性， 高危 </w:t>
      </w:r>
      <w:r>
        <w:rPr>
          <w:rFonts w:ascii="Arial" w:eastAsia="Arial"/>
        </w:rPr>
        <w:t>LBCL </w:t>
      </w:r>
      <w:r>
        <w:rPr/>
        <w:t>患者在接受 </w:t>
      </w:r>
      <w:r>
        <w:rPr>
          <w:rFonts w:ascii="Arial" w:eastAsia="Arial"/>
        </w:rPr>
        <w:t>2 </w:t>
      </w:r>
      <w:r>
        <w:rPr/>
        <w:t>个周期利妥昔单抗联合含蒽环类药物化疗后，如 </w:t>
      </w:r>
      <w:r>
        <w:rPr>
          <w:rFonts w:ascii="Arial" w:eastAsia="Arial"/>
        </w:rPr>
        <w:t>PET </w:t>
      </w:r>
      <w:r>
        <w:rPr/>
        <w:t>仍为阳性， 即给予 </w:t>
      </w:r>
      <w:r>
        <w:rPr>
          <w:rFonts w:ascii="Arial" w:eastAsia="Arial"/>
        </w:rPr>
        <w:t>CAR-T </w:t>
      </w:r>
      <w:r>
        <w:rPr/>
        <w:t>治疗。</w:t>
      </w:r>
      <w:r>
        <w:rPr>
          <w:rFonts w:ascii="Arial" w:eastAsia="Arial"/>
        </w:rPr>
        <w:t>ZUMA-12 </w:t>
      </w:r>
      <w:r>
        <w:rPr/>
        <w:t>纳入 </w:t>
      </w:r>
      <w:r>
        <w:rPr>
          <w:rFonts w:ascii="Arial" w:eastAsia="Arial"/>
        </w:rPr>
        <w:t>37 </w:t>
      </w:r>
      <w:r>
        <w:rPr/>
        <w:t>例患者，</w:t>
      </w:r>
      <w:r>
        <w:rPr>
          <w:rFonts w:ascii="Arial" w:eastAsia="Arial"/>
        </w:rPr>
        <w:t>ORR </w:t>
      </w:r>
      <w:r>
        <w:rPr/>
        <w:t>达 </w:t>
      </w:r>
      <w:r>
        <w:rPr>
          <w:rFonts w:ascii="Arial" w:eastAsia="Arial"/>
        </w:rPr>
        <w:t>89%</w:t>
      </w:r>
      <w:r>
        <w:rPr/>
        <w:t>，</w:t>
      </w:r>
      <w:r>
        <w:rPr>
          <w:rFonts w:ascii="Arial" w:eastAsia="Arial"/>
        </w:rPr>
        <w:t>CR </w:t>
      </w:r>
      <w:r>
        <w:rPr/>
        <w:t>比例达 </w:t>
      </w:r>
      <w:r>
        <w:rPr>
          <w:rFonts w:ascii="Arial" w:eastAsia="Arial"/>
        </w:rPr>
        <w:t>78%</w:t>
      </w:r>
      <w:r>
        <w:rPr/>
        <w:t>。中位随访 </w:t>
      </w:r>
      <w:r>
        <w:rPr>
          <w:rFonts w:ascii="Arial" w:eastAsia="Arial"/>
        </w:rPr>
        <w:t>15.9 </w:t>
      </w:r>
      <w:r>
        <w:rPr/>
        <w:t>个月，</w:t>
      </w:r>
      <w:r>
        <w:rPr>
          <w:rFonts w:ascii="Arial" w:eastAsia="Arial"/>
        </w:rPr>
        <w:t>mDOR/ mEFS/ mPFS </w:t>
      </w:r>
      <w:r>
        <w:rPr/>
        <w:t>均未达到，</w:t>
      </w:r>
      <w:r>
        <w:rPr>
          <w:rFonts w:ascii="Arial" w:eastAsia="Arial"/>
        </w:rPr>
        <w:t>12 </w:t>
      </w:r>
      <w:r>
        <w:rPr/>
        <w:t>个月 </w:t>
      </w:r>
      <w:r>
        <w:rPr>
          <w:rFonts w:ascii="Arial" w:eastAsia="Arial"/>
        </w:rPr>
        <w:t>DOR/ EFS/ PFS/ OS </w:t>
      </w:r>
      <w:r>
        <w:rPr/>
        <w:t>率分别为</w:t>
      </w:r>
      <w:r>
        <w:rPr>
          <w:rFonts w:ascii="Arial" w:eastAsia="Arial"/>
        </w:rPr>
        <w:t>80.8%/ 72.5%/ 74.6%/ 90.6%</w:t>
      </w:r>
      <w:r>
        <w:rPr/>
        <w:t>。未来</w:t>
      </w:r>
      <w:r>
        <w:rPr>
          <w:rFonts w:ascii="Arial" w:eastAsia="Arial"/>
        </w:rPr>
        <w:t>CD19 CAR-T </w:t>
      </w:r>
      <w:r>
        <w:rPr/>
        <w:t>有望进一步冲击</w:t>
      </w:r>
      <w:r>
        <w:rPr>
          <w:rFonts w:ascii="Arial" w:eastAsia="Arial"/>
        </w:rPr>
        <w:t>LBCL </w:t>
      </w:r>
      <w:r>
        <w:rPr/>
        <w:t>前线治疗。</w:t>
      </w:r>
    </w:p>
    <w:p>
      <w:pPr>
        <w:pStyle w:val="Heading2"/>
        <w:spacing w:before="55"/>
        <w:jc w:val="both"/>
      </w:pPr>
      <w:bookmarkStart w:name="_bookmark12" w:id="13"/>
      <w:bookmarkEnd w:id="13"/>
      <w:r>
        <w:rPr>
          <w:b w:val="0"/>
        </w:rPr>
      </w:r>
      <w:r>
        <w:rPr>
          <w:rFonts w:ascii="Arial" w:eastAsia="Arial"/>
          <w:color w:val="585858"/>
        </w:rPr>
        <w:t>CD19 CAR-T </w:t>
      </w:r>
      <w:r>
        <w:rPr>
          <w:color w:val="585858"/>
        </w:rPr>
        <w:t>对于 </w:t>
      </w:r>
      <w:r>
        <w:rPr>
          <w:rFonts w:ascii="Arial" w:eastAsia="Arial"/>
          <w:color w:val="585858"/>
        </w:rPr>
        <w:t>NHL/ B-ALL </w:t>
      </w:r>
      <w:r>
        <w:rPr>
          <w:color w:val="585858"/>
        </w:rPr>
        <w:t>广泛有效，进一步拓展适应症版图</w:t>
      </w:r>
    </w:p>
    <w:p>
      <w:pPr>
        <w:pStyle w:val="Heading3"/>
        <w:spacing w:before="66"/>
      </w:pPr>
      <w:r>
        <w:rPr>
          <w:rFonts w:ascii="Arial" w:eastAsia="Arial"/>
        </w:rPr>
        <w:t>Yescarta </w:t>
      </w:r>
      <w:r>
        <w:rPr/>
        <w:t>和 </w:t>
      </w:r>
      <w:r>
        <w:rPr>
          <w:rFonts w:ascii="Arial" w:eastAsia="Arial"/>
        </w:rPr>
        <w:t>Kymriah </w:t>
      </w:r>
      <w:r>
        <w:rPr/>
        <w:t>已在美获批 </w:t>
      </w:r>
      <w:r>
        <w:rPr>
          <w:rFonts w:ascii="Arial" w:eastAsia="Arial"/>
        </w:rPr>
        <w:t>r/r FL </w:t>
      </w:r>
      <w:r>
        <w:rPr/>
        <w:t>适应症</w:t>
      </w:r>
    </w:p>
    <w:p>
      <w:pPr>
        <w:pStyle w:val="BodyText"/>
        <w:spacing w:line="288" w:lineRule="auto" w:before="154"/>
        <w:ind w:right="2811"/>
        <w:jc w:val="both"/>
      </w:pPr>
      <w:r>
        <w:rPr>
          <w:rFonts w:ascii="Arial" w:eastAsia="Arial"/>
        </w:rPr>
        <w:t>iNHL </w:t>
      </w:r>
      <w:r>
        <w:rPr>
          <w:spacing w:val="2"/>
        </w:rPr>
        <w:t>包括 </w:t>
      </w:r>
      <w:r>
        <w:rPr>
          <w:rFonts w:ascii="Arial" w:eastAsia="Arial"/>
        </w:rPr>
        <w:t>FL I-II </w:t>
      </w:r>
      <w:r>
        <w:rPr/>
        <w:t>级和 </w:t>
      </w:r>
      <w:r>
        <w:rPr>
          <w:rFonts w:ascii="Arial" w:eastAsia="Arial"/>
        </w:rPr>
        <w:t>MZL</w:t>
      </w:r>
      <w:r>
        <w:rPr>
          <w:spacing w:val="-5"/>
        </w:rPr>
        <w:t>，在中西方人群中的发病率差别较大，在西方国家，</w:t>
      </w:r>
      <w:r>
        <w:rPr>
          <w:rFonts w:ascii="Arial" w:eastAsia="Arial"/>
        </w:rPr>
        <w:t>FL </w:t>
      </w:r>
      <w:r>
        <w:rPr>
          <w:spacing w:val="3"/>
        </w:rPr>
        <w:t>在 </w:t>
      </w:r>
      <w:r>
        <w:rPr>
          <w:rFonts w:ascii="Arial" w:eastAsia="Arial"/>
          <w:spacing w:val="-2"/>
        </w:rPr>
        <w:t>NHL </w:t>
      </w:r>
      <w:r>
        <w:rPr>
          <w:spacing w:val="-3"/>
        </w:rPr>
        <w:t>中的比例约为 </w:t>
      </w:r>
      <w:r>
        <w:rPr>
          <w:rFonts w:ascii="Arial" w:eastAsia="Arial"/>
        </w:rPr>
        <w:t>15%~25%</w:t>
      </w:r>
      <w:r>
        <w:rPr>
          <w:spacing w:val="-3"/>
        </w:rPr>
        <w:t>，而在国内，</w:t>
      </w:r>
      <w:r>
        <w:rPr>
          <w:rFonts w:ascii="Arial" w:eastAsia="Arial"/>
        </w:rPr>
        <w:t>FL </w:t>
      </w:r>
      <w:r>
        <w:rPr>
          <w:spacing w:val="-2"/>
        </w:rPr>
        <w:t>约占 </w:t>
      </w:r>
      <w:r>
        <w:rPr>
          <w:rFonts w:ascii="Arial" w:eastAsia="Arial"/>
        </w:rPr>
        <w:t>NHL </w:t>
      </w:r>
      <w:r>
        <w:rPr>
          <w:spacing w:val="-3"/>
        </w:rPr>
        <w:t>的 </w:t>
      </w:r>
      <w:r>
        <w:rPr>
          <w:rFonts w:ascii="Arial" w:eastAsia="Arial"/>
          <w:spacing w:val="-3"/>
        </w:rPr>
        <w:t>6.1%</w:t>
      </w:r>
      <w:r>
        <w:rPr/>
        <w:t>。</w:t>
      </w:r>
      <w:r>
        <w:rPr>
          <w:rFonts w:ascii="Arial" w:eastAsia="Arial"/>
        </w:rPr>
        <w:t>FL </w:t>
      </w:r>
      <w:r>
        <w:rPr/>
        <w:t>的疾病进展缓慢，低危</w:t>
      </w:r>
      <w:r>
        <w:rPr>
          <w:rFonts w:ascii="Arial" w:eastAsia="Arial"/>
        </w:rPr>
        <w:t>FL </w:t>
      </w:r>
      <w:r>
        <w:rPr>
          <w:spacing w:val="-5"/>
        </w:rPr>
        <w:t>患者可长期带瘤生存，但中危患者中位生存时间仅为 </w:t>
      </w:r>
      <w:r>
        <w:rPr>
          <w:rFonts w:ascii="Arial" w:eastAsia="Arial"/>
        </w:rPr>
        <w:t>5 </w:t>
      </w:r>
      <w:r>
        <w:rPr/>
        <w:t>年左右。目前对于进展期</w:t>
      </w:r>
      <w:r>
        <w:rPr>
          <w:rFonts w:ascii="Arial" w:eastAsia="Arial"/>
        </w:rPr>
        <w:t>iNHL </w:t>
      </w:r>
      <w:r>
        <w:rPr/>
        <w:t>的治</w:t>
      </w:r>
      <w:r>
        <w:rPr>
          <w:spacing w:val="-4"/>
        </w:rPr>
        <w:t>疗方案以免疫化疗为主，同时推荐进行利妥昔单抗单药维持治疗，然而针对</w:t>
      </w:r>
      <w:r>
        <w:rPr>
          <w:rFonts w:ascii="Arial" w:eastAsia="Arial"/>
        </w:rPr>
        <w:t>r/r FL </w:t>
      </w:r>
      <w:r>
        <w:rPr>
          <w:spacing w:val="-2"/>
        </w:rPr>
        <w:t>尚无最佳</w:t>
      </w:r>
      <w:r>
        <w:rPr>
          <w:spacing w:val="-4"/>
        </w:rPr>
        <w:t>治疗方案，主要以 </w:t>
      </w:r>
      <w:r>
        <w:rPr>
          <w:rFonts w:ascii="Arial" w:eastAsia="Arial"/>
        </w:rPr>
        <w:t>ASCT</w:t>
      </w:r>
      <w:r>
        <w:rPr/>
        <w:t>、</w:t>
      </w:r>
      <w:r>
        <w:rPr>
          <w:rFonts w:ascii="Arial" w:eastAsia="Arial"/>
        </w:rPr>
        <w:t>PI3K </w:t>
      </w:r>
      <w:r>
        <w:rPr>
          <w:spacing w:val="10"/>
        </w:rPr>
        <w:t>抑制剂及</w:t>
      </w:r>
      <w:r>
        <w:rPr>
          <w:rFonts w:ascii="Arial" w:eastAsia="Arial"/>
        </w:rPr>
        <w:t>EZH2 </w:t>
      </w:r>
      <w:r>
        <w:rPr>
          <w:spacing w:val="-4"/>
        </w:rPr>
        <w:t>抑制剂等药物治疗为主。</w:t>
      </w:r>
    </w:p>
    <w:p>
      <w:pPr>
        <w:pStyle w:val="BodyText"/>
        <w:spacing w:line="288" w:lineRule="auto" w:before="118"/>
        <w:ind w:right="2800"/>
        <w:jc w:val="both"/>
      </w:pPr>
      <w:r>
        <w:rPr>
          <w:rFonts w:ascii="Arial" w:eastAsia="Arial"/>
        </w:rPr>
        <w:t>CAR-T </w:t>
      </w:r>
      <w:r>
        <w:rPr>
          <w:spacing w:val="12"/>
        </w:rPr>
        <w:t>目前已被指南推荐用于治疗复发难治的侵袭性 </w:t>
      </w:r>
      <w:r>
        <w:rPr>
          <w:rFonts w:ascii="Arial" w:eastAsia="Arial"/>
        </w:rPr>
        <w:t>B </w:t>
      </w:r>
      <w:r>
        <w:rPr>
          <w:spacing w:val="14"/>
        </w:rPr>
        <w:t>细胞淋巴瘤。有效性方面， </w:t>
      </w:r>
      <w:r>
        <w:rPr>
          <w:rFonts w:ascii="Arial" w:eastAsia="Arial"/>
        </w:rPr>
        <w:t>Kymriah </w:t>
      </w:r>
      <w:r>
        <w:rPr>
          <w:spacing w:val="-1"/>
        </w:rPr>
        <w:t>的注册临床 </w:t>
      </w:r>
      <w:r>
        <w:rPr>
          <w:rFonts w:ascii="Arial" w:eastAsia="Arial"/>
        </w:rPr>
        <w:t>ELARA </w:t>
      </w:r>
      <w:r>
        <w:rPr>
          <w:spacing w:val="-2"/>
        </w:rPr>
        <w:t>研究输注了 </w:t>
      </w:r>
      <w:r>
        <w:rPr>
          <w:rFonts w:ascii="Arial" w:eastAsia="Arial"/>
        </w:rPr>
        <w:t>97 </w:t>
      </w:r>
      <w:r>
        <w:rPr/>
        <w:t>例 </w:t>
      </w:r>
      <w:r>
        <w:rPr>
          <w:rFonts w:ascii="Arial" w:eastAsia="Arial"/>
        </w:rPr>
        <w:t>r/r FL </w:t>
      </w:r>
      <w:r>
        <w:rPr>
          <w:spacing w:val="-2"/>
        </w:rPr>
        <w:t>患者，其中 </w:t>
      </w:r>
      <w:r>
        <w:rPr>
          <w:rFonts w:ascii="Arial" w:eastAsia="Arial"/>
        </w:rPr>
        <w:t>52 </w:t>
      </w:r>
      <w:r>
        <w:rPr>
          <w:spacing w:val="-4"/>
        </w:rPr>
        <w:t>例疗效可供评估，最佳</w:t>
      </w:r>
      <w:r>
        <w:rPr>
          <w:rFonts w:ascii="Arial" w:eastAsia="Arial"/>
          <w:spacing w:val="-4"/>
        </w:rPr>
        <w:t>ORR </w:t>
      </w:r>
      <w:r>
        <w:rPr>
          <w:spacing w:val="13"/>
        </w:rPr>
        <w:t>为 </w:t>
      </w:r>
      <w:r>
        <w:rPr>
          <w:rFonts w:ascii="Arial" w:eastAsia="Arial"/>
        </w:rPr>
        <w:t>86%</w:t>
      </w:r>
      <w:r>
        <w:rPr/>
        <w:t>，</w:t>
      </w:r>
      <w:r>
        <w:rPr>
          <w:rFonts w:ascii="Arial" w:eastAsia="Arial"/>
        </w:rPr>
        <w:t>CR </w:t>
      </w:r>
      <w:r>
        <w:rPr>
          <w:spacing w:val="7"/>
        </w:rPr>
        <w:t>率为 </w:t>
      </w:r>
      <w:r>
        <w:rPr>
          <w:rFonts w:ascii="Arial" w:eastAsia="Arial"/>
        </w:rPr>
        <w:t>66%</w:t>
      </w:r>
      <w:r>
        <w:rPr/>
        <w:t>；</w:t>
      </w:r>
      <w:r>
        <w:rPr>
          <w:rFonts w:ascii="Arial" w:eastAsia="Arial"/>
        </w:rPr>
        <w:t>Yescarta </w:t>
      </w:r>
      <w:r>
        <w:rPr>
          <w:spacing w:val="2"/>
        </w:rPr>
        <w:t>的注册临床 </w:t>
      </w:r>
      <w:r>
        <w:rPr>
          <w:rFonts w:ascii="Arial" w:eastAsia="Arial"/>
        </w:rPr>
        <w:t>ZUMA-5 </w:t>
      </w:r>
      <w:r>
        <w:rPr>
          <w:spacing w:val="-2"/>
        </w:rPr>
        <w:t>研究中，</w:t>
      </w:r>
      <w:r>
        <w:rPr>
          <w:rFonts w:ascii="Arial" w:eastAsia="Arial"/>
        </w:rPr>
        <w:t>124 </w:t>
      </w:r>
      <w:r>
        <w:rPr>
          <w:spacing w:val="11"/>
        </w:rPr>
        <w:t>例 </w:t>
      </w:r>
      <w:r>
        <w:rPr>
          <w:rFonts w:ascii="Arial" w:eastAsia="Arial"/>
        </w:rPr>
        <w:t>FL </w:t>
      </w:r>
      <w:r>
        <w:rPr>
          <w:spacing w:val="-2"/>
        </w:rPr>
        <w:t>患者的</w:t>
      </w:r>
      <w:r>
        <w:rPr>
          <w:rFonts w:ascii="Arial" w:eastAsia="Arial"/>
          <w:spacing w:val="-2"/>
        </w:rPr>
        <w:t>ORR </w:t>
      </w:r>
      <w:r>
        <w:rPr>
          <w:spacing w:val="3"/>
        </w:rPr>
        <w:t>为 </w:t>
      </w:r>
      <w:r>
        <w:rPr>
          <w:rFonts w:ascii="Arial" w:eastAsia="Arial"/>
        </w:rPr>
        <w:t>94%</w:t>
      </w:r>
      <w:r>
        <w:rPr/>
        <w:t>，</w:t>
      </w:r>
      <w:r>
        <w:rPr>
          <w:rFonts w:ascii="Arial" w:eastAsia="Arial"/>
        </w:rPr>
        <w:t>CR </w:t>
      </w:r>
      <w:r>
        <w:rPr>
          <w:spacing w:val="3"/>
        </w:rPr>
        <w:t>率 </w:t>
      </w:r>
      <w:r>
        <w:rPr>
          <w:rFonts w:ascii="Arial" w:eastAsia="Arial"/>
          <w:spacing w:val="-2"/>
        </w:rPr>
        <w:t>80%</w:t>
      </w:r>
      <w:r>
        <w:rPr>
          <w:spacing w:val="-2"/>
        </w:rPr>
        <w:t>。中位随访 </w:t>
      </w:r>
      <w:r>
        <w:rPr>
          <w:rFonts w:ascii="Arial" w:eastAsia="Arial"/>
        </w:rPr>
        <w:t>17.5 </w:t>
      </w:r>
      <w:r>
        <w:rPr>
          <w:spacing w:val="-3"/>
        </w:rPr>
        <w:t>个月后，</w:t>
      </w:r>
      <w:r>
        <w:rPr>
          <w:rFonts w:ascii="Arial" w:eastAsia="Arial"/>
          <w:spacing w:val="-3"/>
        </w:rPr>
        <w:t>64%</w:t>
      </w:r>
      <w:r>
        <w:rPr>
          <w:spacing w:val="3"/>
        </w:rPr>
        <w:t>的 </w:t>
      </w:r>
      <w:r>
        <w:rPr>
          <w:rFonts w:ascii="Arial" w:eastAsia="Arial"/>
        </w:rPr>
        <w:t>FL </w:t>
      </w:r>
      <w:r>
        <w:rPr>
          <w:spacing w:val="-5"/>
        </w:rPr>
        <w:t>患者维持最佳疗效。安全性方面，</w:t>
      </w:r>
      <w:r>
        <w:rPr>
          <w:rFonts w:ascii="Arial" w:eastAsia="Arial"/>
          <w:spacing w:val="-5"/>
        </w:rPr>
        <w:t>ELARA </w:t>
      </w:r>
      <w:r>
        <w:rPr>
          <w:spacing w:val="-2"/>
        </w:rPr>
        <w:t>研究接受安全性评估的 </w:t>
      </w:r>
      <w:r>
        <w:rPr>
          <w:rFonts w:ascii="Arial" w:eastAsia="Arial"/>
        </w:rPr>
        <w:t>97 </w:t>
      </w:r>
      <w:r>
        <w:rPr>
          <w:spacing w:val="-2"/>
        </w:rPr>
        <w:t>例患者中，没有发生三级以上 </w:t>
      </w:r>
      <w:r>
        <w:rPr>
          <w:rFonts w:ascii="Arial" w:eastAsia="Arial"/>
          <w:spacing w:val="-3"/>
        </w:rPr>
        <w:t>CRS</w:t>
      </w:r>
      <w:r>
        <w:rPr>
          <w:spacing w:val="-3"/>
        </w:rPr>
        <w:t>，一例患者出</w:t>
      </w:r>
      <w:r>
        <w:rPr>
          <w:spacing w:val="2"/>
        </w:rPr>
        <w:t>现四级以上 </w:t>
      </w:r>
      <w:r>
        <w:rPr>
          <w:rFonts w:ascii="Arial" w:eastAsia="Arial"/>
        </w:rPr>
        <w:t>ICANS </w:t>
      </w:r>
      <w:r>
        <w:rPr>
          <w:spacing w:val="-2"/>
        </w:rPr>
        <w:t>后恢复。</w:t>
      </w:r>
      <w:r>
        <w:rPr>
          <w:rFonts w:ascii="Arial" w:eastAsia="Arial"/>
        </w:rPr>
        <w:t>ZUMA-5 </w:t>
      </w:r>
      <w:r>
        <w:rPr>
          <w:spacing w:val="-2"/>
        </w:rPr>
        <w:t>研究中，</w:t>
      </w:r>
      <w:r>
        <w:rPr>
          <w:rFonts w:ascii="Arial" w:eastAsia="Arial"/>
        </w:rPr>
        <w:t>9%</w:t>
      </w:r>
      <w:r>
        <w:rPr/>
        <w:t>的患者出现三级以上 </w:t>
      </w:r>
      <w:r>
        <w:rPr>
          <w:rFonts w:ascii="Arial" w:eastAsia="Arial"/>
          <w:spacing w:val="-3"/>
        </w:rPr>
        <w:t>CRS</w:t>
      </w:r>
      <w:r>
        <w:rPr>
          <w:spacing w:val="-3"/>
        </w:rPr>
        <w:t>，</w:t>
      </w:r>
      <w:r>
        <w:rPr>
          <w:rFonts w:ascii="Arial" w:eastAsia="Arial"/>
          <w:spacing w:val="-3"/>
        </w:rPr>
        <w:t>19%</w:t>
      </w:r>
      <w:r>
        <w:rPr/>
        <w:t>的患者</w:t>
      </w:r>
      <w:r>
        <w:rPr>
          <w:spacing w:val="6"/>
        </w:rPr>
        <w:t>出现三级以上</w:t>
      </w:r>
      <w:r>
        <w:rPr>
          <w:rFonts w:ascii="Arial" w:eastAsia="Arial"/>
        </w:rPr>
        <w:t>ICANS</w:t>
      </w:r>
      <w:r>
        <w:rPr>
          <w:spacing w:val="-5"/>
        </w:rPr>
        <w:t>。国内方面，药明巨诺已经提交倍诺达用于 </w:t>
      </w:r>
      <w:r>
        <w:rPr>
          <w:rFonts w:ascii="Arial" w:eastAsia="Arial"/>
        </w:rPr>
        <w:t>3L FL </w:t>
      </w:r>
      <w:r>
        <w:rPr>
          <w:spacing w:val="-2"/>
        </w:rPr>
        <w:t>的上市申请。</w:t>
      </w:r>
    </w:p>
    <w:p>
      <w:pPr>
        <w:pStyle w:val="Heading3"/>
        <w:spacing w:before="60"/>
      </w:pPr>
      <w:r>
        <w:rPr>
          <w:rFonts w:ascii="Arial" w:eastAsia="Arial"/>
        </w:rPr>
        <w:t>MCL </w:t>
      </w:r>
      <w:r>
        <w:rPr/>
        <w:t>是预后最差的</w:t>
      </w:r>
      <w:r>
        <w:rPr>
          <w:rFonts w:ascii="Arial" w:eastAsia="Arial"/>
        </w:rPr>
        <w:t>B-NHL</w:t>
      </w:r>
      <w:r>
        <w:rPr/>
        <w:t>，目前全球仅</w:t>
      </w:r>
      <w:r>
        <w:rPr>
          <w:rFonts w:ascii="Arial" w:eastAsia="Arial"/>
        </w:rPr>
        <w:t>Tecartus </w:t>
      </w:r>
      <w:r>
        <w:rPr/>
        <w:t>一款 </w:t>
      </w:r>
      <w:r>
        <w:rPr>
          <w:rFonts w:ascii="Arial" w:eastAsia="Arial"/>
        </w:rPr>
        <w:t>CAR-T </w:t>
      </w:r>
      <w:r>
        <w:rPr/>
        <w:t>产品获批</w:t>
      </w:r>
    </w:p>
    <w:p>
      <w:pPr>
        <w:pStyle w:val="BodyText"/>
        <w:spacing w:line="288" w:lineRule="auto" w:before="154"/>
        <w:ind w:right="2809"/>
        <w:jc w:val="both"/>
      </w:pPr>
      <w:r>
        <w:rPr>
          <w:rFonts w:ascii="Arial" w:eastAsia="Arial"/>
        </w:rPr>
        <w:t>MCL </w:t>
      </w:r>
      <w:r>
        <w:rPr/>
        <w:t>约占 </w:t>
      </w:r>
      <w:r>
        <w:rPr>
          <w:rFonts w:ascii="Arial" w:eastAsia="Arial"/>
        </w:rPr>
        <w:t>NHL </w:t>
      </w:r>
      <w:r>
        <w:rPr/>
        <w:t>的 </w:t>
      </w:r>
      <w:r>
        <w:rPr>
          <w:rFonts w:ascii="Arial" w:eastAsia="Arial"/>
        </w:rPr>
        <w:t>3.4%</w:t>
      </w:r>
      <w:r>
        <w:rPr/>
        <w:t>，就诊时多数为进展期疾病，目前仍是预后最差的 </w:t>
      </w:r>
      <w:r>
        <w:rPr>
          <w:rFonts w:ascii="Arial" w:eastAsia="Arial"/>
        </w:rPr>
        <w:t>B </w:t>
      </w:r>
      <w:r>
        <w:rPr/>
        <w:t>细胞淋巴瘤亚型之一，几乎不可治愈。尽管患者通常对免疫化疗的反应良好，但约一半患者在五年内复发，而对于复发难治患者，尤其是使用 </w:t>
      </w:r>
      <w:r>
        <w:rPr>
          <w:rFonts w:ascii="Arial" w:eastAsia="Arial"/>
        </w:rPr>
        <w:t>BTKi </w:t>
      </w:r>
      <w:r>
        <w:rPr/>
        <w:t>后进展的患者，缺乏有效的治疗手段。</w:t>
      </w:r>
    </w:p>
    <w:p>
      <w:pPr>
        <w:pStyle w:val="BodyText"/>
        <w:spacing w:line="288" w:lineRule="auto" w:before="117"/>
        <w:ind w:right="2613"/>
      </w:pPr>
      <w:r>
        <w:rPr>
          <w:rFonts w:ascii="Arial" w:eastAsia="Arial"/>
        </w:rPr>
        <w:t>Gilead/Kite</w:t>
      </w:r>
      <w:r>
        <w:rPr>
          <w:rFonts w:ascii="Arial" w:eastAsia="Arial"/>
          <w:spacing w:val="-16"/>
        </w:rPr>
        <w:t> </w:t>
      </w:r>
      <w:r>
        <w:rPr>
          <w:spacing w:val="9"/>
        </w:rPr>
        <w:t>的第二款</w:t>
      </w:r>
      <w:r>
        <w:rPr>
          <w:rFonts w:ascii="Arial" w:eastAsia="Arial"/>
        </w:rPr>
        <w:t>CAR-T</w:t>
      </w:r>
      <w:r>
        <w:rPr>
          <w:rFonts w:ascii="Arial" w:eastAsia="Arial"/>
          <w:spacing w:val="-13"/>
        </w:rPr>
        <w:t> </w:t>
      </w:r>
      <w:r>
        <w:rPr>
          <w:spacing w:val="21"/>
        </w:rPr>
        <w:t>产品</w:t>
      </w:r>
      <w:r>
        <w:rPr>
          <w:rFonts w:ascii="Arial" w:eastAsia="Arial"/>
        </w:rPr>
        <w:t>Tecartus</w:t>
      </w:r>
      <w:r>
        <w:rPr>
          <w:rFonts w:ascii="Arial" w:eastAsia="Arial"/>
          <w:spacing w:val="-20"/>
        </w:rPr>
        <w:t> </w:t>
      </w:r>
      <w:r>
        <w:rPr>
          <w:spacing w:val="-2"/>
        </w:rPr>
        <w:t>是当前唯一获批用于 </w:t>
      </w:r>
      <w:r>
        <w:rPr>
          <w:rFonts w:ascii="Arial" w:eastAsia="Arial"/>
        </w:rPr>
        <w:t>MCL</w:t>
      </w:r>
      <w:r>
        <w:rPr>
          <w:rFonts w:ascii="Arial" w:eastAsia="Arial"/>
          <w:spacing w:val="-16"/>
        </w:rPr>
        <w:t> </w:t>
      </w:r>
      <w:r>
        <w:rPr>
          <w:spacing w:val="9"/>
        </w:rPr>
        <w:t>适应症的</w:t>
      </w:r>
      <w:r>
        <w:rPr>
          <w:rFonts w:ascii="Arial" w:eastAsia="Arial"/>
        </w:rPr>
        <w:t>CAR-T</w:t>
      </w:r>
      <w:r>
        <w:rPr/>
        <w:t>，于</w:t>
      </w:r>
      <w:r>
        <w:rPr>
          <w:rFonts w:ascii="Arial" w:eastAsia="Arial"/>
        </w:rPr>
        <w:t>2020</w:t>
      </w:r>
      <w:r>
        <w:rPr>
          <w:rFonts w:ascii="Arial" w:eastAsia="Arial"/>
          <w:spacing w:val="-10"/>
        </w:rPr>
        <w:t> </w:t>
      </w:r>
      <w:r>
        <w:rPr>
          <w:spacing w:val="24"/>
        </w:rPr>
        <w:t>年获</w:t>
      </w:r>
      <w:r>
        <w:rPr>
          <w:rFonts w:ascii="Arial" w:eastAsia="Arial"/>
        </w:rPr>
        <w:t>FDA</w:t>
      </w:r>
      <w:r>
        <w:rPr>
          <w:rFonts w:ascii="Arial" w:eastAsia="Arial"/>
          <w:spacing w:val="-8"/>
        </w:rPr>
        <w:t> </w:t>
      </w:r>
      <w:r>
        <w:rPr>
          <w:spacing w:val="1"/>
        </w:rPr>
        <w:t>和 </w:t>
      </w:r>
      <w:r>
        <w:rPr>
          <w:rFonts w:ascii="Arial" w:eastAsia="Arial"/>
        </w:rPr>
        <w:t>EMA</w:t>
      </w:r>
      <w:r>
        <w:rPr>
          <w:rFonts w:ascii="Arial" w:eastAsia="Arial"/>
          <w:spacing w:val="-12"/>
        </w:rPr>
        <w:t> </w:t>
      </w:r>
      <w:r>
        <w:rPr>
          <w:spacing w:val="-1"/>
        </w:rPr>
        <w:t>批准治疗 </w:t>
      </w:r>
      <w:r>
        <w:rPr>
          <w:rFonts w:ascii="Arial" w:eastAsia="Arial"/>
        </w:rPr>
        <w:t>r/r</w:t>
      </w:r>
      <w:r>
        <w:rPr>
          <w:rFonts w:ascii="Arial" w:eastAsia="Arial"/>
          <w:spacing w:val="-13"/>
        </w:rPr>
        <w:t> </w:t>
      </w:r>
      <w:r>
        <w:rPr>
          <w:rFonts w:ascii="Arial" w:eastAsia="Arial"/>
        </w:rPr>
        <w:t>MCL</w:t>
      </w:r>
      <w:r>
        <w:rPr/>
        <w:t>。</w:t>
      </w:r>
      <w:r>
        <w:rPr>
          <w:rFonts w:ascii="Arial" w:eastAsia="Arial"/>
        </w:rPr>
        <w:t>Tecartus</w:t>
      </w:r>
      <w:r>
        <w:rPr>
          <w:rFonts w:ascii="Arial" w:eastAsia="Arial"/>
          <w:spacing w:val="-12"/>
        </w:rPr>
        <w:t> </w:t>
      </w:r>
      <w:r>
        <w:rPr>
          <w:spacing w:val="1"/>
        </w:rPr>
        <w:t>的 </w:t>
      </w:r>
      <w:r>
        <w:rPr>
          <w:rFonts w:ascii="Arial" w:eastAsia="Arial"/>
        </w:rPr>
        <w:t>MCL</w:t>
      </w:r>
      <w:r>
        <w:rPr>
          <w:rFonts w:ascii="Arial" w:eastAsia="Arial"/>
          <w:spacing w:val="-10"/>
        </w:rPr>
        <w:t> </w:t>
      </w:r>
      <w:r>
        <w:rPr>
          <w:spacing w:val="2"/>
        </w:rPr>
        <w:t>适应症批准主要基于</w:t>
      </w:r>
      <w:r>
        <w:rPr>
          <w:rFonts w:ascii="Arial" w:eastAsia="Arial"/>
        </w:rPr>
        <w:t>ZUMA-2 </w:t>
      </w:r>
      <w:r>
        <w:rPr/>
        <w:t>研究，接受输注的 </w:t>
      </w:r>
      <w:r>
        <w:rPr>
          <w:rFonts w:ascii="Arial" w:eastAsia="Arial"/>
        </w:rPr>
        <w:t>68</w:t>
      </w:r>
      <w:r>
        <w:rPr>
          <w:rFonts w:ascii="Arial" w:eastAsia="Arial"/>
          <w:spacing w:val="13"/>
        </w:rPr>
        <w:t> </w:t>
      </w:r>
      <w:r>
        <w:rPr>
          <w:spacing w:val="-3"/>
        </w:rPr>
        <w:t>例患者中，</w:t>
      </w:r>
      <w:r>
        <w:rPr>
          <w:rFonts w:ascii="Arial" w:eastAsia="Arial"/>
        </w:rPr>
        <w:t>88%</w:t>
      </w:r>
      <w:r>
        <w:rPr>
          <w:spacing w:val="-2"/>
        </w:rPr>
        <w:t>在伊布替尼、</w:t>
      </w:r>
      <w:r>
        <w:rPr>
          <w:rFonts w:ascii="Arial" w:eastAsia="Arial"/>
        </w:rPr>
        <w:t>acalabrutinib</w:t>
      </w:r>
      <w:r>
        <w:rPr>
          <w:rFonts w:ascii="Arial" w:eastAsia="Arial"/>
          <w:spacing w:val="8"/>
        </w:rPr>
        <w:t> </w:t>
      </w:r>
      <w:r>
        <w:rPr>
          <w:spacing w:val="-4"/>
        </w:rPr>
        <w:t>或两者联用后复发或难治。</w:t>
      </w:r>
    </w:p>
    <w:p>
      <w:pPr>
        <w:spacing w:after="0" w:line="288" w:lineRule="auto"/>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14"/>
        <w:jc w:val="both"/>
      </w:pPr>
      <w:r>
        <w:rPr/>
        <w:t>在既往 </w:t>
      </w:r>
      <w:r>
        <w:rPr>
          <w:rFonts w:ascii="Arial" w:eastAsia="Arial"/>
        </w:rPr>
        <w:t>1-5 </w:t>
      </w:r>
      <w:r>
        <w:rPr/>
        <w:t>种治疗后发展为 </w:t>
      </w:r>
      <w:r>
        <w:rPr>
          <w:rFonts w:ascii="Arial" w:eastAsia="Arial"/>
        </w:rPr>
        <w:t>r/r MCL </w:t>
      </w:r>
      <w:r>
        <w:rPr/>
        <w:t>的患者中，中位随访 </w:t>
      </w:r>
      <w:r>
        <w:rPr>
          <w:rFonts w:ascii="Arial" w:eastAsia="Arial"/>
        </w:rPr>
        <w:t>12.3 </w:t>
      </w:r>
      <w:r>
        <w:rPr/>
        <w:t>个月时，</w:t>
      </w:r>
      <w:r>
        <w:rPr>
          <w:rFonts w:ascii="Arial" w:eastAsia="Arial"/>
        </w:rPr>
        <w:t>ORR </w:t>
      </w:r>
      <w:r>
        <w:rPr/>
        <w:t>高达 </w:t>
      </w:r>
      <w:r>
        <w:rPr>
          <w:rFonts w:ascii="Arial" w:eastAsia="Arial"/>
        </w:rPr>
        <w:t>93%</w:t>
      </w:r>
      <w:r>
        <w:rPr/>
        <w:t>， </w:t>
      </w:r>
      <w:r>
        <w:rPr>
          <w:rFonts w:ascii="Arial" w:eastAsia="Arial"/>
        </w:rPr>
        <w:t>CR </w:t>
      </w:r>
      <w:r>
        <w:rPr/>
        <w:t>高达 </w:t>
      </w:r>
      <w:r>
        <w:rPr>
          <w:rFonts w:ascii="Arial" w:eastAsia="Arial"/>
        </w:rPr>
        <w:t>67%</w:t>
      </w:r>
      <w:r>
        <w:rPr/>
        <w:t>，</w:t>
      </w:r>
      <w:r>
        <w:rPr>
          <w:rFonts w:ascii="Arial" w:eastAsia="Arial"/>
        </w:rPr>
        <w:t>57%</w:t>
      </w:r>
      <w:r>
        <w:rPr/>
        <w:t>的患者持续缓释，</w:t>
      </w:r>
      <w:r>
        <w:rPr>
          <w:rFonts w:ascii="Arial" w:eastAsia="Arial"/>
        </w:rPr>
        <w:t>12 </w:t>
      </w:r>
      <w:r>
        <w:rPr/>
        <w:t>个月 </w:t>
      </w:r>
      <w:r>
        <w:rPr>
          <w:rFonts w:ascii="Arial" w:eastAsia="Arial"/>
        </w:rPr>
        <w:t>OS </w:t>
      </w:r>
      <w:r>
        <w:rPr/>
        <w:t>率达 </w:t>
      </w:r>
      <w:r>
        <w:rPr>
          <w:rFonts w:ascii="Arial" w:eastAsia="Arial"/>
        </w:rPr>
        <w:t>83%</w:t>
      </w:r>
      <w:r>
        <w:rPr/>
        <w:t>。国内方面，目前药明巨诺在积极推进倍诺达</w:t>
      </w:r>
      <w:r>
        <w:rPr>
          <w:rFonts w:ascii="Arial" w:eastAsia="Arial"/>
        </w:rPr>
        <w:t>r/r MCL </w:t>
      </w:r>
      <w:r>
        <w:rPr/>
        <w:t>适应症的注册。</w:t>
      </w:r>
    </w:p>
    <w:p>
      <w:pPr>
        <w:pStyle w:val="Heading3"/>
        <w:spacing w:before="63"/>
      </w:pPr>
      <w:r>
        <w:rPr/>
        <w:t>全球共有两款</w:t>
      </w:r>
      <w:r>
        <w:rPr>
          <w:rFonts w:ascii="Arial" w:eastAsia="Arial"/>
        </w:rPr>
        <w:t>CAR-T </w:t>
      </w:r>
      <w:r>
        <w:rPr/>
        <w:t>产品获批 </w:t>
      </w:r>
      <w:r>
        <w:rPr>
          <w:rFonts w:ascii="Arial" w:eastAsia="Arial"/>
        </w:rPr>
        <w:t>r/r ALL </w:t>
      </w:r>
      <w:r>
        <w:rPr/>
        <w:t>适应症，分布覆盖儿童和成年患者</w:t>
      </w:r>
    </w:p>
    <w:p>
      <w:pPr>
        <w:pStyle w:val="BodyText"/>
        <w:spacing w:line="288" w:lineRule="auto" w:before="154"/>
        <w:ind w:right="2809"/>
        <w:jc w:val="both"/>
      </w:pPr>
      <w:r>
        <w:rPr>
          <w:rFonts w:ascii="Arial" w:eastAsia="Arial"/>
        </w:rPr>
        <w:t>B </w:t>
      </w:r>
      <w:r>
        <w:rPr>
          <w:spacing w:val="-4"/>
        </w:rPr>
        <w:t>细胞急性淋巴细胞白血病 </w:t>
      </w:r>
      <w:r>
        <w:rPr>
          <w:rFonts w:ascii="Arial" w:eastAsia="Arial"/>
        </w:rPr>
        <w:t>(B-ALL</w:t>
      </w:r>
      <w:r>
        <w:rPr>
          <w:rFonts w:ascii="Arial" w:eastAsia="Arial"/>
          <w:spacing w:val="-3"/>
        </w:rPr>
        <w:t>) </w:t>
      </w:r>
      <w:r>
        <w:rPr>
          <w:spacing w:val="-2"/>
        </w:rPr>
        <w:t>约占所有白血病的 </w:t>
      </w:r>
      <w:r>
        <w:rPr>
          <w:rFonts w:ascii="Arial" w:eastAsia="Arial"/>
          <w:spacing w:val="-3"/>
        </w:rPr>
        <w:t>15%</w:t>
      </w:r>
      <w:r>
        <w:rPr>
          <w:spacing w:val="-5"/>
        </w:rPr>
        <w:t>，在所有急性白血病中约占 </w:t>
      </w:r>
      <w:r>
        <w:rPr>
          <w:rFonts w:ascii="Arial" w:eastAsia="Arial"/>
        </w:rPr>
        <w:t>30- 40%</w:t>
      </w:r>
      <w:r>
        <w:rPr/>
        <w:t>，其在成人和儿童中均有发生。</w:t>
      </w:r>
      <w:r>
        <w:rPr>
          <w:rFonts w:ascii="Arial" w:eastAsia="Arial"/>
        </w:rPr>
        <w:t>B-ALL </w:t>
      </w:r>
      <w:r>
        <w:rPr/>
        <w:t>是最常见的一种儿童期恶性肿瘤，约占所有儿</w:t>
      </w:r>
      <w:r>
        <w:rPr>
          <w:spacing w:val="-3"/>
        </w:rPr>
        <w:t>童期恶性肿瘤的 </w:t>
      </w:r>
      <w:r>
        <w:rPr>
          <w:rFonts w:ascii="Arial" w:eastAsia="Arial"/>
        </w:rPr>
        <w:t>1/4</w:t>
      </w:r>
      <w:r>
        <w:rPr>
          <w:spacing w:val="6"/>
        </w:rPr>
        <w:t>，中国儿童</w:t>
      </w:r>
      <w:r>
        <w:rPr>
          <w:rFonts w:ascii="Arial" w:eastAsia="Arial"/>
        </w:rPr>
        <w:t>B-ALL </w:t>
      </w:r>
      <w:r>
        <w:rPr>
          <w:spacing w:val="-3"/>
        </w:rPr>
        <w:t>的发病率为 </w:t>
      </w:r>
      <w:r>
        <w:rPr>
          <w:rFonts w:ascii="Arial" w:eastAsia="Arial"/>
        </w:rPr>
        <w:t>2.17/10 </w:t>
      </w:r>
      <w:r>
        <w:rPr>
          <w:spacing w:val="-2"/>
        </w:rPr>
        <w:t>万，约为成人 </w:t>
      </w:r>
      <w:r>
        <w:rPr>
          <w:rFonts w:ascii="Arial" w:eastAsia="Arial"/>
        </w:rPr>
        <w:t>ALL </w:t>
      </w:r>
      <w:r>
        <w:rPr>
          <w:spacing w:val="-2"/>
        </w:rPr>
        <w:t>的三倍。成人</w:t>
      </w:r>
      <w:r>
        <w:rPr>
          <w:rFonts w:ascii="Arial" w:eastAsia="Arial"/>
          <w:spacing w:val="-2"/>
        </w:rPr>
        <w:t>ALL </w:t>
      </w:r>
      <w:r>
        <w:rPr>
          <w:spacing w:val="-3"/>
        </w:rPr>
        <w:t>发病率低，但预后普遍较差，儿童 </w:t>
      </w:r>
      <w:r>
        <w:rPr>
          <w:rFonts w:ascii="Arial" w:eastAsia="Arial"/>
        </w:rPr>
        <w:t>B-ALL </w:t>
      </w:r>
      <w:r>
        <w:rPr>
          <w:spacing w:val="2"/>
        </w:rPr>
        <w:t>患者的 </w:t>
      </w:r>
      <w:r>
        <w:rPr>
          <w:rFonts w:ascii="Arial" w:eastAsia="Arial"/>
        </w:rPr>
        <w:t>5 </w:t>
      </w:r>
      <w:r>
        <w:rPr>
          <w:spacing w:val="6"/>
        </w:rPr>
        <w:t>年 </w:t>
      </w:r>
      <w:r>
        <w:rPr>
          <w:rFonts w:ascii="Arial" w:eastAsia="Arial"/>
        </w:rPr>
        <w:t>OS </w:t>
      </w:r>
      <w:r>
        <w:rPr>
          <w:spacing w:val="2"/>
        </w:rPr>
        <w:t>率高达 </w:t>
      </w:r>
      <w:r>
        <w:rPr>
          <w:rFonts w:ascii="Arial" w:eastAsia="Arial"/>
          <w:spacing w:val="-3"/>
        </w:rPr>
        <w:t>85%</w:t>
      </w:r>
      <w:r>
        <w:rPr>
          <w:spacing w:val="-3"/>
        </w:rPr>
        <w:t>～</w:t>
      </w:r>
      <w:r>
        <w:rPr>
          <w:rFonts w:ascii="Arial" w:eastAsia="Arial"/>
          <w:spacing w:val="-3"/>
        </w:rPr>
        <w:t>90%</w:t>
      </w:r>
      <w:r>
        <w:rPr>
          <w:spacing w:val="-2"/>
        </w:rPr>
        <w:t>，相比之</w:t>
      </w:r>
      <w:r>
        <w:rPr>
          <w:spacing w:val="-3"/>
        </w:rPr>
        <w:t>下成人 </w:t>
      </w:r>
      <w:r>
        <w:rPr>
          <w:rFonts w:ascii="Arial" w:eastAsia="Arial"/>
        </w:rPr>
        <w:t>ALL </w:t>
      </w:r>
      <w:r>
        <w:rPr>
          <w:spacing w:val="-1"/>
        </w:rPr>
        <w:t>患者的 </w:t>
      </w:r>
      <w:r>
        <w:rPr>
          <w:rFonts w:ascii="Arial" w:eastAsia="Arial"/>
        </w:rPr>
        <w:t>5 </w:t>
      </w:r>
      <w:r>
        <w:rPr>
          <w:spacing w:val="48"/>
        </w:rPr>
        <w:t>年</w:t>
      </w:r>
      <w:r>
        <w:rPr>
          <w:rFonts w:ascii="Arial" w:eastAsia="Arial"/>
        </w:rPr>
        <w:t>OS </w:t>
      </w:r>
      <w:r>
        <w:rPr>
          <w:spacing w:val="-3"/>
        </w:rPr>
        <w:t>率仅为 </w:t>
      </w:r>
      <w:r>
        <w:rPr>
          <w:rFonts w:ascii="Arial" w:eastAsia="Arial"/>
        </w:rPr>
        <w:t>30%</w:t>
      </w:r>
      <w:r>
        <w:rPr/>
        <w:t>～</w:t>
      </w:r>
      <w:r>
        <w:rPr>
          <w:rFonts w:ascii="Arial" w:eastAsia="Arial"/>
        </w:rPr>
        <w:t>40%</w:t>
      </w:r>
      <w:r>
        <w:rPr/>
        <w:t>。</w:t>
      </w:r>
    </w:p>
    <w:p>
      <w:pPr>
        <w:pStyle w:val="BodyText"/>
        <w:spacing w:line="288" w:lineRule="auto" w:before="118"/>
        <w:ind w:right="2612"/>
      </w:pPr>
      <w:r>
        <w:rPr>
          <w:rFonts w:ascii="Arial" w:eastAsia="Arial"/>
        </w:rPr>
        <w:t>ALL </w:t>
      </w:r>
      <w:r>
        <w:rPr/>
        <w:t>的治疗分为诱导治疗、巩固强化治疗、维持治疗等阶段。对于初治 </w:t>
      </w:r>
      <w:r>
        <w:rPr>
          <w:rFonts w:ascii="Arial" w:eastAsia="Arial"/>
        </w:rPr>
        <w:t>ALL </w:t>
      </w:r>
      <w:r>
        <w:rPr/>
        <w:t>患者，目前多 采用化疗进行治疗，多药物化疗可使 </w:t>
      </w:r>
      <w:r>
        <w:rPr>
          <w:rFonts w:ascii="Arial" w:eastAsia="Arial"/>
        </w:rPr>
        <w:t>80%</w:t>
      </w:r>
      <w:r>
        <w:rPr/>
        <w:t>以上的 </w:t>
      </w:r>
      <w:r>
        <w:rPr>
          <w:rFonts w:ascii="Arial" w:eastAsia="Arial"/>
        </w:rPr>
        <w:t>ALL </w:t>
      </w:r>
      <w:r>
        <w:rPr/>
        <w:t>患者获得 </w:t>
      </w:r>
      <w:r>
        <w:rPr>
          <w:rFonts w:ascii="Arial" w:eastAsia="Arial"/>
        </w:rPr>
        <w:t>CR</w:t>
      </w:r>
      <w:r>
        <w:rPr/>
        <w:t>，其中约 </w:t>
      </w:r>
      <w:r>
        <w:rPr>
          <w:rFonts w:ascii="Arial" w:eastAsia="Arial"/>
        </w:rPr>
        <w:t>50%</w:t>
      </w:r>
      <w:r>
        <w:rPr/>
        <w:t>的患者可通过进一步强化治疗或维持治疗实现长期疾病控制，但仍有部分患者在缓解后的数月或数  年内面临着复发的问题。</w:t>
      </w:r>
      <w:r>
        <w:rPr>
          <w:rFonts w:ascii="Arial" w:eastAsia="Arial"/>
        </w:rPr>
        <w:t>ALL </w:t>
      </w:r>
      <w:r>
        <w:rPr/>
        <w:t>在儿童患者中的复发率约 </w:t>
      </w:r>
      <w:r>
        <w:rPr>
          <w:rFonts w:ascii="Arial" w:eastAsia="Arial"/>
        </w:rPr>
        <w:t>10%</w:t>
      </w:r>
      <w:r>
        <w:rPr/>
        <w:t>，但在成年患者中却高达 </w:t>
      </w:r>
      <w:r>
        <w:rPr>
          <w:rFonts w:ascii="Arial" w:eastAsia="Arial"/>
        </w:rPr>
        <w:t>50%</w:t>
      </w:r>
      <w:r>
        <w:rPr/>
        <w:t>。</w:t>
      </w:r>
    </w:p>
    <w:p>
      <w:pPr>
        <w:pStyle w:val="BodyText"/>
        <w:spacing w:line="288" w:lineRule="auto" w:before="117"/>
        <w:ind w:right="2814"/>
        <w:jc w:val="both"/>
      </w:pPr>
      <w:r>
        <w:rPr/>
        <w:t>除传统化疗和造血干细胞移植以外，全球范围内已有多款新疗法获批，其中新型免疫疗法</w:t>
      </w:r>
      <w:r>
        <w:rPr>
          <w:spacing w:val="24"/>
        </w:rPr>
        <w:t>包括</w:t>
      </w:r>
      <w:r>
        <w:rPr>
          <w:rFonts w:ascii="Arial" w:hAnsi="Arial" w:eastAsia="Arial"/>
        </w:rPr>
        <w:t>Amgen/</w:t>
      </w:r>
      <w:r>
        <w:rPr>
          <w:spacing w:val="15"/>
        </w:rPr>
        <w:t>百济的</w:t>
      </w:r>
      <w:r>
        <w:rPr>
          <w:rFonts w:ascii="Arial" w:hAnsi="Arial" w:eastAsia="Arial"/>
        </w:rPr>
        <w:t>CD19×CD3</w:t>
      </w:r>
      <w:r>
        <w:rPr>
          <w:rFonts w:ascii="Arial" w:hAnsi="Arial" w:eastAsia="Arial"/>
          <w:spacing w:val="38"/>
        </w:rPr>
        <w:t> </w:t>
      </w:r>
      <w:r>
        <w:rPr>
          <w:rFonts w:ascii="Arial" w:hAnsi="Arial" w:eastAsia="Arial"/>
        </w:rPr>
        <w:t>BiTE</w:t>
      </w:r>
      <w:r>
        <w:rPr>
          <w:rFonts w:ascii="Arial" w:hAnsi="Arial" w:eastAsia="Arial"/>
          <w:spacing w:val="-15"/>
        </w:rPr>
        <w:t> </w:t>
      </w:r>
      <w:r>
        <w:rPr>
          <w:spacing w:val="16"/>
        </w:rPr>
        <w:t>疗法及</w:t>
      </w:r>
      <w:r>
        <w:rPr>
          <w:rFonts w:ascii="Arial" w:hAnsi="Arial" w:eastAsia="Arial"/>
        </w:rPr>
        <w:t>Pfizer</w:t>
      </w:r>
      <w:r>
        <w:rPr>
          <w:rFonts w:ascii="Arial" w:hAnsi="Arial" w:eastAsia="Arial"/>
          <w:spacing w:val="-11"/>
        </w:rPr>
        <w:t> </w:t>
      </w:r>
      <w:r>
        <w:rPr>
          <w:spacing w:val="48"/>
        </w:rPr>
        <w:t>的</w:t>
      </w:r>
      <w:r>
        <w:rPr>
          <w:rFonts w:ascii="Arial" w:hAnsi="Arial" w:eastAsia="Arial"/>
        </w:rPr>
        <w:t>CD22</w:t>
      </w:r>
      <w:r>
        <w:rPr>
          <w:rFonts w:ascii="Arial" w:hAnsi="Arial" w:eastAsia="Arial"/>
          <w:spacing w:val="21"/>
        </w:rPr>
        <w:t> </w:t>
      </w:r>
      <w:r>
        <w:rPr>
          <w:rFonts w:ascii="Arial" w:hAnsi="Arial" w:eastAsia="Arial"/>
        </w:rPr>
        <w:t>ADC</w:t>
      </w:r>
      <w:r>
        <w:rPr>
          <w:rFonts w:ascii="Arial" w:hAnsi="Arial" w:eastAsia="Arial"/>
          <w:spacing w:val="-14"/>
        </w:rPr>
        <w:t> </w:t>
      </w:r>
      <w:r>
        <w:rPr>
          <w:spacing w:val="-1"/>
        </w:rPr>
        <w:t>药物 </w:t>
      </w:r>
      <w:r>
        <w:rPr>
          <w:rFonts w:ascii="Arial" w:hAnsi="Arial" w:eastAsia="Arial"/>
        </w:rPr>
        <w:t>Besponsa</w:t>
      </w:r>
      <w:r>
        <w:rPr/>
        <w:t>。</w:t>
      </w:r>
      <w:r>
        <w:rPr>
          <w:rFonts w:ascii="Arial" w:hAnsi="Arial" w:eastAsia="Arial"/>
        </w:rPr>
        <w:t>2014 </w:t>
      </w:r>
      <w:r>
        <w:rPr>
          <w:spacing w:val="-1"/>
        </w:rPr>
        <w:t>年 </w:t>
      </w:r>
      <w:r>
        <w:rPr>
          <w:rFonts w:ascii="Arial" w:hAnsi="Arial" w:eastAsia="Arial"/>
        </w:rPr>
        <w:t>12</w:t>
      </w:r>
      <w:r>
        <w:rPr>
          <w:rFonts w:ascii="Arial" w:hAnsi="Arial" w:eastAsia="Arial"/>
          <w:spacing w:val="-12"/>
        </w:rPr>
        <w:t> </w:t>
      </w:r>
      <w:r>
        <w:rPr/>
        <w:t>月，</w:t>
      </w:r>
      <w:r>
        <w:rPr>
          <w:rFonts w:ascii="Arial" w:hAnsi="Arial" w:eastAsia="Arial"/>
        </w:rPr>
        <w:t>Blincyto</w:t>
      </w:r>
      <w:r>
        <w:rPr>
          <w:rFonts w:ascii="Arial" w:hAnsi="Arial" w:eastAsia="Arial"/>
          <w:spacing w:val="-10"/>
        </w:rPr>
        <w:t> </w:t>
      </w:r>
      <w:r>
        <w:rPr>
          <w:spacing w:val="48"/>
        </w:rPr>
        <w:t>获</w:t>
      </w:r>
      <w:r>
        <w:rPr>
          <w:rFonts w:ascii="Arial" w:hAnsi="Arial" w:eastAsia="Arial"/>
        </w:rPr>
        <w:t>FDA</w:t>
      </w:r>
      <w:r>
        <w:rPr>
          <w:rFonts w:ascii="Arial" w:hAnsi="Arial" w:eastAsia="Arial"/>
          <w:spacing w:val="-14"/>
        </w:rPr>
        <w:t> </w:t>
      </w:r>
      <w:r>
        <w:rPr>
          <w:spacing w:val="-3"/>
        </w:rPr>
        <w:t>批准上市，用于治疗费城染色体阴性 </w:t>
      </w:r>
      <w:r>
        <w:rPr>
          <w:rFonts w:ascii="Arial" w:hAnsi="Arial" w:eastAsia="Arial"/>
        </w:rPr>
        <w:t>(Ph</w:t>
      </w:r>
      <w:r>
        <w:rPr>
          <w:rFonts w:ascii="Arial" w:hAnsi="Arial" w:eastAsia="Arial"/>
          <w:spacing w:val="8"/>
        </w:rPr>
        <w:t>-) </w:t>
      </w:r>
      <w:r>
        <w:rPr>
          <w:rFonts w:ascii="Arial" w:hAnsi="Arial" w:eastAsia="Arial"/>
        </w:rPr>
        <w:t>r/r</w:t>
      </w:r>
      <w:r>
        <w:rPr>
          <w:rFonts w:ascii="Arial" w:hAnsi="Arial" w:eastAsia="Arial"/>
          <w:spacing w:val="22"/>
        </w:rPr>
        <w:t> </w:t>
      </w:r>
      <w:r>
        <w:rPr>
          <w:rFonts w:ascii="Arial" w:hAnsi="Arial" w:eastAsia="Arial"/>
        </w:rPr>
        <w:t>ALL</w:t>
      </w:r>
      <w:r>
        <w:rPr/>
        <w:t>。</w:t>
      </w:r>
      <w:r>
        <w:rPr>
          <w:rFonts w:ascii="Arial" w:hAnsi="Arial" w:eastAsia="Arial"/>
        </w:rPr>
        <w:t>2020</w:t>
      </w:r>
      <w:r>
        <w:rPr>
          <w:rFonts w:ascii="Arial" w:hAnsi="Arial" w:eastAsia="Arial"/>
          <w:spacing w:val="-12"/>
        </w:rPr>
        <w:t> </w:t>
      </w:r>
      <w:r>
        <w:rPr/>
        <w:t>年 </w:t>
      </w:r>
      <w:r>
        <w:rPr>
          <w:rFonts w:ascii="Arial" w:hAnsi="Arial" w:eastAsia="Arial"/>
        </w:rPr>
        <w:t>12 </w:t>
      </w:r>
      <w:r>
        <w:rPr>
          <w:spacing w:val="5"/>
        </w:rPr>
        <w:t>月，百济神州自</w:t>
      </w:r>
      <w:r>
        <w:rPr>
          <w:rFonts w:ascii="Arial" w:hAnsi="Arial" w:eastAsia="Arial"/>
        </w:rPr>
        <w:t>Amgen</w:t>
      </w:r>
      <w:r>
        <w:rPr>
          <w:rFonts w:ascii="Arial" w:hAnsi="Arial" w:eastAsia="Arial"/>
          <w:spacing w:val="-9"/>
        </w:rPr>
        <w:t> </w:t>
      </w:r>
      <w:r>
        <w:rPr>
          <w:spacing w:val="-5"/>
        </w:rPr>
        <w:t>引进的倍利妥在中国获批成人 </w:t>
      </w:r>
      <w:r>
        <w:rPr>
          <w:rFonts w:ascii="Arial" w:hAnsi="Arial" w:eastAsia="Arial"/>
        </w:rPr>
        <w:t>r/r</w:t>
      </w:r>
      <w:r>
        <w:rPr>
          <w:rFonts w:ascii="Arial" w:hAnsi="Arial" w:eastAsia="Arial"/>
          <w:spacing w:val="25"/>
        </w:rPr>
        <w:t> </w:t>
      </w:r>
      <w:r>
        <w:rPr>
          <w:rFonts w:ascii="Arial" w:hAnsi="Arial" w:eastAsia="Arial"/>
        </w:rPr>
        <w:t>ALL</w:t>
      </w:r>
      <w:r>
        <w:rPr>
          <w:rFonts w:ascii="Arial" w:hAnsi="Arial" w:eastAsia="Arial"/>
          <w:spacing w:val="-9"/>
        </w:rPr>
        <w:t> </w:t>
      </w:r>
      <w:r>
        <w:rPr>
          <w:spacing w:val="-3"/>
        </w:rPr>
        <w:t>治疗，该药物也于 </w:t>
      </w:r>
      <w:r>
        <w:rPr>
          <w:rFonts w:ascii="Arial" w:hAnsi="Arial" w:eastAsia="Arial"/>
        </w:rPr>
        <w:t>2022</w:t>
      </w:r>
      <w:r>
        <w:rPr>
          <w:rFonts w:ascii="Arial" w:hAnsi="Arial" w:eastAsia="Arial"/>
          <w:spacing w:val="-10"/>
        </w:rPr>
        <w:t> </w:t>
      </w:r>
      <w:r>
        <w:rPr>
          <w:spacing w:val="1"/>
        </w:rPr>
        <w:t>年 </w:t>
      </w:r>
      <w:r>
        <w:rPr>
          <w:rFonts w:ascii="Arial" w:hAnsi="Arial" w:eastAsia="Arial"/>
        </w:rPr>
        <w:t>5 </w:t>
      </w:r>
      <w:r>
        <w:rPr>
          <w:spacing w:val="14"/>
        </w:rPr>
        <w:t>月获</w:t>
      </w:r>
      <w:r>
        <w:rPr>
          <w:rFonts w:ascii="Arial" w:hAnsi="Arial" w:eastAsia="Arial"/>
        </w:rPr>
        <w:t>NMPA</w:t>
      </w:r>
      <w:r>
        <w:rPr>
          <w:rFonts w:ascii="Arial" w:hAnsi="Arial" w:eastAsia="Arial"/>
          <w:spacing w:val="-27"/>
        </w:rPr>
        <w:t> </w:t>
      </w:r>
      <w:r>
        <w:rPr>
          <w:spacing w:val="5"/>
        </w:rPr>
        <w:t>批准儿童</w:t>
      </w:r>
      <w:r>
        <w:rPr>
          <w:rFonts w:ascii="Arial" w:hAnsi="Arial" w:eastAsia="Arial"/>
        </w:rPr>
        <w:t>r/r</w:t>
      </w:r>
      <w:r>
        <w:rPr>
          <w:rFonts w:ascii="Arial" w:hAnsi="Arial" w:eastAsia="Arial"/>
          <w:spacing w:val="-3"/>
        </w:rPr>
        <w:t> </w:t>
      </w:r>
      <w:r>
        <w:rPr>
          <w:rFonts w:ascii="Arial" w:hAnsi="Arial" w:eastAsia="Arial"/>
        </w:rPr>
        <w:t>ALL</w:t>
      </w:r>
      <w:r>
        <w:rPr>
          <w:rFonts w:ascii="Arial" w:hAnsi="Arial" w:eastAsia="Arial"/>
          <w:spacing w:val="-28"/>
        </w:rPr>
        <w:t> </w:t>
      </w:r>
      <w:r>
        <w:rPr>
          <w:spacing w:val="-3"/>
        </w:rPr>
        <w:t>适应症。</w:t>
      </w:r>
      <w:r>
        <w:rPr>
          <w:rFonts w:ascii="Arial" w:hAnsi="Arial" w:eastAsia="Arial"/>
        </w:rPr>
        <w:t>2021</w:t>
      </w:r>
      <w:r>
        <w:rPr>
          <w:rFonts w:ascii="Arial" w:hAnsi="Arial" w:eastAsia="Arial"/>
          <w:spacing w:val="-29"/>
        </w:rPr>
        <w:t> </w:t>
      </w:r>
      <w:r>
        <w:rPr>
          <w:spacing w:val="28"/>
        </w:rPr>
        <w:t>年</w:t>
      </w:r>
      <w:r>
        <w:rPr>
          <w:rFonts w:ascii="Arial" w:hAnsi="Arial" w:eastAsia="Arial"/>
        </w:rPr>
        <w:t>12</w:t>
      </w:r>
      <w:r>
        <w:rPr>
          <w:rFonts w:ascii="Arial" w:hAnsi="Arial" w:eastAsia="Arial"/>
          <w:spacing w:val="-29"/>
        </w:rPr>
        <w:t> </w:t>
      </w:r>
      <w:r>
        <w:rPr>
          <w:spacing w:val="-2"/>
        </w:rPr>
        <w:t>月，</w:t>
      </w:r>
      <w:r>
        <w:rPr>
          <w:rFonts w:ascii="Arial" w:hAnsi="Arial" w:eastAsia="Arial"/>
          <w:spacing w:val="-3"/>
        </w:rPr>
        <w:t>Besponsa</w:t>
      </w:r>
      <w:r>
        <w:rPr>
          <w:rFonts w:ascii="Arial" w:hAnsi="Arial" w:eastAsia="Arial"/>
          <w:spacing w:val="-28"/>
        </w:rPr>
        <w:t> </w:t>
      </w:r>
      <w:r>
        <w:rPr>
          <w:spacing w:val="2"/>
        </w:rPr>
        <w:t>获批用于治疗成人</w:t>
      </w:r>
      <w:r>
        <w:rPr>
          <w:rFonts w:ascii="Arial" w:hAnsi="Arial" w:eastAsia="Arial"/>
        </w:rPr>
        <w:t>r/r</w:t>
      </w:r>
      <w:r>
        <w:rPr>
          <w:rFonts w:ascii="Arial" w:hAnsi="Arial" w:eastAsia="Arial"/>
          <w:spacing w:val="-9"/>
        </w:rPr>
        <w:t> </w:t>
      </w:r>
      <w:r>
        <w:rPr>
          <w:rFonts w:ascii="Arial" w:hAnsi="Arial" w:eastAsia="Arial"/>
        </w:rPr>
        <w:t>ALL</w:t>
      </w:r>
      <w:r>
        <w:rPr/>
        <w:t>。</w:t>
      </w:r>
    </w:p>
    <w:p>
      <w:pPr>
        <w:pStyle w:val="BodyText"/>
        <w:spacing w:before="118"/>
        <w:jc w:val="both"/>
      </w:pPr>
      <w:r>
        <w:rPr>
          <w:rFonts w:ascii="Arial" w:eastAsia="Arial"/>
        </w:rPr>
        <w:t>CAR-T</w:t>
      </w:r>
      <w:r>
        <w:rPr>
          <w:rFonts w:ascii="Arial" w:eastAsia="Arial"/>
          <w:spacing w:val="-3"/>
        </w:rPr>
        <w:t> </w:t>
      </w:r>
      <w:r>
        <w:rPr>
          <w:spacing w:val="1"/>
        </w:rPr>
        <w:t>方面，美国目前有两款</w:t>
      </w:r>
      <w:r>
        <w:rPr>
          <w:rFonts w:ascii="Arial" w:eastAsia="Arial"/>
        </w:rPr>
        <w:t>CAR-T</w:t>
      </w:r>
      <w:r>
        <w:rPr>
          <w:rFonts w:ascii="Arial" w:eastAsia="Arial"/>
          <w:spacing w:val="-3"/>
        </w:rPr>
        <w:t> </w:t>
      </w:r>
      <w:r>
        <w:rPr>
          <w:spacing w:val="24"/>
        </w:rPr>
        <w:t>针对</w:t>
      </w:r>
      <w:r>
        <w:rPr>
          <w:rFonts w:ascii="Arial" w:eastAsia="Arial"/>
        </w:rPr>
        <w:t>r/r</w:t>
      </w:r>
      <w:r>
        <w:rPr>
          <w:rFonts w:ascii="Arial" w:eastAsia="Arial"/>
          <w:spacing w:val="2"/>
        </w:rPr>
        <w:t> </w:t>
      </w:r>
      <w:r>
        <w:rPr>
          <w:rFonts w:ascii="Arial" w:eastAsia="Arial"/>
        </w:rPr>
        <w:t>ALL</w:t>
      </w:r>
      <w:r>
        <w:rPr>
          <w:rFonts w:ascii="Arial" w:eastAsia="Arial"/>
          <w:spacing w:val="-7"/>
        </w:rPr>
        <w:t> </w:t>
      </w:r>
      <w:r>
        <w:rPr>
          <w:spacing w:val="-5"/>
        </w:rPr>
        <w:t>适应症，分别针对儿童和成人。</w:t>
      </w:r>
      <w:r>
        <w:rPr>
          <w:rFonts w:ascii="Arial" w:eastAsia="Arial"/>
        </w:rPr>
        <w:t>2017</w:t>
      </w:r>
      <w:r>
        <w:rPr>
          <w:rFonts w:ascii="Arial" w:eastAsia="Arial"/>
          <w:spacing w:val="-7"/>
        </w:rPr>
        <w:t> </w:t>
      </w:r>
      <w:r>
        <w:rPr/>
        <w:t>年</w:t>
      </w:r>
    </w:p>
    <w:p>
      <w:pPr>
        <w:pStyle w:val="BodyText"/>
        <w:spacing w:before="56"/>
      </w:pPr>
      <w:r>
        <w:rPr>
          <w:rFonts w:ascii="Arial" w:eastAsia="Arial"/>
        </w:rPr>
        <w:t>8</w:t>
      </w:r>
      <w:r>
        <w:rPr>
          <w:rFonts w:ascii="Arial" w:eastAsia="Arial"/>
          <w:spacing w:val="-2"/>
        </w:rPr>
        <w:t> </w:t>
      </w:r>
      <w:r>
        <w:rPr/>
        <w:t>月，</w:t>
      </w:r>
      <w:r>
        <w:rPr>
          <w:rFonts w:ascii="Arial" w:eastAsia="Arial"/>
        </w:rPr>
        <w:t>Novartis</w:t>
      </w:r>
      <w:r>
        <w:rPr>
          <w:rFonts w:ascii="Arial" w:eastAsia="Arial"/>
          <w:spacing w:val="-5"/>
        </w:rPr>
        <w:t> </w:t>
      </w:r>
      <w:r>
        <w:rPr>
          <w:spacing w:val="7"/>
        </w:rPr>
        <w:t>的 </w:t>
      </w:r>
      <w:r>
        <w:rPr>
          <w:rFonts w:ascii="Arial" w:eastAsia="Arial"/>
        </w:rPr>
        <w:t>Kymriah</w:t>
      </w:r>
      <w:r>
        <w:rPr>
          <w:rFonts w:ascii="Arial" w:eastAsia="Arial"/>
          <w:spacing w:val="-1"/>
        </w:rPr>
        <w:t> </w:t>
      </w:r>
      <w:r>
        <w:rPr>
          <w:spacing w:val="4"/>
        </w:rPr>
        <w:t>获 </w:t>
      </w:r>
      <w:r>
        <w:rPr>
          <w:rFonts w:ascii="Arial" w:eastAsia="Arial"/>
        </w:rPr>
        <w:t>FDA </w:t>
      </w:r>
      <w:r>
        <w:rPr>
          <w:spacing w:val="-1"/>
        </w:rPr>
        <w:t>批准用于治疗 </w:t>
      </w:r>
      <w:r>
        <w:rPr>
          <w:rFonts w:ascii="Arial" w:eastAsia="Arial"/>
        </w:rPr>
        <w:t>25</w:t>
      </w:r>
      <w:r>
        <w:rPr>
          <w:rFonts w:ascii="Arial" w:eastAsia="Arial"/>
          <w:spacing w:val="-2"/>
        </w:rPr>
        <w:t> </w:t>
      </w:r>
      <w:r>
        <w:rPr>
          <w:spacing w:val="-3"/>
        </w:rPr>
        <w:t>岁以下儿童及青少年 </w:t>
      </w:r>
      <w:r>
        <w:rPr>
          <w:rFonts w:ascii="Arial" w:eastAsia="Arial"/>
        </w:rPr>
        <w:t>r/r</w:t>
      </w:r>
      <w:r>
        <w:rPr>
          <w:rFonts w:ascii="Arial" w:eastAsia="Arial"/>
          <w:spacing w:val="30"/>
        </w:rPr>
        <w:t> </w:t>
      </w:r>
      <w:r>
        <w:rPr>
          <w:rFonts w:ascii="Arial" w:eastAsia="Arial"/>
        </w:rPr>
        <w:t>B-ALL</w:t>
      </w:r>
      <w:r>
        <w:rPr>
          <w:spacing w:val="-2"/>
        </w:rPr>
        <w:t>，定价</w:t>
      </w:r>
    </w:p>
    <w:p>
      <w:pPr>
        <w:pStyle w:val="BodyText"/>
        <w:spacing w:line="288" w:lineRule="auto" w:before="52"/>
        <w:ind w:right="2809"/>
        <w:jc w:val="both"/>
      </w:pPr>
      <w:r>
        <w:rPr>
          <w:rFonts w:ascii="Arial" w:eastAsia="Arial"/>
        </w:rPr>
        <w:t>47.5 </w:t>
      </w:r>
      <w:r>
        <w:rPr/>
        <w:t>万美元</w:t>
      </w:r>
      <w:r>
        <w:rPr>
          <w:rFonts w:ascii="Arial" w:eastAsia="Arial"/>
          <w:spacing w:val="-4"/>
        </w:rPr>
        <w:t>/</w:t>
      </w:r>
      <w:r>
        <w:rPr/>
        <w:t>针；</w:t>
      </w:r>
      <w:r>
        <w:rPr>
          <w:rFonts w:ascii="Arial" w:eastAsia="Arial"/>
        </w:rPr>
        <w:t>2021 </w:t>
      </w:r>
      <w:r>
        <w:rPr>
          <w:spacing w:val="4"/>
        </w:rPr>
        <w:t>年 </w:t>
      </w:r>
      <w:r>
        <w:rPr>
          <w:rFonts w:ascii="Arial" w:eastAsia="Arial"/>
        </w:rPr>
        <w:t>10 </w:t>
      </w:r>
      <w:r>
        <w:rPr/>
        <w:t>月，</w:t>
      </w:r>
      <w:r>
        <w:rPr>
          <w:rFonts w:ascii="Arial" w:eastAsia="Arial"/>
        </w:rPr>
        <w:t>Gilead/ Kite </w:t>
      </w:r>
      <w:r>
        <w:rPr>
          <w:spacing w:val="3"/>
        </w:rPr>
        <w:t>的 </w:t>
      </w:r>
      <w:r>
        <w:rPr>
          <w:rFonts w:ascii="Arial" w:eastAsia="Arial"/>
        </w:rPr>
        <w:t>Tecartus </w:t>
      </w:r>
      <w:r>
        <w:rPr>
          <w:spacing w:val="3"/>
        </w:rPr>
        <w:t>获 </w:t>
      </w:r>
      <w:r>
        <w:rPr>
          <w:rFonts w:ascii="Arial" w:eastAsia="Arial"/>
        </w:rPr>
        <w:t>FDA </w:t>
      </w:r>
      <w:r>
        <w:rPr>
          <w:spacing w:val="-2"/>
        </w:rPr>
        <w:t>批准用于治疗 </w:t>
      </w:r>
      <w:r>
        <w:rPr>
          <w:rFonts w:ascii="Arial" w:eastAsia="Arial"/>
        </w:rPr>
        <w:t>18 </w:t>
      </w:r>
      <w:r>
        <w:rPr/>
        <w:t>岁及以</w:t>
      </w:r>
      <w:r>
        <w:rPr>
          <w:spacing w:val="12"/>
        </w:rPr>
        <w:t>上成人 </w:t>
      </w:r>
      <w:r>
        <w:rPr>
          <w:rFonts w:ascii="Arial" w:eastAsia="Arial"/>
        </w:rPr>
        <w:t>r/r B-ALL</w:t>
      </w:r>
      <w:r>
        <w:rPr>
          <w:spacing w:val="12"/>
        </w:rPr>
        <w:t>，定价 </w:t>
      </w:r>
      <w:r>
        <w:rPr>
          <w:rFonts w:ascii="Arial" w:eastAsia="Arial"/>
        </w:rPr>
        <w:t>37.3 </w:t>
      </w:r>
      <w:r>
        <w:rPr>
          <w:spacing w:val="-2"/>
        </w:rPr>
        <w:t>万美元</w:t>
      </w:r>
      <w:r>
        <w:rPr>
          <w:rFonts w:ascii="Arial" w:eastAsia="Arial"/>
        </w:rPr>
        <w:t>/</w:t>
      </w:r>
      <w:r>
        <w:rPr>
          <w:spacing w:val="-5"/>
        </w:rPr>
        <w:t>针。两种疗法的价格差距可能来自于对儿童治疗更强的付费意愿。与其他新型免疫疗法对比，</w:t>
      </w:r>
      <w:r>
        <w:rPr>
          <w:rFonts w:ascii="Arial" w:eastAsia="Arial"/>
        </w:rPr>
        <w:t>Blincyto </w:t>
      </w:r>
      <w:r>
        <w:rPr>
          <w:spacing w:val="-3"/>
        </w:rPr>
        <w:t>在人体内的半衰期仅有 </w:t>
      </w:r>
      <w:r>
        <w:rPr>
          <w:rFonts w:ascii="Arial" w:eastAsia="Arial"/>
        </w:rPr>
        <w:t>2 </w:t>
      </w:r>
      <w:r>
        <w:rPr>
          <w:spacing w:val="-3"/>
        </w:rPr>
        <w:t>小时，需要多次</w:t>
      </w:r>
      <w:r>
        <w:rPr>
          <w:spacing w:val="6"/>
        </w:rPr>
        <w:t>输注，而 </w:t>
      </w:r>
      <w:r>
        <w:rPr>
          <w:rFonts w:ascii="Arial" w:eastAsia="Arial"/>
        </w:rPr>
        <w:t>CAR-T </w:t>
      </w:r>
      <w:r>
        <w:rPr>
          <w:spacing w:val="-4"/>
        </w:rPr>
        <w:t>全程只需一针，便捷性极大提升，依从性优势明显。此外 </w:t>
      </w:r>
      <w:r>
        <w:rPr>
          <w:rFonts w:ascii="Arial" w:eastAsia="Arial"/>
        </w:rPr>
        <w:t>CAR-T </w:t>
      </w:r>
      <w:r>
        <w:rPr>
          <w:spacing w:val="-2"/>
        </w:rPr>
        <w:t>也可用</w:t>
      </w:r>
      <w:r>
        <w:rPr>
          <w:spacing w:val="1"/>
        </w:rPr>
        <w:t>于 </w:t>
      </w:r>
      <w:r>
        <w:rPr>
          <w:rFonts w:ascii="Arial" w:eastAsia="Arial"/>
        </w:rPr>
        <w:t>Blincyto </w:t>
      </w:r>
      <w:r>
        <w:rPr>
          <w:spacing w:val="-2"/>
        </w:rPr>
        <w:t>治疗失败的患者。中国目前已上市的两款</w:t>
      </w:r>
      <w:r>
        <w:rPr>
          <w:rFonts w:ascii="Arial" w:eastAsia="Arial"/>
        </w:rPr>
        <w:t>CAR-T </w:t>
      </w:r>
      <w:r>
        <w:rPr>
          <w:spacing w:val="9"/>
        </w:rPr>
        <w:t>暂未覆盖</w:t>
      </w:r>
      <w:r>
        <w:rPr>
          <w:rFonts w:ascii="Arial" w:eastAsia="Arial"/>
        </w:rPr>
        <w:t>B-ALL </w:t>
      </w:r>
      <w:r>
        <w:rPr>
          <w:spacing w:val="-3"/>
        </w:rPr>
        <w:t>适应症，药明</w:t>
      </w:r>
      <w:r>
        <w:rPr>
          <w:spacing w:val="-1"/>
        </w:rPr>
        <w:t>巨诺的瑞基奥仑赛已开展</w:t>
      </w:r>
      <w:r>
        <w:rPr>
          <w:rFonts w:ascii="Arial" w:eastAsia="Arial"/>
        </w:rPr>
        <w:t>B-ALL </w:t>
      </w:r>
      <w:r>
        <w:rPr>
          <w:spacing w:val="-3"/>
        </w:rPr>
        <w:t>适应症的临床。</w:t>
      </w:r>
    </w:p>
    <w:p>
      <w:pPr>
        <w:pStyle w:val="Heading3"/>
        <w:spacing w:before="69" w:after="4"/>
        <w:jc w:val="left"/>
      </w:pPr>
      <w:r>
        <w:rPr/>
        <w:t>图 </w:t>
      </w:r>
      <w:r>
        <w:rPr>
          <w:rFonts w:ascii="Arial" w:eastAsia="Arial"/>
        </w:rPr>
        <w:t>29: </w:t>
      </w:r>
      <w:r>
        <w:rPr/>
        <w:t>已上市 </w:t>
      </w:r>
      <w:r>
        <w:rPr>
          <w:rFonts w:ascii="Arial" w:eastAsia="Arial"/>
        </w:rPr>
        <w:t>CD19 CAR-T </w:t>
      </w:r>
      <w:r>
        <w:rPr/>
        <w:t>在其他 </w:t>
      </w:r>
      <w:r>
        <w:rPr>
          <w:rFonts w:ascii="Arial" w:eastAsia="Arial"/>
        </w:rPr>
        <w:t>B </w:t>
      </w:r>
      <w:r>
        <w:rPr/>
        <w:t>细胞恶性肿瘤的核心临床数据</w:t>
      </w:r>
    </w:p>
    <w:tbl>
      <w:tblPr>
        <w:tblW w:w="0" w:type="auto"/>
        <w:jc w:val="left"/>
        <w:tblInd w:w="2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210"/>
        <w:gridCol w:w="1335"/>
        <w:gridCol w:w="1340"/>
        <w:gridCol w:w="1335"/>
        <w:gridCol w:w="1450"/>
        <w:gridCol w:w="1263"/>
      </w:tblGrid>
      <w:tr>
        <w:trPr>
          <w:trHeight w:val="368" w:hRule="atLeast"/>
        </w:trPr>
        <w:tc>
          <w:tcPr>
            <w:tcW w:w="1210" w:type="dxa"/>
            <w:tcBorders>
              <w:left w:val="nil"/>
              <w:bottom w:val="single" w:sz="4" w:space="0" w:color="000000"/>
              <w:right w:val="single" w:sz="4" w:space="0" w:color="000000"/>
            </w:tcBorders>
            <w:shd w:val="clear" w:color="auto" w:fill="C00000"/>
          </w:tcPr>
          <w:p>
            <w:pPr>
              <w:pStyle w:val="TableParagraph"/>
              <w:rPr>
                <w:rFonts w:ascii="Times New Roman"/>
                <w:sz w:val="18"/>
              </w:rPr>
            </w:pPr>
          </w:p>
        </w:tc>
        <w:tc>
          <w:tcPr>
            <w:tcW w:w="1335" w:type="dxa"/>
            <w:tcBorders>
              <w:left w:val="single" w:sz="4" w:space="0" w:color="000000"/>
              <w:bottom w:val="single" w:sz="4" w:space="0" w:color="000000"/>
              <w:right w:val="dashSmallGap" w:sz="4" w:space="0" w:color="000000"/>
            </w:tcBorders>
            <w:shd w:val="clear" w:color="auto" w:fill="C00000"/>
          </w:tcPr>
          <w:p>
            <w:pPr>
              <w:pStyle w:val="TableParagraph"/>
              <w:spacing w:line="182" w:lineRule="exact"/>
              <w:ind w:left="105" w:right="554"/>
              <w:rPr>
                <w:b/>
                <w:sz w:val="16"/>
              </w:rPr>
            </w:pPr>
            <w:r>
              <w:rPr>
                <w:b/>
                <w:color w:val="FFFFFF"/>
                <w:w w:val="95"/>
                <w:sz w:val="16"/>
              </w:rPr>
              <w:t>Yescarta </w:t>
            </w:r>
            <w:r>
              <w:rPr>
                <w:b/>
                <w:color w:val="FFFFFF"/>
                <w:sz w:val="16"/>
              </w:rPr>
              <w:t>(axi-cel)</w:t>
            </w:r>
          </w:p>
        </w:tc>
        <w:tc>
          <w:tcPr>
            <w:tcW w:w="1340" w:type="dxa"/>
            <w:tcBorders>
              <w:left w:val="dashSmallGap" w:sz="4" w:space="0" w:color="000000"/>
              <w:bottom w:val="single" w:sz="4" w:space="0" w:color="000000"/>
              <w:right w:val="single" w:sz="4" w:space="0" w:color="000000"/>
            </w:tcBorders>
            <w:shd w:val="clear" w:color="auto" w:fill="C00000"/>
          </w:tcPr>
          <w:p>
            <w:pPr>
              <w:pStyle w:val="TableParagraph"/>
              <w:spacing w:line="182" w:lineRule="exact"/>
              <w:ind w:left="105" w:right="570"/>
              <w:rPr>
                <w:b/>
                <w:sz w:val="16"/>
              </w:rPr>
            </w:pPr>
            <w:r>
              <w:rPr>
                <w:b/>
                <w:color w:val="FFFFFF"/>
                <w:sz w:val="16"/>
              </w:rPr>
              <w:t>Kymriah </w:t>
            </w:r>
            <w:r>
              <w:rPr>
                <w:b/>
                <w:color w:val="FFFFFF"/>
                <w:w w:val="95"/>
                <w:sz w:val="16"/>
              </w:rPr>
              <w:t>(tisa-cel)</w:t>
            </w:r>
          </w:p>
        </w:tc>
        <w:tc>
          <w:tcPr>
            <w:tcW w:w="1335" w:type="dxa"/>
            <w:tcBorders>
              <w:left w:val="single" w:sz="4" w:space="0" w:color="000000"/>
              <w:bottom w:val="single" w:sz="4" w:space="0" w:color="000000"/>
              <w:right w:val="single" w:sz="4" w:space="0" w:color="000000"/>
            </w:tcBorders>
            <w:shd w:val="clear" w:color="auto" w:fill="C00000"/>
          </w:tcPr>
          <w:p>
            <w:pPr>
              <w:pStyle w:val="TableParagraph"/>
              <w:spacing w:line="182" w:lineRule="exact"/>
              <w:ind w:left="100" w:right="411"/>
              <w:rPr>
                <w:b/>
                <w:sz w:val="16"/>
              </w:rPr>
            </w:pPr>
            <w:r>
              <w:rPr>
                <w:b/>
                <w:color w:val="FFFFFF"/>
                <w:sz w:val="16"/>
              </w:rPr>
              <w:t>Tecartus </w:t>
            </w:r>
            <w:r>
              <w:rPr>
                <w:b/>
                <w:color w:val="FFFFFF"/>
                <w:w w:val="95"/>
                <w:sz w:val="16"/>
              </w:rPr>
              <w:t>(brexu-cel)</w:t>
            </w:r>
          </w:p>
        </w:tc>
        <w:tc>
          <w:tcPr>
            <w:tcW w:w="1450" w:type="dxa"/>
            <w:tcBorders>
              <w:left w:val="single" w:sz="4" w:space="0" w:color="000000"/>
              <w:bottom w:val="single" w:sz="4" w:space="0" w:color="000000"/>
              <w:right w:val="dashSmallGap" w:sz="4" w:space="0" w:color="000000"/>
            </w:tcBorders>
            <w:shd w:val="clear" w:color="auto" w:fill="C00000"/>
          </w:tcPr>
          <w:p>
            <w:pPr>
              <w:pStyle w:val="TableParagraph"/>
              <w:spacing w:line="182" w:lineRule="exact"/>
              <w:ind w:left="104" w:right="680"/>
              <w:rPr>
                <w:b/>
                <w:sz w:val="16"/>
              </w:rPr>
            </w:pPr>
            <w:r>
              <w:rPr>
                <w:b/>
                <w:color w:val="FFFFFF"/>
                <w:sz w:val="16"/>
              </w:rPr>
              <w:t>Kymriah </w:t>
            </w:r>
            <w:r>
              <w:rPr>
                <w:b/>
                <w:color w:val="FFFFFF"/>
                <w:w w:val="95"/>
                <w:sz w:val="16"/>
              </w:rPr>
              <w:t>(tisa-cel)</w:t>
            </w:r>
          </w:p>
        </w:tc>
        <w:tc>
          <w:tcPr>
            <w:tcW w:w="1263" w:type="dxa"/>
            <w:tcBorders>
              <w:left w:val="dashSmallGap" w:sz="4" w:space="0" w:color="000000"/>
              <w:bottom w:val="single" w:sz="4" w:space="0" w:color="000000"/>
              <w:right w:val="nil"/>
            </w:tcBorders>
            <w:shd w:val="clear" w:color="auto" w:fill="C00000"/>
          </w:tcPr>
          <w:p>
            <w:pPr>
              <w:pStyle w:val="TableParagraph"/>
              <w:spacing w:line="182" w:lineRule="exact"/>
              <w:ind w:left="100" w:right="344"/>
              <w:rPr>
                <w:b/>
                <w:sz w:val="16"/>
              </w:rPr>
            </w:pPr>
            <w:r>
              <w:rPr>
                <w:b/>
                <w:color w:val="FFFFFF"/>
                <w:sz w:val="16"/>
              </w:rPr>
              <w:t>Tecartus </w:t>
            </w:r>
            <w:r>
              <w:rPr>
                <w:b/>
                <w:color w:val="FFFFFF"/>
                <w:w w:val="95"/>
                <w:sz w:val="16"/>
              </w:rPr>
              <w:t>(brexu-cel)</w:t>
            </w:r>
          </w:p>
        </w:tc>
      </w:tr>
      <w:tr>
        <w:trPr>
          <w:trHeight w:val="230" w:hRule="atLeast"/>
        </w:trPr>
        <w:tc>
          <w:tcPr>
            <w:tcW w:w="1210" w:type="dxa"/>
            <w:tcBorders>
              <w:top w:val="single" w:sz="4" w:space="0" w:color="000000"/>
              <w:left w:val="nil"/>
              <w:bottom w:val="single" w:sz="4" w:space="0" w:color="000000"/>
              <w:right w:val="single" w:sz="4" w:space="0" w:color="000000"/>
            </w:tcBorders>
            <w:shd w:val="clear" w:color="auto" w:fill="F8CAAC"/>
          </w:tcPr>
          <w:p>
            <w:pPr>
              <w:pStyle w:val="TableParagraph"/>
              <w:spacing w:line="210" w:lineRule="exact"/>
              <w:ind w:left="110"/>
              <w:rPr>
                <w:rFonts w:ascii="PMingLiU" w:eastAsia="PMingLiU" w:hint="eastAsia"/>
                <w:sz w:val="16"/>
              </w:rPr>
            </w:pPr>
            <w:r>
              <w:rPr>
                <w:rFonts w:ascii="PMingLiU" w:eastAsia="PMingLiU" w:hint="eastAsia"/>
                <w:sz w:val="16"/>
              </w:rPr>
              <w:t>适应症</w:t>
            </w:r>
          </w:p>
        </w:tc>
        <w:tc>
          <w:tcPr>
            <w:tcW w:w="1335" w:type="dxa"/>
            <w:tcBorders>
              <w:top w:val="single" w:sz="4" w:space="0" w:color="000000"/>
              <w:left w:val="single" w:sz="4" w:space="0" w:color="000000"/>
              <w:bottom w:val="single" w:sz="4" w:space="0" w:color="000000"/>
              <w:right w:val="dashSmallGap" w:sz="4" w:space="0" w:color="000000"/>
            </w:tcBorders>
            <w:shd w:val="clear" w:color="auto" w:fill="F8CAAC"/>
          </w:tcPr>
          <w:p>
            <w:pPr>
              <w:pStyle w:val="TableParagraph"/>
              <w:spacing w:before="22"/>
              <w:ind w:left="105"/>
              <w:rPr>
                <w:sz w:val="16"/>
              </w:rPr>
            </w:pPr>
            <w:r>
              <w:rPr>
                <w:sz w:val="16"/>
              </w:rPr>
              <w:t>FL/ MZL</w:t>
            </w:r>
          </w:p>
        </w:tc>
        <w:tc>
          <w:tcPr>
            <w:tcW w:w="1340" w:type="dxa"/>
            <w:tcBorders>
              <w:top w:val="single" w:sz="4" w:space="0" w:color="000000"/>
              <w:left w:val="dashSmallGap" w:sz="4" w:space="0" w:color="000000"/>
              <w:bottom w:val="single" w:sz="4" w:space="0" w:color="000000"/>
              <w:right w:val="single" w:sz="4" w:space="0" w:color="000000"/>
            </w:tcBorders>
            <w:shd w:val="clear" w:color="auto" w:fill="F8CAAC"/>
          </w:tcPr>
          <w:p>
            <w:pPr>
              <w:pStyle w:val="TableParagraph"/>
              <w:spacing w:before="22"/>
              <w:ind w:left="105"/>
              <w:rPr>
                <w:sz w:val="16"/>
              </w:rPr>
            </w:pPr>
            <w:r>
              <w:rPr>
                <w:sz w:val="16"/>
              </w:rPr>
              <w:t>FL</w:t>
            </w:r>
          </w:p>
        </w:tc>
        <w:tc>
          <w:tcPr>
            <w:tcW w:w="1335" w:type="dxa"/>
            <w:tcBorders>
              <w:top w:val="single" w:sz="4" w:space="0" w:color="000000"/>
              <w:left w:val="single" w:sz="4" w:space="0" w:color="000000"/>
              <w:bottom w:val="single" w:sz="4" w:space="0" w:color="000000"/>
              <w:right w:val="single" w:sz="4" w:space="0" w:color="000000"/>
            </w:tcBorders>
            <w:shd w:val="clear" w:color="auto" w:fill="F8CAAC"/>
          </w:tcPr>
          <w:p>
            <w:pPr>
              <w:pStyle w:val="TableParagraph"/>
              <w:spacing w:before="22"/>
              <w:ind w:left="100"/>
              <w:rPr>
                <w:sz w:val="16"/>
              </w:rPr>
            </w:pPr>
            <w:r>
              <w:rPr>
                <w:sz w:val="16"/>
              </w:rPr>
              <w:t>MCL</w:t>
            </w:r>
          </w:p>
        </w:tc>
        <w:tc>
          <w:tcPr>
            <w:tcW w:w="1450" w:type="dxa"/>
            <w:tcBorders>
              <w:top w:val="single" w:sz="4" w:space="0" w:color="000000"/>
              <w:left w:val="single" w:sz="4" w:space="0" w:color="000000"/>
              <w:bottom w:val="single" w:sz="4" w:space="0" w:color="000000"/>
              <w:right w:val="dashSmallGap" w:sz="4" w:space="0" w:color="000000"/>
            </w:tcBorders>
            <w:shd w:val="clear" w:color="auto" w:fill="F8CAAC"/>
          </w:tcPr>
          <w:p>
            <w:pPr>
              <w:pStyle w:val="TableParagraph"/>
              <w:spacing w:before="22"/>
              <w:ind w:left="104"/>
              <w:rPr>
                <w:sz w:val="16"/>
              </w:rPr>
            </w:pPr>
            <w:r>
              <w:rPr>
                <w:sz w:val="16"/>
              </w:rPr>
              <w:t>ALL</w:t>
            </w:r>
          </w:p>
        </w:tc>
        <w:tc>
          <w:tcPr>
            <w:tcW w:w="1263" w:type="dxa"/>
            <w:tcBorders>
              <w:top w:val="single" w:sz="4" w:space="0" w:color="000000"/>
              <w:left w:val="dashSmallGap" w:sz="4" w:space="0" w:color="000000"/>
              <w:bottom w:val="single" w:sz="4" w:space="0" w:color="000000"/>
              <w:right w:val="nil"/>
            </w:tcBorders>
            <w:shd w:val="clear" w:color="auto" w:fill="F8CAAC"/>
          </w:tcPr>
          <w:p>
            <w:pPr>
              <w:pStyle w:val="TableParagraph"/>
              <w:spacing w:before="22"/>
              <w:ind w:left="100"/>
              <w:rPr>
                <w:sz w:val="16"/>
              </w:rPr>
            </w:pPr>
            <w:r>
              <w:rPr>
                <w:sz w:val="16"/>
              </w:rPr>
              <w:t>ALL</w:t>
            </w:r>
          </w:p>
        </w:tc>
      </w:tr>
      <w:tr>
        <w:trPr>
          <w:trHeight w:val="235" w:hRule="atLeast"/>
        </w:trPr>
        <w:tc>
          <w:tcPr>
            <w:tcW w:w="1210" w:type="dxa"/>
            <w:tcBorders>
              <w:top w:val="single" w:sz="4" w:space="0" w:color="000000"/>
              <w:left w:val="nil"/>
              <w:bottom w:val="single" w:sz="4" w:space="0" w:color="000000"/>
              <w:right w:val="single" w:sz="4" w:space="0" w:color="000000"/>
            </w:tcBorders>
          </w:tcPr>
          <w:p>
            <w:pPr>
              <w:pStyle w:val="TableParagraph"/>
              <w:spacing w:line="212" w:lineRule="exact" w:before="3"/>
              <w:ind w:left="110"/>
              <w:rPr>
                <w:rFonts w:ascii="PMingLiU" w:eastAsia="PMingLiU" w:hint="eastAsia"/>
                <w:sz w:val="16"/>
              </w:rPr>
            </w:pPr>
            <w:r>
              <w:rPr>
                <w:rFonts w:ascii="PMingLiU" w:eastAsia="PMingLiU" w:hint="eastAsia"/>
                <w:sz w:val="16"/>
              </w:rPr>
              <w:t>公司</w:t>
            </w:r>
          </w:p>
        </w:tc>
        <w:tc>
          <w:tcPr>
            <w:tcW w:w="1335" w:type="dxa"/>
            <w:tcBorders>
              <w:top w:val="single" w:sz="4" w:space="0" w:color="000000"/>
              <w:left w:val="single" w:sz="4" w:space="0" w:color="000000"/>
              <w:bottom w:val="single" w:sz="4" w:space="0" w:color="000000"/>
              <w:right w:val="dashSmallGap" w:sz="4" w:space="0" w:color="000000"/>
            </w:tcBorders>
          </w:tcPr>
          <w:p>
            <w:pPr>
              <w:pStyle w:val="TableParagraph"/>
              <w:spacing w:before="27"/>
              <w:ind w:left="105"/>
              <w:rPr>
                <w:sz w:val="16"/>
              </w:rPr>
            </w:pPr>
            <w:r>
              <w:rPr>
                <w:sz w:val="16"/>
              </w:rPr>
              <w:t>Gilead/ Kite</w:t>
            </w:r>
          </w:p>
        </w:tc>
        <w:tc>
          <w:tcPr>
            <w:tcW w:w="1340" w:type="dxa"/>
            <w:tcBorders>
              <w:top w:val="single" w:sz="4" w:space="0" w:color="000000"/>
              <w:left w:val="dashSmallGap" w:sz="4" w:space="0" w:color="000000"/>
              <w:bottom w:val="single" w:sz="4" w:space="0" w:color="000000"/>
              <w:right w:val="single" w:sz="4" w:space="0" w:color="000000"/>
            </w:tcBorders>
          </w:tcPr>
          <w:p>
            <w:pPr>
              <w:pStyle w:val="TableParagraph"/>
              <w:spacing w:before="27"/>
              <w:ind w:left="105"/>
              <w:rPr>
                <w:sz w:val="16"/>
              </w:rPr>
            </w:pPr>
            <w:r>
              <w:rPr>
                <w:sz w:val="16"/>
              </w:rPr>
              <w:t>Novartis</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before="27"/>
              <w:ind w:left="100"/>
              <w:rPr>
                <w:sz w:val="16"/>
              </w:rPr>
            </w:pPr>
            <w:r>
              <w:rPr>
                <w:sz w:val="16"/>
              </w:rPr>
              <w:t>Gilead/ Kite</w:t>
            </w:r>
          </w:p>
        </w:tc>
        <w:tc>
          <w:tcPr>
            <w:tcW w:w="1450" w:type="dxa"/>
            <w:tcBorders>
              <w:top w:val="single" w:sz="4" w:space="0" w:color="000000"/>
              <w:left w:val="single" w:sz="4" w:space="0" w:color="000000"/>
              <w:bottom w:val="single" w:sz="4" w:space="0" w:color="000000"/>
              <w:right w:val="dashSmallGap" w:sz="4" w:space="0" w:color="000000"/>
            </w:tcBorders>
          </w:tcPr>
          <w:p>
            <w:pPr>
              <w:pStyle w:val="TableParagraph"/>
              <w:spacing w:before="27"/>
              <w:ind w:left="104"/>
              <w:rPr>
                <w:sz w:val="16"/>
              </w:rPr>
            </w:pPr>
            <w:r>
              <w:rPr>
                <w:sz w:val="16"/>
              </w:rPr>
              <w:t>Novartis</w:t>
            </w:r>
          </w:p>
        </w:tc>
        <w:tc>
          <w:tcPr>
            <w:tcW w:w="1263" w:type="dxa"/>
            <w:tcBorders>
              <w:top w:val="single" w:sz="4" w:space="0" w:color="000000"/>
              <w:left w:val="dashSmallGap" w:sz="4" w:space="0" w:color="000000"/>
              <w:bottom w:val="single" w:sz="4" w:space="0" w:color="000000"/>
              <w:right w:val="nil"/>
            </w:tcBorders>
          </w:tcPr>
          <w:p>
            <w:pPr>
              <w:pStyle w:val="TableParagraph"/>
              <w:spacing w:before="27"/>
              <w:ind w:left="100"/>
              <w:rPr>
                <w:sz w:val="16"/>
              </w:rPr>
            </w:pPr>
            <w:r>
              <w:rPr>
                <w:sz w:val="16"/>
              </w:rPr>
              <w:t>Gilead/ Kite</w:t>
            </w:r>
          </w:p>
        </w:tc>
      </w:tr>
      <w:tr>
        <w:trPr>
          <w:trHeight w:val="357" w:hRule="atLeast"/>
        </w:trPr>
        <w:tc>
          <w:tcPr>
            <w:tcW w:w="1210" w:type="dxa"/>
            <w:tcBorders>
              <w:top w:val="single" w:sz="4" w:space="0" w:color="000000"/>
              <w:left w:val="nil"/>
              <w:bottom w:val="nil"/>
              <w:right w:val="single" w:sz="4" w:space="0" w:color="000000"/>
            </w:tcBorders>
          </w:tcPr>
          <w:p>
            <w:pPr>
              <w:pStyle w:val="TableParagraph"/>
              <w:spacing w:before="89"/>
              <w:ind w:left="110"/>
              <w:rPr>
                <w:rFonts w:ascii="PMingLiU" w:eastAsia="PMingLiU" w:hint="eastAsia"/>
                <w:sz w:val="16"/>
              </w:rPr>
            </w:pPr>
            <w:r>
              <w:rPr>
                <w:rFonts w:ascii="PMingLiU" w:eastAsia="PMingLiU" w:hint="eastAsia"/>
                <w:sz w:val="16"/>
              </w:rPr>
              <w:t>研究代号</w:t>
            </w:r>
          </w:p>
        </w:tc>
        <w:tc>
          <w:tcPr>
            <w:tcW w:w="1335" w:type="dxa"/>
            <w:tcBorders>
              <w:top w:val="single" w:sz="4" w:space="0" w:color="000000"/>
              <w:left w:val="single" w:sz="4" w:space="0" w:color="000000"/>
              <w:bottom w:val="nil"/>
              <w:right w:val="dashSmallGap" w:sz="4" w:space="0" w:color="000000"/>
            </w:tcBorders>
          </w:tcPr>
          <w:p>
            <w:pPr>
              <w:pStyle w:val="TableParagraph"/>
              <w:spacing w:before="113"/>
              <w:ind w:left="105"/>
              <w:rPr>
                <w:sz w:val="16"/>
              </w:rPr>
            </w:pPr>
            <w:r>
              <w:rPr>
                <w:sz w:val="16"/>
              </w:rPr>
              <w:t>ZUMA-5</w:t>
            </w:r>
          </w:p>
        </w:tc>
        <w:tc>
          <w:tcPr>
            <w:tcW w:w="1340" w:type="dxa"/>
            <w:tcBorders>
              <w:top w:val="single" w:sz="4" w:space="0" w:color="000000"/>
              <w:left w:val="dashSmallGap" w:sz="4" w:space="0" w:color="000000"/>
              <w:bottom w:val="nil"/>
              <w:right w:val="single" w:sz="4" w:space="0" w:color="000000"/>
            </w:tcBorders>
          </w:tcPr>
          <w:p>
            <w:pPr>
              <w:pStyle w:val="TableParagraph"/>
              <w:spacing w:before="113"/>
              <w:ind w:left="105"/>
              <w:rPr>
                <w:sz w:val="16"/>
              </w:rPr>
            </w:pPr>
            <w:r>
              <w:rPr>
                <w:sz w:val="16"/>
              </w:rPr>
              <w:t>ELARA</w:t>
            </w:r>
          </w:p>
        </w:tc>
        <w:tc>
          <w:tcPr>
            <w:tcW w:w="1335" w:type="dxa"/>
            <w:tcBorders>
              <w:top w:val="single" w:sz="4" w:space="0" w:color="000000"/>
              <w:left w:val="single" w:sz="4" w:space="0" w:color="000000"/>
              <w:bottom w:val="nil"/>
              <w:right w:val="single" w:sz="4" w:space="0" w:color="000000"/>
            </w:tcBorders>
          </w:tcPr>
          <w:p>
            <w:pPr>
              <w:pStyle w:val="TableParagraph"/>
              <w:spacing w:before="113"/>
              <w:ind w:left="100"/>
              <w:rPr>
                <w:sz w:val="16"/>
              </w:rPr>
            </w:pPr>
            <w:r>
              <w:rPr>
                <w:sz w:val="16"/>
              </w:rPr>
              <w:t>ZUMA-2</w:t>
            </w:r>
          </w:p>
        </w:tc>
        <w:tc>
          <w:tcPr>
            <w:tcW w:w="1450" w:type="dxa"/>
            <w:tcBorders>
              <w:top w:val="single" w:sz="4" w:space="0" w:color="000000"/>
              <w:left w:val="single" w:sz="4" w:space="0" w:color="000000"/>
              <w:bottom w:val="nil"/>
              <w:right w:val="dashSmallGap" w:sz="4" w:space="0" w:color="000000"/>
            </w:tcBorders>
          </w:tcPr>
          <w:p>
            <w:pPr>
              <w:pStyle w:val="TableParagraph"/>
              <w:spacing w:before="113"/>
              <w:ind w:left="104"/>
              <w:rPr>
                <w:sz w:val="16"/>
              </w:rPr>
            </w:pPr>
            <w:r>
              <w:rPr>
                <w:sz w:val="16"/>
              </w:rPr>
              <w:t>ELIANA</w:t>
            </w:r>
          </w:p>
        </w:tc>
        <w:tc>
          <w:tcPr>
            <w:tcW w:w="1263" w:type="dxa"/>
            <w:tcBorders>
              <w:top w:val="single" w:sz="4" w:space="0" w:color="000000"/>
              <w:left w:val="dashSmallGap" w:sz="4" w:space="0" w:color="000000"/>
              <w:bottom w:val="nil"/>
              <w:right w:val="nil"/>
            </w:tcBorders>
          </w:tcPr>
          <w:p>
            <w:pPr>
              <w:pStyle w:val="TableParagraph"/>
              <w:spacing w:before="113"/>
              <w:ind w:left="100"/>
              <w:rPr>
                <w:sz w:val="16"/>
              </w:rPr>
            </w:pPr>
            <w:r>
              <w:rPr>
                <w:sz w:val="16"/>
              </w:rPr>
              <w:t>ZUMA-3</w:t>
            </w:r>
          </w:p>
        </w:tc>
      </w:tr>
      <w:tr>
        <w:trPr>
          <w:trHeight w:val="285" w:hRule="atLeast"/>
        </w:trPr>
        <w:tc>
          <w:tcPr>
            <w:tcW w:w="1210" w:type="dxa"/>
            <w:tcBorders>
              <w:top w:val="nil"/>
              <w:left w:val="nil"/>
              <w:bottom w:val="single" w:sz="4" w:space="0" w:color="000000"/>
              <w:right w:val="single" w:sz="4" w:space="0" w:color="000000"/>
            </w:tcBorders>
          </w:tcPr>
          <w:p>
            <w:pPr>
              <w:pStyle w:val="TableParagraph"/>
              <w:spacing w:line="212" w:lineRule="exact" w:before="54"/>
              <w:ind w:left="110"/>
              <w:rPr>
                <w:rFonts w:ascii="PMingLiU" w:eastAsia="PMingLiU" w:hint="eastAsia"/>
                <w:sz w:val="16"/>
              </w:rPr>
            </w:pPr>
            <w:r>
              <w:rPr>
                <w:rFonts w:ascii="PMingLiU" w:eastAsia="PMingLiU" w:hint="eastAsia"/>
                <w:sz w:val="16"/>
              </w:rPr>
              <w:t>中位随访期</w:t>
            </w:r>
          </w:p>
        </w:tc>
        <w:tc>
          <w:tcPr>
            <w:tcW w:w="1335" w:type="dxa"/>
            <w:tcBorders>
              <w:top w:val="nil"/>
              <w:left w:val="single" w:sz="4" w:space="0" w:color="000000"/>
              <w:bottom w:val="single" w:sz="4" w:space="0" w:color="000000"/>
              <w:right w:val="dashSmallGap" w:sz="4" w:space="0" w:color="000000"/>
            </w:tcBorders>
          </w:tcPr>
          <w:p>
            <w:pPr>
              <w:pStyle w:val="TableParagraph"/>
              <w:spacing w:before="78"/>
              <w:ind w:left="105"/>
              <w:rPr>
                <w:sz w:val="16"/>
              </w:rPr>
            </w:pPr>
            <w:r>
              <w:rPr>
                <w:sz w:val="16"/>
              </w:rPr>
              <w:t>17.5m</w:t>
            </w:r>
          </w:p>
        </w:tc>
        <w:tc>
          <w:tcPr>
            <w:tcW w:w="1340" w:type="dxa"/>
            <w:tcBorders>
              <w:top w:val="nil"/>
              <w:left w:val="dashSmallGap" w:sz="4" w:space="0" w:color="000000"/>
              <w:bottom w:val="single" w:sz="4" w:space="0" w:color="000000"/>
              <w:right w:val="single" w:sz="4" w:space="0" w:color="000000"/>
            </w:tcBorders>
          </w:tcPr>
          <w:p>
            <w:pPr>
              <w:pStyle w:val="TableParagraph"/>
              <w:spacing w:before="78"/>
              <w:ind w:left="105"/>
              <w:rPr>
                <w:sz w:val="16"/>
              </w:rPr>
            </w:pPr>
            <w:r>
              <w:rPr>
                <w:sz w:val="16"/>
              </w:rPr>
              <w:t>10.6m</w:t>
            </w:r>
          </w:p>
        </w:tc>
        <w:tc>
          <w:tcPr>
            <w:tcW w:w="1335" w:type="dxa"/>
            <w:tcBorders>
              <w:top w:val="nil"/>
              <w:left w:val="single" w:sz="4" w:space="0" w:color="000000"/>
              <w:bottom w:val="single" w:sz="4" w:space="0" w:color="000000"/>
              <w:right w:val="single" w:sz="4" w:space="0" w:color="000000"/>
            </w:tcBorders>
          </w:tcPr>
          <w:p>
            <w:pPr>
              <w:pStyle w:val="TableParagraph"/>
              <w:spacing w:before="78"/>
              <w:ind w:left="100"/>
              <w:rPr>
                <w:sz w:val="16"/>
              </w:rPr>
            </w:pPr>
            <w:r>
              <w:rPr>
                <w:sz w:val="16"/>
              </w:rPr>
              <w:t>12.3m</w:t>
            </w:r>
          </w:p>
        </w:tc>
        <w:tc>
          <w:tcPr>
            <w:tcW w:w="1450" w:type="dxa"/>
            <w:tcBorders>
              <w:top w:val="nil"/>
              <w:left w:val="single" w:sz="4" w:space="0" w:color="000000"/>
              <w:bottom w:val="single" w:sz="4" w:space="0" w:color="000000"/>
              <w:right w:val="dashSmallGap" w:sz="4" w:space="0" w:color="000000"/>
            </w:tcBorders>
          </w:tcPr>
          <w:p>
            <w:pPr>
              <w:pStyle w:val="TableParagraph"/>
              <w:spacing w:before="78"/>
              <w:ind w:left="104"/>
              <w:rPr>
                <w:sz w:val="16"/>
              </w:rPr>
            </w:pPr>
            <w:r>
              <w:rPr>
                <w:sz w:val="16"/>
              </w:rPr>
              <w:t>13.1m</w:t>
            </w:r>
          </w:p>
        </w:tc>
        <w:tc>
          <w:tcPr>
            <w:tcW w:w="1263" w:type="dxa"/>
            <w:tcBorders>
              <w:top w:val="nil"/>
              <w:left w:val="dashSmallGap" w:sz="4" w:space="0" w:color="000000"/>
              <w:bottom w:val="single" w:sz="4" w:space="0" w:color="000000"/>
              <w:right w:val="nil"/>
            </w:tcBorders>
          </w:tcPr>
          <w:p>
            <w:pPr>
              <w:pStyle w:val="TableParagraph"/>
              <w:spacing w:before="78"/>
              <w:ind w:left="100"/>
              <w:rPr>
                <w:sz w:val="16"/>
              </w:rPr>
            </w:pPr>
            <w:r>
              <w:rPr>
                <w:sz w:val="16"/>
              </w:rPr>
              <w:t>16.4m</w:t>
            </w:r>
          </w:p>
        </w:tc>
      </w:tr>
      <w:tr>
        <w:trPr>
          <w:trHeight w:val="401" w:hRule="atLeast"/>
        </w:trPr>
        <w:tc>
          <w:tcPr>
            <w:tcW w:w="1210" w:type="dxa"/>
            <w:tcBorders>
              <w:top w:val="single" w:sz="4" w:space="0" w:color="000000"/>
              <w:left w:val="nil"/>
              <w:bottom w:val="nil"/>
              <w:right w:val="single" w:sz="4" w:space="0" w:color="000000"/>
            </w:tcBorders>
            <w:shd w:val="clear" w:color="auto" w:fill="F1F1F1"/>
          </w:tcPr>
          <w:p>
            <w:pPr>
              <w:pStyle w:val="TableParagraph"/>
              <w:spacing w:before="89"/>
              <w:ind w:left="110"/>
              <w:rPr>
                <w:rFonts w:ascii="PMingLiU" w:eastAsia="PMingLiU" w:hint="eastAsia"/>
                <w:sz w:val="16"/>
              </w:rPr>
            </w:pPr>
            <w:r>
              <w:rPr>
                <w:rFonts w:ascii="PMingLiU" w:eastAsia="PMingLiU" w:hint="eastAsia"/>
                <w:sz w:val="16"/>
              </w:rPr>
              <w:t>输注患者数</w:t>
            </w:r>
          </w:p>
        </w:tc>
        <w:tc>
          <w:tcPr>
            <w:tcW w:w="1335" w:type="dxa"/>
            <w:tcBorders>
              <w:top w:val="single" w:sz="4" w:space="0" w:color="000000"/>
              <w:left w:val="single" w:sz="4" w:space="0" w:color="000000"/>
              <w:bottom w:val="nil"/>
              <w:right w:val="dashSmallGap" w:sz="4" w:space="0" w:color="000000"/>
            </w:tcBorders>
            <w:shd w:val="clear" w:color="auto" w:fill="F1F1F1"/>
          </w:tcPr>
          <w:p>
            <w:pPr>
              <w:pStyle w:val="TableParagraph"/>
              <w:spacing w:line="183" w:lineRule="exact" w:before="22"/>
              <w:ind w:left="105"/>
              <w:rPr>
                <w:sz w:val="16"/>
              </w:rPr>
            </w:pPr>
            <w:r>
              <w:rPr>
                <w:sz w:val="16"/>
              </w:rPr>
              <w:t>146 (FL: 124,</w:t>
            </w:r>
          </w:p>
          <w:p>
            <w:pPr>
              <w:pStyle w:val="TableParagraph"/>
              <w:spacing w:line="176" w:lineRule="exact"/>
              <w:ind w:left="105"/>
              <w:rPr>
                <w:sz w:val="16"/>
              </w:rPr>
            </w:pPr>
            <w:r>
              <w:rPr>
                <w:sz w:val="16"/>
              </w:rPr>
              <w:t>MZL: 22)</w:t>
            </w:r>
          </w:p>
        </w:tc>
        <w:tc>
          <w:tcPr>
            <w:tcW w:w="1340" w:type="dxa"/>
            <w:tcBorders>
              <w:top w:val="single" w:sz="4" w:space="0" w:color="000000"/>
              <w:left w:val="dashSmallGap" w:sz="4" w:space="0" w:color="000000"/>
              <w:bottom w:val="nil"/>
              <w:right w:val="single" w:sz="4" w:space="0" w:color="000000"/>
            </w:tcBorders>
            <w:shd w:val="clear" w:color="auto" w:fill="F1F1F1"/>
          </w:tcPr>
          <w:p>
            <w:pPr>
              <w:pStyle w:val="TableParagraph"/>
              <w:spacing w:before="113"/>
              <w:ind w:left="105"/>
              <w:rPr>
                <w:sz w:val="16"/>
              </w:rPr>
            </w:pPr>
            <w:r>
              <w:rPr>
                <w:sz w:val="16"/>
              </w:rPr>
              <w:t>97</w:t>
            </w:r>
          </w:p>
        </w:tc>
        <w:tc>
          <w:tcPr>
            <w:tcW w:w="1335" w:type="dxa"/>
            <w:tcBorders>
              <w:top w:val="single" w:sz="4" w:space="0" w:color="000000"/>
              <w:left w:val="single" w:sz="4" w:space="0" w:color="000000"/>
              <w:bottom w:val="nil"/>
              <w:right w:val="single" w:sz="4" w:space="0" w:color="000000"/>
            </w:tcBorders>
            <w:shd w:val="clear" w:color="auto" w:fill="F1F1F1"/>
          </w:tcPr>
          <w:p>
            <w:pPr>
              <w:pStyle w:val="TableParagraph"/>
              <w:spacing w:before="113"/>
              <w:ind w:left="100"/>
              <w:rPr>
                <w:sz w:val="16"/>
              </w:rPr>
            </w:pPr>
            <w:r>
              <w:rPr>
                <w:sz w:val="16"/>
              </w:rPr>
              <w:t>68</w:t>
            </w:r>
          </w:p>
        </w:tc>
        <w:tc>
          <w:tcPr>
            <w:tcW w:w="1450" w:type="dxa"/>
            <w:tcBorders>
              <w:top w:val="single" w:sz="4" w:space="0" w:color="000000"/>
              <w:left w:val="single" w:sz="4" w:space="0" w:color="000000"/>
              <w:bottom w:val="nil"/>
              <w:right w:val="dashSmallGap" w:sz="4" w:space="0" w:color="000000"/>
            </w:tcBorders>
            <w:shd w:val="clear" w:color="auto" w:fill="F1F1F1"/>
          </w:tcPr>
          <w:p>
            <w:pPr>
              <w:pStyle w:val="TableParagraph"/>
              <w:spacing w:before="113"/>
              <w:ind w:left="104"/>
              <w:rPr>
                <w:sz w:val="16"/>
              </w:rPr>
            </w:pPr>
            <w:r>
              <w:rPr>
                <w:sz w:val="16"/>
              </w:rPr>
              <w:t>75</w:t>
            </w:r>
          </w:p>
        </w:tc>
        <w:tc>
          <w:tcPr>
            <w:tcW w:w="1263" w:type="dxa"/>
            <w:tcBorders>
              <w:top w:val="single" w:sz="4" w:space="0" w:color="000000"/>
              <w:left w:val="dashSmallGap" w:sz="4" w:space="0" w:color="000000"/>
              <w:bottom w:val="nil"/>
              <w:right w:val="nil"/>
            </w:tcBorders>
            <w:shd w:val="clear" w:color="auto" w:fill="F1F1F1"/>
          </w:tcPr>
          <w:p>
            <w:pPr>
              <w:pStyle w:val="TableParagraph"/>
              <w:spacing w:before="113"/>
              <w:ind w:left="100"/>
              <w:rPr>
                <w:sz w:val="16"/>
              </w:rPr>
            </w:pPr>
            <w:r>
              <w:rPr>
                <w:sz w:val="16"/>
              </w:rPr>
              <w:t>55</w:t>
            </w:r>
          </w:p>
        </w:tc>
      </w:tr>
      <w:tr>
        <w:trPr>
          <w:trHeight w:val="234" w:hRule="atLeast"/>
        </w:trPr>
        <w:tc>
          <w:tcPr>
            <w:tcW w:w="1210" w:type="dxa"/>
            <w:tcBorders>
              <w:top w:val="nil"/>
              <w:left w:val="nil"/>
              <w:bottom w:val="nil"/>
              <w:right w:val="single" w:sz="4" w:space="0" w:color="000000"/>
            </w:tcBorders>
            <w:shd w:val="clear" w:color="auto" w:fill="F1F1F1"/>
          </w:tcPr>
          <w:p>
            <w:pPr>
              <w:pStyle w:val="TableParagraph"/>
              <w:spacing w:line="205" w:lineRule="exact" w:before="9"/>
              <w:ind w:left="110"/>
              <w:rPr>
                <w:rFonts w:ascii="PMingLiU" w:eastAsia="PMingLiU" w:hint="eastAsia"/>
                <w:sz w:val="16"/>
              </w:rPr>
            </w:pPr>
            <w:r>
              <w:rPr>
                <w:rFonts w:ascii="PMingLiU" w:eastAsia="PMingLiU" w:hint="eastAsia"/>
                <w:sz w:val="16"/>
              </w:rPr>
              <w:t>中位年龄</w:t>
            </w:r>
          </w:p>
        </w:tc>
        <w:tc>
          <w:tcPr>
            <w:tcW w:w="1335" w:type="dxa"/>
            <w:tcBorders>
              <w:top w:val="nil"/>
              <w:left w:val="single" w:sz="4" w:space="0" w:color="000000"/>
              <w:bottom w:val="nil"/>
              <w:right w:val="dashSmallGap" w:sz="4" w:space="0" w:color="000000"/>
            </w:tcBorders>
            <w:shd w:val="clear" w:color="auto" w:fill="F1F1F1"/>
          </w:tcPr>
          <w:p>
            <w:pPr>
              <w:pStyle w:val="TableParagraph"/>
              <w:spacing w:line="180" w:lineRule="exact" w:before="33"/>
              <w:ind w:left="105"/>
              <w:rPr>
                <w:sz w:val="16"/>
              </w:rPr>
            </w:pPr>
            <w:r>
              <w:rPr>
                <w:sz w:val="16"/>
              </w:rPr>
              <w:t>61</w:t>
            </w:r>
          </w:p>
        </w:tc>
        <w:tc>
          <w:tcPr>
            <w:tcW w:w="1340" w:type="dxa"/>
            <w:tcBorders>
              <w:top w:val="nil"/>
              <w:left w:val="dashSmallGap" w:sz="4" w:space="0" w:color="000000"/>
              <w:bottom w:val="nil"/>
              <w:right w:val="single" w:sz="4" w:space="0" w:color="000000"/>
            </w:tcBorders>
            <w:shd w:val="clear" w:color="auto" w:fill="F1F1F1"/>
          </w:tcPr>
          <w:p>
            <w:pPr>
              <w:pStyle w:val="TableParagraph"/>
              <w:spacing w:line="180" w:lineRule="exact" w:before="33"/>
              <w:ind w:left="105"/>
              <w:rPr>
                <w:sz w:val="16"/>
              </w:rPr>
            </w:pPr>
            <w:r>
              <w:rPr>
                <w:sz w:val="16"/>
              </w:rPr>
              <w:t>57</w:t>
            </w:r>
          </w:p>
        </w:tc>
        <w:tc>
          <w:tcPr>
            <w:tcW w:w="1335" w:type="dxa"/>
            <w:tcBorders>
              <w:top w:val="nil"/>
              <w:left w:val="single" w:sz="4" w:space="0" w:color="000000"/>
              <w:bottom w:val="nil"/>
              <w:right w:val="single" w:sz="4" w:space="0" w:color="000000"/>
            </w:tcBorders>
            <w:shd w:val="clear" w:color="auto" w:fill="F1F1F1"/>
          </w:tcPr>
          <w:p>
            <w:pPr>
              <w:pStyle w:val="TableParagraph"/>
              <w:spacing w:line="180" w:lineRule="exact" w:before="33"/>
              <w:ind w:left="100"/>
              <w:rPr>
                <w:sz w:val="16"/>
              </w:rPr>
            </w:pPr>
            <w:r>
              <w:rPr>
                <w:sz w:val="16"/>
              </w:rPr>
              <w:t>65</w:t>
            </w:r>
          </w:p>
        </w:tc>
        <w:tc>
          <w:tcPr>
            <w:tcW w:w="1450" w:type="dxa"/>
            <w:tcBorders>
              <w:top w:val="nil"/>
              <w:left w:val="single" w:sz="4" w:space="0" w:color="000000"/>
              <w:bottom w:val="nil"/>
              <w:right w:val="dashSmallGap" w:sz="4" w:space="0" w:color="000000"/>
            </w:tcBorders>
            <w:shd w:val="clear" w:color="auto" w:fill="F1F1F1"/>
          </w:tcPr>
          <w:p>
            <w:pPr>
              <w:pStyle w:val="TableParagraph"/>
              <w:spacing w:line="180" w:lineRule="exact" w:before="33"/>
              <w:ind w:left="104"/>
              <w:rPr>
                <w:sz w:val="16"/>
              </w:rPr>
            </w:pPr>
            <w:r>
              <w:rPr>
                <w:sz w:val="16"/>
              </w:rPr>
              <w:t>11</w:t>
            </w:r>
          </w:p>
        </w:tc>
        <w:tc>
          <w:tcPr>
            <w:tcW w:w="1263" w:type="dxa"/>
            <w:tcBorders>
              <w:top w:val="nil"/>
              <w:left w:val="dashSmallGap" w:sz="4" w:space="0" w:color="000000"/>
              <w:bottom w:val="nil"/>
              <w:right w:val="nil"/>
            </w:tcBorders>
            <w:shd w:val="clear" w:color="auto" w:fill="F1F1F1"/>
          </w:tcPr>
          <w:p>
            <w:pPr>
              <w:pStyle w:val="TableParagraph"/>
              <w:spacing w:line="180" w:lineRule="exact" w:before="33"/>
              <w:ind w:left="100"/>
              <w:rPr>
                <w:sz w:val="16"/>
              </w:rPr>
            </w:pPr>
            <w:r>
              <w:rPr>
                <w:sz w:val="16"/>
              </w:rPr>
              <w:t>40</w:t>
            </w:r>
          </w:p>
        </w:tc>
      </w:tr>
      <w:tr>
        <w:trPr>
          <w:trHeight w:val="242" w:hRule="atLeast"/>
        </w:trPr>
        <w:tc>
          <w:tcPr>
            <w:tcW w:w="1210" w:type="dxa"/>
            <w:tcBorders>
              <w:top w:val="nil"/>
              <w:left w:val="nil"/>
              <w:bottom w:val="single" w:sz="4" w:space="0" w:color="000000"/>
              <w:right w:val="single" w:sz="4" w:space="0" w:color="000000"/>
            </w:tcBorders>
            <w:shd w:val="clear" w:color="auto" w:fill="F1F1F1"/>
          </w:tcPr>
          <w:p>
            <w:pPr>
              <w:pStyle w:val="TableParagraph"/>
              <w:spacing w:line="212" w:lineRule="exact" w:before="11"/>
              <w:ind w:left="110"/>
              <w:rPr>
                <w:rFonts w:ascii="PMingLiU" w:eastAsia="PMingLiU" w:hint="eastAsia"/>
                <w:sz w:val="16"/>
              </w:rPr>
            </w:pPr>
            <w:r>
              <w:rPr>
                <w:rFonts w:ascii="PMingLiU" w:eastAsia="PMingLiU" w:hint="eastAsia"/>
                <w:sz w:val="16"/>
              </w:rPr>
              <w:t>前线治疗</w:t>
            </w:r>
          </w:p>
        </w:tc>
        <w:tc>
          <w:tcPr>
            <w:tcW w:w="1335" w:type="dxa"/>
            <w:tcBorders>
              <w:top w:val="nil"/>
              <w:left w:val="single" w:sz="4" w:space="0" w:color="000000"/>
              <w:bottom w:val="single" w:sz="4" w:space="0" w:color="000000"/>
              <w:right w:val="dashSmallGap" w:sz="4" w:space="0" w:color="000000"/>
            </w:tcBorders>
            <w:shd w:val="clear" w:color="auto" w:fill="F1F1F1"/>
          </w:tcPr>
          <w:p>
            <w:pPr>
              <w:pStyle w:val="TableParagraph"/>
              <w:spacing w:before="35"/>
              <w:ind w:left="105"/>
              <w:rPr>
                <w:sz w:val="16"/>
              </w:rPr>
            </w:pPr>
            <w:r>
              <w:rPr>
                <w:w w:val="98"/>
                <w:sz w:val="16"/>
              </w:rPr>
              <w:t>3</w:t>
            </w:r>
          </w:p>
        </w:tc>
        <w:tc>
          <w:tcPr>
            <w:tcW w:w="1340" w:type="dxa"/>
            <w:tcBorders>
              <w:top w:val="nil"/>
              <w:left w:val="dashSmallGap" w:sz="4" w:space="0" w:color="000000"/>
              <w:bottom w:val="single" w:sz="4" w:space="0" w:color="000000"/>
              <w:right w:val="single" w:sz="4" w:space="0" w:color="000000"/>
            </w:tcBorders>
            <w:shd w:val="clear" w:color="auto" w:fill="F1F1F1"/>
          </w:tcPr>
          <w:p>
            <w:pPr>
              <w:pStyle w:val="TableParagraph"/>
              <w:spacing w:before="35"/>
              <w:ind w:left="105"/>
              <w:rPr>
                <w:sz w:val="16"/>
              </w:rPr>
            </w:pPr>
            <w:r>
              <w:rPr>
                <w:w w:val="98"/>
                <w:sz w:val="16"/>
              </w:rPr>
              <w:t>4</w:t>
            </w:r>
          </w:p>
        </w:tc>
        <w:tc>
          <w:tcPr>
            <w:tcW w:w="1335" w:type="dxa"/>
            <w:tcBorders>
              <w:top w:val="nil"/>
              <w:left w:val="single" w:sz="4" w:space="0" w:color="000000"/>
              <w:bottom w:val="single" w:sz="4" w:space="0" w:color="000000"/>
              <w:right w:val="single" w:sz="4" w:space="0" w:color="000000"/>
            </w:tcBorders>
            <w:shd w:val="clear" w:color="auto" w:fill="F1F1F1"/>
          </w:tcPr>
          <w:p>
            <w:pPr>
              <w:pStyle w:val="TableParagraph"/>
              <w:spacing w:before="35"/>
              <w:ind w:left="100"/>
              <w:rPr>
                <w:sz w:val="16"/>
              </w:rPr>
            </w:pPr>
            <w:r>
              <w:rPr>
                <w:w w:val="98"/>
                <w:sz w:val="16"/>
              </w:rPr>
              <w:t>3</w:t>
            </w:r>
          </w:p>
        </w:tc>
        <w:tc>
          <w:tcPr>
            <w:tcW w:w="1450" w:type="dxa"/>
            <w:tcBorders>
              <w:top w:val="nil"/>
              <w:left w:val="single" w:sz="4" w:space="0" w:color="000000"/>
              <w:bottom w:val="single" w:sz="4" w:space="0" w:color="000000"/>
              <w:right w:val="dashSmallGap" w:sz="4" w:space="0" w:color="000000"/>
            </w:tcBorders>
            <w:shd w:val="clear" w:color="auto" w:fill="F1F1F1"/>
          </w:tcPr>
          <w:p>
            <w:pPr>
              <w:pStyle w:val="TableParagraph"/>
              <w:spacing w:before="35"/>
              <w:ind w:left="104"/>
              <w:rPr>
                <w:sz w:val="16"/>
              </w:rPr>
            </w:pPr>
            <w:r>
              <w:rPr>
                <w:w w:val="98"/>
                <w:sz w:val="16"/>
              </w:rPr>
              <w:t>3</w:t>
            </w:r>
          </w:p>
        </w:tc>
        <w:tc>
          <w:tcPr>
            <w:tcW w:w="1263" w:type="dxa"/>
            <w:tcBorders>
              <w:top w:val="nil"/>
              <w:left w:val="dashSmallGap" w:sz="4" w:space="0" w:color="000000"/>
              <w:bottom w:val="single" w:sz="4" w:space="0" w:color="000000"/>
              <w:right w:val="nil"/>
            </w:tcBorders>
            <w:shd w:val="clear" w:color="auto" w:fill="F1F1F1"/>
          </w:tcPr>
          <w:p>
            <w:pPr>
              <w:pStyle w:val="TableParagraph"/>
              <w:spacing w:before="35"/>
              <w:ind w:left="100"/>
              <w:rPr>
                <w:sz w:val="16"/>
              </w:rPr>
            </w:pPr>
            <w:r>
              <w:rPr>
                <w:w w:val="98"/>
                <w:sz w:val="16"/>
              </w:rPr>
              <w:t>2</w:t>
            </w:r>
          </w:p>
        </w:tc>
      </w:tr>
      <w:tr>
        <w:trPr>
          <w:trHeight w:val="224" w:hRule="atLeast"/>
        </w:trPr>
        <w:tc>
          <w:tcPr>
            <w:tcW w:w="1210" w:type="dxa"/>
            <w:tcBorders>
              <w:top w:val="single" w:sz="4" w:space="0" w:color="000000"/>
              <w:left w:val="nil"/>
              <w:bottom w:val="nil"/>
              <w:right w:val="single" w:sz="4" w:space="0" w:color="000000"/>
            </w:tcBorders>
          </w:tcPr>
          <w:p>
            <w:pPr>
              <w:pStyle w:val="TableParagraph"/>
              <w:spacing w:line="204" w:lineRule="exact"/>
              <w:ind w:left="110"/>
              <w:rPr>
                <w:rFonts w:ascii="PMingLiU" w:eastAsia="PMingLiU" w:hint="eastAsia"/>
                <w:sz w:val="16"/>
              </w:rPr>
            </w:pPr>
            <w:r>
              <w:rPr>
                <w:rFonts w:ascii="PMingLiU" w:eastAsia="PMingLiU" w:hint="eastAsia"/>
                <w:sz w:val="16"/>
              </w:rPr>
              <w:t>入组到输注</w:t>
            </w:r>
          </w:p>
        </w:tc>
        <w:tc>
          <w:tcPr>
            <w:tcW w:w="1335" w:type="dxa"/>
            <w:tcBorders>
              <w:top w:val="single" w:sz="4" w:space="0" w:color="000000"/>
              <w:left w:val="single" w:sz="4" w:space="0" w:color="000000"/>
              <w:bottom w:val="nil"/>
              <w:right w:val="dashSmallGap" w:sz="4" w:space="0" w:color="000000"/>
            </w:tcBorders>
          </w:tcPr>
          <w:p>
            <w:pPr>
              <w:pStyle w:val="TableParagraph"/>
              <w:spacing w:line="182" w:lineRule="exact" w:before="22"/>
              <w:ind w:left="105"/>
              <w:rPr>
                <w:sz w:val="16"/>
              </w:rPr>
            </w:pPr>
            <w:r>
              <w:rPr>
                <w:sz w:val="16"/>
              </w:rPr>
              <w:t>17d</w:t>
            </w:r>
          </w:p>
        </w:tc>
        <w:tc>
          <w:tcPr>
            <w:tcW w:w="1340" w:type="dxa"/>
            <w:tcBorders>
              <w:top w:val="single" w:sz="4" w:space="0" w:color="000000"/>
              <w:left w:val="dashSmallGap" w:sz="4" w:space="0" w:color="000000"/>
              <w:bottom w:val="nil"/>
              <w:right w:val="single" w:sz="4" w:space="0" w:color="000000"/>
            </w:tcBorders>
          </w:tcPr>
          <w:p>
            <w:pPr>
              <w:pStyle w:val="TableParagraph"/>
              <w:spacing w:line="182" w:lineRule="exact" w:before="22"/>
              <w:ind w:left="105"/>
              <w:rPr>
                <w:sz w:val="16"/>
              </w:rPr>
            </w:pPr>
            <w:r>
              <w:rPr>
                <w:sz w:val="16"/>
              </w:rPr>
              <w:t>46d</w:t>
            </w:r>
          </w:p>
        </w:tc>
        <w:tc>
          <w:tcPr>
            <w:tcW w:w="1335" w:type="dxa"/>
            <w:tcBorders>
              <w:top w:val="single" w:sz="4" w:space="0" w:color="000000"/>
              <w:left w:val="single" w:sz="4" w:space="0" w:color="000000"/>
              <w:bottom w:val="nil"/>
              <w:right w:val="single" w:sz="4" w:space="0" w:color="000000"/>
            </w:tcBorders>
          </w:tcPr>
          <w:p>
            <w:pPr>
              <w:pStyle w:val="TableParagraph"/>
              <w:spacing w:line="182" w:lineRule="exact" w:before="22"/>
              <w:ind w:left="100"/>
              <w:rPr>
                <w:sz w:val="16"/>
              </w:rPr>
            </w:pPr>
            <w:r>
              <w:rPr>
                <w:sz w:val="16"/>
              </w:rPr>
              <w:t>16d</w:t>
            </w:r>
          </w:p>
        </w:tc>
        <w:tc>
          <w:tcPr>
            <w:tcW w:w="1450" w:type="dxa"/>
            <w:tcBorders>
              <w:top w:val="single" w:sz="4" w:space="0" w:color="000000"/>
              <w:left w:val="single" w:sz="4" w:space="0" w:color="000000"/>
              <w:bottom w:val="nil"/>
              <w:right w:val="dashSmallGap" w:sz="4" w:space="0" w:color="000000"/>
            </w:tcBorders>
          </w:tcPr>
          <w:p>
            <w:pPr>
              <w:pStyle w:val="TableParagraph"/>
              <w:spacing w:line="182" w:lineRule="exact" w:before="22"/>
              <w:ind w:left="104"/>
              <w:rPr>
                <w:sz w:val="16"/>
              </w:rPr>
            </w:pPr>
            <w:r>
              <w:rPr>
                <w:sz w:val="16"/>
              </w:rPr>
              <w:t>45d</w:t>
            </w:r>
          </w:p>
        </w:tc>
        <w:tc>
          <w:tcPr>
            <w:tcW w:w="1263" w:type="dxa"/>
            <w:tcBorders>
              <w:top w:val="single" w:sz="4" w:space="0" w:color="000000"/>
              <w:left w:val="dashSmallGap" w:sz="4" w:space="0" w:color="000000"/>
              <w:bottom w:val="nil"/>
              <w:right w:val="nil"/>
            </w:tcBorders>
          </w:tcPr>
          <w:p>
            <w:pPr>
              <w:pStyle w:val="TableParagraph"/>
              <w:spacing w:line="182" w:lineRule="exact" w:before="22"/>
              <w:ind w:left="100"/>
              <w:rPr>
                <w:sz w:val="16"/>
              </w:rPr>
            </w:pPr>
            <w:r>
              <w:rPr>
                <w:sz w:val="16"/>
              </w:rPr>
              <w:t>13d</w:t>
            </w:r>
          </w:p>
        </w:tc>
      </w:tr>
      <w:tr>
        <w:trPr>
          <w:trHeight w:val="416" w:hRule="atLeast"/>
        </w:trPr>
        <w:tc>
          <w:tcPr>
            <w:tcW w:w="1210" w:type="dxa"/>
            <w:tcBorders>
              <w:top w:val="nil"/>
              <w:left w:val="nil"/>
              <w:bottom w:val="nil"/>
              <w:right w:val="single" w:sz="4" w:space="0" w:color="000000"/>
            </w:tcBorders>
          </w:tcPr>
          <w:p>
            <w:pPr>
              <w:pStyle w:val="TableParagraph"/>
              <w:spacing w:before="100"/>
              <w:ind w:left="110"/>
              <w:rPr>
                <w:rFonts w:ascii="PMingLiU" w:eastAsia="PMingLiU" w:hint="eastAsia"/>
                <w:sz w:val="16"/>
              </w:rPr>
            </w:pPr>
            <w:r>
              <w:rPr>
                <w:rFonts w:ascii="PMingLiU" w:eastAsia="PMingLiU" w:hint="eastAsia"/>
                <w:sz w:val="16"/>
              </w:rPr>
              <w:t>输注细胞数</w:t>
            </w:r>
          </w:p>
        </w:tc>
        <w:tc>
          <w:tcPr>
            <w:tcW w:w="1335" w:type="dxa"/>
            <w:tcBorders>
              <w:top w:val="nil"/>
              <w:left w:val="single" w:sz="4" w:space="0" w:color="000000"/>
              <w:bottom w:val="nil"/>
              <w:right w:val="dashSmallGap" w:sz="4" w:space="0" w:color="000000"/>
            </w:tcBorders>
          </w:tcPr>
          <w:p>
            <w:pPr>
              <w:pStyle w:val="TableParagraph"/>
              <w:spacing w:before="100"/>
              <w:ind w:left="105"/>
              <w:rPr>
                <w:sz w:val="16"/>
              </w:rPr>
            </w:pPr>
            <w:r>
              <w:rPr>
                <w:sz w:val="16"/>
              </w:rPr>
              <w:t>2*10^6 </w:t>
            </w:r>
            <w:r>
              <w:rPr>
                <w:rFonts w:ascii="PMingLiU" w:eastAsia="PMingLiU" w:hint="eastAsia"/>
                <w:sz w:val="16"/>
              </w:rPr>
              <w:t>个</w:t>
            </w:r>
            <w:r>
              <w:rPr>
                <w:sz w:val="16"/>
              </w:rPr>
              <w:t>/kg</w:t>
            </w:r>
          </w:p>
        </w:tc>
        <w:tc>
          <w:tcPr>
            <w:tcW w:w="1340" w:type="dxa"/>
            <w:tcBorders>
              <w:top w:val="nil"/>
              <w:left w:val="dashSmallGap" w:sz="4" w:space="0" w:color="000000"/>
              <w:bottom w:val="nil"/>
              <w:right w:val="single" w:sz="4" w:space="0" w:color="000000"/>
            </w:tcBorders>
          </w:tcPr>
          <w:p>
            <w:pPr>
              <w:pStyle w:val="TableParagraph"/>
              <w:spacing w:line="183" w:lineRule="exact" w:before="9"/>
              <w:ind w:left="105"/>
              <w:rPr>
                <w:sz w:val="16"/>
              </w:rPr>
            </w:pPr>
            <w:r>
              <w:rPr>
                <w:sz w:val="16"/>
              </w:rPr>
              <w:t>(0.6 ~6.0)*10^8</w:t>
            </w:r>
          </w:p>
          <w:p>
            <w:pPr>
              <w:pStyle w:val="TableParagraph"/>
              <w:spacing w:line="204" w:lineRule="exact"/>
              <w:ind w:left="105"/>
              <w:rPr>
                <w:rFonts w:ascii="PMingLiU" w:eastAsia="PMingLiU" w:hint="eastAsia"/>
                <w:sz w:val="16"/>
              </w:rPr>
            </w:pPr>
            <w:r>
              <w:rPr>
                <w:rFonts w:ascii="PMingLiU" w:eastAsia="PMingLiU" w:hint="eastAsia"/>
                <w:w w:val="99"/>
                <w:sz w:val="16"/>
              </w:rPr>
              <w:t>个</w:t>
            </w:r>
          </w:p>
        </w:tc>
        <w:tc>
          <w:tcPr>
            <w:tcW w:w="1335" w:type="dxa"/>
            <w:tcBorders>
              <w:top w:val="nil"/>
              <w:left w:val="single" w:sz="4" w:space="0" w:color="000000"/>
              <w:bottom w:val="nil"/>
              <w:right w:val="single" w:sz="4" w:space="0" w:color="000000"/>
            </w:tcBorders>
          </w:tcPr>
          <w:p>
            <w:pPr>
              <w:pStyle w:val="TableParagraph"/>
              <w:spacing w:before="100"/>
              <w:ind w:left="100"/>
              <w:rPr>
                <w:sz w:val="16"/>
              </w:rPr>
            </w:pPr>
            <w:r>
              <w:rPr>
                <w:sz w:val="16"/>
              </w:rPr>
              <w:t>2*10^6 </w:t>
            </w:r>
            <w:r>
              <w:rPr>
                <w:rFonts w:ascii="PMingLiU" w:eastAsia="PMingLiU" w:hint="eastAsia"/>
                <w:sz w:val="16"/>
              </w:rPr>
              <w:t>个</w:t>
            </w:r>
            <w:r>
              <w:rPr>
                <w:sz w:val="16"/>
              </w:rPr>
              <w:t>/kg</w:t>
            </w:r>
          </w:p>
        </w:tc>
        <w:tc>
          <w:tcPr>
            <w:tcW w:w="1450" w:type="dxa"/>
            <w:tcBorders>
              <w:top w:val="nil"/>
              <w:left w:val="single" w:sz="4" w:space="0" w:color="000000"/>
              <w:bottom w:val="nil"/>
              <w:right w:val="dashSmallGap" w:sz="4" w:space="0" w:color="000000"/>
            </w:tcBorders>
          </w:tcPr>
          <w:p>
            <w:pPr>
              <w:pStyle w:val="TableParagraph"/>
              <w:spacing w:line="183" w:lineRule="exact" w:before="9"/>
              <w:ind w:left="104"/>
              <w:rPr>
                <w:sz w:val="16"/>
              </w:rPr>
            </w:pPr>
            <w:r>
              <w:rPr>
                <w:sz w:val="16"/>
              </w:rPr>
              <w:t>(0.76~20.6)*10^6</w:t>
            </w:r>
          </w:p>
          <w:p>
            <w:pPr>
              <w:pStyle w:val="TableParagraph"/>
              <w:spacing w:line="204" w:lineRule="exact"/>
              <w:ind w:left="104"/>
              <w:rPr>
                <w:sz w:val="16"/>
              </w:rPr>
            </w:pPr>
            <w:r>
              <w:rPr>
                <w:rFonts w:ascii="PMingLiU" w:eastAsia="PMingLiU" w:hint="eastAsia"/>
                <w:sz w:val="16"/>
              </w:rPr>
              <w:t>个</w:t>
            </w:r>
            <w:r>
              <w:rPr>
                <w:sz w:val="16"/>
              </w:rPr>
              <w:t>/kg</w:t>
            </w:r>
          </w:p>
        </w:tc>
        <w:tc>
          <w:tcPr>
            <w:tcW w:w="1263" w:type="dxa"/>
            <w:tcBorders>
              <w:top w:val="nil"/>
              <w:left w:val="dashSmallGap" w:sz="4" w:space="0" w:color="000000"/>
              <w:bottom w:val="nil"/>
              <w:right w:val="nil"/>
            </w:tcBorders>
          </w:tcPr>
          <w:p>
            <w:pPr>
              <w:pStyle w:val="TableParagraph"/>
              <w:spacing w:before="100"/>
              <w:ind w:left="100"/>
              <w:rPr>
                <w:sz w:val="16"/>
              </w:rPr>
            </w:pPr>
            <w:r>
              <w:rPr>
                <w:sz w:val="16"/>
              </w:rPr>
              <w:t>1*10^6 </w:t>
            </w:r>
            <w:r>
              <w:rPr>
                <w:rFonts w:ascii="PMingLiU" w:eastAsia="PMingLiU" w:hint="eastAsia"/>
                <w:sz w:val="16"/>
              </w:rPr>
              <w:t>个</w:t>
            </w:r>
            <w:r>
              <w:rPr>
                <w:sz w:val="16"/>
              </w:rPr>
              <w:t>/kg</w:t>
            </w:r>
          </w:p>
        </w:tc>
      </w:tr>
      <w:tr>
        <w:trPr>
          <w:trHeight w:val="232" w:hRule="atLeast"/>
        </w:trPr>
        <w:tc>
          <w:tcPr>
            <w:tcW w:w="1210" w:type="dxa"/>
            <w:tcBorders>
              <w:top w:val="nil"/>
              <w:left w:val="nil"/>
              <w:bottom w:val="nil"/>
              <w:right w:val="single" w:sz="4" w:space="0" w:color="000000"/>
            </w:tcBorders>
          </w:tcPr>
          <w:p>
            <w:pPr>
              <w:pStyle w:val="TableParagraph"/>
              <w:spacing w:line="202" w:lineRule="exact" w:before="10"/>
              <w:ind w:left="110"/>
              <w:rPr>
                <w:rFonts w:ascii="PMingLiU" w:eastAsia="PMingLiU" w:hint="eastAsia"/>
                <w:sz w:val="16"/>
              </w:rPr>
            </w:pPr>
            <w:r>
              <w:rPr>
                <w:rFonts w:ascii="PMingLiU" w:eastAsia="PMingLiU" w:hint="eastAsia"/>
                <w:sz w:val="16"/>
              </w:rPr>
              <w:t>制备成功率</w:t>
            </w:r>
          </w:p>
        </w:tc>
        <w:tc>
          <w:tcPr>
            <w:tcW w:w="1335" w:type="dxa"/>
            <w:tcBorders>
              <w:top w:val="nil"/>
              <w:left w:val="single" w:sz="4" w:space="0" w:color="000000"/>
              <w:bottom w:val="nil"/>
              <w:right w:val="dashSmallGap" w:sz="4" w:space="0" w:color="000000"/>
            </w:tcBorders>
          </w:tcPr>
          <w:p>
            <w:pPr>
              <w:pStyle w:val="TableParagraph"/>
              <w:spacing w:line="178" w:lineRule="exact" w:before="35"/>
              <w:ind w:left="105"/>
              <w:rPr>
                <w:sz w:val="16"/>
              </w:rPr>
            </w:pPr>
            <w:r>
              <w:rPr>
                <w:sz w:val="16"/>
              </w:rPr>
              <w:t>100%</w:t>
            </w:r>
          </w:p>
        </w:tc>
        <w:tc>
          <w:tcPr>
            <w:tcW w:w="1340" w:type="dxa"/>
            <w:tcBorders>
              <w:top w:val="nil"/>
              <w:left w:val="dashSmallGap" w:sz="4" w:space="0" w:color="000000"/>
              <w:bottom w:val="nil"/>
              <w:right w:val="single" w:sz="4" w:space="0" w:color="000000"/>
            </w:tcBorders>
          </w:tcPr>
          <w:p>
            <w:pPr>
              <w:pStyle w:val="TableParagraph"/>
              <w:spacing w:line="178" w:lineRule="exact" w:before="35"/>
              <w:ind w:left="105"/>
              <w:rPr>
                <w:sz w:val="16"/>
              </w:rPr>
            </w:pPr>
            <w:r>
              <w:rPr>
                <w:sz w:val="16"/>
              </w:rPr>
              <w:t>N/A</w:t>
            </w:r>
          </w:p>
        </w:tc>
        <w:tc>
          <w:tcPr>
            <w:tcW w:w="1335" w:type="dxa"/>
            <w:tcBorders>
              <w:top w:val="nil"/>
              <w:left w:val="single" w:sz="4" w:space="0" w:color="000000"/>
              <w:bottom w:val="nil"/>
              <w:right w:val="single" w:sz="4" w:space="0" w:color="000000"/>
            </w:tcBorders>
          </w:tcPr>
          <w:p>
            <w:pPr>
              <w:pStyle w:val="TableParagraph"/>
              <w:spacing w:line="178" w:lineRule="exact" w:before="35"/>
              <w:ind w:left="100"/>
              <w:rPr>
                <w:sz w:val="16"/>
              </w:rPr>
            </w:pPr>
            <w:r>
              <w:rPr>
                <w:sz w:val="16"/>
              </w:rPr>
              <w:t>96%</w:t>
            </w:r>
          </w:p>
        </w:tc>
        <w:tc>
          <w:tcPr>
            <w:tcW w:w="1450" w:type="dxa"/>
            <w:tcBorders>
              <w:top w:val="nil"/>
              <w:left w:val="single" w:sz="4" w:space="0" w:color="000000"/>
              <w:bottom w:val="nil"/>
              <w:right w:val="dashSmallGap" w:sz="4" w:space="0" w:color="000000"/>
            </w:tcBorders>
          </w:tcPr>
          <w:p>
            <w:pPr>
              <w:pStyle w:val="TableParagraph"/>
              <w:spacing w:line="178" w:lineRule="exact" w:before="35"/>
              <w:ind w:left="104"/>
              <w:rPr>
                <w:sz w:val="16"/>
              </w:rPr>
            </w:pPr>
            <w:r>
              <w:rPr>
                <w:sz w:val="16"/>
              </w:rPr>
              <w:t>92%</w:t>
            </w:r>
          </w:p>
        </w:tc>
        <w:tc>
          <w:tcPr>
            <w:tcW w:w="1263" w:type="dxa"/>
            <w:tcBorders>
              <w:top w:val="nil"/>
              <w:left w:val="dashSmallGap" w:sz="4" w:space="0" w:color="000000"/>
              <w:bottom w:val="nil"/>
              <w:right w:val="nil"/>
            </w:tcBorders>
          </w:tcPr>
          <w:p>
            <w:pPr>
              <w:pStyle w:val="TableParagraph"/>
              <w:spacing w:line="178" w:lineRule="exact" w:before="35"/>
              <w:ind w:left="100"/>
              <w:rPr>
                <w:sz w:val="16"/>
              </w:rPr>
            </w:pPr>
            <w:r>
              <w:rPr>
                <w:sz w:val="16"/>
              </w:rPr>
              <w:t>92%</w:t>
            </w:r>
          </w:p>
        </w:tc>
      </w:tr>
      <w:tr>
        <w:trPr>
          <w:trHeight w:val="475" w:hRule="atLeast"/>
        </w:trPr>
        <w:tc>
          <w:tcPr>
            <w:tcW w:w="1210" w:type="dxa"/>
            <w:tcBorders>
              <w:top w:val="nil"/>
              <w:left w:val="nil"/>
              <w:bottom w:val="single" w:sz="4" w:space="0" w:color="000000"/>
              <w:right w:val="single" w:sz="4" w:space="0" w:color="000000"/>
            </w:tcBorders>
          </w:tcPr>
          <w:p>
            <w:pPr>
              <w:pStyle w:val="TableParagraph"/>
              <w:spacing w:before="123"/>
              <w:ind w:left="110"/>
              <w:rPr>
                <w:rFonts w:ascii="PMingLiU" w:eastAsia="PMingLiU" w:hint="eastAsia"/>
                <w:sz w:val="16"/>
              </w:rPr>
            </w:pPr>
            <w:r>
              <w:rPr>
                <w:rFonts w:ascii="PMingLiU" w:eastAsia="PMingLiU" w:hint="eastAsia"/>
                <w:sz w:val="16"/>
              </w:rPr>
              <w:t>清淋方案</w:t>
            </w:r>
          </w:p>
        </w:tc>
        <w:tc>
          <w:tcPr>
            <w:tcW w:w="1335" w:type="dxa"/>
            <w:tcBorders>
              <w:top w:val="nil"/>
              <w:left w:val="single" w:sz="4" w:space="0" w:color="000000"/>
              <w:bottom w:val="single" w:sz="4" w:space="0" w:color="000000"/>
              <w:right w:val="dashSmallGap" w:sz="4" w:space="0" w:color="000000"/>
            </w:tcBorders>
          </w:tcPr>
          <w:p>
            <w:pPr>
              <w:pStyle w:val="TableParagraph"/>
              <w:spacing w:before="8"/>
              <w:ind w:left="105"/>
              <w:rPr>
                <w:rFonts w:ascii="PMingLiU" w:eastAsia="PMingLiU" w:hint="eastAsia"/>
                <w:sz w:val="16"/>
              </w:rPr>
            </w:pPr>
            <w:r>
              <w:rPr>
                <w:rFonts w:ascii="PMingLiU" w:eastAsia="PMingLiU" w:hint="eastAsia"/>
                <w:sz w:val="16"/>
              </w:rPr>
              <w:t>氟达拉宾</w:t>
            </w:r>
            <w:r>
              <w:rPr>
                <w:sz w:val="16"/>
              </w:rPr>
              <w:t>+</w:t>
            </w:r>
            <w:r>
              <w:rPr>
                <w:rFonts w:ascii="PMingLiU" w:eastAsia="PMingLiU" w:hint="eastAsia"/>
                <w:sz w:val="16"/>
              </w:rPr>
              <w:t>环磷</w:t>
            </w:r>
          </w:p>
          <w:p>
            <w:pPr>
              <w:pStyle w:val="TableParagraph"/>
              <w:spacing w:line="212" w:lineRule="exact" w:before="11"/>
              <w:ind w:left="105"/>
              <w:rPr>
                <w:rFonts w:ascii="PMingLiU" w:eastAsia="PMingLiU" w:hint="eastAsia"/>
                <w:sz w:val="16"/>
              </w:rPr>
            </w:pPr>
            <w:r>
              <w:rPr>
                <w:rFonts w:ascii="PMingLiU" w:eastAsia="PMingLiU" w:hint="eastAsia"/>
                <w:sz w:val="16"/>
              </w:rPr>
              <w:t>酰胺</w:t>
            </w:r>
          </w:p>
        </w:tc>
        <w:tc>
          <w:tcPr>
            <w:tcW w:w="1340" w:type="dxa"/>
            <w:tcBorders>
              <w:top w:val="nil"/>
              <w:left w:val="dashSmallGap" w:sz="4" w:space="0" w:color="000000"/>
              <w:bottom w:val="single" w:sz="4" w:space="0" w:color="000000"/>
              <w:right w:val="single" w:sz="4" w:space="0" w:color="000000"/>
            </w:tcBorders>
          </w:tcPr>
          <w:p>
            <w:pPr>
              <w:pStyle w:val="TableParagraph"/>
              <w:spacing w:before="8"/>
              <w:ind w:left="105"/>
              <w:rPr>
                <w:rFonts w:ascii="PMingLiU" w:eastAsia="PMingLiU" w:hint="eastAsia"/>
                <w:sz w:val="16"/>
              </w:rPr>
            </w:pPr>
            <w:r>
              <w:rPr>
                <w:rFonts w:ascii="PMingLiU" w:eastAsia="PMingLiU" w:hint="eastAsia"/>
                <w:sz w:val="16"/>
              </w:rPr>
              <w:t>氟达拉宾</w:t>
            </w:r>
            <w:r>
              <w:rPr>
                <w:sz w:val="16"/>
              </w:rPr>
              <w:t>+</w:t>
            </w:r>
            <w:r>
              <w:rPr>
                <w:rFonts w:ascii="PMingLiU" w:eastAsia="PMingLiU" w:hint="eastAsia"/>
                <w:sz w:val="16"/>
              </w:rPr>
              <w:t>环磷</w:t>
            </w:r>
          </w:p>
          <w:p>
            <w:pPr>
              <w:pStyle w:val="TableParagraph"/>
              <w:spacing w:line="212" w:lineRule="exact" w:before="11"/>
              <w:ind w:left="105"/>
              <w:rPr>
                <w:rFonts w:ascii="PMingLiU" w:eastAsia="PMingLiU" w:hint="eastAsia"/>
                <w:sz w:val="16"/>
              </w:rPr>
            </w:pPr>
            <w:r>
              <w:rPr>
                <w:rFonts w:ascii="PMingLiU" w:eastAsia="PMingLiU" w:hint="eastAsia"/>
                <w:sz w:val="16"/>
              </w:rPr>
              <w:t>酰胺</w:t>
            </w:r>
          </w:p>
        </w:tc>
        <w:tc>
          <w:tcPr>
            <w:tcW w:w="1335" w:type="dxa"/>
            <w:tcBorders>
              <w:top w:val="nil"/>
              <w:left w:val="single" w:sz="4" w:space="0" w:color="000000"/>
              <w:bottom w:val="single" w:sz="4" w:space="0" w:color="000000"/>
              <w:right w:val="single" w:sz="4" w:space="0" w:color="000000"/>
            </w:tcBorders>
          </w:tcPr>
          <w:p>
            <w:pPr>
              <w:pStyle w:val="TableParagraph"/>
              <w:spacing w:before="8"/>
              <w:ind w:left="100"/>
              <w:rPr>
                <w:rFonts w:ascii="PMingLiU" w:eastAsia="PMingLiU" w:hint="eastAsia"/>
                <w:sz w:val="16"/>
              </w:rPr>
            </w:pPr>
            <w:r>
              <w:rPr>
                <w:rFonts w:ascii="PMingLiU" w:eastAsia="PMingLiU" w:hint="eastAsia"/>
                <w:sz w:val="16"/>
              </w:rPr>
              <w:t>氟达拉宾</w:t>
            </w:r>
            <w:r>
              <w:rPr>
                <w:sz w:val="16"/>
              </w:rPr>
              <w:t>+</w:t>
            </w:r>
            <w:r>
              <w:rPr>
                <w:rFonts w:ascii="PMingLiU" w:eastAsia="PMingLiU" w:hint="eastAsia"/>
                <w:sz w:val="16"/>
              </w:rPr>
              <w:t>环磷</w:t>
            </w:r>
          </w:p>
          <w:p>
            <w:pPr>
              <w:pStyle w:val="TableParagraph"/>
              <w:spacing w:line="212" w:lineRule="exact" w:before="11"/>
              <w:ind w:left="100"/>
              <w:rPr>
                <w:rFonts w:ascii="PMingLiU" w:eastAsia="PMingLiU" w:hint="eastAsia"/>
                <w:sz w:val="16"/>
              </w:rPr>
            </w:pPr>
            <w:r>
              <w:rPr>
                <w:rFonts w:ascii="PMingLiU" w:eastAsia="PMingLiU" w:hint="eastAsia"/>
                <w:sz w:val="16"/>
              </w:rPr>
              <w:t>酰胺</w:t>
            </w:r>
          </w:p>
        </w:tc>
        <w:tc>
          <w:tcPr>
            <w:tcW w:w="1450" w:type="dxa"/>
            <w:tcBorders>
              <w:top w:val="nil"/>
              <w:left w:val="single" w:sz="4" w:space="0" w:color="000000"/>
              <w:bottom w:val="single" w:sz="4" w:space="0" w:color="000000"/>
              <w:right w:val="dashSmallGap" w:sz="4" w:space="0" w:color="000000"/>
            </w:tcBorders>
          </w:tcPr>
          <w:p>
            <w:pPr>
              <w:pStyle w:val="TableParagraph"/>
              <w:spacing w:before="8"/>
              <w:ind w:left="104"/>
              <w:rPr>
                <w:rFonts w:ascii="PMingLiU" w:eastAsia="PMingLiU" w:hint="eastAsia"/>
                <w:sz w:val="16"/>
              </w:rPr>
            </w:pPr>
            <w:r>
              <w:rPr>
                <w:rFonts w:ascii="PMingLiU" w:eastAsia="PMingLiU" w:hint="eastAsia"/>
                <w:sz w:val="16"/>
              </w:rPr>
              <w:t>氟达拉宾</w:t>
            </w:r>
            <w:r>
              <w:rPr>
                <w:sz w:val="16"/>
              </w:rPr>
              <w:t>+</w:t>
            </w:r>
            <w:r>
              <w:rPr>
                <w:rFonts w:ascii="PMingLiU" w:eastAsia="PMingLiU" w:hint="eastAsia"/>
                <w:sz w:val="16"/>
              </w:rPr>
              <w:t>环磷酰</w:t>
            </w:r>
          </w:p>
          <w:p>
            <w:pPr>
              <w:pStyle w:val="TableParagraph"/>
              <w:spacing w:line="212" w:lineRule="exact" w:before="11"/>
              <w:ind w:left="104"/>
              <w:rPr>
                <w:rFonts w:ascii="PMingLiU" w:eastAsia="PMingLiU" w:hint="eastAsia"/>
                <w:sz w:val="16"/>
              </w:rPr>
            </w:pPr>
            <w:r>
              <w:rPr>
                <w:rFonts w:ascii="PMingLiU" w:eastAsia="PMingLiU" w:hint="eastAsia"/>
                <w:w w:val="99"/>
                <w:sz w:val="16"/>
              </w:rPr>
              <w:t>胺</w:t>
            </w:r>
          </w:p>
        </w:tc>
        <w:tc>
          <w:tcPr>
            <w:tcW w:w="1263" w:type="dxa"/>
            <w:tcBorders>
              <w:top w:val="nil"/>
              <w:left w:val="dashSmallGap" w:sz="4" w:space="0" w:color="000000"/>
              <w:bottom w:val="single" w:sz="4" w:space="0" w:color="000000"/>
              <w:right w:val="nil"/>
            </w:tcBorders>
          </w:tcPr>
          <w:p>
            <w:pPr>
              <w:pStyle w:val="TableParagraph"/>
              <w:spacing w:before="8"/>
              <w:ind w:left="100"/>
              <w:rPr>
                <w:rFonts w:ascii="PMingLiU" w:eastAsia="PMingLiU" w:hint="eastAsia"/>
                <w:sz w:val="16"/>
              </w:rPr>
            </w:pPr>
            <w:r>
              <w:rPr>
                <w:rFonts w:ascii="PMingLiU" w:eastAsia="PMingLiU" w:hint="eastAsia"/>
                <w:sz w:val="16"/>
              </w:rPr>
              <w:t>氟达拉宾</w:t>
            </w:r>
            <w:r>
              <w:rPr>
                <w:sz w:val="16"/>
              </w:rPr>
              <w:t>+ </w:t>
            </w:r>
            <w:r>
              <w:rPr>
                <w:rFonts w:ascii="PMingLiU" w:eastAsia="PMingLiU" w:hint="eastAsia"/>
                <w:sz w:val="16"/>
              </w:rPr>
              <w:t>环</w:t>
            </w:r>
          </w:p>
          <w:p>
            <w:pPr>
              <w:pStyle w:val="TableParagraph"/>
              <w:spacing w:line="212" w:lineRule="exact" w:before="11"/>
              <w:ind w:left="100"/>
              <w:rPr>
                <w:rFonts w:ascii="PMingLiU" w:eastAsia="PMingLiU" w:hint="eastAsia"/>
                <w:sz w:val="16"/>
              </w:rPr>
            </w:pPr>
            <w:r>
              <w:rPr>
                <w:rFonts w:ascii="PMingLiU" w:eastAsia="PMingLiU" w:hint="eastAsia"/>
                <w:sz w:val="16"/>
              </w:rPr>
              <w:t>磷酰胺</w:t>
            </w:r>
          </w:p>
        </w:tc>
      </w:tr>
    </w:tbl>
    <w:p>
      <w:pPr>
        <w:spacing w:after="0" w:line="212" w:lineRule="exact"/>
        <w:rPr>
          <w:rFonts w:ascii="PMingLiU" w:eastAsia="PMingLiU" w:hint="eastAsia"/>
          <w:sz w:val="16"/>
        </w:rPr>
        <w:sectPr>
          <w:pgSz w:w="11910" w:h="16840"/>
          <w:pgMar w:header="682" w:footer="358" w:top="1380" w:bottom="540" w:left="640" w:right="300"/>
        </w:sectPr>
      </w:pPr>
    </w:p>
    <w:p>
      <w:pPr>
        <w:pStyle w:val="BodyText"/>
        <w:spacing w:before="1" w:after="1"/>
        <w:ind w:left="0"/>
        <w:rPr>
          <w:rFonts w:ascii="Microsoft JhengHei UI"/>
          <w:b/>
          <w:sz w:val="15"/>
        </w:rPr>
      </w:pPr>
    </w:p>
    <w:tbl>
      <w:tblPr>
        <w:tblW w:w="0" w:type="auto"/>
        <w:jc w:val="left"/>
        <w:tblInd w:w="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0"/>
        <w:gridCol w:w="1335"/>
        <w:gridCol w:w="1340"/>
        <w:gridCol w:w="1335"/>
        <w:gridCol w:w="1450"/>
        <w:gridCol w:w="1263"/>
      </w:tblGrid>
      <w:tr>
        <w:trPr>
          <w:trHeight w:val="554" w:hRule="atLeast"/>
        </w:trPr>
        <w:tc>
          <w:tcPr>
            <w:tcW w:w="1210" w:type="dxa"/>
            <w:tcBorders>
              <w:top w:val="single" w:sz="4" w:space="0" w:color="000000"/>
              <w:right w:val="single" w:sz="4" w:space="0" w:color="000000"/>
            </w:tcBorders>
            <w:shd w:val="clear" w:color="auto" w:fill="F1F1F1"/>
          </w:tcPr>
          <w:p>
            <w:pPr>
              <w:pStyle w:val="TableParagraph"/>
              <w:spacing w:before="156"/>
              <w:ind w:left="110"/>
              <w:rPr>
                <w:sz w:val="16"/>
              </w:rPr>
            </w:pPr>
            <w:r>
              <w:rPr>
                <w:rFonts w:ascii="PMingLiU" w:eastAsia="PMingLiU" w:hint="eastAsia"/>
                <w:sz w:val="16"/>
              </w:rPr>
              <w:t>最佳</w:t>
            </w:r>
            <w:r>
              <w:rPr>
                <w:sz w:val="16"/>
              </w:rPr>
              <w:t>ORR</w:t>
            </w:r>
          </w:p>
        </w:tc>
        <w:tc>
          <w:tcPr>
            <w:tcW w:w="1335" w:type="dxa"/>
            <w:tcBorders>
              <w:top w:val="single" w:sz="4" w:space="0" w:color="000000"/>
              <w:left w:val="single" w:sz="4" w:space="0" w:color="000000"/>
              <w:right w:val="dashSmallGap" w:sz="4" w:space="0" w:color="000000"/>
            </w:tcBorders>
            <w:shd w:val="clear" w:color="auto" w:fill="F1F1F1"/>
          </w:tcPr>
          <w:p>
            <w:pPr>
              <w:pStyle w:val="TableParagraph"/>
              <w:spacing w:line="183" w:lineRule="exact"/>
              <w:ind w:left="105"/>
              <w:rPr>
                <w:sz w:val="16"/>
              </w:rPr>
            </w:pPr>
            <w:r>
              <w:rPr>
                <w:sz w:val="16"/>
              </w:rPr>
              <w:t>92%</w:t>
            </w:r>
          </w:p>
          <w:p>
            <w:pPr>
              <w:pStyle w:val="TableParagraph"/>
              <w:spacing w:line="183" w:lineRule="exact" w:before="3"/>
              <w:ind w:left="105"/>
              <w:rPr>
                <w:sz w:val="16"/>
              </w:rPr>
            </w:pPr>
            <w:r>
              <w:rPr>
                <w:sz w:val="16"/>
              </w:rPr>
              <w:t>(FL: 94%, MZL:</w:t>
            </w:r>
          </w:p>
          <w:p>
            <w:pPr>
              <w:pStyle w:val="TableParagraph"/>
              <w:spacing w:line="166" w:lineRule="exact"/>
              <w:ind w:left="105"/>
              <w:rPr>
                <w:sz w:val="16"/>
              </w:rPr>
            </w:pPr>
            <w:r>
              <w:rPr>
                <w:sz w:val="16"/>
              </w:rPr>
              <w:t>85%)</w:t>
            </w:r>
          </w:p>
        </w:tc>
        <w:tc>
          <w:tcPr>
            <w:tcW w:w="1340" w:type="dxa"/>
            <w:tcBorders>
              <w:top w:val="single" w:sz="4" w:space="0" w:color="000000"/>
              <w:left w:val="dashSmallGap" w:sz="4" w:space="0" w:color="000000"/>
              <w:right w:val="single" w:sz="4" w:space="0" w:color="000000"/>
            </w:tcBorders>
            <w:shd w:val="clear" w:color="auto" w:fill="F1F1F1"/>
          </w:tcPr>
          <w:p>
            <w:pPr>
              <w:pStyle w:val="TableParagraph"/>
              <w:spacing w:before="7"/>
              <w:rPr>
                <w:rFonts w:ascii="Microsoft JhengHei UI"/>
                <w:b/>
                <w:sz w:val="10"/>
              </w:rPr>
            </w:pPr>
          </w:p>
          <w:p>
            <w:pPr>
              <w:pStyle w:val="TableParagraph"/>
              <w:spacing w:before="1"/>
              <w:ind w:left="105"/>
              <w:rPr>
                <w:sz w:val="16"/>
              </w:rPr>
            </w:pPr>
            <w:r>
              <w:rPr>
                <w:sz w:val="16"/>
              </w:rPr>
              <w:t>86%</w:t>
            </w:r>
          </w:p>
        </w:tc>
        <w:tc>
          <w:tcPr>
            <w:tcW w:w="1335" w:type="dxa"/>
            <w:tcBorders>
              <w:top w:val="single" w:sz="4" w:space="0" w:color="000000"/>
              <w:left w:val="single" w:sz="4" w:space="0" w:color="000000"/>
              <w:right w:val="single" w:sz="4" w:space="0" w:color="000000"/>
            </w:tcBorders>
            <w:shd w:val="clear" w:color="auto" w:fill="F1F1F1"/>
          </w:tcPr>
          <w:p>
            <w:pPr>
              <w:pStyle w:val="TableParagraph"/>
              <w:spacing w:before="7"/>
              <w:rPr>
                <w:rFonts w:ascii="Microsoft JhengHei UI"/>
                <w:b/>
                <w:sz w:val="10"/>
              </w:rPr>
            </w:pPr>
          </w:p>
          <w:p>
            <w:pPr>
              <w:pStyle w:val="TableParagraph"/>
              <w:spacing w:before="1"/>
              <w:ind w:left="100"/>
              <w:rPr>
                <w:sz w:val="16"/>
              </w:rPr>
            </w:pPr>
            <w:r>
              <w:rPr>
                <w:sz w:val="16"/>
              </w:rPr>
              <w:t>93%</w:t>
            </w:r>
          </w:p>
        </w:tc>
        <w:tc>
          <w:tcPr>
            <w:tcW w:w="1450" w:type="dxa"/>
            <w:tcBorders>
              <w:top w:val="single" w:sz="4" w:space="0" w:color="000000"/>
              <w:left w:val="single" w:sz="4" w:space="0" w:color="000000"/>
              <w:right w:val="dashSmallGap" w:sz="4" w:space="0" w:color="000000"/>
            </w:tcBorders>
            <w:shd w:val="clear" w:color="auto" w:fill="F1F1F1"/>
          </w:tcPr>
          <w:p>
            <w:pPr>
              <w:pStyle w:val="TableParagraph"/>
              <w:spacing w:before="7"/>
              <w:rPr>
                <w:rFonts w:ascii="Microsoft JhengHei UI"/>
                <w:b/>
                <w:sz w:val="10"/>
              </w:rPr>
            </w:pPr>
          </w:p>
          <w:p>
            <w:pPr>
              <w:pStyle w:val="TableParagraph"/>
              <w:spacing w:before="1"/>
              <w:ind w:left="104"/>
              <w:rPr>
                <w:sz w:val="16"/>
              </w:rPr>
            </w:pPr>
            <w:r>
              <w:rPr>
                <w:sz w:val="16"/>
              </w:rPr>
              <w:t>81%</w:t>
            </w:r>
          </w:p>
        </w:tc>
        <w:tc>
          <w:tcPr>
            <w:tcW w:w="1263" w:type="dxa"/>
            <w:tcBorders>
              <w:top w:val="single" w:sz="4" w:space="0" w:color="000000"/>
              <w:left w:val="dashSmallGap" w:sz="4" w:space="0" w:color="000000"/>
            </w:tcBorders>
            <w:shd w:val="clear" w:color="auto" w:fill="F1F1F1"/>
          </w:tcPr>
          <w:p>
            <w:pPr>
              <w:pStyle w:val="TableParagraph"/>
              <w:spacing w:before="7"/>
              <w:rPr>
                <w:rFonts w:ascii="Microsoft JhengHei UI"/>
                <w:b/>
                <w:sz w:val="10"/>
              </w:rPr>
            </w:pPr>
          </w:p>
          <w:p>
            <w:pPr>
              <w:pStyle w:val="TableParagraph"/>
              <w:spacing w:before="1"/>
              <w:ind w:left="100"/>
              <w:rPr>
                <w:sz w:val="16"/>
              </w:rPr>
            </w:pPr>
            <w:r>
              <w:rPr>
                <w:sz w:val="16"/>
              </w:rPr>
              <w:t>71%</w:t>
            </w:r>
          </w:p>
        </w:tc>
      </w:tr>
      <w:tr>
        <w:trPr>
          <w:trHeight w:val="557" w:hRule="atLeast"/>
        </w:trPr>
        <w:tc>
          <w:tcPr>
            <w:tcW w:w="1210" w:type="dxa"/>
            <w:tcBorders>
              <w:right w:val="single" w:sz="4" w:space="0" w:color="000000"/>
            </w:tcBorders>
            <w:shd w:val="clear" w:color="auto" w:fill="F1F1F1"/>
          </w:tcPr>
          <w:p>
            <w:pPr>
              <w:pStyle w:val="TableParagraph"/>
              <w:spacing w:before="154"/>
              <w:ind w:left="110"/>
              <w:rPr>
                <w:sz w:val="16"/>
              </w:rPr>
            </w:pPr>
            <w:r>
              <w:rPr>
                <w:rFonts w:ascii="PMingLiU" w:eastAsia="PMingLiU" w:hint="eastAsia"/>
                <w:sz w:val="16"/>
              </w:rPr>
              <w:t>最佳</w:t>
            </w:r>
            <w:r>
              <w:rPr>
                <w:sz w:val="16"/>
              </w:rPr>
              <w:t>CR</w:t>
            </w:r>
          </w:p>
        </w:tc>
        <w:tc>
          <w:tcPr>
            <w:tcW w:w="1335" w:type="dxa"/>
            <w:tcBorders>
              <w:left w:val="single" w:sz="4" w:space="0" w:color="000000"/>
              <w:right w:val="dashSmallGap" w:sz="4" w:space="0" w:color="000000"/>
            </w:tcBorders>
            <w:shd w:val="clear" w:color="auto" w:fill="F1F1F1"/>
          </w:tcPr>
          <w:p>
            <w:pPr>
              <w:pStyle w:val="TableParagraph"/>
              <w:spacing w:line="180" w:lineRule="exact"/>
              <w:ind w:left="105"/>
              <w:rPr>
                <w:sz w:val="16"/>
              </w:rPr>
            </w:pPr>
            <w:r>
              <w:rPr>
                <w:sz w:val="16"/>
              </w:rPr>
              <w:t>76%</w:t>
            </w:r>
          </w:p>
          <w:p>
            <w:pPr>
              <w:pStyle w:val="TableParagraph"/>
              <w:spacing w:line="183" w:lineRule="exact" w:before="4"/>
              <w:ind w:left="105"/>
              <w:rPr>
                <w:sz w:val="16"/>
              </w:rPr>
            </w:pPr>
            <w:r>
              <w:rPr>
                <w:sz w:val="16"/>
              </w:rPr>
              <w:t>(FL: 80%, MZL:</w:t>
            </w:r>
          </w:p>
          <w:p>
            <w:pPr>
              <w:pStyle w:val="TableParagraph"/>
              <w:spacing w:line="170" w:lineRule="exact"/>
              <w:ind w:left="105"/>
              <w:rPr>
                <w:sz w:val="16"/>
              </w:rPr>
            </w:pPr>
            <w:r>
              <w:rPr>
                <w:sz w:val="16"/>
              </w:rPr>
              <w:t>60%)</w:t>
            </w:r>
          </w:p>
        </w:tc>
        <w:tc>
          <w:tcPr>
            <w:tcW w:w="1340" w:type="dxa"/>
            <w:tcBorders>
              <w:left w:val="dashSmallGap" w:sz="4" w:space="0" w:color="000000"/>
              <w:right w:val="single" w:sz="4" w:space="0" w:color="000000"/>
            </w:tcBorders>
            <w:shd w:val="clear" w:color="auto" w:fill="F1F1F1"/>
          </w:tcPr>
          <w:p>
            <w:pPr>
              <w:pStyle w:val="TableParagraph"/>
              <w:spacing w:before="5"/>
              <w:rPr>
                <w:rFonts w:ascii="Microsoft JhengHei UI"/>
                <w:b/>
                <w:sz w:val="10"/>
              </w:rPr>
            </w:pPr>
          </w:p>
          <w:p>
            <w:pPr>
              <w:pStyle w:val="TableParagraph"/>
              <w:spacing w:before="1"/>
              <w:ind w:left="105"/>
              <w:rPr>
                <w:sz w:val="16"/>
              </w:rPr>
            </w:pPr>
            <w:r>
              <w:rPr>
                <w:sz w:val="16"/>
              </w:rPr>
              <w:t>66%</w:t>
            </w:r>
          </w:p>
        </w:tc>
        <w:tc>
          <w:tcPr>
            <w:tcW w:w="1335" w:type="dxa"/>
            <w:tcBorders>
              <w:left w:val="single" w:sz="4" w:space="0" w:color="000000"/>
              <w:right w:val="single" w:sz="4" w:space="0" w:color="000000"/>
            </w:tcBorders>
            <w:shd w:val="clear" w:color="auto" w:fill="F1F1F1"/>
          </w:tcPr>
          <w:p>
            <w:pPr>
              <w:pStyle w:val="TableParagraph"/>
              <w:spacing w:before="5"/>
              <w:rPr>
                <w:rFonts w:ascii="Microsoft JhengHei UI"/>
                <w:b/>
                <w:sz w:val="10"/>
              </w:rPr>
            </w:pPr>
          </w:p>
          <w:p>
            <w:pPr>
              <w:pStyle w:val="TableParagraph"/>
              <w:spacing w:before="1"/>
              <w:ind w:left="100"/>
              <w:rPr>
                <w:sz w:val="16"/>
              </w:rPr>
            </w:pPr>
            <w:r>
              <w:rPr>
                <w:sz w:val="16"/>
              </w:rPr>
              <w:t>67%</w:t>
            </w:r>
          </w:p>
        </w:tc>
        <w:tc>
          <w:tcPr>
            <w:tcW w:w="1450" w:type="dxa"/>
            <w:tcBorders>
              <w:left w:val="single" w:sz="4" w:space="0" w:color="000000"/>
              <w:right w:val="dashSmallGap" w:sz="4" w:space="0" w:color="000000"/>
            </w:tcBorders>
            <w:shd w:val="clear" w:color="auto" w:fill="F1F1F1"/>
          </w:tcPr>
          <w:p>
            <w:pPr>
              <w:pStyle w:val="TableParagraph"/>
              <w:spacing w:before="5"/>
              <w:rPr>
                <w:rFonts w:ascii="Microsoft JhengHei UI"/>
                <w:b/>
                <w:sz w:val="10"/>
              </w:rPr>
            </w:pPr>
          </w:p>
          <w:p>
            <w:pPr>
              <w:pStyle w:val="TableParagraph"/>
              <w:spacing w:before="1"/>
              <w:ind w:left="104"/>
              <w:rPr>
                <w:sz w:val="16"/>
              </w:rPr>
            </w:pPr>
            <w:r>
              <w:rPr>
                <w:sz w:val="16"/>
              </w:rPr>
              <w:t>61%</w:t>
            </w:r>
          </w:p>
        </w:tc>
        <w:tc>
          <w:tcPr>
            <w:tcW w:w="1263" w:type="dxa"/>
            <w:tcBorders>
              <w:left w:val="dashSmallGap" w:sz="4" w:space="0" w:color="000000"/>
            </w:tcBorders>
            <w:shd w:val="clear" w:color="auto" w:fill="F1F1F1"/>
          </w:tcPr>
          <w:p>
            <w:pPr>
              <w:pStyle w:val="TableParagraph"/>
              <w:spacing w:before="5"/>
              <w:rPr>
                <w:rFonts w:ascii="Microsoft JhengHei UI"/>
                <w:b/>
                <w:sz w:val="10"/>
              </w:rPr>
            </w:pPr>
          </w:p>
          <w:p>
            <w:pPr>
              <w:pStyle w:val="TableParagraph"/>
              <w:spacing w:before="1"/>
              <w:ind w:left="100"/>
              <w:rPr>
                <w:sz w:val="16"/>
              </w:rPr>
            </w:pPr>
            <w:r>
              <w:rPr>
                <w:sz w:val="16"/>
              </w:rPr>
              <w:t>56%</w:t>
            </w:r>
          </w:p>
        </w:tc>
      </w:tr>
      <w:tr>
        <w:trPr>
          <w:trHeight w:val="199" w:hRule="atLeast"/>
        </w:trPr>
        <w:tc>
          <w:tcPr>
            <w:tcW w:w="1210" w:type="dxa"/>
            <w:tcBorders>
              <w:right w:val="single" w:sz="4" w:space="0" w:color="000000"/>
            </w:tcBorders>
            <w:shd w:val="clear" w:color="auto" w:fill="F1F1F1"/>
          </w:tcPr>
          <w:p>
            <w:pPr>
              <w:pStyle w:val="TableParagraph"/>
              <w:spacing w:line="178" w:lineRule="exact" w:before="1"/>
              <w:ind w:left="110"/>
              <w:rPr>
                <w:sz w:val="16"/>
              </w:rPr>
            </w:pPr>
            <w:r>
              <w:rPr>
                <w:sz w:val="16"/>
              </w:rPr>
              <w:t>mDOR</w:t>
            </w:r>
          </w:p>
        </w:tc>
        <w:tc>
          <w:tcPr>
            <w:tcW w:w="1335" w:type="dxa"/>
            <w:tcBorders>
              <w:left w:val="single" w:sz="4" w:space="0" w:color="000000"/>
              <w:right w:val="dashSmallGap" w:sz="4" w:space="0" w:color="000000"/>
            </w:tcBorders>
            <w:shd w:val="clear" w:color="auto" w:fill="F1F1F1"/>
          </w:tcPr>
          <w:p>
            <w:pPr>
              <w:pStyle w:val="TableParagraph"/>
              <w:spacing w:line="178" w:lineRule="exact" w:before="1"/>
              <w:ind w:left="105"/>
              <w:rPr>
                <w:sz w:val="16"/>
              </w:rPr>
            </w:pPr>
            <w:r>
              <w:rPr>
                <w:sz w:val="16"/>
              </w:rPr>
              <w:t>NR</w:t>
            </w:r>
          </w:p>
        </w:tc>
        <w:tc>
          <w:tcPr>
            <w:tcW w:w="1340" w:type="dxa"/>
            <w:tcBorders>
              <w:left w:val="dashSmallGap" w:sz="4" w:space="0" w:color="000000"/>
              <w:right w:val="single" w:sz="4" w:space="0" w:color="000000"/>
            </w:tcBorders>
            <w:shd w:val="clear" w:color="auto" w:fill="F1F1F1"/>
          </w:tcPr>
          <w:p>
            <w:pPr>
              <w:pStyle w:val="TableParagraph"/>
              <w:spacing w:line="178" w:lineRule="exact" w:before="1"/>
              <w:ind w:left="105"/>
              <w:rPr>
                <w:sz w:val="16"/>
              </w:rPr>
            </w:pPr>
            <w:r>
              <w:rPr>
                <w:sz w:val="16"/>
              </w:rPr>
              <w:t>NR</w:t>
            </w:r>
          </w:p>
        </w:tc>
        <w:tc>
          <w:tcPr>
            <w:tcW w:w="1335" w:type="dxa"/>
            <w:tcBorders>
              <w:left w:val="single" w:sz="4" w:space="0" w:color="000000"/>
              <w:right w:val="single" w:sz="4" w:space="0" w:color="000000"/>
            </w:tcBorders>
            <w:shd w:val="clear" w:color="auto" w:fill="F1F1F1"/>
          </w:tcPr>
          <w:p>
            <w:pPr>
              <w:pStyle w:val="TableParagraph"/>
              <w:spacing w:line="178" w:lineRule="exact" w:before="1"/>
              <w:ind w:left="100"/>
              <w:rPr>
                <w:sz w:val="16"/>
              </w:rPr>
            </w:pPr>
            <w:r>
              <w:rPr>
                <w:sz w:val="16"/>
              </w:rPr>
              <w:t>NR</w:t>
            </w:r>
          </w:p>
        </w:tc>
        <w:tc>
          <w:tcPr>
            <w:tcW w:w="1450" w:type="dxa"/>
            <w:tcBorders>
              <w:left w:val="single" w:sz="4" w:space="0" w:color="000000"/>
              <w:right w:val="dashSmallGap" w:sz="4" w:space="0" w:color="000000"/>
            </w:tcBorders>
            <w:shd w:val="clear" w:color="auto" w:fill="F1F1F1"/>
          </w:tcPr>
          <w:p>
            <w:pPr>
              <w:pStyle w:val="TableParagraph"/>
              <w:spacing w:line="178" w:lineRule="exact" w:before="1"/>
              <w:ind w:left="104"/>
              <w:rPr>
                <w:sz w:val="16"/>
              </w:rPr>
            </w:pPr>
            <w:r>
              <w:rPr>
                <w:sz w:val="16"/>
              </w:rPr>
              <w:t>NR</w:t>
            </w:r>
          </w:p>
        </w:tc>
        <w:tc>
          <w:tcPr>
            <w:tcW w:w="1263" w:type="dxa"/>
            <w:tcBorders>
              <w:left w:val="dashSmallGap" w:sz="4" w:space="0" w:color="000000"/>
            </w:tcBorders>
            <w:shd w:val="clear" w:color="auto" w:fill="F1F1F1"/>
          </w:tcPr>
          <w:p>
            <w:pPr>
              <w:pStyle w:val="TableParagraph"/>
              <w:spacing w:line="178" w:lineRule="exact" w:before="1"/>
              <w:ind w:left="100"/>
              <w:rPr>
                <w:sz w:val="16"/>
              </w:rPr>
            </w:pPr>
            <w:r>
              <w:rPr>
                <w:sz w:val="16"/>
              </w:rPr>
              <w:t>12.8m</w:t>
            </w:r>
          </w:p>
        </w:tc>
      </w:tr>
      <w:tr>
        <w:trPr>
          <w:trHeight w:val="197" w:hRule="atLeast"/>
        </w:trPr>
        <w:tc>
          <w:tcPr>
            <w:tcW w:w="1210" w:type="dxa"/>
            <w:tcBorders>
              <w:right w:val="single" w:sz="4" w:space="0" w:color="000000"/>
            </w:tcBorders>
            <w:shd w:val="clear" w:color="auto" w:fill="F1F1F1"/>
          </w:tcPr>
          <w:p>
            <w:pPr>
              <w:pStyle w:val="TableParagraph"/>
              <w:spacing w:line="170" w:lineRule="exact" w:before="8"/>
              <w:ind w:left="110"/>
              <w:rPr>
                <w:sz w:val="16"/>
              </w:rPr>
            </w:pPr>
            <w:r>
              <w:rPr>
                <w:sz w:val="16"/>
              </w:rPr>
              <w:t>DOR</w:t>
            </w:r>
          </w:p>
        </w:tc>
        <w:tc>
          <w:tcPr>
            <w:tcW w:w="1335" w:type="dxa"/>
            <w:tcBorders>
              <w:left w:val="single" w:sz="4" w:space="0" w:color="000000"/>
              <w:right w:val="dashSmallGap" w:sz="4" w:space="0" w:color="000000"/>
            </w:tcBorders>
            <w:shd w:val="clear" w:color="auto" w:fill="F1F1F1"/>
          </w:tcPr>
          <w:p>
            <w:pPr>
              <w:pStyle w:val="TableParagraph"/>
              <w:spacing w:line="170" w:lineRule="exact" w:before="8"/>
              <w:ind w:left="105"/>
              <w:rPr>
                <w:sz w:val="16"/>
              </w:rPr>
            </w:pPr>
            <w:r>
              <w:rPr>
                <w:sz w:val="16"/>
              </w:rPr>
              <w:t>71.7% at 12m</w:t>
            </w:r>
          </w:p>
        </w:tc>
        <w:tc>
          <w:tcPr>
            <w:tcW w:w="1340" w:type="dxa"/>
            <w:tcBorders>
              <w:left w:val="dashSmallGap" w:sz="4" w:space="0" w:color="000000"/>
              <w:right w:val="single" w:sz="4" w:space="0" w:color="000000"/>
            </w:tcBorders>
            <w:shd w:val="clear" w:color="auto" w:fill="F1F1F1"/>
          </w:tcPr>
          <w:p>
            <w:pPr>
              <w:pStyle w:val="TableParagraph"/>
              <w:spacing w:line="170" w:lineRule="exact" w:before="8"/>
              <w:ind w:left="105"/>
              <w:rPr>
                <w:sz w:val="16"/>
              </w:rPr>
            </w:pPr>
            <w:r>
              <w:rPr>
                <w:sz w:val="16"/>
              </w:rPr>
              <w:t>94% at 6m</w:t>
            </w:r>
          </w:p>
        </w:tc>
        <w:tc>
          <w:tcPr>
            <w:tcW w:w="1335" w:type="dxa"/>
            <w:tcBorders>
              <w:left w:val="single" w:sz="4" w:space="0" w:color="000000"/>
              <w:right w:val="single" w:sz="4" w:space="0" w:color="000000"/>
            </w:tcBorders>
            <w:shd w:val="clear" w:color="auto" w:fill="F1F1F1"/>
          </w:tcPr>
          <w:p>
            <w:pPr>
              <w:pStyle w:val="TableParagraph"/>
              <w:spacing w:line="170" w:lineRule="exact" w:before="8"/>
              <w:ind w:left="100"/>
              <w:rPr>
                <w:sz w:val="16"/>
              </w:rPr>
            </w:pPr>
            <w:r>
              <w:rPr>
                <w:sz w:val="16"/>
              </w:rPr>
              <w:t>57% at 12m</w:t>
            </w:r>
          </w:p>
        </w:tc>
        <w:tc>
          <w:tcPr>
            <w:tcW w:w="1450" w:type="dxa"/>
            <w:tcBorders>
              <w:left w:val="single" w:sz="4" w:space="0" w:color="000000"/>
              <w:right w:val="dashSmallGap" w:sz="4" w:space="0" w:color="000000"/>
            </w:tcBorders>
            <w:shd w:val="clear" w:color="auto" w:fill="F1F1F1"/>
          </w:tcPr>
          <w:p>
            <w:pPr>
              <w:pStyle w:val="TableParagraph"/>
              <w:spacing w:line="170" w:lineRule="exact" w:before="8"/>
              <w:ind w:left="104"/>
              <w:rPr>
                <w:sz w:val="16"/>
              </w:rPr>
            </w:pPr>
            <w:r>
              <w:rPr>
                <w:sz w:val="16"/>
              </w:rPr>
              <w:t>59% at 12m</w:t>
            </w:r>
          </w:p>
        </w:tc>
        <w:tc>
          <w:tcPr>
            <w:tcW w:w="1263" w:type="dxa"/>
            <w:tcBorders>
              <w:left w:val="dashSmallGap" w:sz="4" w:space="0" w:color="000000"/>
            </w:tcBorders>
            <w:shd w:val="clear" w:color="auto" w:fill="F1F1F1"/>
          </w:tcPr>
          <w:p>
            <w:pPr>
              <w:pStyle w:val="TableParagraph"/>
              <w:spacing w:line="170" w:lineRule="exact" w:before="8"/>
              <w:ind w:left="100"/>
              <w:rPr>
                <w:sz w:val="16"/>
              </w:rPr>
            </w:pPr>
            <w:r>
              <w:rPr>
                <w:sz w:val="16"/>
              </w:rPr>
              <w:t>75% at 6m</w:t>
            </w:r>
          </w:p>
        </w:tc>
      </w:tr>
      <w:tr>
        <w:trPr>
          <w:trHeight w:val="232" w:hRule="atLeast"/>
        </w:trPr>
        <w:tc>
          <w:tcPr>
            <w:tcW w:w="1210" w:type="dxa"/>
            <w:tcBorders>
              <w:right w:val="single" w:sz="4" w:space="0" w:color="000000"/>
            </w:tcBorders>
            <w:shd w:val="clear" w:color="auto" w:fill="F1F1F1"/>
          </w:tcPr>
          <w:p>
            <w:pPr>
              <w:pStyle w:val="TableParagraph"/>
              <w:spacing w:before="26"/>
              <w:ind w:left="110"/>
              <w:rPr>
                <w:sz w:val="16"/>
              </w:rPr>
            </w:pPr>
            <w:r>
              <w:rPr>
                <w:sz w:val="16"/>
              </w:rPr>
              <w:t>mPFS</w:t>
            </w:r>
          </w:p>
        </w:tc>
        <w:tc>
          <w:tcPr>
            <w:tcW w:w="1335" w:type="dxa"/>
            <w:tcBorders>
              <w:left w:val="single" w:sz="4" w:space="0" w:color="000000"/>
              <w:right w:val="dashSmallGap" w:sz="4" w:space="0" w:color="000000"/>
            </w:tcBorders>
            <w:shd w:val="clear" w:color="auto" w:fill="F1F1F1"/>
          </w:tcPr>
          <w:p>
            <w:pPr>
              <w:pStyle w:val="TableParagraph"/>
              <w:spacing w:line="211" w:lineRule="exact" w:before="2"/>
              <w:ind w:left="105"/>
              <w:rPr>
                <w:rFonts w:ascii="PMingLiU" w:eastAsia="PMingLiU" w:hint="eastAsia"/>
                <w:sz w:val="16"/>
              </w:rPr>
            </w:pPr>
            <w:r>
              <w:rPr>
                <w:rFonts w:ascii="PMingLiU" w:eastAsia="PMingLiU" w:hint="eastAsia"/>
                <w:sz w:val="16"/>
              </w:rPr>
              <w:t>未达到</w:t>
            </w:r>
          </w:p>
        </w:tc>
        <w:tc>
          <w:tcPr>
            <w:tcW w:w="1340" w:type="dxa"/>
            <w:tcBorders>
              <w:left w:val="dashSmallGap" w:sz="4" w:space="0" w:color="000000"/>
              <w:right w:val="single" w:sz="4" w:space="0" w:color="000000"/>
            </w:tcBorders>
            <w:shd w:val="clear" w:color="auto" w:fill="F1F1F1"/>
          </w:tcPr>
          <w:p>
            <w:pPr>
              <w:pStyle w:val="TableParagraph"/>
              <w:spacing w:before="26"/>
              <w:ind w:left="105"/>
              <w:rPr>
                <w:sz w:val="16"/>
              </w:rPr>
            </w:pPr>
            <w:r>
              <w:rPr>
                <w:sz w:val="16"/>
              </w:rPr>
              <w:t>NR</w:t>
            </w:r>
          </w:p>
        </w:tc>
        <w:tc>
          <w:tcPr>
            <w:tcW w:w="1335" w:type="dxa"/>
            <w:tcBorders>
              <w:left w:val="single" w:sz="4" w:space="0" w:color="000000"/>
              <w:right w:val="single" w:sz="4" w:space="0" w:color="000000"/>
            </w:tcBorders>
            <w:shd w:val="clear" w:color="auto" w:fill="F1F1F1"/>
          </w:tcPr>
          <w:p>
            <w:pPr>
              <w:pStyle w:val="TableParagraph"/>
              <w:spacing w:before="26"/>
              <w:ind w:left="100"/>
              <w:rPr>
                <w:sz w:val="16"/>
              </w:rPr>
            </w:pPr>
            <w:r>
              <w:rPr>
                <w:sz w:val="16"/>
              </w:rPr>
              <w:t>NR</w:t>
            </w:r>
          </w:p>
        </w:tc>
        <w:tc>
          <w:tcPr>
            <w:tcW w:w="1450" w:type="dxa"/>
            <w:tcBorders>
              <w:left w:val="single" w:sz="4" w:space="0" w:color="000000"/>
              <w:right w:val="dashSmallGap" w:sz="4" w:space="0" w:color="000000"/>
            </w:tcBorders>
            <w:shd w:val="clear" w:color="auto" w:fill="F1F1F1"/>
          </w:tcPr>
          <w:p>
            <w:pPr>
              <w:pStyle w:val="TableParagraph"/>
              <w:spacing w:before="26"/>
              <w:ind w:left="104"/>
              <w:rPr>
                <w:sz w:val="16"/>
              </w:rPr>
            </w:pPr>
            <w:r>
              <w:rPr>
                <w:sz w:val="16"/>
              </w:rPr>
              <w:t>12m</w:t>
            </w:r>
          </w:p>
        </w:tc>
        <w:tc>
          <w:tcPr>
            <w:tcW w:w="1263" w:type="dxa"/>
            <w:tcBorders>
              <w:left w:val="dashSmallGap" w:sz="4" w:space="0" w:color="000000"/>
            </w:tcBorders>
            <w:shd w:val="clear" w:color="auto" w:fill="F1F1F1"/>
          </w:tcPr>
          <w:p>
            <w:pPr>
              <w:pStyle w:val="TableParagraph"/>
              <w:spacing w:before="26"/>
              <w:ind w:left="100"/>
              <w:rPr>
                <w:sz w:val="16"/>
              </w:rPr>
            </w:pPr>
            <w:r>
              <w:rPr>
                <w:sz w:val="16"/>
              </w:rPr>
              <w:t>11.6m</w:t>
            </w:r>
          </w:p>
        </w:tc>
      </w:tr>
      <w:tr>
        <w:trPr>
          <w:trHeight w:val="203" w:hRule="atLeast"/>
        </w:trPr>
        <w:tc>
          <w:tcPr>
            <w:tcW w:w="1210" w:type="dxa"/>
            <w:tcBorders>
              <w:right w:val="single" w:sz="4" w:space="0" w:color="000000"/>
            </w:tcBorders>
            <w:shd w:val="clear" w:color="auto" w:fill="F1F1F1"/>
          </w:tcPr>
          <w:p>
            <w:pPr>
              <w:pStyle w:val="TableParagraph"/>
              <w:spacing w:line="170" w:lineRule="exact" w:before="14"/>
              <w:ind w:left="110"/>
              <w:rPr>
                <w:sz w:val="16"/>
              </w:rPr>
            </w:pPr>
            <w:r>
              <w:rPr>
                <w:sz w:val="16"/>
              </w:rPr>
              <w:t>PFS</w:t>
            </w:r>
          </w:p>
        </w:tc>
        <w:tc>
          <w:tcPr>
            <w:tcW w:w="1335" w:type="dxa"/>
            <w:tcBorders>
              <w:left w:val="single" w:sz="4" w:space="0" w:color="000000"/>
              <w:right w:val="dashSmallGap" w:sz="4" w:space="0" w:color="000000"/>
            </w:tcBorders>
            <w:shd w:val="clear" w:color="auto" w:fill="F1F1F1"/>
          </w:tcPr>
          <w:p>
            <w:pPr>
              <w:pStyle w:val="TableParagraph"/>
              <w:spacing w:line="170" w:lineRule="exact" w:before="14"/>
              <w:ind w:left="105"/>
              <w:rPr>
                <w:sz w:val="16"/>
              </w:rPr>
            </w:pPr>
            <w:r>
              <w:rPr>
                <w:sz w:val="16"/>
              </w:rPr>
              <w:t>73.7% at 12m</w:t>
            </w:r>
          </w:p>
        </w:tc>
        <w:tc>
          <w:tcPr>
            <w:tcW w:w="1340" w:type="dxa"/>
            <w:tcBorders>
              <w:left w:val="dashSmallGap" w:sz="4" w:space="0" w:color="000000"/>
              <w:right w:val="single" w:sz="4" w:space="0" w:color="000000"/>
            </w:tcBorders>
            <w:shd w:val="clear" w:color="auto" w:fill="F1F1F1"/>
          </w:tcPr>
          <w:p>
            <w:pPr>
              <w:pStyle w:val="TableParagraph"/>
              <w:spacing w:line="170" w:lineRule="exact" w:before="14"/>
              <w:ind w:left="105"/>
              <w:rPr>
                <w:sz w:val="16"/>
              </w:rPr>
            </w:pPr>
            <w:r>
              <w:rPr>
                <w:sz w:val="16"/>
              </w:rPr>
              <w:t>76% at 6m</w:t>
            </w:r>
          </w:p>
        </w:tc>
        <w:tc>
          <w:tcPr>
            <w:tcW w:w="1335" w:type="dxa"/>
            <w:tcBorders>
              <w:left w:val="single" w:sz="4" w:space="0" w:color="000000"/>
              <w:right w:val="single" w:sz="4" w:space="0" w:color="000000"/>
            </w:tcBorders>
            <w:shd w:val="clear" w:color="auto" w:fill="F1F1F1"/>
          </w:tcPr>
          <w:p>
            <w:pPr>
              <w:pStyle w:val="TableParagraph"/>
              <w:spacing w:line="170" w:lineRule="exact" w:before="14"/>
              <w:ind w:left="100"/>
              <w:rPr>
                <w:sz w:val="16"/>
              </w:rPr>
            </w:pPr>
            <w:r>
              <w:rPr>
                <w:sz w:val="16"/>
              </w:rPr>
              <w:t>61% at 12m</w:t>
            </w:r>
          </w:p>
        </w:tc>
        <w:tc>
          <w:tcPr>
            <w:tcW w:w="1450" w:type="dxa"/>
            <w:tcBorders>
              <w:left w:val="single" w:sz="4" w:space="0" w:color="000000"/>
              <w:right w:val="dashSmallGap" w:sz="4" w:space="0" w:color="000000"/>
            </w:tcBorders>
            <w:shd w:val="clear" w:color="auto" w:fill="F1F1F1"/>
          </w:tcPr>
          <w:p>
            <w:pPr>
              <w:pStyle w:val="TableParagraph"/>
              <w:spacing w:line="170" w:lineRule="exact" w:before="14"/>
              <w:ind w:left="104"/>
              <w:rPr>
                <w:sz w:val="16"/>
              </w:rPr>
            </w:pPr>
            <w:r>
              <w:rPr>
                <w:sz w:val="16"/>
              </w:rPr>
              <w:t>50% at 12m</w:t>
            </w:r>
          </w:p>
        </w:tc>
        <w:tc>
          <w:tcPr>
            <w:tcW w:w="1263" w:type="dxa"/>
            <w:tcBorders>
              <w:left w:val="dashSmallGap" w:sz="4" w:space="0" w:color="000000"/>
            </w:tcBorders>
            <w:shd w:val="clear" w:color="auto" w:fill="F1F1F1"/>
          </w:tcPr>
          <w:p>
            <w:pPr>
              <w:pStyle w:val="TableParagraph"/>
              <w:spacing w:line="170" w:lineRule="exact" w:before="14"/>
              <w:ind w:left="100"/>
              <w:rPr>
                <w:sz w:val="16"/>
              </w:rPr>
            </w:pPr>
            <w:r>
              <w:rPr>
                <w:sz w:val="16"/>
              </w:rPr>
              <w:t>58% at 6m</w:t>
            </w:r>
          </w:p>
        </w:tc>
      </w:tr>
      <w:tr>
        <w:trPr>
          <w:trHeight w:val="232" w:hRule="atLeast"/>
        </w:trPr>
        <w:tc>
          <w:tcPr>
            <w:tcW w:w="1210" w:type="dxa"/>
            <w:tcBorders>
              <w:right w:val="single" w:sz="4" w:space="0" w:color="000000"/>
            </w:tcBorders>
            <w:shd w:val="clear" w:color="auto" w:fill="F1F1F1"/>
          </w:tcPr>
          <w:p>
            <w:pPr>
              <w:pStyle w:val="TableParagraph"/>
              <w:spacing w:before="26"/>
              <w:ind w:left="110"/>
              <w:rPr>
                <w:sz w:val="16"/>
              </w:rPr>
            </w:pPr>
            <w:r>
              <w:rPr>
                <w:sz w:val="16"/>
              </w:rPr>
              <w:t>mOS</w:t>
            </w:r>
          </w:p>
        </w:tc>
        <w:tc>
          <w:tcPr>
            <w:tcW w:w="1335" w:type="dxa"/>
            <w:tcBorders>
              <w:left w:val="single" w:sz="4" w:space="0" w:color="000000"/>
              <w:right w:val="dashSmallGap" w:sz="4" w:space="0" w:color="000000"/>
            </w:tcBorders>
            <w:shd w:val="clear" w:color="auto" w:fill="F1F1F1"/>
          </w:tcPr>
          <w:p>
            <w:pPr>
              <w:pStyle w:val="TableParagraph"/>
              <w:spacing w:line="211" w:lineRule="exact" w:before="2"/>
              <w:ind w:left="105"/>
              <w:rPr>
                <w:rFonts w:ascii="PMingLiU" w:eastAsia="PMingLiU" w:hint="eastAsia"/>
                <w:sz w:val="16"/>
              </w:rPr>
            </w:pPr>
            <w:r>
              <w:rPr>
                <w:rFonts w:ascii="PMingLiU" w:eastAsia="PMingLiU" w:hint="eastAsia"/>
                <w:sz w:val="16"/>
              </w:rPr>
              <w:t>未达到</w:t>
            </w:r>
          </w:p>
        </w:tc>
        <w:tc>
          <w:tcPr>
            <w:tcW w:w="1340" w:type="dxa"/>
            <w:tcBorders>
              <w:left w:val="dashSmallGap" w:sz="4" w:space="0" w:color="000000"/>
              <w:right w:val="single" w:sz="4" w:space="0" w:color="000000"/>
            </w:tcBorders>
            <w:shd w:val="clear" w:color="auto" w:fill="F1F1F1"/>
          </w:tcPr>
          <w:p>
            <w:pPr>
              <w:pStyle w:val="TableParagraph"/>
              <w:spacing w:before="26"/>
              <w:ind w:left="105"/>
              <w:rPr>
                <w:sz w:val="16"/>
              </w:rPr>
            </w:pPr>
            <w:r>
              <w:rPr>
                <w:sz w:val="16"/>
              </w:rPr>
              <w:t>NR</w:t>
            </w:r>
          </w:p>
        </w:tc>
        <w:tc>
          <w:tcPr>
            <w:tcW w:w="1335" w:type="dxa"/>
            <w:tcBorders>
              <w:left w:val="single" w:sz="4" w:space="0" w:color="000000"/>
              <w:right w:val="single" w:sz="4" w:space="0" w:color="000000"/>
            </w:tcBorders>
            <w:shd w:val="clear" w:color="auto" w:fill="F1F1F1"/>
          </w:tcPr>
          <w:p>
            <w:pPr>
              <w:pStyle w:val="TableParagraph"/>
              <w:spacing w:before="26"/>
              <w:ind w:left="100"/>
              <w:rPr>
                <w:sz w:val="16"/>
              </w:rPr>
            </w:pPr>
            <w:r>
              <w:rPr>
                <w:sz w:val="16"/>
              </w:rPr>
              <w:t>NR</w:t>
            </w:r>
          </w:p>
        </w:tc>
        <w:tc>
          <w:tcPr>
            <w:tcW w:w="1450" w:type="dxa"/>
            <w:tcBorders>
              <w:left w:val="single" w:sz="4" w:space="0" w:color="000000"/>
              <w:right w:val="dashSmallGap" w:sz="4" w:space="0" w:color="000000"/>
            </w:tcBorders>
            <w:shd w:val="clear" w:color="auto" w:fill="F1F1F1"/>
          </w:tcPr>
          <w:p>
            <w:pPr>
              <w:pStyle w:val="TableParagraph"/>
              <w:spacing w:before="26"/>
              <w:ind w:left="104"/>
              <w:rPr>
                <w:sz w:val="16"/>
              </w:rPr>
            </w:pPr>
            <w:r>
              <w:rPr>
                <w:sz w:val="16"/>
              </w:rPr>
              <w:t>19.1m</w:t>
            </w:r>
          </w:p>
        </w:tc>
        <w:tc>
          <w:tcPr>
            <w:tcW w:w="1263" w:type="dxa"/>
            <w:tcBorders>
              <w:left w:val="dashSmallGap" w:sz="4" w:space="0" w:color="000000"/>
            </w:tcBorders>
            <w:shd w:val="clear" w:color="auto" w:fill="F1F1F1"/>
          </w:tcPr>
          <w:p>
            <w:pPr>
              <w:pStyle w:val="TableParagraph"/>
              <w:spacing w:before="26"/>
              <w:ind w:left="100"/>
              <w:rPr>
                <w:sz w:val="16"/>
              </w:rPr>
            </w:pPr>
            <w:r>
              <w:rPr>
                <w:sz w:val="16"/>
              </w:rPr>
              <w:t>18.2m</w:t>
            </w:r>
          </w:p>
        </w:tc>
      </w:tr>
      <w:tr>
        <w:trPr>
          <w:trHeight w:val="207" w:hRule="atLeast"/>
        </w:trPr>
        <w:tc>
          <w:tcPr>
            <w:tcW w:w="1210" w:type="dxa"/>
            <w:tcBorders>
              <w:bottom w:val="single" w:sz="4" w:space="0" w:color="000000"/>
              <w:right w:val="single" w:sz="4" w:space="0" w:color="000000"/>
            </w:tcBorders>
            <w:shd w:val="clear" w:color="auto" w:fill="F1F1F1"/>
          </w:tcPr>
          <w:p>
            <w:pPr>
              <w:pStyle w:val="TableParagraph"/>
              <w:spacing w:line="173" w:lineRule="exact" w:before="14"/>
              <w:ind w:left="110"/>
              <w:rPr>
                <w:sz w:val="16"/>
              </w:rPr>
            </w:pPr>
            <w:r>
              <w:rPr>
                <w:sz w:val="16"/>
              </w:rPr>
              <w:t>OS</w:t>
            </w:r>
          </w:p>
        </w:tc>
        <w:tc>
          <w:tcPr>
            <w:tcW w:w="1335" w:type="dxa"/>
            <w:tcBorders>
              <w:left w:val="single" w:sz="4" w:space="0" w:color="000000"/>
              <w:bottom w:val="single" w:sz="4" w:space="0" w:color="000000"/>
              <w:right w:val="dashSmallGap" w:sz="4" w:space="0" w:color="000000"/>
            </w:tcBorders>
            <w:shd w:val="clear" w:color="auto" w:fill="F1F1F1"/>
          </w:tcPr>
          <w:p>
            <w:pPr>
              <w:pStyle w:val="TableParagraph"/>
              <w:spacing w:line="173" w:lineRule="exact" w:before="14"/>
              <w:ind w:left="105"/>
              <w:rPr>
                <w:sz w:val="16"/>
              </w:rPr>
            </w:pPr>
            <w:r>
              <w:rPr>
                <w:sz w:val="16"/>
              </w:rPr>
              <w:t>92.9% at 12m</w:t>
            </w:r>
          </w:p>
        </w:tc>
        <w:tc>
          <w:tcPr>
            <w:tcW w:w="1340" w:type="dxa"/>
            <w:tcBorders>
              <w:left w:val="dashSmallGap" w:sz="4" w:space="0" w:color="000000"/>
              <w:bottom w:val="single" w:sz="4" w:space="0" w:color="000000"/>
              <w:right w:val="single" w:sz="4" w:space="0" w:color="000000"/>
            </w:tcBorders>
            <w:shd w:val="clear" w:color="auto" w:fill="F1F1F1"/>
          </w:tcPr>
          <w:p>
            <w:pPr>
              <w:pStyle w:val="TableParagraph"/>
              <w:spacing w:line="173" w:lineRule="exact" w:before="14"/>
              <w:ind w:left="105"/>
              <w:rPr>
                <w:sz w:val="16"/>
              </w:rPr>
            </w:pPr>
            <w:r>
              <w:rPr>
                <w:sz w:val="16"/>
              </w:rPr>
              <w:t>N/A</w:t>
            </w:r>
          </w:p>
        </w:tc>
        <w:tc>
          <w:tcPr>
            <w:tcW w:w="1335" w:type="dxa"/>
            <w:tcBorders>
              <w:left w:val="single" w:sz="4" w:space="0" w:color="000000"/>
              <w:bottom w:val="single" w:sz="4" w:space="0" w:color="000000"/>
              <w:right w:val="single" w:sz="4" w:space="0" w:color="000000"/>
            </w:tcBorders>
            <w:shd w:val="clear" w:color="auto" w:fill="F1F1F1"/>
          </w:tcPr>
          <w:p>
            <w:pPr>
              <w:pStyle w:val="TableParagraph"/>
              <w:spacing w:line="173" w:lineRule="exact" w:before="14"/>
              <w:ind w:left="100"/>
              <w:rPr>
                <w:sz w:val="16"/>
              </w:rPr>
            </w:pPr>
            <w:r>
              <w:rPr>
                <w:sz w:val="16"/>
              </w:rPr>
              <w:t>83% at 12m</w:t>
            </w:r>
          </w:p>
        </w:tc>
        <w:tc>
          <w:tcPr>
            <w:tcW w:w="1450" w:type="dxa"/>
            <w:tcBorders>
              <w:left w:val="single" w:sz="4" w:space="0" w:color="000000"/>
              <w:bottom w:val="single" w:sz="4" w:space="0" w:color="000000"/>
              <w:right w:val="dashSmallGap" w:sz="4" w:space="0" w:color="000000"/>
            </w:tcBorders>
            <w:shd w:val="clear" w:color="auto" w:fill="F1F1F1"/>
          </w:tcPr>
          <w:p>
            <w:pPr>
              <w:pStyle w:val="TableParagraph"/>
              <w:spacing w:line="173" w:lineRule="exact" w:before="14"/>
              <w:ind w:left="104"/>
              <w:rPr>
                <w:sz w:val="16"/>
              </w:rPr>
            </w:pPr>
            <w:r>
              <w:rPr>
                <w:sz w:val="16"/>
              </w:rPr>
              <w:t>76% at 12m</w:t>
            </w:r>
          </w:p>
        </w:tc>
        <w:tc>
          <w:tcPr>
            <w:tcW w:w="1263" w:type="dxa"/>
            <w:tcBorders>
              <w:left w:val="dashSmallGap" w:sz="4" w:space="0" w:color="000000"/>
              <w:bottom w:val="single" w:sz="4" w:space="0" w:color="000000"/>
            </w:tcBorders>
            <w:shd w:val="clear" w:color="auto" w:fill="F1F1F1"/>
          </w:tcPr>
          <w:p>
            <w:pPr>
              <w:pStyle w:val="TableParagraph"/>
              <w:spacing w:line="173" w:lineRule="exact" w:before="14"/>
              <w:ind w:left="100"/>
              <w:rPr>
                <w:sz w:val="16"/>
              </w:rPr>
            </w:pPr>
            <w:r>
              <w:rPr>
                <w:sz w:val="16"/>
              </w:rPr>
              <w:t>71% at 12m</w:t>
            </w:r>
          </w:p>
        </w:tc>
      </w:tr>
      <w:tr>
        <w:trPr>
          <w:trHeight w:val="222" w:hRule="atLeast"/>
        </w:trPr>
        <w:tc>
          <w:tcPr>
            <w:tcW w:w="1210" w:type="dxa"/>
            <w:tcBorders>
              <w:top w:val="single" w:sz="4" w:space="0" w:color="000000"/>
              <w:right w:val="single" w:sz="4" w:space="0" w:color="000000"/>
            </w:tcBorders>
          </w:tcPr>
          <w:p>
            <w:pPr>
              <w:pStyle w:val="TableParagraph"/>
              <w:spacing w:line="203" w:lineRule="exact"/>
              <w:ind w:left="110"/>
              <w:rPr>
                <w:sz w:val="16"/>
              </w:rPr>
            </w:pPr>
            <w:r>
              <w:rPr>
                <w:sz w:val="16"/>
              </w:rPr>
              <w:t>1~2 </w:t>
            </w:r>
            <w:r>
              <w:rPr>
                <w:rFonts w:ascii="PMingLiU" w:eastAsia="PMingLiU" w:hint="eastAsia"/>
                <w:sz w:val="16"/>
              </w:rPr>
              <w:t>级</w:t>
            </w:r>
            <w:r>
              <w:rPr>
                <w:sz w:val="16"/>
              </w:rPr>
              <w:t>CRS</w:t>
            </w:r>
          </w:p>
        </w:tc>
        <w:tc>
          <w:tcPr>
            <w:tcW w:w="1335" w:type="dxa"/>
            <w:tcBorders>
              <w:top w:val="single" w:sz="4" w:space="0" w:color="000000"/>
              <w:left w:val="single" w:sz="4" w:space="0" w:color="000000"/>
              <w:right w:val="dashSmallGap" w:sz="4" w:space="0" w:color="000000"/>
            </w:tcBorders>
          </w:tcPr>
          <w:p>
            <w:pPr>
              <w:pStyle w:val="TableParagraph"/>
              <w:spacing w:line="180" w:lineRule="exact" w:before="22"/>
              <w:ind w:left="105"/>
              <w:rPr>
                <w:sz w:val="16"/>
              </w:rPr>
            </w:pPr>
            <w:r>
              <w:rPr>
                <w:sz w:val="16"/>
              </w:rPr>
              <w:t>75%</w:t>
            </w:r>
          </w:p>
        </w:tc>
        <w:tc>
          <w:tcPr>
            <w:tcW w:w="1340" w:type="dxa"/>
            <w:tcBorders>
              <w:top w:val="single" w:sz="4" w:space="0" w:color="000000"/>
              <w:left w:val="dashSmallGap" w:sz="4" w:space="0" w:color="000000"/>
              <w:right w:val="single" w:sz="4" w:space="0" w:color="000000"/>
            </w:tcBorders>
          </w:tcPr>
          <w:p>
            <w:pPr>
              <w:pStyle w:val="TableParagraph"/>
              <w:spacing w:line="180" w:lineRule="exact" w:before="22"/>
              <w:ind w:left="105"/>
              <w:rPr>
                <w:sz w:val="16"/>
              </w:rPr>
            </w:pPr>
            <w:r>
              <w:rPr>
                <w:sz w:val="16"/>
              </w:rPr>
              <w:t>49%</w:t>
            </w:r>
          </w:p>
        </w:tc>
        <w:tc>
          <w:tcPr>
            <w:tcW w:w="1335" w:type="dxa"/>
            <w:tcBorders>
              <w:top w:val="single" w:sz="4" w:space="0" w:color="000000"/>
              <w:left w:val="single" w:sz="4" w:space="0" w:color="000000"/>
              <w:right w:val="single" w:sz="4" w:space="0" w:color="000000"/>
            </w:tcBorders>
          </w:tcPr>
          <w:p>
            <w:pPr>
              <w:pStyle w:val="TableParagraph"/>
              <w:spacing w:line="180" w:lineRule="exact" w:before="22"/>
              <w:ind w:left="100"/>
              <w:rPr>
                <w:sz w:val="16"/>
              </w:rPr>
            </w:pPr>
            <w:r>
              <w:rPr>
                <w:sz w:val="16"/>
              </w:rPr>
              <w:t>76%</w:t>
            </w:r>
          </w:p>
        </w:tc>
        <w:tc>
          <w:tcPr>
            <w:tcW w:w="1450" w:type="dxa"/>
            <w:tcBorders>
              <w:top w:val="single" w:sz="4" w:space="0" w:color="000000"/>
              <w:left w:val="single" w:sz="4" w:space="0" w:color="000000"/>
              <w:right w:val="dashSmallGap" w:sz="4" w:space="0" w:color="000000"/>
            </w:tcBorders>
          </w:tcPr>
          <w:p>
            <w:pPr>
              <w:pStyle w:val="TableParagraph"/>
              <w:spacing w:line="180" w:lineRule="exact" w:before="22"/>
              <w:ind w:left="104"/>
              <w:rPr>
                <w:sz w:val="16"/>
              </w:rPr>
            </w:pPr>
            <w:r>
              <w:rPr>
                <w:sz w:val="16"/>
              </w:rPr>
              <w:t>31%</w:t>
            </w:r>
          </w:p>
        </w:tc>
        <w:tc>
          <w:tcPr>
            <w:tcW w:w="1263" w:type="dxa"/>
            <w:tcBorders>
              <w:top w:val="single" w:sz="4" w:space="0" w:color="000000"/>
              <w:left w:val="dashSmallGap" w:sz="4" w:space="0" w:color="000000"/>
            </w:tcBorders>
          </w:tcPr>
          <w:p>
            <w:pPr>
              <w:pStyle w:val="TableParagraph"/>
              <w:spacing w:line="180" w:lineRule="exact" w:before="22"/>
              <w:ind w:left="100"/>
              <w:rPr>
                <w:sz w:val="16"/>
              </w:rPr>
            </w:pPr>
            <w:r>
              <w:rPr>
                <w:sz w:val="16"/>
              </w:rPr>
              <w:t>65%</w:t>
            </w:r>
          </w:p>
        </w:tc>
      </w:tr>
      <w:tr>
        <w:trPr>
          <w:trHeight w:val="232" w:hRule="atLeast"/>
        </w:trPr>
        <w:tc>
          <w:tcPr>
            <w:tcW w:w="1210" w:type="dxa"/>
            <w:tcBorders>
              <w:right w:val="single" w:sz="4" w:space="0" w:color="000000"/>
            </w:tcBorders>
          </w:tcPr>
          <w:p>
            <w:pPr>
              <w:pStyle w:val="TableParagraph"/>
              <w:spacing w:line="202" w:lineRule="exact" w:before="10"/>
              <w:ind w:left="110"/>
              <w:rPr>
                <w:sz w:val="16"/>
              </w:rPr>
            </w:pPr>
            <w:r>
              <w:rPr>
                <w:sz w:val="16"/>
              </w:rPr>
              <w:t>3~4 </w:t>
            </w:r>
            <w:r>
              <w:rPr>
                <w:rFonts w:ascii="PMingLiU" w:eastAsia="PMingLiU" w:hint="eastAsia"/>
                <w:sz w:val="16"/>
              </w:rPr>
              <w:t>级</w:t>
            </w:r>
            <w:r>
              <w:rPr>
                <w:sz w:val="16"/>
              </w:rPr>
              <w:t>CRS</w:t>
            </w:r>
          </w:p>
        </w:tc>
        <w:tc>
          <w:tcPr>
            <w:tcW w:w="1335" w:type="dxa"/>
            <w:tcBorders>
              <w:left w:val="single" w:sz="4" w:space="0" w:color="000000"/>
              <w:right w:val="dashSmallGap" w:sz="4" w:space="0" w:color="000000"/>
            </w:tcBorders>
          </w:tcPr>
          <w:p>
            <w:pPr>
              <w:pStyle w:val="TableParagraph"/>
              <w:spacing w:line="178" w:lineRule="exact" w:before="35"/>
              <w:ind w:left="105"/>
              <w:rPr>
                <w:sz w:val="16"/>
              </w:rPr>
            </w:pPr>
            <w:r>
              <w:rPr>
                <w:sz w:val="16"/>
              </w:rPr>
              <w:t>9%</w:t>
            </w:r>
          </w:p>
        </w:tc>
        <w:tc>
          <w:tcPr>
            <w:tcW w:w="1340" w:type="dxa"/>
            <w:tcBorders>
              <w:left w:val="dashSmallGap" w:sz="4" w:space="0" w:color="000000"/>
              <w:right w:val="single" w:sz="4" w:space="0" w:color="000000"/>
            </w:tcBorders>
          </w:tcPr>
          <w:p>
            <w:pPr>
              <w:pStyle w:val="TableParagraph"/>
              <w:spacing w:line="178" w:lineRule="exact" w:before="35"/>
              <w:ind w:left="105"/>
              <w:rPr>
                <w:sz w:val="16"/>
              </w:rPr>
            </w:pPr>
            <w:r>
              <w:rPr>
                <w:sz w:val="16"/>
              </w:rPr>
              <w:t>0%</w:t>
            </w:r>
          </w:p>
        </w:tc>
        <w:tc>
          <w:tcPr>
            <w:tcW w:w="1335" w:type="dxa"/>
            <w:tcBorders>
              <w:left w:val="single" w:sz="4" w:space="0" w:color="000000"/>
              <w:right w:val="single" w:sz="4" w:space="0" w:color="000000"/>
            </w:tcBorders>
          </w:tcPr>
          <w:p>
            <w:pPr>
              <w:pStyle w:val="TableParagraph"/>
              <w:spacing w:line="178" w:lineRule="exact" w:before="35"/>
              <w:ind w:left="100"/>
              <w:rPr>
                <w:sz w:val="16"/>
              </w:rPr>
            </w:pPr>
            <w:r>
              <w:rPr>
                <w:sz w:val="16"/>
              </w:rPr>
              <w:t>15%</w:t>
            </w:r>
          </w:p>
        </w:tc>
        <w:tc>
          <w:tcPr>
            <w:tcW w:w="1450" w:type="dxa"/>
            <w:tcBorders>
              <w:left w:val="single" w:sz="4" w:space="0" w:color="000000"/>
              <w:right w:val="dashSmallGap" w:sz="4" w:space="0" w:color="000000"/>
            </w:tcBorders>
          </w:tcPr>
          <w:p>
            <w:pPr>
              <w:pStyle w:val="TableParagraph"/>
              <w:spacing w:line="178" w:lineRule="exact" w:before="35"/>
              <w:ind w:left="104"/>
              <w:rPr>
                <w:sz w:val="16"/>
              </w:rPr>
            </w:pPr>
            <w:r>
              <w:rPr>
                <w:sz w:val="16"/>
              </w:rPr>
              <w:t>46%</w:t>
            </w:r>
          </w:p>
        </w:tc>
        <w:tc>
          <w:tcPr>
            <w:tcW w:w="1263" w:type="dxa"/>
            <w:tcBorders>
              <w:left w:val="dashSmallGap" w:sz="4" w:space="0" w:color="000000"/>
            </w:tcBorders>
          </w:tcPr>
          <w:p>
            <w:pPr>
              <w:pStyle w:val="TableParagraph"/>
              <w:spacing w:line="178" w:lineRule="exact" w:before="35"/>
              <w:ind w:left="100"/>
              <w:rPr>
                <w:sz w:val="16"/>
              </w:rPr>
            </w:pPr>
            <w:r>
              <w:rPr>
                <w:sz w:val="16"/>
              </w:rPr>
              <w:t>24%</w:t>
            </w:r>
          </w:p>
        </w:tc>
      </w:tr>
      <w:tr>
        <w:trPr>
          <w:trHeight w:val="234" w:hRule="atLeast"/>
        </w:trPr>
        <w:tc>
          <w:tcPr>
            <w:tcW w:w="1210" w:type="dxa"/>
            <w:tcBorders>
              <w:right w:val="single" w:sz="4" w:space="0" w:color="000000"/>
            </w:tcBorders>
          </w:tcPr>
          <w:p>
            <w:pPr>
              <w:pStyle w:val="TableParagraph"/>
              <w:spacing w:line="206" w:lineRule="exact" w:before="8"/>
              <w:ind w:left="110"/>
              <w:rPr>
                <w:sz w:val="16"/>
              </w:rPr>
            </w:pPr>
            <w:r>
              <w:rPr>
                <w:sz w:val="16"/>
              </w:rPr>
              <w:t>1~2 </w:t>
            </w:r>
            <w:r>
              <w:rPr>
                <w:rFonts w:ascii="PMingLiU" w:eastAsia="PMingLiU" w:hint="eastAsia"/>
                <w:spacing w:val="38"/>
                <w:sz w:val="16"/>
              </w:rPr>
              <w:t>级</w:t>
            </w:r>
            <w:r>
              <w:rPr>
                <w:sz w:val="16"/>
              </w:rPr>
              <w:t>ICANS</w:t>
            </w:r>
          </w:p>
        </w:tc>
        <w:tc>
          <w:tcPr>
            <w:tcW w:w="1335" w:type="dxa"/>
            <w:tcBorders>
              <w:left w:val="single" w:sz="4" w:space="0" w:color="000000"/>
              <w:right w:val="dashSmallGap" w:sz="4" w:space="0" w:color="000000"/>
            </w:tcBorders>
          </w:tcPr>
          <w:p>
            <w:pPr>
              <w:pStyle w:val="TableParagraph"/>
              <w:spacing w:line="177" w:lineRule="exact" w:before="37"/>
              <w:ind w:left="105"/>
              <w:rPr>
                <w:sz w:val="16"/>
              </w:rPr>
            </w:pPr>
            <w:r>
              <w:rPr>
                <w:sz w:val="16"/>
              </w:rPr>
              <w:t>41%</w:t>
            </w:r>
          </w:p>
        </w:tc>
        <w:tc>
          <w:tcPr>
            <w:tcW w:w="1340" w:type="dxa"/>
            <w:tcBorders>
              <w:left w:val="dashSmallGap" w:sz="4" w:space="0" w:color="000000"/>
              <w:right w:val="single" w:sz="4" w:space="0" w:color="000000"/>
            </w:tcBorders>
          </w:tcPr>
          <w:p>
            <w:pPr>
              <w:pStyle w:val="TableParagraph"/>
              <w:spacing w:line="177" w:lineRule="exact" w:before="37"/>
              <w:ind w:left="105"/>
              <w:rPr>
                <w:sz w:val="16"/>
              </w:rPr>
            </w:pPr>
            <w:r>
              <w:rPr>
                <w:sz w:val="16"/>
              </w:rPr>
              <w:t>9%</w:t>
            </w:r>
          </w:p>
        </w:tc>
        <w:tc>
          <w:tcPr>
            <w:tcW w:w="1335" w:type="dxa"/>
            <w:tcBorders>
              <w:left w:val="single" w:sz="4" w:space="0" w:color="000000"/>
              <w:right w:val="single" w:sz="4" w:space="0" w:color="000000"/>
            </w:tcBorders>
          </w:tcPr>
          <w:p>
            <w:pPr>
              <w:pStyle w:val="TableParagraph"/>
              <w:spacing w:line="177" w:lineRule="exact" w:before="37"/>
              <w:ind w:left="100"/>
              <w:rPr>
                <w:sz w:val="16"/>
              </w:rPr>
            </w:pPr>
            <w:r>
              <w:rPr>
                <w:sz w:val="16"/>
              </w:rPr>
              <w:t>32%</w:t>
            </w:r>
          </w:p>
        </w:tc>
        <w:tc>
          <w:tcPr>
            <w:tcW w:w="1450" w:type="dxa"/>
            <w:tcBorders>
              <w:left w:val="single" w:sz="4" w:space="0" w:color="000000"/>
              <w:right w:val="dashSmallGap" w:sz="4" w:space="0" w:color="000000"/>
            </w:tcBorders>
          </w:tcPr>
          <w:p>
            <w:pPr>
              <w:pStyle w:val="TableParagraph"/>
              <w:spacing w:line="177" w:lineRule="exact" w:before="37"/>
              <w:ind w:left="104"/>
              <w:rPr>
                <w:sz w:val="16"/>
              </w:rPr>
            </w:pPr>
            <w:r>
              <w:rPr>
                <w:sz w:val="16"/>
              </w:rPr>
              <w:t>27%</w:t>
            </w:r>
          </w:p>
        </w:tc>
        <w:tc>
          <w:tcPr>
            <w:tcW w:w="1263" w:type="dxa"/>
            <w:tcBorders>
              <w:left w:val="dashSmallGap" w:sz="4" w:space="0" w:color="000000"/>
            </w:tcBorders>
          </w:tcPr>
          <w:p>
            <w:pPr>
              <w:pStyle w:val="TableParagraph"/>
              <w:spacing w:line="177" w:lineRule="exact" w:before="37"/>
              <w:ind w:left="100"/>
              <w:rPr>
                <w:sz w:val="16"/>
              </w:rPr>
            </w:pPr>
            <w:r>
              <w:rPr>
                <w:sz w:val="16"/>
              </w:rPr>
              <w:t>35%</w:t>
            </w:r>
          </w:p>
        </w:tc>
      </w:tr>
      <w:tr>
        <w:trPr>
          <w:trHeight w:val="240" w:hRule="atLeast"/>
        </w:trPr>
        <w:tc>
          <w:tcPr>
            <w:tcW w:w="1210" w:type="dxa"/>
            <w:tcBorders>
              <w:right w:val="single" w:sz="4" w:space="0" w:color="000000"/>
            </w:tcBorders>
          </w:tcPr>
          <w:p>
            <w:pPr>
              <w:pStyle w:val="TableParagraph"/>
              <w:spacing w:line="211" w:lineRule="exact" w:before="9"/>
              <w:ind w:left="110"/>
              <w:rPr>
                <w:sz w:val="16"/>
              </w:rPr>
            </w:pPr>
            <w:r>
              <w:rPr>
                <w:sz w:val="16"/>
              </w:rPr>
              <w:t>3~4 </w:t>
            </w:r>
            <w:r>
              <w:rPr>
                <w:rFonts w:ascii="PMingLiU" w:eastAsia="PMingLiU" w:hint="eastAsia"/>
                <w:spacing w:val="38"/>
                <w:sz w:val="16"/>
              </w:rPr>
              <w:t>级</w:t>
            </w:r>
            <w:r>
              <w:rPr>
                <w:sz w:val="16"/>
              </w:rPr>
              <w:t>ICANS</w:t>
            </w:r>
          </w:p>
        </w:tc>
        <w:tc>
          <w:tcPr>
            <w:tcW w:w="1335" w:type="dxa"/>
            <w:tcBorders>
              <w:left w:val="single" w:sz="4" w:space="0" w:color="000000"/>
              <w:right w:val="dashSmallGap" w:sz="4" w:space="0" w:color="000000"/>
            </w:tcBorders>
          </w:tcPr>
          <w:p>
            <w:pPr>
              <w:pStyle w:val="TableParagraph"/>
              <w:spacing w:before="33"/>
              <w:ind w:left="105"/>
              <w:rPr>
                <w:sz w:val="16"/>
              </w:rPr>
            </w:pPr>
            <w:r>
              <w:rPr>
                <w:sz w:val="16"/>
              </w:rPr>
              <w:t>19%</w:t>
            </w:r>
          </w:p>
        </w:tc>
        <w:tc>
          <w:tcPr>
            <w:tcW w:w="1340" w:type="dxa"/>
            <w:tcBorders>
              <w:left w:val="dashSmallGap" w:sz="4" w:space="0" w:color="000000"/>
              <w:right w:val="single" w:sz="4" w:space="0" w:color="000000"/>
            </w:tcBorders>
          </w:tcPr>
          <w:p>
            <w:pPr>
              <w:pStyle w:val="TableParagraph"/>
              <w:spacing w:before="33"/>
              <w:ind w:left="105"/>
              <w:rPr>
                <w:sz w:val="16"/>
              </w:rPr>
            </w:pPr>
            <w:r>
              <w:rPr>
                <w:sz w:val="16"/>
              </w:rPr>
              <w:t>0%</w:t>
            </w:r>
          </w:p>
        </w:tc>
        <w:tc>
          <w:tcPr>
            <w:tcW w:w="1335" w:type="dxa"/>
            <w:tcBorders>
              <w:left w:val="single" w:sz="4" w:space="0" w:color="000000"/>
              <w:right w:val="single" w:sz="4" w:space="0" w:color="000000"/>
            </w:tcBorders>
          </w:tcPr>
          <w:p>
            <w:pPr>
              <w:pStyle w:val="TableParagraph"/>
              <w:spacing w:before="33"/>
              <w:ind w:left="100"/>
              <w:rPr>
                <w:sz w:val="16"/>
              </w:rPr>
            </w:pPr>
            <w:r>
              <w:rPr>
                <w:sz w:val="16"/>
              </w:rPr>
              <w:t>31%</w:t>
            </w:r>
          </w:p>
        </w:tc>
        <w:tc>
          <w:tcPr>
            <w:tcW w:w="1450" w:type="dxa"/>
            <w:tcBorders>
              <w:left w:val="single" w:sz="4" w:space="0" w:color="000000"/>
              <w:right w:val="dashSmallGap" w:sz="4" w:space="0" w:color="000000"/>
            </w:tcBorders>
          </w:tcPr>
          <w:p>
            <w:pPr>
              <w:pStyle w:val="TableParagraph"/>
              <w:spacing w:before="33"/>
              <w:ind w:left="104"/>
              <w:rPr>
                <w:sz w:val="16"/>
              </w:rPr>
            </w:pPr>
            <w:r>
              <w:rPr>
                <w:sz w:val="16"/>
              </w:rPr>
              <w:t>13%</w:t>
            </w:r>
          </w:p>
        </w:tc>
        <w:tc>
          <w:tcPr>
            <w:tcW w:w="1263" w:type="dxa"/>
            <w:tcBorders>
              <w:left w:val="dashSmallGap" w:sz="4" w:space="0" w:color="000000"/>
            </w:tcBorders>
          </w:tcPr>
          <w:p>
            <w:pPr>
              <w:pStyle w:val="TableParagraph"/>
              <w:spacing w:before="33"/>
              <w:ind w:left="100"/>
              <w:rPr>
                <w:sz w:val="16"/>
              </w:rPr>
            </w:pPr>
            <w:r>
              <w:rPr>
                <w:sz w:val="16"/>
              </w:rPr>
              <w:t>24%</w:t>
            </w:r>
          </w:p>
        </w:tc>
      </w:tr>
      <w:tr>
        <w:trPr>
          <w:trHeight w:val="206" w:hRule="atLeast"/>
        </w:trPr>
        <w:tc>
          <w:tcPr>
            <w:tcW w:w="1210" w:type="dxa"/>
            <w:tcBorders>
              <w:bottom w:val="single" w:sz="12" w:space="0" w:color="000000"/>
              <w:right w:val="single" w:sz="4" w:space="0" w:color="000000"/>
            </w:tcBorders>
          </w:tcPr>
          <w:p>
            <w:pPr>
              <w:pStyle w:val="TableParagraph"/>
              <w:spacing w:line="173" w:lineRule="exact" w:before="14"/>
              <w:ind w:left="110"/>
              <w:rPr>
                <w:sz w:val="16"/>
              </w:rPr>
            </w:pPr>
            <w:r>
              <w:rPr>
                <w:sz w:val="16"/>
              </w:rPr>
              <w:t>Tocilizumab</w:t>
            </w:r>
          </w:p>
        </w:tc>
        <w:tc>
          <w:tcPr>
            <w:tcW w:w="1335" w:type="dxa"/>
            <w:tcBorders>
              <w:left w:val="single" w:sz="4" w:space="0" w:color="000000"/>
              <w:bottom w:val="single" w:sz="12" w:space="0" w:color="000000"/>
              <w:right w:val="dashSmallGap" w:sz="4" w:space="0" w:color="000000"/>
            </w:tcBorders>
          </w:tcPr>
          <w:p>
            <w:pPr>
              <w:pStyle w:val="TableParagraph"/>
              <w:spacing w:line="173" w:lineRule="exact" w:before="14"/>
              <w:ind w:left="105"/>
              <w:rPr>
                <w:sz w:val="16"/>
              </w:rPr>
            </w:pPr>
            <w:r>
              <w:rPr>
                <w:sz w:val="16"/>
              </w:rPr>
              <w:t>55%</w:t>
            </w:r>
          </w:p>
        </w:tc>
        <w:tc>
          <w:tcPr>
            <w:tcW w:w="1340" w:type="dxa"/>
            <w:tcBorders>
              <w:left w:val="dashSmallGap" w:sz="4" w:space="0" w:color="000000"/>
              <w:bottom w:val="single" w:sz="12" w:space="0" w:color="000000"/>
              <w:right w:val="single" w:sz="4" w:space="0" w:color="000000"/>
            </w:tcBorders>
          </w:tcPr>
          <w:p>
            <w:pPr>
              <w:pStyle w:val="TableParagraph"/>
              <w:spacing w:line="173" w:lineRule="exact" w:before="14"/>
              <w:ind w:left="105"/>
              <w:rPr>
                <w:sz w:val="16"/>
              </w:rPr>
            </w:pPr>
            <w:r>
              <w:rPr>
                <w:sz w:val="16"/>
              </w:rPr>
              <w:t>N/A</w:t>
            </w:r>
          </w:p>
        </w:tc>
        <w:tc>
          <w:tcPr>
            <w:tcW w:w="1335" w:type="dxa"/>
            <w:tcBorders>
              <w:left w:val="single" w:sz="4" w:space="0" w:color="000000"/>
              <w:bottom w:val="single" w:sz="12" w:space="0" w:color="000000"/>
              <w:right w:val="single" w:sz="4" w:space="0" w:color="000000"/>
            </w:tcBorders>
          </w:tcPr>
          <w:p>
            <w:pPr>
              <w:pStyle w:val="TableParagraph"/>
              <w:spacing w:line="173" w:lineRule="exact" w:before="14"/>
              <w:ind w:left="100"/>
              <w:rPr>
                <w:sz w:val="16"/>
              </w:rPr>
            </w:pPr>
            <w:r>
              <w:rPr>
                <w:sz w:val="16"/>
              </w:rPr>
              <w:t>70%</w:t>
            </w:r>
          </w:p>
        </w:tc>
        <w:tc>
          <w:tcPr>
            <w:tcW w:w="1450" w:type="dxa"/>
            <w:tcBorders>
              <w:left w:val="single" w:sz="4" w:space="0" w:color="000000"/>
              <w:bottom w:val="single" w:sz="12" w:space="0" w:color="000000"/>
              <w:right w:val="dashSmallGap" w:sz="4" w:space="0" w:color="000000"/>
            </w:tcBorders>
          </w:tcPr>
          <w:p>
            <w:pPr>
              <w:pStyle w:val="TableParagraph"/>
              <w:spacing w:line="173" w:lineRule="exact" w:before="14"/>
              <w:ind w:left="104"/>
              <w:rPr>
                <w:sz w:val="16"/>
              </w:rPr>
            </w:pPr>
            <w:r>
              <w:rPr>
                <w:sz w:val="16"/>
              </w:rPr>
              <w:t>48%</w:t>
            </w:r>
          </w:p>
        </w:tc>
        <w:tc>
          <w:tcPr>
            <w:tcW w:w="1263" w:type="dxa"/>
            <w:tcBorders>
              <w:left w:val="dashSmallGap" w:sz="4" w:space="0" w:color="000000"/>
              <w:bottom w:val="single" w:sz="12" w:space="0" w:color="000000"/>
            </w:tcBorders>
          </w:tcPr>
          <w:p>
            <w:pPr>
              <w:pStyle w:val="TableParagraph"/>
              <w:spacing w:line="173" w:lineRule="exact" w:before="14"/>
              <w:ind w:left="100"/>
              <w:rPr>
                <w:sz w:val="16"/>
              </w:rPr>
            </w:pPr>
            <w:r>
              <w:rPr>
                <w:sz w:val="16"/>
              </w:rPr>
              <w:t>80%</w:t>
            </w:r>
          </w:p>
        </w:tc>
      </w:tr>
    </w:tbl>
    <w:p>
      <w:pPr>
        <w:spacing w:before="17"/>
        <w:ind w:left="210" w:right="0" w:firstLine="0"/>
        <w:jc w:val="left"/>
        <w:rPr>
          <w:sz w:val="16"/>
        </w:rPr>
      </w:pPr>
      <w:r>
        <w:rPr>
          <w:sz w:val="16"/>
        </w:rPr>
        <w:t>资料来源</w:t>
      </w:r>
      <w:r>
        <w:rPr>
          <w:rFonts w:ascii="Arial" w:eastAsia="Arial"/>
          <w:sz w:val="16"/>
        </w:rPr>
        <w:t>: Lemoine J et al. European Journal of Cancer 2022</w:t>
      </w:r>
      <w:r>
        <w:rPr>
          <w:sz w:val="16"/>
        </w:rPr>
        <w:t>，</w:t>
      </w:r>
      <w:r>
        <w:rPr>
          <w:rFonts w:ascii="Arial" w:eastAsia="Arial"/>
          <w:sz w:val="16"/>
        </w:rPr>
        <w:t>ASCO, </w:t>
      </w:r>
      <w:r>
        <w:rPr>
          <w:sz w:val="16"/>
        </w:rPr>
        <w:t>招银国际证券</w:t>
      </w:r>
    </w:p>
    <w:p>
      <w:pPr>
        <w:pStyle w:val="BodyText"/>
        <w:spacing w:before="12"/>
        <w:ind w:left="0"/>
        <w:rPr>
          <w:sz w:val="21"/>
        </w:rPr>
      </w:pPr>
    </w:p>
    <w:p>
      <w:pPr>
        <w:pStyle w:val="Heading2"/>
      </w:pPr>
      <w:bookmarkStart w:name="_bookmark13" w:id="14"/>
      <w:bookmarkEnd w:id="14"/>
      <w:r>
        <w:rPr>
          <w:b w:val="0"/>
        </w:rPr>
      </w:r>
      <w:r>
        <w:rPr>
          <w:color w:val="585858"/>
        </w:rPr>
        <w:t>成立合资公司进行技术落地，国内已有两款 </w:t>
      </w:r>
      <w:r>
        <w:rPr>
          <w:rFonts w:ascii="Arial" w:eastAsia="Arial"/>
          <w:color w:val="585858"/>
        </w:rPr>
        <w:t>CD19 CAR-T </w:t>
      </w:r>
      <w:r>
        <w:rPr>
          <w:color w:val="585858"/>
        </w:rPr>
        <w:t>获批上市</w:t>
      </w:r>
    </w:p>
    <w:p>
      <w:pPr>
        <w:pStyle w:val="Heading3"/>
        <w:spacing w:before="66"/>
        <w:jc w:val="left"/>
      </w:pPr>
      <w:r>
        <w:rPr/>
        <w:t>复星凯特的阿基仑赛是国内首个获批的</w:t>
      </w:r>
      <w:r>
        <w:rPr>
          <w:rFonts w:ascii="Arial" w:eastAsia="Arial"/>
        </w:rPr>
        <w:t>CAR-T </w:t>
      </w:r>
      <w:r>
        <w:rPr/>
        <w:t>产品</w:t>
      </w:r>
    </w:p>
    <w:p>
      <w:pPr>
        <w:pStyle w:val="BodyText"/>
        <w:spacing w:line="288" w:lineRule="auto" w:before="154"/>
        <w:ind w:right="2814"/>
        <w:jc w:val="both"/>
      </w:pPr>
      <w:r>
        <w:rPr>
          <w:spacing w:val="-1"/>
        </w:rPr>
        <w:t>复星凯特于 </w:t>
      </w:r>
      <w:r>
        <w:rPr>
          <w:rFonts w:ascii="Arial" w:eastAsia="Arial"/>
        </w:rPr>
        <w:t>2017</w:t>
      </w:r>
      <w:r>
        <w:rPr>
          <w:rFonts w:ascii="Arial" w:eastAsia="Arial"/>
          <w:spacing w:val="-13"/>
        </w:rPr>
        <w:t> </w:t>
      </w:r>
      <w:r>
        <w:rPr/>
        <w:t>年成立，为复星医药与</w:t>
      </w:r>
      <w:r>
        <w:rPr>
          <w:rFonts w:ascii="Arial" w:eastAsia="Arial"/>
        </w:rPr>
        <w:t>Kite</w:t>
      </w:r>
      <w:r>
        <w:rPr>
          <w:rFonts w:ascii="Arial" w:eastAsia="Arial"/>
          <w:spacing w:val="-13"/>
        </w:rPr>
        <w:t> </w:t>
      </w:r>
      <w:r>
        <w:rPr>
          <w:rFonts w:ascii="Arial" w:eastAsia="Arial"/>
        </w:rPr>
        <w:t>Pharma</w:t>
      </w:r>
      <w:r>
        <w:rPr>
          <w:rFonts w:ascii="Arial" w:eastAsia="Arial"/>
          <w:spacing w:val="-7"/>
        </w:rPr>
        <w:t> (</w:t>
      </w:r>
      <w:r>
        <w:rPr>
          <w:spacing w:val="21"/>
        </w:rPr>
        <w:t>已被</w:t>
      </w:r>
      <w:r>
        <w:rPr>
          <w:rFonts w:ascii="Arial" w:eastAsia="Arial"/>
        </w:rPr>
        <w:t>Gilead</w:t>
      </w:r>
      <w:r>
        <w:rPr>
          <w:rFonts w:ascii="Arial" w:eastAsia="Arial"/>
          <w:spacing w:val="-13"/>
        </w:rPr>
        <w:t> </w:t>
      </w:r>
      <w:r>
        <w:rPr/>
        <w:t>收购</w:t>
      </w:r>
      <w:r>
        <w:rPr>
          <w:rFonts w:ascii="Arial" w:eastAsia="Arial"/>
          <w:spacing w:val="-3"/>
        </w:rPr>
        <w:t>) </w:t>
      </w:r>
      <w:r>
        <w:rPr>
          <w:spacing w:val="-4"/>
        </w:rPr>
        <w:t>成立的合营公司。</w:t>
      </w:r>
      <w:r>
        <w:rPr>
          <w:spacing w:val="17"/>
        </w:rPr>
        <w:t>复星凯特的两款核心产品分别为 </w:t>
      </w:r>
      <w:r>
        <w:rPr>
          <w:rFonts w:ascii="Arial" w:eastAsia="Arial"/>
        </w:rPr>
        <w:t>Yescarta</w:t>
      </w:r>
      <w:r>
        <w:rPr>
          <w:rFonts w:ascii="Arial" w:eastAsia="Arial"/>
          <w:spacing w:val="6"/>
        </w:rPr>
        <w:t> ( </w:t>
      </w:r>
      <w:r>
        <w:rPr>
          <w:spacing w:val="10"/>
        </w:rPr>
        <w:t>阿基仑赛注射液， </w:t>
      </w:r>
      <w:r>
        <w:rPr>
          <w:rFonts w:ascii="Arial" w:eastAsia="Arial"/>
        </w:rPr>
        <w:t>FKC876</w:t>
      </w:r>
      <w:r>
        <w:rPr>
          <w:rFonts w:ascii="Arial" w:eastAsia="Arial"/>
          <w:spacing w:val="26"/>
        </w:rPr>
        <w:t>) </w:t>
      </w:r>
      <w:r>
        <w:rPr>
          <w:spacing w:val="12"/>
        </w:rPr>
        <w:t>和 </w:t>
      </w:r>
      <w:r>
        <w:rPr>
          <w:rFonts w:ascii="Arial" w:eastAsia="Arial"/>
        </w:rPr>
        <w:t>Tecartus (FKC88)</w:t>
      </w:r>
      <w:r>
        <w:rPr/>
        <w:t>。</w:t>
      </w:r>
      <w:r>
        <w:rPr>
          <w:rFonts w:ascii="Arial" w:eastAsia="Arial"/>
        </w:rPr>
        <w:t>2021</w:t>
      </w:r>
      <w:r>
        <w:rPr>
          <w:rFonts w:ascii="Arial" w:eastAsia="Arial"/>
          <w:spacing w:val="10"/>
        </w:rPr>
        <w:t> </w:t>
      </w:r>
      <w:r>
        <w:rPr>
          <w:spacing w:val="13"/>
        </w:rPr>
        <w:t>年 </w:t>
      </w:r>
      <w:r>
        <w:rPr>
          <w:rFonts w:ascii="Arial" w:eastAsia="Arial"/>
        </w:rPr>
        <w:t>6</w:t>
      </w:r>
      <w:r>
        <w:rPr>
          <w:rFonts w:ascii="Arial" w:eastAsia="Arial"/>
          <w:spacing w:val="11"/>
        </w:rPr>
        <w:t> </w:t>
      </w:r>
      <w:r>
        <w:rPr>
          <w:spacing w:val="6"/>
        </w:rPr>
        <w:t>月，奕凯达 </w:t>
      </w:r>
      <w:r>
        <w:rPr>
          <w:rFonts w:ascii="Arial" w:eastAsia="Arial"/>
          <w:spacing w:val="-5"/>
        </w:rPr>
        <w:t>(</w:t>
      </w:r>
      <w:r>
        <w:rPr>
          <w:spacing w:val="-3"/>
        </w:rPr>
        <w:t>阿基仑赛注射液</w:t>
      </w:r>
      <w:r>
        <w:rPr>
          <w:rFonts w:ascii="Arial" w:eastAsia="Arial"/>
          <w:spacing w:val="17"/>
        </w:rPr>
        <w:t>) </w:t>
      </w:r>
      <w:r>
        <w:rPr>
          <w:spacing w:val="-3"/>
        </w:rPr>
        <w:t>首次在中国获批上市，定价 </w:t>
      </w:r>
      <w:r>
        <w:rPr>
          <w:rFonts w:ascii="Arial" w:eastAsia="Arial"/>
        </w:rPr>
        <w:t>120</w:t>
      </w:r>
      <w:r>
        <w:rPr>
          <w:rFonts w:ascii="Arial" w:eastAsia="Arial"/>
          <w:spacing w:val="11"/>
        </w:rPr>
        <w:t> </w:t>
      </w:r>
      <w:r>
        <w:rPr/>
        <w:t>万元</w:t>
      </w:r>
      <w:r>
        <w:rPr>
          <w:rFonts w:ascii="Arial" w:eastAsia="Arial"/>
        </w:rPr>
        <w:t>/ </w:t>
      </w:r>
      <w:r>
        <w:rPr>
          <w:spacing w:val="1"/>
        </w:rPr>
        <w:t>针，用于治疗既往接受二线或以上系统性治疗后复发的 </w:t>
      </w:r>
      <w:r>
        <w:rPr>
          <w:rFonts w:ascii="Arial" w:eastAsia="Arial"/>
        </w:rPr>
        <w:t>r/r</w:t>
      </w:r>
      <w:r>
        <w:rPr>
          <w:rFonts w:ascii="Arial" w:eastAsia="Arial"/>
          <w:spacing w:val="49"/>
        </w:rPr>
        <w:t> </w:t>
      </w:r>
      <w:r>
        <w:rPr>
          <w:rFonts w:ascii="Arial" w:eastAsia="Arial"/>
        </w:rPr>
        <w:t>LBCL</w:t>
      </w:r>
      <w:r>
        <w:rPr/>
        <w:t>。此次获批基于奕凯达在</w:t>
      </w:r>
      <w:r>
        <w:rPr>
          <w:spacing w:val="-4"/>
        </w:rPr>
        <w:t>国内开展的一项单臂多中心桥接临床，获批上市距离</w:t>
      </w:r>
      <w:r>
        <w:rPr>
          <w:rFonts w:ascii="Arial" w:eastAsia="Arial"/>
          <w:spacing w:val="-3"/>
        </w:rPr>
        <w:t>2018</w:t>
      </w:r>
      <w:r>
        <w:rPr>
          <w:rFonts w:ascii="Arial" w:eastAsia="Arial"/>
          <w:spacing w:val="-14"/>
        </w:rPr>
        <w:t> </w:t>
      </w:r>
      <w:r>
        <w:rPr>
          <w:spacing w:val="28"/>
        </w:rPr>
        <w:t>年</w:t>
      </w:r>
      <w:r>
        <w:rPr>
          <w:rFonts w:ascii="Arial" w:eastAsia="Arial"/>
        </w:rPr>
        <w:t>9</w:t>
      </w:r>
      <w:r>
        <w:rPr>
          <w:rFonts w:ascii="Arial" w:eastAsia="Arial"/>
          <w:spacing w:val="-14"/>
        </w:rPr>
        <w:t> </w:t>
      </w:r>
      <w:r>
        <w:rPr>
          <w:spacing w:val="14"/>
        </w:rPr>
        <w:t>月的</w:t>
      </w:r>
      <w:r>
        <w:rPr>
          <w:rFonts w:ascii="Arial" w:eastAsia="Arial"/>
          <w:spacing w:val="7"/>
        </w:rPr>
        <w:t>IND</w:t>
      </w:r>
      <w:r>
        <w:rPr>
          <w:spacing w:val="5"/>
        </w:rPr>
        <w:t>批准耗时</w:t>
      </w:r>
      <w:r>
        <w:rPr>
          <w:rFonts w:ascii="Arial" w:eastAsia="Arial"/>
        </w:rPr>
        <w:t>33</w:t>
      </w:r>
      <w:r>
        <w:rPr>
          <w:rFonts w:ascii="Arial" w:eastAsia="Arial"/>
          <w:spacing w:val="-14"/>
        </w:rPr>
        <w:t> </w:t>
      </w:r>
      <w:r>
        <w:rPr/>
        <w:t>个月。</w:t>
      </w:r>
    </w:p>
    <w:p>
      <w:pPr>
        <w:pStyle w:val="BodyText"/>
        <w:spacing w:before="117"/>
        <w:rPr>
          <w:rFonts w:ascii="Arial" w:eastAsia="Arial"/>
        </w:rPr>
      </w:pPr>
      <w:r>
        <w:rPr>
          <w:spacing w:val="-2"/>
        </w:rPr>
        <w:t>截至 </w:t>
      </w:r>
      <w:r>
        <w:rPr>
          <w:rFonts w:ascii="Arial" w:eastAsia="Arial"/>
        </w:rPr>
        <w:t>2022</w:t>
      </w:r>
      <w:r>
        <w:rPr>
          <w:rFonts w:ascii="Arial" w:eastAsia="Arial"/>
          <w:spacing w:val="-15"/>
        </w:rPr>
        <w:t> </w:t>
      </w:r>
      <w:r>
        <w:rPr>
          <w:spacing w:val="-2"/>
        </w:rPr>
        <w:t>年 </w:t>
      </w:r>
      <w:r>
        <w:rPr>
          <w:rFonts w:ascii="Arial" w:eastAsia="Arial"/>
        </w:rPr>
        <w:t>6</w:t>
      </w:r>
      <w:r>
        <w:rPr>
          <w:rFonts w:ascii="Arial" w:eastAsia="Arial"/>
          <w:spacing w:val="-15"/>
        </w:rPr>
        <w:t> </w:t>
      </w:r>
      <w:r>
        <w:rPr>
          <w:spacing w:val="-3"/>
        </w:rPr>
        <w:t>月 </w:t>
      </w:r>
      <w:r>
        <w:rPr>
          <w:rFonts w:ascii="Arial" w:eastAsia="Arial"/>
        </w:rPr>
        <w:t>22</w:t>
      </w:r>
      <w:r>
        <w:rPr>
          <w:rFonts w:ascii="Arial" w:eastAsia="Arial"/>
          <w:spacing w:val="-15"/>
        </w:rPr>
        <w:t> </w:t>
      </w:r>
      <w:r>
        <w:rPr>
          <w:spacing w:val="-4"/>
        </w:rPr>
        <w:t>日，奕凯达上市一周年，已经治疗了 </w:t>
      </w:r>
      <w:r>
        <w:rPr>
          <w:rFonts w:ascii="Arial" w:eastAsia="Arial"/>
        </w:rPr>
        <w:t>200</w:t>
      </w:r>
      <w:r>
        <w:rPr>
          <w:rFonts w:ascii="Arial" w:eastAsia="Arial"/>
          <w:spacing w:val="-15"/>
        </w:rPr>
        <w:t> </w:t>
      </w:r>
      <w:r>
        <w:rPr>
          <w:spacing w:val="-2"/>
        </w:rPr>
        <w:t>位中国患者。截至 </w:t>
      </w:r>
      <w:r>
        <w:rPr>
          <w:rFonts w:ascii="Arial" w:eastAsia="Arial"/>
        </w:rPr>
        <w:t>2022</w:t>
      </w:r>
      <w:r>
        <w:rPr>
          <w:rFonts w:ascii="Arial" w:eastAsia="Arial"/>
          <w:spacing w:val="-15"/>
        </w:rPr>
        <w:t> </w:t>
      </w:r>
      <w:r>
        <w:rPr>
          <w:spacing w:val="-2"/>
        </w:rPr>
        <w:t>年 </w:t>
      </w:r>
      <w:r>
        <w:rPr>
          <w:rFonts w:ascii="Arial" w:eastAsia="Arial"/>
        </w:rPr>
        <w:t>5</w:t>
      </w:r>
    </w:p>
    <w:p>
      <w:pPr>
        <w:pStyle w:val="BodyText"/>
        <w:spacing w:before="57"/>
      </w:pPr>
      <w:r>
        <w:rPr>
          <w:spacing w:val="1"/>
        </w:rPr>
        <w:t>月末，奕凯达已列入 </w:t>
      </w:r>
      <w:r>
        <w:rPr>
          <w:rFonts w:ascii="Arial" w:eastAsia="Arial"/>
        </w:rPr>
        <w:t>30</w:t>
      </w:r>
      <w:r>
        <w:rPr>
          <w:rFonts w:ascii="Arial" w:eastAsia="Arial"/>
          <w:spacing w:val="22"/>
        </w:rPr>
        <w:t> </w:t>
      </w:r>
      <w:r>
        <w:rPr>
          <w:spacing w:val="-5"/>
        </w:rPr>
        <w:t>多个省市的城市惠民保，并获包括百万医疗险、高端医疗险、特药</w:t>
      </w:r>
    </w:p>
    <w:p>
      <w:pPr>
        <w:pStyle w:val="BodyText"/>
        <w:spacing w:before="52"/>
      </w:pPr>
      <w:r>
        <w:rPr>
          <w:spacing w:val="6"/>
        </w:rPr>
        <w:t>险在内的 </w:t>
      </w:r>
      <w:r>
        <w:rPr>
          <w:rFonts w:ascii="Arial" w:eastAsia="Arial"/>
        </w:rPr>
        <w:t>50</w:t>
      </w:r>
      <w:r>
        <w:rPr>
          <w:rFonts w:ascii="Arial" w:eastAsia="Arial"/>
          <w:spacing w:val="17"/>
        </w:rPr>
        <w:t> </w:t>
      </w:r>
      <w:r>
        <w:rPr>
          <w:spacing w:val="-3"/>
        </w:rPr>
        <w:t>多家商业保险机构列入报销名录。截至 </w:t>
      </w:r>
      <w:r>
        <w:rPr>
          <w:rFonts w:ascii="Arial" w:eastAsia="Arial"/>
        </w:rPr>
        <w:t>2021</w:t>
      </w:r>
      <w:r>
        <w:rPr>
          <w:rFonts w:ascii="Arial" w:eastAsia="Arial"/>
          <w:spacing w:val="17"/>
        </w:rPr>
        <w:t> </w:t>
      </w:r>
      <w:r>
        <w:rPr>
          <w:spacing w:val="-3"/>
        </w:rPr>
        <w:t>年底，接受复星凯特阿基仑赛注</w:t>
      </w:r>
    </w:p>
    <w:p>
      <w:pPr>
        <w:pStyle w:val="BodyText"/>
        <w:spacing w:before="56"/>
      </w:pPr>
      <w:r>
        <w:rPr/>
        <w:t>射液使用培训和认证的医疗机构已经达到 </w:t>
      </w:r>
      <w:r>
        <w:rPr>
          <w:rFonts w:ascii="Arial" w:eastAsia="Arial"/>
        </w:rPr>
        <w:t>111 </w:t>
      </w:r>
      <w:r>
        <w:rPr/>
        <w:t>家。</w:t>
      </w:r>
    </w:p>
    <w:p>
      <w:pPr>
        <w:pStyle w:val="BodyText"/>
        <w:spacing w:line="288" w:lineRule="auto" w:before="176"/>
        <w:ind w:right="2811"/>
        <w:jc w:val="both"/>
      </w:pPr>
      <w:r>
        <w:rPr>
          <w:rFonts w:ascii="Arial" w:eastAsia="Arial"/>
        </w:rPr>
        <w:t>2021 </w:t>
      </w:r>
      <w:r>
        <w:rPr>
          <w:spacing w:val="1"/>
        </w:rPr>
        <w:t>年 </w:t>
      </w:r>
      <w:r>
        <w:rPr>
          <w:rFonts w:ascii="Arial" w:eastAsia="Arial"/>
        </w:rPr>
        <w:t>6 </w:t>
      </w:r>
      <w:r>
        <w:rPr/>
        <w:t>月，奕凯达的第二个注册临床获</w:t>
      </w:r>
      <w:r>
        <w:rPr>
          <w:rFonts w:ascii="Arial" w:eastAsia="Arial"/>
        </w:rPr>
        <w:t>NMPA </w:t>
      </w:r>
      <w:r>
        <w:rPr>
          <w:spacing w:val="-6"/>
        </w:rPr>
        <w:t>批准，用于治疗二线或以上系统性治疗后</w:t>
      </w:r>
      <w:r>
        <w:rPr>
          <w:spacing w:val="3"/>
        </w:rPr>
        <w:t>复发的 </w:t>
      </w:r>
      <w:r>
        <w:rPr>
          <w:rFonts w:ascii="Arial" w:eastAsia="Arial"/>
        </w:rPr>
        <w:t>r/r iNHL</w:t>
      </w:r>
      <w:r>
        <w:rPr>
          <w:rFonts w:ascii="Arial" w:eastAsia="Arial"/>
          <w:spacing w:val="15"/>
        </w:rPr>
        <w:t> (</w:t>
      </w:r>
      <w:r>
        <w:rPr>
          <w:rFonts w:ascii="Arial" w:eastAsia="Arial"/>
        </w:rPr>
        <w:t>2021 </w:t>
      </w:r>
      <w:r>
        <w:rPr>
          <w:spacing w:val="8"/>
        </w:rPr>
        <w:t>年 </w:t>
      </w:r>
      <w:r>
        <w:rPr>
          <w:rFonts w:ascii="Arial" w:eastAsia="Arial"/>
        </w:rPr>
        <w:t>8 </w:t>
      </w:r>
      <w:r>
        <w:rPr>
          <w:spacing w:val="-2"/>
        </w:rPr>
        <w:t>月纳入突破性治疗药物</w:t>
      </w:r>
      <w:r>
        <w:rPr>
          <w:rFonts w:ascii="Arial" w:eastAsia="Arial"/>
          <w:spacing w:val="-5"/>
        </w:rPr>
        <w:t>)</w:t>
      </w:r>
      <w:r>
        <w:rPr>
          <w:spacing w:val="-4"/>
        </w:rPr>
        <w:t>。日前，奕凯达针对二线治疗 </w:t>
      </w:r>
      <w:r>
        <w:rPr>
          <w:rFonts w:ascii="Arial" w:eastAsia="Arial"/>
        </w:rPr>
        <w:t>LBCL </w:t>
      </w:r>
      <w:r>
        <w:rPr/>
        <w:t>的</w:t>
      </w:r>
      <w:r>
        <w:rPr>
          <w:rFonts w:ascii="Arial" w:eastAsia="Arial"/>
        </w:rPr>
        <w:t>IND </w:t>
      </w:r>
      <w:r>
        <w:rPr>
          <w:spacing w:val="-2"/>
        </w:rPr>
        <w:t>也已经获得 </w:t>
      </w:r>
      <w:r>
        <w:rPr>
          <w:rFonts w:ascii="Arial" w:eastAsia="Arial"/>
        </w:rPr>
        <w:t>NMPA </w:t>
      </w:r>
      <w:r>
        <w:rPr>
          <w:spacing w:val="-2"/>
        </w:rPr>
        <w:t>受理。今年 </w:t>
      </w:r>
      <w:r>
        <w:rPr>
          <w:rFonts w:ascii="Arial" w:eastAsia="Arial"/>
        </w:rPr>
        <w:t>3 </w:t>
      </w:r>
      <w:r>
        <w:rPr>
          <w:spacing w:val="-5"/>
        </w:rPr>
        <w:t>月，复星凯特引进的第二款 </w:t>
      </w:r>
      <w:r>
        <w:rPr>
          <w:rFonts w:ascii="Arial" w:eastAsia="Arial"/>
        </w:rPr>
        <w:t>CD19 CAR-T</w:t>
      </w:r>
      <w:r>
        <w:rPr>
          <w:rFonts w:ascii="Arial" w:eastAsia="Arial"/>
          <w:spacing w:val="15"/>
        </w:rPr>
        <w:t> (</w:t>
      </w:r>
      <w:r>
        <w:rPr>
          <w:rFonts w:ascii="Arial" w:eastAsia="Arial"/>
        </w:rPr>
        <w:t>Tecartus) </w:t>
      </w:r>
      <w:r>
        <w:rPr>
          <w:spacing w:val="-5"/>
        </w:rPr>
        <w:t>也已经在中国获批临床，目标适应症为既往接受过二线及以上治疗后复发的 </w:t>
      </w:r>
      <w:r>
        <w:rPr>
          <w:rFonts w:ascii="Arial" w:eastAsia="Arial"/>
        </w:rPr>
        <w:t>r/r MCL</w:t>
      </w:r>
      <w:r>
        <w:rPr/>
        <w:t>。</w:t>
      </w:r>
    </w:p>
    <w:p>
      <w:pPr>
        <w:pStyle w:val="Heading3"/>
        <w:spacing w:before="64"/>
        <w:jc w:val="left"/>
      </w:pPr>
      <w:r>
        <w:rPr/>
        <w:t>药明巨诺 </w:t>
      </w:r>
      <w:r>
        <w:rPr>
          <w:rFonts w:ascii="Arial" w:eastAsia="Arial"/>
        </w:rPr>
        <w:t>(2126 HK) </w:t>
      </w:r>
      <w:r>
        <w:rPr/>
        <w:t>核心产品瑞基奥仑赛已上市</w:t>
      </w:r>
    </w:p>
    <w:p>
      <w:pPr>
        <w:pStyle w:val="BodyText"/>
        <w:spacing w:line="288" w:lineRule="auto" w:before="154"/>
        <w:ind w:right="2808"/>
        <w:jc w:val="both"/>
      </w:pPr>
      <w:r>
        <w:rPr>
          <w:spacing w:val="-3"/>
        </w:rPr>
        <w:t>药明巨诺成立于 </w:t>
      </w:r>
      <w:r>
        <w:rPr>
          <w:rFonts w:ascii="Arial" w:eastAsia="Arial"/>
        </w:rPr>
        <w:t>2016</w:t>
      </w:r>
      <w:r>
        <w:rPr>
          <w:rFonts w:ascii="Arial" w:eastAsia="Arial"/>
          <w:spacing w:val="-12"/>
        </w:rPr>
        <w:t> </w:t>
      </w:r>
      <w:r>
        <w:rPr>
          <w:spacing w:val="-2"/>
        </w:rPr>
        <w:t>年，由 </w:t>
      </w:r>
      <w:r>
        <w:rPr>
          <w:rFonts w:ascii="Arial" w:eastAsia="Arial"/>
        </w:rPr>
        <w:t>Juno</w:t>
      </w:r>
      <w:r>
        <w:rPr>
          <w:rFonts w:ascii="Arial" w:eastAsia="Arial"/>
          <w:spacing w:val="-12"/>
        </w:rPr>
        <w:t> </w:t>
      </w:r>
      <w:r>
        <w:rPr>
          <w:rFonts w:ascii="Arial" w:eastAsia="Arial"/>
        </w:rPr>
        <w:t>Therapeutics</w:t>
      </w:r>
      <w:r>
        <w:rPr>
          <w:rFonts w:ascii="Arial" w:eastAsia="Arial"/>
          <w:spacing w:val="-13"/>
        </w:rPr>
        <w:t> </w:t>
      </w:r>
      <w:r>
        <w:rPr>
          <w:spacing w:val="-3"/>
        </w:rPr>
        <w:t>与药明康德联合创建。</w:t>
      </w:r>
      <w:r>
        <w:rPr>
          <w:rFonts w:ascii="Arial" w:eastAsia="Arial"/>
        </w:rPr>
        <w:t>2021</w:t>
      </w:r>
      <w:r>
        <w:rPr>
          <w:rFonts w:ascii="Arial" w:eastAsia="Arial"/>
          <w:spacing w:val="-16"/>
        </w:rPr>
        <w:t> </w:t>
      </w:r>
      <w:r>
        <w:rPr/>
        <w:t>年 </w:t>
      </w:r>
      <w:r>
        <w:rPr>
          <w:rFonts w:ascii="Arial" w:eastAsia="Arial"/>
        </w:rPr>
        <w:t>9</w:t>
      </w:r>
      <w:r>
        <w:rPr>
          <w:rFonts w:ascii="Arial" w:eastAsia="Arial"/>
          <w:spacing w:val="-11"/>
        </w:rPr>
        <w:t> </w:t>
      </w:r>
      <w:r>
        <w:rPr>
          <w:spacing w:val="-2"/>
        </w:rPr>
        <w:t>月，其首</w:t>
      </w:r>
      <w:r>
        <w:rPr>
          <w:spacing w:val="-1"/>
        </w:rPr>
        <w:t>款产品瑞基奥仑赛注射液</w:t>
      </w:r>
      <w:r>
        <w:rPr>
          <w:rFonts w:ascii="Arial" w:eastAsia="Arial"/>
          <w:spacing w:val="-5"/>
        </w:rPr>
        <w:t>(</w:t>
      </w:r>
      <w:r>
        <w:rPr/>
        <w:t>倍诺达</w:t>
      </w:r>
      <w:r>
        <w:rPr>
          <w:rFonts w:ascii="Arial" w:eastAsia="Arial"/>
          <w:spacing w:val="-1"/>
        </w:rPr>
        <w:t>) </w:t>
      </w:r>
      <w:r>
        <w:rPr>
          <w:spacing w:val="-5"/>
        </w:rPr>
        <w:t>在中国获批上市，该产品由药明巨诺基于 </w:t>
      </w:r>
      <w:r>
        <w:rPr>
          <w:rFonts w:ascii="Arial" w:eastAsia="Arial"/>
        </w:rPr>
        <w:t>Juno</w:t>
      </w:r>
      <w:r>
        <w:rPr>
          <w:rFonts w:ascii="Arial" w:eastAsia="Arial"/>
          <w:spacing w:val="-3"/>
        </w:rPr>
        <w:t> </w:t>
      </w:r>
      <w:r>
        <w:rPr/>
        <w:t>的平台自</w:t>
      </w:r>
      <w:r>
        <w:rPr>
          <w:spacing w:val="1"/>
        </w:rPr>
        <w:t>主开发，用于治疗经过二线或以上系统性治疗后复发的 </w:t>
      </w:r>
      <w:r>
        <w:rPr>
          <w:rFonts w:ascii="Arial" w:eastAsia="Arial"/>
        </w:rPr>
        <w:t>r/r</w:t>
      </w:r>
      <w:r>
        <w:rPr>
          <w:rFonts w:ascii="Arial" w:eastAsia="Arial"/>
          <w:spacing w:val="49"/>
        </w:rPr>
        <w:t> </w:t>
      </w:r>
      <w:r>
        <w:rPr>
          <w:rFonts w:ascii="Arial" w:eastAsia="Arial"/>
        </w:rPr>
        <w:t>LBCL</w:t>
      </w:r>
      <w:r>
        <w:rPr/>
        <w:t>。此批准基于单臂多中心</w:t>
      </w:r>
      <w:r>
        <w:rPr>
          <w:spacing w:val="12"/>
        </w:rPr>
        <w:t>注册临床</w:t>
      </w:r>
      <w:r>
        <w:rPr>
          <w:rFonts w:ascii="Arial" w:eastAsia="Arial"/>
        </w:rPr>
        <w:t>RELIANCE</w:t>
      </w:r>
      <w:r>
        <w:rPr>
          <w:spacing w:val="-2"/>
        </w:rPr>
        <w:t>，获批时间距离 </w:t>
      </w:r>
      <w:r>
        <w:rPr>
          <w:rFonts w:ascii="Arial" w:eastAsia="Arial"/>
        </w:rPr>
        <w:t>2020</w:t>
      </w:r>
      <w:r>
        <w:rPr>
          <w:rFonts w:ascii="Arial" w:eastAsia="Arial"/>
          <w:spacing w:val="-11"/>
        </w:rPr>
        <w:t> </w:t>
      </w:r>
      <w:r>
        <w:rPr/>
        <w:t>年 </w:t>
      </w:r>
      <w:r>
        <w:rPr>
          <w:rFonts w:ascii="Arial" w:eastAsia="Arial"/>
        </w:rPr>
        <w:t>6</w:t>
      </w:r>
      <w:r>
        <w:rPr>
          <w:rFonts w:ascii="Arial" w:eastAsia="Arial"/>
          <w:spacing w:val="-11"/>
        </w:rPr>
        <w:t> </w:t>
      </w:r>
      <w:r>
        <w:rPr>
          <w:spacing w:val="14"/>
        </w:rPr>
        <w:t>月获批</w:t>
      </w:r>
      <w:r>
        <w:rPr>
          <w:rFonts w:ascii="Arial" w:eastAsia="Arial"/>
          <w:spacing w:val="-2"/>
        </w:rPr>
        <w:t>IND</w:t>
      </w:r>
      <w:r>
        <w:rPr>
          <w:rFonts w:ascii="Arial" w:eastAsia="Arial"/>
          <w:spacing w:val="-9"/>
        </w:rPr>
        <w:t> </w:t>
      </w:r>
      <w:r>
        <w:rPr/>
        <w:t>仅间隔 </w:t>
      </w:r>
      <w:r>
        <w:rPr>
          <w:rFonts w:ascii="Arial" w:eastAsia="Arial"/>
        </w:rPr>
        <w:t>15</w:t>
      </w:r>
      <w:r>
        <w:rPr>
          <w:rFonts w:ascii="Arial" w:eastAsia="Arial"/>
          <w:spacing w:val="-11"/>
        </w:rPr>
        <w:t> </w:t>
      </w:r>
      <w:r>
        <w:rPr>
          <w:spacing w:val="-4"/>
        </w:rPr>
        <w:t>个月。药明巨诺也在</w:t>
      </w:r>
      <w:r>
        <w:rPr>
          <w:spacing w:val="-5"/>
        </w:rPr>
        <w:t>积极拓展倍诺达应用于其他血液肿瘤及前线治疗。</w:t>
      </w:r>
      <w:r>
        <w:rPr>
          <w:rFonts w:ascii="Arial" w:eastAsia="Arial"/>
        </w:rPr>
        <w:t>2022</w:t>
      </w:r>
      <w:r>
        <w:rPr>
          <w:rFonts w:ascii="Arial" w:eastAsia="Arial"/>
          <w:spacing w:val="53"/>
        </w:rPr>
        <w:t> </w:t>
      </w:r>
      <w:r>
        <w:rPr/>
        <w:t>年以来，公司已经获得二线 </w:t>
      </w:r>
      <w:r>
        <w:rPr>
          <w:rFonts w:ascii="Arial" w:eastAsia="Arial"/>
          <w:spacing w:val="-5"/>
        </w:rPr>
        <w:t>LBCL </w:t>
      </w:r>
      <w:r>
        <w:rPr>
          <w:spacing w:val="-2"/>
        </w:rPr>
        <w:t>的关键性临床批件及儿童和年轻成人的</w:t>
      </w:r>
      <w:r>
        <w:rPr>
          <w:rFonts w:ascii="Arial" w:eastAsia="Arial"/>
        </w:rPr>
        <w:t>r/r</w:t>
      </w:r>
      <w:r>
        <w:rPr>
          <w:rFonts w:ascii="Arial" w:eastAsia="Arial"/>
          <w:spacing w:val="2"/>
        </w:rPr>
        <w:t> </w:t>
      </w:r>
      <w:r>
        <w:rPr>
          <w:rFonts w:ascii="Arial" w:eastAsia="Arial"/>
        </w:rPr>
        <w:t>ALL</w:t>
      </w:r>
      <w:r>
        <w:rPr>
          <w:rFonts w:ascii="Arial" w:eastAsia="Arial"/>
          <w:spacing w:val="-5"/>
        </w:rPr>
        <w:t> </w:t>
      </w:r>
      <w:r>
        <w:rPr>
          <w:spacing w:val="-1"/>
        </w:rPr>
        <w:t>的临床批件，同时倍诺达也获</w:t>
      </w:r>
      <w:r>
        <w:rPr>
          <w:rFonts w:ascii="Arial" w:eastAsia="Arial"/>
        </w:rPr>
        <w:t>NMPA</w:t>
      </w:r>
      <w:r>
        <w:rPr>
          <w:rFonts w:ascii="Arial" w:eastAsia="Arial"/>
          <w:spacing w:val="-5"/>
        </w:rPr>
        <w:t> </w:t>
      </w:r>
      <w:r>
        <w:rPr>
          <w:spacing w:val="-2"/>
        </w:rPr>
        <w:t>授予治</w:t>
      </w:r>
      <w:r>
        <w:rPr>
          <w:spacing w:val="-4"/>
        </w:rPr>
        <w:t>疗 </w:t>
      </w:r>
      <w:r>
        <w:rPr>
          <w:rFonts w:ascii="Arial" w:eastAsia="Arial"/>
        </w:rPr>
        <w:t>r/r</w:t>
      </w:r>
      <w:r>
        <w:rPr>
          <w:rFonts w:ascii="Arial" w:eastAsia="Arial"/>
          <w:spacing w:val="1"/>
        </w:rPr>
        <w:t> </w:t>
      </w:r>
      <w:r>
        <w:rPr>
          <w:rFonts w:ascii="Arial" w:eastAsia="Arial"/>
        </w:rPr>
        <w:t>MCL</w:t>
      </w:r>
      <w:r>
        <w:rPr>
          <w:rFonts w:ascii="Arial" w:eastAsia="Arial"/>
          <w:spacing w:val="-14"/>
        </w:rPr>
        <w:t> </w:t>
      </w:r>
      <w:r>
        <w:rPr>
          <w:spacing w:val="-5"/>
        </w:rPr>
        <w:t>的突破性治疗药物认定。</w:t>
      </w:r>
    </w:p>
    <w:p>
      <w:pPr>
        <w:spacing w:after="0" w:line="288" w:lineRule="auto"/>
        <w:jc w:val="both"/>
        <w:sectPr>
          <w:pgSz w:w="11910" w:h="16840"/>
          <w:pgMar w:header="682" w:footer="358" w:top="1380" w:bottom="540" w:left="640" w:right="300"/>
        </w:sectPr>
      </w:pPr>
    </w:p>
    <w:p>
      <w:pPr>
        <w:pStyle w:val="BodyText"/>
        <w:spacing w:before="8"/>
        <w:ind w:left="0"/>
        <w:rPr>
          <w:sz w:val="12"/>
        </w:rPr>
      </w:pPr>
    </w:p>
    <w:p>
      <w:pPr>
        <w:pStyle w:val="Heading3"/>
        <w:spacing w:before="45" w:after="4"/>
        <w:jc w:val="left"/>
      </w:pPr>
      <w:r>
        <w:rPr/>
        <w:t>图 </w:t>
      </w:r>
      <w:r>
        <w:rPr>
          <w:rFonts w:ascii="Arial" w:eastAsia="Arial"/>
        </w:rPr>
        <w:t>30: </w:t>
      </w:r>
      <w:r>
        <w:rPr/>
        <w:t>瑞基奥仑赛新适应症开发进度</w:t>
      </w:r>
    </w:p>
    <w:p>
      <w:pPr>
        <w:pStyle w:val="BodyText"/>
        <w:ind w:left="181"/>
        <w:rPr>
          <w:rFonts w:ascii="Microsoft JhengHei UI"/>
        </w:rPr>
      </w:pPr>
      <w:r>
        <w:rPr>
          <w:rFonts w:ascii="Microsoft JhengHei UI"/>
        </w:rPr>
        <w:drawing>
          <wp:inline distT="0" distB="0" distL="0" distR="0">
            <wp:extent cx="5087504" cy="1795462"/>
            <wp:effectExtent l="0" t="0" r="0" b="0"/>
            <wp:docPr id="27" name="image24.png"/>
            <wp:cNvGraphicFramePr>
              <a:graphicFrameLocks noChangeAspect="1"/>
            </wp:cNvGraphicFramePr>
            <a:graphic>
              <a:graphicData uri="http://schemas.openxmlformats.org/drawingml/2006/picture">
                <pic:pic>
                  <pic:nvPicPr>
                    <pic:cNvPr id="28" name="image24.png"/>
                    <pic:cNvPicPr/>
                  </pic:nvPicPr>
                  <pic:blipFill>
                    <a:blip r:embed="rId34" cstate="print"/>
                    <a:stretch>
                      <a:fillRect/>
                    </a:stretch>
                  </pic:blipFill>
                  <pic:spPr>
                    <a:xfrm>
                      <a:off x="0" y="0"/>
                      <a:ext cx="5087504" cy="1795462"/>
                    </a:xfrm>
                    <a:prstGeom prst="rect">
                      <a:avLst/>
                    </a:prstGeom>
                  </pic:spPr>
                </pic:pic>
              </a:graphicData>
            </a:graphic>
          </wp:inline>
        </w:drawing>
      </w:r>
      <w:r>
        <w:rPr>
          <w:rFonts w:ascii="Microsoft JhengHei UI"/>
        </w:rPr>
      </w:r>
    </w:p>
    <w:p>
      <w:pPr>
        <w:spacing w:before="13"/>
        <w:ind w:left="210" w:right="0" w:firstLine="0"/>
        <w:jc w:val="left"/>
        <w:rPr>
          <w:sz w:val="16"/>
        </w:rPr>
      </w:pPr>
      <w:r>
        <w:rPr>
          <w:sz w:val="16"/>
        </w:rPr>
        <w:t>资料来源：公司官网</w:t>
      </w:r>
      <w:r>
        <w:rPr>
          <w:rFonts w:ascii="Arial" w:eastAsia="Arial"/>
          <w:sz w:val="16"/>
        </w:rPr>
        <w:t>, </w:t>
      </w:r>
      <w:r>
        <w:rPr>
          <w:sz w:val="16"/>
        </w:rPr>
        <w:t>招银国际证券</w:t>
      </w:r>
    </w:p>
    <w:p>
      <w:pPr>
        <w:pStyle w:val="BodyText"/>
        <w:spacing w:before="6"/>
        <w:ind w:left="0"/>
        <w:rPr>
          <w:sz w:val="21"/>
        </w:rPr>
      </w:pPr>
    </w:p>
    <w:p>
      <w:pPr>
        <w:pStyle w:val="BodyText"/>
        <w:spacing w:line="285" w:lineRule="auto" w:before="99"/>
        <w:ind w:right="2809"/>
        <w:jc w:val="both"/>
      </w:pPr>
      <w:r>
        <w:rPr>
          <w:rFonts w:ascii="Arial" w:eastAsia="Arial"/>
        </w:rPr>
        <w:t>2021</w:t>
      </w:r>
      <w:r>
        <w:rPr>
          <w:rFonts w:ascii="Arial" w:eastAsia="Arial"/>
          <w:spacing w:val="-5"/>
        </w:rPr>
        <w:t> </w:t>
      </w:r>
      <w:r>
        <w:rPr>
          <w:spacing w:val="-4"/>
        </w:rPr>
        <w:t>年，倍诺达上市后四个月内共开具 </w:t>
      </w:r>
      <w:r>
        <w:rPr>
          <w:rFonts w:ascii="Arial" w:eastAsia="Arial"/>
        </w:rPr>
        <w:t>54</w:t>
      </w:r>
      <w:r>
        <w:rPr>
          <w:rFonts w:ascii="Arial" w:eastAsia="Arial"/>
          <w:spacing w:val="-4"/>
        </w:rPr>
        <w:t> </w:t>
      </w:r>
      <w:r>
        <w:rPr>
          <w:spacing w:val="-2"/>
        </w:rPr>
        <w:t>张处方，完成了 </w:t>
      </w:r>
      <w:r>
        <w:rPr>
          <w:rFonts w:ascii="Arial" w:eastAsia="Arial"/>
        </w:rPr>
        <w:t>30</w:t>
      </w:r>
      <w:r>
        <w:rPr>
          <w:rFonts w:ascii="Arial" w:eastAsia="Arial"/>
          <w:spacing w:val="-3"/>
        </w:rPr>
        <w:t> </w:t>
      </w:r>
      <w:r>
        <w:rPr>
          <w:spacing w:val="-2"/>
        </w:rPr>
        <w:t>例回输，确认收入 </w:t>
      </w:r>
      <w:r>
        <w:rPr>
          <w:rFonts w:ascii="Arial" w:eastAsia="Arial"/>
        </w:rPr>
        <w:t>3,080</w:t>
      </w:r>
      <w:r>
        <w:rPr>
          <w:rFonts w:ascii="Arial" w:eastAsia="Arial"/>
          <w:spacing w:val="-10"/>
        </w:rPr>
        <w:t> </w:t>
      </w:r>
      <w:r>
        <w:rPr/>
        <w:t>万</w:t>
      </w:r>
      <w:r>
        <w:rPr>
          <w:spacing w:val="-2"/>
        </w:rPr>
        <w:t>元，毛利率为 </w:t>
      </w:r>
      <w:r>
        <w:rPr>
          <w:rFonts w:ascii="Arial" w:eastAsia="Arial"/>
        </w:rPr>
        <w:t>29.4%</w:t>
      </w:r>
      <w:r>
        <w:rPr/>
        <w:t>。</w:t>
      </w:r>
      <w:r>
        <w:rPr>
          <w:rFonts w:ascii="Arial" w:eastAsia="Arial"/>
        </w:rPr>
        <w:t>2022</w:t>
      </w:r>
      <w:r>
        <w:rPr>
          <w:rFonts w:ascii="Arial" w:eastAsia="Arial"/>
          <w:spacing w:val="-7"/>
        </w:rPr>
        <w:t> </w:t>
      </w:r>
      <w:r>
        <w:rPr>
          <w:spacing w:val="-4"/>
        </w:rPr>
        <w:t>年上半年，倍诺达产生了 </w:t>
      </w:r>
      <w:r>
        <w:rPr>
          <w:rFonts w:ascii="Arial" w:eastAsia="Arial"/>
        </w:rPr>
        <w:t>77</w:t>
      </w:r>
      <w:r>
        <w:rPr>
          <w:rFonts w:ascii="Arial" w:eastAsia="Arial"/>
          <w:spacing w:val="-8"/>
        </w:rPr>
        <w:t> </w:t>
      </w:r>
      <w:r>
        <w:rPr>
          <w:spacing w:val="-1"/>
        </w:rPr>
        <w:t>张处方，完成了 </w:t>
      </w:r>
      <w:r>
        <w:rPr>
          <w:rFonts w:ascii="Arial" w:eastAsia="Arial"/>
        </w:rPr>
        <w:t>64</w:t>
      </w:r>
      <w:r>
        <w:rPr>
          <w:rFonts w:ascii="Arial" w:eastAsia="Arial"/>
          <w:spacing w:val="-7"/>
        </w:rPr>
        <w:t> </w:t>
      </w:r>
      <w:r>
        <w:rPr>
          <w:spacing w:val="-2"/>
        </w:rPr>
        <w:t>例回输，确认</w:t>
      </w:r>
      <w:r>
        <w:rPr>
          <w:spacing w:val="5"/>
        </w:rPr>
        <w:t>收入  </w:t>
      </w:r>
      <w:r>
        <w:rPr>
          <w:rFonts w:ascii="Arial" w:eastAsia="Arial"/>
        </w:rPr>
        <w:t>6,601</w:t>
      </w:r>
      <w:r>
        <w:rPr>
          <w:rFonts w:ascii="Arial" w:eastAsia="Arial"/>
          <w:spacing w:val="55"/>
        </w:rPr>
        <w:t> </w:t>
      </w:r>
      <w:r>
        <w:rPr>
          <w:spacing w:val="-1"/>
        </w:rPr>
        <w:t>万元。同时，通过实施减少原材料废品及废料的技术与程序，公司实现成本降</w:t>
      </w:r>
    </w:p>
    <w:p>
      <w:pPr>
        <w:pStyle w:val="BodyText"/>
        <w:spacing w:before="5"/>
        <w:jc w:val="both"/>
      </w:pPr>
      <w:r>
        <w:rPr>
          <w:spacing w:val="-1"/>
        </w:rPr>
        <w:t>低，毛利率提升至 </w:t>
      </w:r>
      <w:r>
        <w:rPr>
          <w:rFonts w:ascii="Arial" w:eastAsia="Arial"/>
          <w:spacing w:val="-2"/>
        </w:rPr>
        <w:t>35%</w:t>
      </w:r>
      <w:r>
        <w:rPr>
          <w:spacing w:val="-3"/>
        </w:rPr>
        <w:t>。目前，倍诺达已被纳入 </w:t>
      </w:r>
      <w:r>
        <w:rPr>
          <w:rFonts w:ascii="Arial" w:eastAsia="Arial"/>
        </w:rPr>
        <w:t>52</w:t>
      </w:r>
      <w:r>
        <w:rPr>
          <w:rFonts w:ascii="Arial" w:eastAsia="Arial"/>
          <w:spacing w:val="5"/>
        </w:rPr>
        <w:t> </w:t>
      </w:r>
      <w:r>
        <w:rPr/>
        <w:t>个商业保险产品以及 </w:t>
      </w:r>
      <w:r>
        <w:rPr>
          <w:rFonts w:ascii="Arial" w:eastAsia="Arial"/>
        </w:rPr>
        <w:t>28</w:t>
      </w:r>
      <w:r>
        <w:rPr>
          <w:rFonts w:ascii="Arial" w:eastAsia="Arial"/>
          <w:spacing w:val="6"/>
        </w:rPr>
        <w:t> </w:t>
      </w:r>
      <w:r>
        <w:rPr>
          <w:spacing w:val="-2"/>
        </w:rPr>
        <w:t>个惠民保，并</w:t>
      </w:r>
    </w:p>
    <w:p>
      <w:pPr>
        <w:pStyle w:val="BodyText"/>
        <w:spacing w:line="288" w:lineRule="auto" w:before="56"/>
        <w:ind w:right="2810"/>
        <w:jc w:val="both"/>
      </w:pPr>
      <w:r>
        <w:rPr>
          <w:spacing w:val="9"/>
        </w:rPr>
        <w:t>已经于 </w:t>
      </w:r>
      <w:r>
        <w:rPr>
          <w:rFonts w:ascii="Arial" w:eastAsia="Arial"/>
        </w:rPr>
        <w:t>83 </w:t>
      </w:r>
      <w:r>
        <w:rPr>
          <w:spacing w:val="-6"/>
        </w:rPr>
        <w:t>家中国顶级血液肿瘤医院完成培训、模拟演练及认证，上药康德乐是倍诺达的全</w:t>
      </w:r>
      <w:r>
        <w:rPr>
          <w:spacing w:val="-4"/>
        </w:rPr>
        <w:t>国经销商，提供专业配送服务。公司按照 </w:t>
      </w:r>
      <w:r>
        <w:rPr>
          <w:rFonts w:ascii="Arial" w:eastAsia="Arial"/>
          <w:spacing w:val="-3"/>
        </w:rPr>
        <w:t>cGMP </w:t>
      </w:r>
      <w:r>
        <w:rPr>
          <w:spacing w:val="-6"/>
        </w:rPr>
        <w:t>标准新建的商业生产设施位于苏州，占地</w:t>
      </w:r>
      <w:r>
        <w:rPr>
          <w:spacing w:val="20"/>
        </w:rPr>
        <w:t>近 </w:t>
      </w:r>
      <w:r>
        <w:rPr>
          <w:rFonts w:ascii="Arial" w:eastAsia="Arial"/>
        </w:rPr>
        <w:t>10,000 </w:t>
      </w:r>
      <w:r>
        <w:rPr>
          <w:spacing w:val="-6"/>
        </w:rPr>
        <w:t>平方米，旨在解决从临床规模扩大到商业规模生产相关的所有挑战，目前公司产</w:t>
      </w:r>
      <w:r>
        <w:rPr>
          <w:spacing w:val="-1"/>
        </w:rPr>
        <w:t>能利用率达 </w:t>
      </w:r>
      <w:r>
        <w:rPr>
          <w:rFonts w:ascii="Arial" w:eastAsia="Arial"/>
        </w:rPr>
        <w:t>100%</w:t>
      </w:r>
      <w:r>
        <w:rPr/>
        <w:t>。</w:t>
      </w:r>
    </w:p>
    <w:p>
      <w:pPr>
        <w:pStyle w:val="Heading2"/>
        <w:spacing w:before="137"/>
        <w:jc w:val="both"/>
      </w:pPr>
      <w:bookmarkStart w:name="_bookmark14" w:id="15"/>
      <w:bookmarkEnd w:id="15"/>
      <w:r>
        <w:rPr>
          <w:b w:val="0"/>
        </w:rPr>
      </w:r>
      <w:r>
        <w:rPr>
          <w:rFonts w:ascii="Arial" w:eastAsia="Arial"/>
          <w:color w:val="585858"/>
        </w:rPr>
        <w:t>BCMA CAR-T </w:t>
      </w:r>
      <w:r>
        <w:rPr>
          <w:color w:val="585858"/>
        </w:rPr>
        <w:t>角逐后线多发性骨髓瘤治疗市场</w:t>
      </w:r>
    </w:p>
    <w:p>
      <w:pPr>
        <w:pStyle w:val="Heading3"/>
        <w:spacing w:before="66"/>
      </w:pPr>
      <w:r>
        <w:rPr>
          <w:rFonts w:ascii="Arial" w:eastAsia="Arial"/>
        </w:rPr>
        <w:t>MM </w:t>
      </w:r>
      <w:r>
        <w:rPr/>
        <w:t>后线治疗市场极大，标准治疗效果不佳</w:t>
      </w:r>
    </w:p>
    <w:p>
      <w:pPr>
        <w:pStyle w:val="BodyText"/>
        <w:spacing w:line="288" w:lineRule="auto" w:before="155"/>
        <w:ind w:right="2612"/>
      </w:pPr>
      <w:r>
        <w:rPr/>
        <w:t>多发性骨髓瘤 </w:t>
      </w:r>
      <w:r>
        <w:rPr>
          <w:rFonts w:ascii="Arial" w:eastAsia="Arial"/>
        </w:rPr>
        <w:t>(MM) </w:t>
      </w:r>
      <w:r>
        <w:rPr/>
        <w:t>是全球第二大最常见的血液恶性肿瘤，血液瘤中发病率仅次于 </w:t>
      </w:r>
      <w:r>
        <w:rPr>
          <w:rFonts w:ascii="Arial" w:eastAsia="Arial"/>
        </w:rPr>
        <w:t>DLBCL</w:t>
      </w:r>
      <w:r>
        <w:rPr/>
        <w:t>。根据弗若斯特沙利文数据，从发病年龄上看，</w:t>
      </w:r>
      <w:r>
        <w:rPr>
          <w:rFonts w:ascii="Arial" w:eastAsia="Arial"/>
        </w:rPr>
        <w:t>MM  </w:t>
      </w:r>
      <w:r>
        <w:rPr/>
        <w:t>属于老年病，在美国的诊断中位年龄为</w:t>
      </w:r>
      <w:r>
        <w:rPr>
          <w:rFonts w:ascii="Arial" w:eastAsia="Arial"/>
        </w:rPr>
        <w:t>70 </w:t>
      </w:r>
      <w:r>
        <w:rPr/>
        <w:t>岁，在中国的诊断中位年龄为 </w:t>
      </w:r>
      <w:r>
        <w:rPr>
          <w:rFonts w:ascii="Arial" w:eastAsia="Arial"/>
        </w:rPr>
        <w:t>60 </w:t>
      </w:r>
      <w:r>
        <w:rPr/>
        <w:t>岁；从发病人群看，</w:t>
      </w:r>
      <w:r>
        <w:rPr>
          <w:rFonts w:ascii="Arial" w:eastAsia="Arial"/>
        </w:rPr>
        <w:t>MM </w:t>
      </w:r>
      <w:r>
        <w:rPr/>
        <w:t>发病存在明显的地区差异，欧美地区发病率高于中国。</w:t>
      </w:r>
      <w:r>
        <w:rPr>
          <w:rFonts w:ascii="Arial" w:eastAsia="Arial"/>
        </w:rPr>
        <w:t>MM   </w:t>
      </w:r>
      <w:r>
        <w:rPr/>
        <w:t>确诊后生存时长与确诊时年龄呈反比，根据美国一项真实世界研究数据，当确诊年龄在 </w:t>
      </w:r>
      <w:r>
        <w:rPr>
          <w:rFonts w:ascii="Arial" w:eastAsia="Arial"/>
        </w:rPr>
        <w:t>65 </w:t>
      </w:r>
      <w:r>
        <w:rPr/>
        <w:t>至 </w:t>
      </w:r>
      <w:r>
        <w:rPr>
          <w:rFonts w:ascii="Arial" w:eastAsia="Arial"/>
        </w:rPr>
        <w:t>75 </w:t>
      </w:r>
      <w:r>
        <w:rPr/>
        <w:t>之间时，近半数患者可存活至五线治疗；</w:t>
      </w:r>
      <w:r>
        <w:rPr>
          <w:rFonts w:ascii="Arial" w:eastAsia="Arial"/>
        </w:rPr>
        <w:t>70%</w:t>
      </w:r>
      <w:r>
        <w:rPr/>
        <w:t>以上确</w:t>
      </w:r>
    </w:p>
    <w:p>
      <w:pPr>
        <w:pStyle w:val="BodyText"/>
        <w:spacing w:line="277" w:lineRule="exact"/>
      </w:pPr>
      <w:r>
        <w:rPr/>
        <w:t>诊年龄 </w:t>
      </w:r>
      <w:r>
        <w:rPr>
          <w:rFonts w:ascii="Arial" w:eastAsia="Arial"/>
        </w:rPr>
        <w:t>65 </w:t>
      </w:r>
      <w:r>
        <w:rPr/>
        <w:t>岁及以下的患者群体可存活至经历五线及以上治疗。</w:t>
      </w:r>
    </w:p>
    <w:p>
      <w:pPr>
        <w:pStyle w:val="BodyText"/>
        <w:spacing w:line="288" w:lineRule="auto" w:before="171"/>
        <w:ind w:right="2809"/>
        <w:jc w:val="both"/>
      </w:pPr>
      <w:r>
        <w:rPr>
          <w:spacing w:val="-1"/>
        </w:rPr>
        <w:t>受限于现有治疗手段，目前 </w:t>
      </w:r>
      <w:r>
        <w:rPr>
          <w:rFonts w:ascii="Arial" w:eastAsia="Arial"/>
        </w:rPr>
        <w:t>MM </w:t>
      </w:r>
      <w:r>
        <w:rPr>
          <w:spacing w:val="-5"/>
        </w:rPr>
        <w:t>仍无法治愈，几乎所有患者接受标准治疗后会出现复发或</w:t>
      </w:r>
      <w:r>
        <w:rPr>
          <w:spacing w:val="-1"/>
        </w:rPr>
        <w:t>难治，针对 </w:t>
      </w:r>
      <w:r>
        <w:rPr>
          <w:rFonts w:ascii="Arial" w:eastAsia="Arial"/>
        </w:rPr>
        <w:t>MM </w:t>
      </w:r>
      <w:r>
        <w:rPr>
          <w:spacing w:val="-5"/>
        </w:rPr>
        <w:t>的治疗主要目的为延长患者生存时间，及改善其生活质量。近年来，随着</w:t>
      </w:r>
      <w:r>
        <w:rPr>
          <w:spacing w:val="-4"/>
        </w:rPr>
        <w:t>多种新药上市，及创新药物纳入国家医保目录，中国的 </w:t>
      </w:r>
      <w:r>
        <w:rPr>
          <w:rFonts w:ascii="Arial" w:eastAsia="Arial"/>
        </w:rPr>
        <w:t>MM </w:t>
      </w:r>
      <w:r>
        <w:rPr>
          <w:spacing w:val="-3"/>
        </w:rPr>
        <w:t>患者生存时长有较大改善。然</w:t>
      </w:r>
      <w:r>
        <w:rPr>
          <w:spacing w:val="-1"/>
        </w:rPr>
        <w:t>而由于 </w:t>
      </w:r>
      <w:r>
        <w:rPr>
          <w:rFonts w:ascii="Arial" w:eastAsia="Arial"/>
        </w:rPr>
        <w:t>r/r MM </w:t>
      </w:r>
      <w:r>
        <w:rPr>
          <w:spacing w:val="-1"/>
        </w:rPr>
        <w:t>患者的中位 </w:t>
      </w:r>
      <w:r>
        <w:rPr>
          <w:rFonts w:ascii="Arial" w:eastAsia="Arial"/>
        </w:rPr>
        <w:t>PFS </w:t>
      </w:r>
      <w:r>
        <w:rPr>
          <w:spacing w:val="-6"/>
        </w:rPr>
        <w:t>会随着耐药数量的增加而缩短，常规化疗药物及靶向药物往</w:t>
      </w:r>
      <w:r>
        <w:rPr>
          <w:spacing w:val="1"/>
        </w:rPr>
        <w:t>往对多次复发的 </w:t>
      </w:r>
      <w:r>
        <w:rPr>
          <w:rFonts w:ascii="Arial" w:eastAsia="Arial"/>
        </w:rPr>
        <w:t>MM </w:t>
      </w:r>
      <w:r>
        <w:rPr>
          <w:spacing w:val="-3"/>
        </w:rPr>
        <w:t>患者疗效不佳，</w:t>
      </w:r>
      <w:r>
        <w:rPr>
          <w:rFonts w:ascii="Arial" w:eastAsia="Arial"/>
        </w:rPr>
        <w:t>r/r MM </w:t>
      </w:r>
      <w:r>
        <w:rPr>
          <w:spacing w:val="-6"/>
        </w:rPr>
        <w:t>后线疗法不仅是研发的重点，其市场份额也占</w:t>
      </w:r>
      <w:r>
        <w:rPr>
          <w:spacing w:val="4"/>
        </w:rPr>
        <w:t>据 </w:t>
      </w:r>
      <w:r>
        <w:rPr>
          <w:rFonts w:ascii="Arial" w:eastAsia="Arial"/>
        </w:rPr>
        <w:t>MM</w:t>
      </w:r>
      <w:r>
        <w:rPr>
          <w:rFonts w:ascii="Arial" w:eastAsia="Arial"/>
          <w:spacing w:val="42"/>
        </w:rPr>
        <w:t> </w:t>
      </w:r>
      <w:r>
        <w:rPr>
          <w:spacing w:val="-5"/>
        </w:rPr>
        <w:t>治疗市场的大部分。考虑到中国人群的 </w:t>
      </w:r>
      <w:r>
        <w:rPr>
          <w:rFonts w:ascii="Arial" w:eastAsia="Arial"/>
        </w:rPr>
        <w:t>MM </w:t>
      </w:r>
      <w:r>
        <w:rPr>
          <w:spacing w:val="-5"/>
        </w:rPr>
        <w:t>确诊中位年龄较美国早十年，中国 </w:t>
      </w:r>
      <w:r>
        <w:rPr>
          <w:rFonts w:ascii="Arial" w:eastAsia="Arial"/>
        </w:rPr>
        <w:t>r/r MM </w:t>
      </w:r>
      <w:r>
        <w:rPr>
          <w:spacing w:val="-3"/>
        </w:rPr>
        <w:t>后线治疗需求较高。</w:t>
      </w:r>
    </w:p>
    <w:p>
      <w:pPr>
        <w:pStyle w:val="BodyText"/>
        <w:spacing w:line="288" w:lineRule="auto" w:before="119"/>
        <w:ind w:right="2809"/>
        <w:jc w:val="both"/>
      </w:pPr>
      <w:r>
        <w:rPr/>
        <w:t>目前</w:t>
      </w:r>
      <w:r>
        <w:rPr>
          <w:rFonts w:ascii="Arial" w:eastAsia="Arial"/>
        </w:rPr>
        <w:t>MM </w:t>
      </w:r>
      <w:r>
        <w:rPr/>
        <w:t>的靶向治疗主要包括免疫调节剂 </w:t>
      </w:r>
      <w:r>
        <w:rPr>
          <w:rFonts w:ascii="Arial" w:eastAsia="Arial"/>
        </w:rPr>
        <w:t>(IMiDs)</w:t>
      </w:r>
      <w:r>
        <w:rPr/>
        <w:t>、蛋白酶体抑制剂 </w:t>
      </w:r>
      <w:r>
        <w:rPr>
          <w:rFonts w:ascii="Arial" w:eastAsia="Arial"/>
        </w:rPr>
        <w:t>(PI) </w:t>
      </w:r>
      <w:r>
        <w:rPr/>
        <w:t>及 </w:t>
      </w:r>
      <w:r>
        <w:rPr>
          <w:rFonts w:ascii="Arial" w:eastAsia="Arial"/>
        </w:rPr>
        <w:t>CD38 </w:t>
      </w:r>
      <w:r>
        <w:rPr/>
        <w:t>单抗。其中强生的达雷妥尤单抗 </w:t>
      </w:r>
      <w:r>
        <w:rPr>
          <w:rFonts w:ascii="Arial" w:eastAsia="Arial"/>
        </w:rPr>
        <w:t>(CD38) </w:t>
      </w:r>
      <w:r>
        <w:rPr/>
        <w:t>的获批适应症已经涵盖全线</w:t>
      </w:r>
      <w:r>
        <w:rPr>
          <w:rFonts w:ascii="Arial" w:eastAsia="Arial"/>
        </w:rPr>
        <w:t>MM</w:t>
      </w:r>
      <w:r>
        <w:rPr/>
        <w:t>，然而达雷妥尤单抗用于后线 </w:t>
      </w:r>
      <w:r>
        <w:rPr>
          <w:rFonts w:ascii="Arial" w:eastAsia="Arial"/>
        </w:rPr>
        <w:t>MM </w:t>
      </w:r>
      <w:r>
        <w:rPr/>
        <w:t>治疗的效果有限。根据弗若斯特沙利文数据，达雷妥尤单抗用于四线或末线治疗的</w:t>
      </w:r>
      <w:r>
        <w:rPr>
          <w:rFonts w:ascii="Arial" w:eastAsia="Arial"/>
        </w:rPr>
        <w:t>mPFS </w:t>
      </w:r>
      <w:r>
        <w:rPr/>
        <w:t>为 </w:t>
      </w:r>
      <w:r>
        <w:rPr>
          <w:rFonts w:ascii="Arial" w:eastAsia="Arial"/>
        </w:rPr>
        <w:t>3.7 </w:t>
      </w:r>
      <w:r>
        <w:rPr/>
        <w:t>个月，联合泊马度胺及地塞米松用于三线或末线治疗的</w:t>
      </w:r>
      <w:r>
        <w:rPr>
          <w:rFonts w:ascii="Arial" w:eastAsia="Arial"/>
        </w:rPr>
        <w:t>mPFS </w:t>
      </w:r>
      <w:r>
        <w:rPr/>
        <w:t>为 </w:t>
      </w:r>
      <w:r>
        <w:rPr>
          <w:rFonts w:ascii="Arial" w:eastAsia="Arial"/>
        </w:rPr>
        <w:t>8.8 </w:t>
      </w:r>
      <w:r>
        <w:rPr/>
        <w:t>个月。</w:t>
      </w:r>
    </w:p>
    <w:p>
      <w:pPr>
        <w:spacing w:after="0" w:line="288" w:lineRule="auto"/>
        <w:jc w:val="both"/>
        <w:sectPr>
          <w:pgSz w:w="11910" w:h="16840"/>
          <w:pgMar w:header="682" w:footer="358" w:top="1380" w:bottom="540" w:left="640" w:right="300"/>
        </w:sectPr>
      </w:pPr>
    </w:p>
    <w:p>
      <w:pPr>
        <w:pStyle w:val="BodyText"/>
        <w:spacing w:before="5"/>
        <w:ind w:left="0"/>
        <w:rPr>
          <w:sz w:val="28"/>
        </w:rPr>
      </w:pPr>
      <w:r>
        <w:rPr/>
        <w:drawing>
          <wp:anchor distT="0" distB="0" distL="0" distR="0" allowOverlap="1" layoutInCell="1" locked="0" behindDoc="0" simplePos="0" relativeHeight="15746048">
            <wp:simplePos x="0" y="0"/>
            <wp:positionH relativeFrom="page">
              <wp:posOffset>6157524</wp:posOffset>
            </wp:positionH>
            <wp:positionV relativeFrom="page">
              <wp:posOffset>432815</wp:posOffset>
            </wp:positionV>
            <wp:extent cx="1059010" cy="420624"/>
            <wp:effectExtent l="0" t="0" r="0" b="0"/>
            <wp:wrapNone/>
            <wp:docPr id="29" name="image2.png"/>
            <wp:cNvGraphicFramePr>
              <a:graphicFrameLocks noChangeAspect="1"/>
            </wp:cNvGraphicFramePr>
            <a:graphic>
              <a:graphicData uri="http://schemas.openxmlformats.org/drawingml/2006/picture">
                <pic:pic>
                  <pic:nvPicPr>
                    <pic:cNvPr id="30" name="image2.png"/>
                    <pic:cNvPicPr/>
                  </pic:nvPicPr>
                  <pic:blipFill>
                    <a:blip r:embed="rId37" cstate="print"/>
                    <a:stretch>
                      <a:fillRect/>
                    </a:stretch>
                  </pic:blipFill>
                  <pic:spPr>
                    <a:xfrm>
                      <a:off x="0" y="0"/>
                      <a:ext cx="1059010" cy="420624"/>
                    </a:xfrm>
                    <a:prstGeom prst="rect">
                      <a:avLst/>
                    </a:prstGeom>
                  </pic:spPr>
                </pic:pic>
              </a:graphicData>
            </a:graphic>
          </wp:anchor>
        </w:drawing>
      </w:r>
    </w:p>
    <w:tbl>
      <w:tblPr>
        <w:tblW w:w="0" w:type="auto"/>
        <w:jc w:val="left"/>
        <w:tblInd w:w="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28"/>
        <w:gridCol w:w="5436"/>
      </w:tblGrid>
      <w:tr>
        <w:trPr>
          <w:trHeight w:val="4663" w:hRule="atLeast"/>
        </w:trPr>
        <w:tc>
          <w:tcPr>
            <w:tcW w:w="5128" w:type="dxa"/>
            <w:tcBorders>
              <w:top w:val="single" w:sz="18" w:space="0" w:color="938953"/>
            </w:tcBorders>
          </w:tcPr>
          <w:p>
            <w:pPr>
              <w:pStyle w:val="TableParagraph"/>
              <w:spacing w:before="220" w:after="4"/>
              <w:ind w:left="124"/>
              <w:rPr>
                <w:b/>
                <w:sz w:val="20"/>
              </w:rPr>
            </w:pPr>
            <w:r>
              <w:rPr>
                <w:rFonts w:ascii="Microsoft JhengHei UI" w:eastAsia="Microsoft JhengHei UI" w:hint="eastAsia"/>
                <w:b/>
                <w:sz w:val="20"/>
              </w:rPr>
              <w:t>图 </w:t>
            </w:r>
            <w:r>
              <w:rPr>
                <w:b/>
                <w:sz w:val="20"/>
              </w:rPr>
              <w:t>31: MM </w:t>
            </w:r>
            <w:r>
              <w:rPr>
                <w:rFonts w:ascii="Microsoft JhengHei UI" w:eastAsia="Microsoft JhengHei UI" w:hint="eastAsia"/>
                <w:b/>
                <w:sz w:val="20"/>
              </w:rPr>
              <w:t>治疗线数及对应 </w:t>
            </w:r>
            <w:r>
              <w:rPr>
                <w:b/>
                <w:sz w:val="20"/>
              </w:rPr>
              <w:t>mPFS</w:t>
            </w:r>
          </w:p>
          <w:p>
            <w:pPr>
              <w:pStyle w:val="TableParagraph"/>
              <w:spacing w:line="28" w:lineRule="exact"/>
              <w:ind w:left="96"/>
              <w:rPr>
                <w:rFonts w:ascii="PMingLiU"/>
                <w:sz w:val="2"/>
              </w:rPr>
            </w:pPr>
            <w:r>
              <w:rPr>
                <w:rFonts w:ascii="PMingLiU"/>
                <w:position w:val="0"/>
                <w:sz w:val="2"/>
              </w:rPr>
              <w:pict>
                <v:group style="width:239.9pt;height:1.45pt;mso-position-horizontal-relative:char;mso-position-vertical-relative:line" coordorigin="0,0" coordsize="4798,29">
                  <v:rect style="position:absolute;left:0;top:0;width:4798;height:29" filled="true" fillcolor="#000000" stroked="false">
                    <v:fill type="solid"/>
                  </v:rect>
                </v:group>
              </w:pict>
            </w:r>
            <w:r>
              <w:rPr>
                <w:rFonts w:ascii="PMingLiU"/>
                <w:position w:val="0"/>
                <w:sz w:val="2"/>
              </w:rPr>
            </w:r>
          </w:p>
          <w:p>
            <w:pPr>
              <w:pStyle w:val="TableParagraph"/>
              <w:spacing w:before="4"/>
              <w:rPr>
                <w:rFonts w:ascii="PMingLiU"/>
                <w:sz w:val="12"/>
              </w:rPr>
            </w:pPr>
          </w:p>
          <w:p>
            <w:pPr>
              <w:pStyle w:val="TableParagraph"/>
              <w:ind w:left="266"/>
              <w:rPr>
                <w:rFonts w:ascii="PMingLiU"/>
                <w:sz w:val="20"/>
              </w:rPr>
            </w:pPr>
            <w:r>
              <w:rPr>
                <w:rFonts w:ascii="PMingLiU"/>
                <w:sz w:val="20"/>
              </w:rPr>
              <w:drawing>
                <wp:inline distT="0" distB="0" distL="0" distR="0">
                  <wp:extent cx="2838595" cy="2200275"/>
                  <wp:effectExtent l="0" t="0" r="0" b="0"/>
                  <wp:docPr id="31" name="image25.png"/>
                  <wp:cNvGraphicFramePr>
                    <a:graphicFrameLocks noChangeAspect="1"/>
                  </wp:cNvGraphicFramePr>
                  <a:graphic>
                    <a:graphicData uri="http://schemas.openxmlformats.org/drawingml/2006/picture">
                      <pic:pic>
                        <pic:nvPicPr>
                          <pic:cNvPr id="32" name="image25.png"/>
                          <pic:cNvPicPr/>
                        </pic:nvPicPr>
                        <pic:blipFill>
                          <a:blip r:embed="rId38" cstate="print"/>
                          <a:stretch>
                            <a:fillRect/>
                          </a:stretch>
                        </pic:blipFill>
                        <pic:spPr>
                          <a:xfrm>
                            <a:off x="0" y="0"/>
                            <a:ext cx="2838595" cy="2200275"/>
                          </a:xfrm>
                          <a:prstGeom prst="rect">
                            <a:avLst/>
                          </a:prstGeom>
                        </pic:spPr>
                      </pic:pic>
                    </a:graphicData>
                  </a:graphic>
                </wp:inline>
              </w:drawing>
            </w:r>
            <w:r>
              <w:rPr>
                <w:rFonts w:ascii="PMingLiU"/>
                <w:sz w:val="20"/>
              </w:rPr>
            </w:r>
          </w:p>
          <w:p>
            <w:pPr>
              <w:pStyle w:val="TableParagraph"/>
              <w:spacing w:before="7"/>
              <w:rPr>
                <w:rFonts w:ascii="PMingLiU"/>
                <w:sz w:val="10"/>
              </w:rPr>
            </w:pPr>
          </w:p>
          <w:p>
            <w:pPr>
              <w:pStyle w:val="TableParagraph"/>
              <w:spacing w:line="28" w:lineRule="exact"/>
              <w:ind w:left="96"/>
              <w:rPr>
                <w:rFonts w:ascii="PMingLiU"/>
                <w:sz w:val="2"/>
              </w:rPr>
            </w:pPr>
            <w:r>
              <w:rPr>
                <w:rFonts w:ascii="PMingLiU"/>
                <w:position w:val="0"/>
                <w:sz w:val="2"/>
              </w:rPr>
              <w:pict>
                <v:group style="width:247.8pt;height:1.45pt;mso-position-horizontal-relative:char;mso-position-vertical-relative:line" coordorigin="0,0" coordsize="4956,29">
                  <v:rect style="position:absolute;left:0;top:0;width:4956;height:29" filled="true" fillcolor="#000000" stroked="false">
                    <v:fill type="solid"/>
                  </v:rect>
                </v:group>
              </w:pict>
            </w:r>
            <w:r>
              <w:rPr>
                <w:rFonts w:ascii="PMingLiU"/>
                <w:position w:val="0"/>
                <w:sz w:val="2"/>
              </w:rPr>
            </w:r>
          </w:p>
          <w:p>
            <w:pPr>
              <w:pStyle w:val="TableParagraph"/>
              <w:spacing w:line="204" w:lineRule="exact" w:before="18"/>
              <w:ind w:left="124"/>
              <w:rPr>
                <w:rFonts w:ascii="PMingLiU" w:eastAsia="PMingLiU" w:hint="eastAsia"/>
                <w:sz w:val="16"/>
              </w:rPr>
            </w:pPr>
            <w:r>
              <w:rPr>
                <w:rFonts w:ascii="PMingLiU" w:eastAsia="PMingLiU" w:hint="eastAsia"/>
                <w:sz w:val="16"/>
              </w:rPr>
              <w:t>资料来源：</w:t>
            </w:r>
            <w:r>
              <w:rPr>
                <w:sz w:val="16"/>
              </w:rPr>
              <w:t>Jagannath S et al. Exp Rev Hematol 2016</w:t>
            </w:r>
            <w:r>
              <w:rPr>
                <w:rFonts w:ascii="PMingLiU" w:eastAsia="PMingLiU" w:hint="eastAsia"/>
                <w:sz w:val="16"/>
              </w:rPr>
              <w:t>，招银国际证券</w:t>
            </w:r>
          </w:p>
        </w:tc>
        <w:tc>
          <w:tcPr>
            <w:tcW w:w="5436" w:type="dxa"/>
            <w:tcBorders>
              <w:top w:val="single" w:sz="18" w:space="0" w:color="938953"/>
            </w:tcBorders>
          </w:tcPr>
          <w:p>
            <w:pPr>
              <w:pStyle w:val="TableParagraph"/>
              <w:spacing w:before="220" w:after="4"/>
              <w:ind w:left="110"/>
              <w:rPr>
                <w:rFonts w:ascii="Microsoft JhengHei UI" w:eastAsia="Microsoft JhengHei UI" w:hint="eastAsia"/>
                <w:b/>
                <w:sz w:val="20"/>
              </w:rPr>
            </w:pPr>
            <w:r>
              <w:rPr>
                <w:rFonts w:ascii="Microsoft JhengHei UI" w:eastAsia="Microsoft JhengHei UI" w:hint="eastAsia"/>
                <w:b/>
                <w:sz w:val="20"/>
              </w:rPr>
              <w:t>图 </w:t>
            </w:r>
            <w:r>
              <w:rPr>
                <w:b/>
                <w:sz w:val="20"/>
              </w:rPr>
              <w:t>32: MM </w:t>
            </w:r>
            <w:r>
              <w:rPr>
                <w:rFonts w:ascii="Microsoft JhengHei UI" w:eastAsia="Microsoft JhengHei UI" w:hint="eastAsia"/>
                <w:b/>
                <w:sz w:val="20"/>
              </w:rPr>
              <w:t>患者死亡时经历治疗线数与确诊年龄的关系</w:t>
            </w:r>
          </w:p>
          <w:p>
            <w:pPr>
              <w:pStyle w:val="TableParagraph"/>
              <w:spacing w:line="28" w:lineRule="exact"/>
              <w:ind w:left="81"/>
              <w:rPr>
                <w:rFonts w:ascii="PMingLiU"/>
                <w:sz w:val="2"/>
              </w:rPr>
            </w:pPr>
            <w:r>
              <w:rPr>
                <w:rFonts w:ascii="PMingLiU"/>
                <w:position w:val="0"/>
                <w:sz w:val="2"/>
              </w:rPr>
              <w:pict>
                <v:group style="width:250.45pt;height:1.45pt;mso-position-horizontal-relative:char;mso-position-vertical-relative:line" coordorigin="0,0" coordsize="5009,29">
                  <v:rect style="position:absolute;left:0;top:0;width:5009;height:29" filled="true" fillcolor="#000000" stroked="false">
                    <v:fill type="solid"/>
                  </v:rect>
                </v:group>
              </w:pict>
            </w:r>
            <w:r>
              <w:rPr>
                <w:rFonts w:ascii="PMingLiU"/>
                <w:position w:val="0"/>
                <w:sz w:val="2"/>
              </w:rPr>
            </w:r>
          </w:p>
          <w:p>
            <w:pPr>
              <w:pStyle w:val="TableParagraph"/>
              <w:spacing w:before="1"/>
              <w:rPr>
                <w:rFonts w:ascii="PMingLiU"/>
                <w:sz w:val="9"/>
              </w:rPr>
            </w:pPr>
          </w:p>
          <w:p>
            <w:pPr>
              <w:pStyle w:val="TableParagraph"/>
              <w:ind w:left="190"/>
              <w:rPr>
                <w:rFonts w:ascii="PMingLiU"/>
                <w:sz w:val="20"/>
              </w:rPr>
            </w:pPr>
            <w:r>
              <w:rPr>
                <w:rFonts w:ascii="PMingLiU"/>
                <w:sz w:val="20"/>
              </w:rPr>
              <w:drawing>
                <wp:inline distT="0" distB="0" distL="0" distR="0">
                  <wp:extent cx="3030322" cy="2286000"/>
                  <wp:effectExtent l="0" t="0" r="0" b="0"/>
                  <wp:docPr id="33" name="image26.png"/>
                  <wp:cNvGraphicFramePr>
                    <a:graphicFrameLocks noChangeAspect="1"/>
                  </wp:cNvGraphicFramePr>
                  <a:graphic>
                    <a:graphicData uri="http://schemas.openxmlformats.org/drawingml/2006/picture">
                      <pic:pic>
                        <pic:nvPicPr>
                          <pic:cNvPr id="34" name="image26.png"/>
                          <pic:cNvPicPr/>
                        </pic:nvPicPr>
                        <pic:blipFill>
                          <a:blip r:embed="rId39" cstate="print"/>
                          <a:stretch>
                            <a:fillRect/>
                          </a:stretch>
                        </pic:blipFill>
                        <pic:spPr>
                          <a:xfrm>
                            <a:off x="0" y="0"/>
                            <a:ext cx="3030322" cy="2286000"/>
                          </a:xfrm>
                          <a:prstGeom prst="rect">
                            <a:avLst/>
                          </a:prstGeom>
                        </pic:spPr>
                      </pic:pic>
                    </a:graphicData>
                  </a:graphic>
                </wp:inline>
              </w:drawing>
            </w:r>
            <w:r>
              <w:rPr>
                <w:rFonts w:ascii="PMingLiU"/>
                <w:sz w:val="20"/>
              </w:rPr>
            </w:r>
          </w:p>
          <w:p>
            <w:pPr>
              <w:pStyle w:val="TableParagraph"/>
              <w:spacing w:before="1" w:after="1"/>
              <w:rPr>
                <w:rFonts w:ascii="PMingLiU"/>
                <w:sz w:val="5"/>
              </w:rPr>
            </w:pPr>
          </w:p>
          <w:p>
            <w:pPr>
              <w:pStyle w:val="TableParagraph"/>
              <w:spacing w:line="28" w:lineRule="exact"/>
              <w:ind w:left="81"/>
              <w:rPr>
                <w:rFonts w:ascii="PMingLiU"/>
                <w:sz w:val="2"/>
              </w:rPr>
            </w:pPr>
            <w:r>
              <w:rPr>
                <w:rFonts w:ascii="PMingLiU"/>
                <w:position w:val="0"/>
                <w:sz w:val="2"/>
              </w:rPr>
              <w:pict>
                <v:group style="width:258.4pt;height:1.45pt;mso-position-horizontal-relative:char;mso-position-vertical-relative:line" coordorigin="0,0" coordsize="5168,29">
                  <v:rect style="position:absolute;left:0;top:0;width:5168;height:29" filled="true" fillcolor="#000000" stroked="false">
                    <v:fill type="solid"/>
                  </v:rect>
                </v:group>
              </w:pict>
            </w:r>
            <w:r>
              <w:rPr>
                <w:rFonts w:ascii="PMingLiU"/>
                <w:position w:val="0"/>
                <w:sz w:val="2"/>
              </w:rPr>
            </w:r>
          </w:p>
          <w:p>
            <w:pPr>
              <w:pStyle w:val="TableParagraph"/>
              <w:spacing w:line="190" w:lineRule="exact" w:before="18"/>
              <w:ind w:left="110"/>
              <w:rPr>
                <w:rFonts w:ascii="PMingLiU" w:eastAsia="PMingLiU" w:hint="eastAsia"/>
                <w:sz w:val="16"/>
              </w:rPr>
            </w:pPr>
            <w:r>
              <w:rPr>
                <w:rFonts w:ascii="PMingLiU" w:eastAsia="PMingLiU" w:hint="eastAsia"/>
                <w:sz w:val="16"/>
              </w:rPr>
              <w:t>资料来源：</w:t>
            </w:r>
            <w:r>
              <w:rPr>
                <w:sz w:val="16"/>
              </w:rPr>
              <w:t>Mohty M et al. Eur J Haematol 2019</w:t>
            </w:r>
            <w:r>
              <w:rPr>
                <w:rFonts w:ascii="PMingLiU" w:eastAsia="PMingLiU" w:hint="eastAsia"/>
                <w:sz w:val="16"/>
              </w:rPr>
              <w:t>，招银国际证券</w:t>
            </w:r>
          </w:p>
        </w:tc>
      </w:tr>
    </w:tbl>
    <w:p>
      <w:pPr>
        <w:pStyle w:val="BodyText"/>
        <w:spacing w:before="6"/>
        <w:ind w:left="0"/>
        <w:rPr>
          <w:sz w:val="22"/>
        </w:rPr>
      </w:pPr>
    </w:p>
    <w:p>
      <w:pPr>
        <w:pStyle w:val="BodyText"/>
        <w:spacing w:line="288" w:lineRule="auto" w:before="99"/>
        <w:ind w:right="2801"/>
        <w:jc w:val="both"/>
      </w:pPr>
      <w:r>
        <w:rPr>
          <w:spacing w:val="19"/>
        </w:rPr>
        <w:t>根据</w:t>
      </w:r>
      <w:r>
        <w:rPr>
          <w:rFonts w:ascii="Arial" w:eastAsia="Arial"/>
        </w:rPr>
        <w:t>IMWG </w:t>
      </w:r>
      <w:r>
        <w:rPr>
          <w:spacing w:val="-5"/>
        </w:rPr>
        <w:t>定义，在特定药物治疗时或最后一次使用该药物后 </w:t>
      </w:r>
      <w:r>
        <w:rPr>
          <w:rFonts w:ascii="Arial" w:eastAsia="Arial"/>
        </w:rPr>
        <w:t>60 </w:t>
      </w:r>
      <w:r>
        <w:rPr>
          <w:spacing w:val="-4"/>
        </w:rPr>
        <w:t>天内疾病进展即为难治； </w:t>
      </w:r>
      <w:r>
        <w:rPr>
          <w:spacing w:val="-5"/>
        </w:rPr>
        <w:t>至少一种 </w:t>
      </w:r>
      <w:r>
        <w:rPr>
          <w:rFonts w:ascii="Arial" w:eastAsia="Arial"/>
        </w:rPr>
        <w:t>PIs</w:t>
      </w:r>
      <w:r>
        <w:rPr/>
        <w:t>、</w:t>
      </w:r>
      <w:r>
        <w:rPr>
          <w:rFonts w:ascii="Arial" w:eastAsia="Arial"/>
        </w:rPr>
        <w:t>IMIDs </w:t>
      </w:r>
      <w:r>
        <w:rPr>
          <w:spacing w:val="-4"/>
        </w:rPr>
        <w:t>及 </w:t>
      </w:r>
      <w:r>
        <w:rPr>
          <w:rFonts w:ascii="Arial" w:eastAsia="Arial"/>
        </w:rPr>
        <w:t>CD38 </w:t>
      </w:r>
      <w:r>
        <w:rPr>
          <w:spacing w:val="-6"/>
        </w:rPr>
        <w:t>单抗难治，即为三重难治 </w:t>
      </w:r>
      <w:r>
        <w:rPr>
          <w:rFonts w:ascii="Arial" w:eastAsia="Arial"/>
        </w:rPr>
        <w:t>(TCR)</w:t>
      </w:r>
      <w:r>
        <w:rPr>
          <w:spacing w:val="2"/>
        </w:rPr>
        <w:t>。美国的回顾性</w:t>
      </w:r>
      <w:r>
        <w:rPr>
          <w:rFonts w:ascii="Arial" w:eastAsia="Arial"/>
        </w:rPr>
        <w:t>MAMMOTH </w:t>
      </w:r>
      <w:r>
        <w:rPr>
          <w:spacing w:val="12"/>
        </w:rPr>
        <w:t>研究 </w:t>
      </w:r>
      <w:hyperlink r:id="rId40">
        <w:r>
          <w:rPr>
            <w:rFonts w:ascii="Arial" w:eastAsia="Arial"/>
          </w:rPr>
          <w:t>(</w:t>
        </w:r>
        <w:r>
          <w:rPr>
            <w:rFonts w:ascii="Arial" w:eastAsia="Arial"/>
            <w:color w:val="0000FF"/>
            <w:u w:val="single" w:color="0000FF"/>
          </w:rPr>
          <w:t>link</w:t>
        </w:r>
      </w:hyperlink>
      <w:r>
        <w:rPr>
          <w:rFonts w:ascii="Arial" w:eastAsia="Arial"/>
          <w:spacing w:val="15"/>
        </w:rPr>
        <w:t>) </w:t>
      </w:r>
      <w:r>
        <w:rPr>
          <w:spacing w:val="-1"/>
        </w:rPr>
        <w:t>首次分析了 </w:t>
      </w:r>
      <w:r>
        <w:rPr>
          <w:rFonts w:ascii="Arial" w:eastAsia="Arial"/>
        </w:rPr>
        <w:t>CD38 </w:t>
      </w:r>
      <w:r>
        <w:rPr>
          <w:spacing w:val="1"/>
        </w:rPr>
        <w:t>难治性 </w:t>
      </w:r>
      <w:r>
        <w:rPr>
          <w:rFonts w:ascii="Arial" w:eastAsia="Arial"/>
        </w:rPr>
        <w:t>MM </w:t>
      </w:r>
      <w:r>
        <w:rPr>
          <w:spacing w:val="-3"/>
        </w:rPr>
        <w:t>患者的预后，涵盖 </w:t>
      </w:r>
      <w:r>
        <w:rPr>
          <w:rFonts w:ascii="Arial" w:eastAsia="Arial"/>
        </w:rPr>
        <w:t>275 </w:t>
      </w:r>
      <w:r>
        <w:rPr>
          <w:spacing w:val="4"/>
        </w:rPr>
        <w:t>名 </w:t>
      </w:r>
      <w:r>
        <w:rPr>
          <w:rFonts w:ascii="Arial" w:eastAsia="Arial"/>
        </w:rPr>
        <w:t>CD38 </w:t>
      </w:r>
      <w:r>
        <w:rPr>
          <w:spacing w:val="-1"/>
        </w:rPr>
        <w:t>难治患者的预后</w:t>
      </w:r>
      <w:r>
        <w:rPr>
          <w:spacing w:val="4"/>
        </w:rPr>
        <w:t>数据，患者 </w:t>
      </w:r>
      <w:r>
        <w:rPr>
          <w:rFonts w:ascii="Arial" w:eastAsia="Arial"/>
        </w:rPr>
        <w:t>OS </w:t>
      </w:r>
      <w:r>
        <w:rPr>
          <w:spacing w:val="17"/>
        </w:rPr>
        <w:t>为 </w:t>
      </w:r>
      <w:r>
        <w:rPr>
          <w:rFonts w:ascii="Arial" w:eastAsia="Arial"/>
        </w:rPr>
        <w:t>8.6 </w:t>
      </w:r>
      <w:r>
        <w:rPr>
          <w:spacing w:val="4"/>
        </w:rPr>
        <w:t>个月。其中 </w:t>
      </w:r>
      <w:r>
        <w:rPr>
          <w:rFonts w:ascii="Arial" w:eastAsia="Arial"/>
          <w:spacing w:val="-2"/>
        </w:rPr>
        <w:t>90%</w:t>
      </w:r>
      <w:r>
        <w:rPr>
          <w:spacing w:val="-5"/>
        </w:rPr>
        <w:t>患者接受了至少一种后续治疗方案，治疗总有效率</w:t>
      </w:r>
      <w:r>
        <w:rPr>
          <w:spacing w:val="4"/>
        </w:rPr>
        <w:t>为 </w:t>
      </w:r>
      <w:r>
        <w:rPr>
          <w:rFonts w:ascii="Arial" w:eastAsia="Arial"/>
          <w:spacing w:val="2"/>
        </w:rPr>
        <w:t>31%</w:t>
      </w:r>
      <w:r>
        <w:rPr>
          <w:spacing w:val="2"/>
        </w:rPr>
        <w:t>，</w:t>
      </w:r>
      <w:r>
        <w:rPr>
          <w:rFonts w:ascii="Arial" w:eastAsia="Arial"/>
          <w:spacing w:val="2"/>
        </w:rPr>
        <w:t>mPFS </w:t>
      </w:r>
      <w:r>
        <w:rPr>
          <w:spacing w:val="4"/>
        </w:rPr>
        <w:t>和 </w:t>
      </w:r>
      <w:r>
        <w:rPr>
          <w:rFonts w:ascii="Arial" w:eastAsia="Arial"/>
        </w:rPr>
        <w:t>mOS</w:t>
      </w:r>
      <w:r>
        <w:rPr>
          <w:rFonts w:ascii="Arial" w:eastAsia="Arial"/>
          <w:spacing w:val="53"/>
        </w:rPr>
        <w:t> </w:t>
      </w:r>
      <w:r>
        <w:rPr>
          <w:spacing w:val="10"/>
        </w:rPr>
        <w:t>分别为 </w:t>
      </w:r>
      <w:r>
        <w:rPr>
          <w:rFonts w:ascii="Arial" w:eastAsia="Arial"/>
        </w:rPr>
        <w:t>3.4</w:t>
      </w:r>
      <w:r>
        <w:rPr>
          <w:rFonts w:ascii="Arial" w:eastAsia="Arial"/>
          <w:spacing w:val="51"/>
        </w:rPr>
        <w:t> </w:t>
      </w:r>
      <w:r>
        <w:rPr>
          <w:spacing w:val="6"/>
        </w:rPr>
        <w:t>和 </w:t>
      </w:r>
      <w:r>
        <w:rPr>
          <w:rFonts w:ascii="Arial" w:eastAsia="Arial"/>
        </w:rPr>
        <w:t>9.3 </w:t>
      </w:r>
      <w:r>
        <w:rPr>
          <w:spacing w:val="12"/>
        </w:rPr>
        <w:t>个月。另一项纳入多国真实世界数据的</w:t>
      </w:r>
      <w:r>
        <w:rPr>
          <w:rFonts w:ascii="Arial" w:eastAsia="Arial"/>
        </w:rPr>
        <w:t>LocoMMotion </w:t>
      </w:r>
      <w:r>
        <w:rPr>
          <w:spacing w:val="14"/>
        </w:rPr>
        <w:t>研究 </w:t>
      </w:r>
      <w:hyperlink r:id="rId41">
        <w:r>
          <w:rPr>
            <w:rFonts w:ascii="Arial" w:eastAsia="Arial"/>
          </w:rPr>
          <w:t>(</w:t>
        </w:r>
        <w:r>
          <w:rPr>
            <w:rFonts w:ascii="Arial" w:eastAsia="Arial"/>
            <w:color w:val="0000FF"/>
            <w:u w:val="single" w:color="0000FF"/>
          </w:rPr>
          <w:t>link</w:t>
        </w:r>
      </w:hyperlink>
      <w:r>
        <w:rPr>
          <w:rFonts w:ascii="Arial" w:eastAsia="Arial"/>
          <w:spacing w:val="17"/>
        </w:rPr>
        <w:t>) </w:t>
      </w:r>
      <w:r>
        <w:rPr/>
        <w:t>是在三药暴露的 </w:t>
      </w:r>
      <w:r>
        <w:rPr>
          <w:rFonts w:ascii="Arial" w:eastAsia="Arial"/>
        </w:rPr>
        <w:t>RRMM </w:t>
      </w:r>
      <w:r>
        <w:rPr>
          <w:spacing w:val="-2"/>
        </w:rPr>
        <w:t>患者中开展的首项前瞻性、真实世界中</w:t>
      </w:r>
      <w:r>
        <w:rPr>
          <w:rFonts w:ascii="Arial" w:eastAsia="Arial"/>
          <w:spacing w:val="-2"/>
        </w:rPr>
        <w:t>SOC </w:t>
      </w:r>
      <w:r>
        <w:rPr>
          <w:spacing w:val="-4"/>
        </w:rPr>
        <w:t>治疗研究，证实了现有对于 </w:t>
      </w:r>
      <w:r>
        <w:rPr>
          <w:rFonts w:ascii="Arial" w:eastAsia="Arial"/>
        </w:rPr>
        <w:t>TCR MM </w:t>
      </w:r>
      <w:r>
        <w:rPr>
          <w:spacing w:val="-3"/>
        </w:rPr>
        <w:t>的疗法的预后较差。接受 </w:t>
      </w:r>
      <w:r>
        <w:rPr>
          <w:rFonts w:ascii="Arial" w:eastAsia="Arial"/>
        </w:rPr>
        <w:t>SOC </w:t>
      </w:r>
      <w:r>
        <w:rPr>
          <w:spacing w:val="1"/>
        </w:rPr>
        <w:t>治疗的 </w:t>
      </w:r>
      <w:r>
        <w:rPr>
          <w:rFonts w:ascii="Arial" w:eastAsia="Arial"/>
        </w:rPr>
        <w:t>ORR </w:t>
      </w:r>
      <w:r>
        <w:rPr/>
        <w:t>仅</w:t>
      </w:r>
      <w:r>
        <w:rPr>
          <w:spacing w:val="-2"/>
        </w:rPr>
        <w:t>为 </w:t>
      </w:r>
      <w:r>
        <w:rPr>
          <w:rFonts w:ascii="Arial" w:eastAsia="Arial"/>
        </w:rPr>
        <w:t>29.8%</w:t>
      </w:r>
      <w:r>
        <w:rPr>
          <w:spacing w:val="3"/>
        </w:rPr>
        <w:t>， </w:t>
      </w:r>
      <w:r>
        <w:rPr>
          <w:rFonts w:ascii="Arial" w:eastAsia="Arial"/>
        </w:rPr>
        <w:t>CR </w:t>
      </w:r>
      <w:r>
        <w:rPr>
          <w:spacing w:val="-2"/>
        </w:rPr>
        <w:t>为 </w:t>
      </w:r>
      <w:r>
        <w:rPr>
          <w:rFonts w:ascii="Arial" w:eastAsia="Arial"/>
        </w:rPr>
        <w:t>0.4%</w:t>
      </w:r>
      <w:r>
        <w:rPr/>
        <w:t>，</w:t>
      </w:r>
      <w:r>
        <w:rPr>
          <w:rFonts w:ascii="Arial" w:eastAsia="Arial"/>
        </w:rPr>
        <w:t>mPFS </w:t>
      </w:r>
      <w:r>
        <w:rPr>
          <w:spacing w:val="-2"/>
        </w:rPr>
        <w:t>为 </w:t>
      </w:r>
      <w:r>
        <w:rPr>
          <w:rFonts w:ascii="Arial" w:eastAsia="Arial"/>
        </w:rPr>
        <w:t>4.6 </w:t>
      </w:r>
      <w:r>
        <w:rPr/>
        <w:t>个月，</w:t>
      </w:r>
      <w:r>
        <w:rPr>
          <w:rFonts w:ascii="Arial" w:eastAsia="Arial"/>
        </w:rPr>
        <w:t>mOS </w:t>
      </w:r>
      <w:r>
        <w:rPr>
          <w:spacing w:val="-5"/>
        </w:rPr>
        <w:t>为 </w:t>
      </w:r>
      <w:r>
        <w:rPr>
          <w:rFonts w:ascii="Arial" w:eastAsia="Arial"/>
        </w:rPr>
        <w:t>12.4 </w:t>
      </w:r>
      <w:r>
        <w:rPr/>
        <w:t>个月。</w:t>
      </w:r>
    </w:p>
    <w:p>
      <w:pPr>
        <w:pStyle w:val="BodyText"/>
        <w:spacing w:line="288" w:lineRule="auto" w:before="114"/>
        <w:ind w:right="2809"/>
        <w:jc w:val="both"/>
      </w:pPr>
      <w:r>
        <w:rPr>
          <w:spacing w:val="-1"/>
        </w:rPr>
        <w:t>一篇在 </w:t>
      </w:r>
      <w:r>
        <w:rPr>
          <w:rFonts w:ascii="Arial" w:eastAsia="Arial"/>
        </w:rPr>
        <w:t>2021 </w:t>
      </w:r>
      <w:r>
        <w:rPr>
          <w:spacing w:val="-2"/>
        </w:rPr>
        <w:t>年 </w:t>
      </w:r>
      <w:r>
        <w:rPr>
          <w:rFonts w:ascii="Arial" w:eastAsia="Arial"/>
        </w:rPr>
        <w:t>10 </w:t>
      </w:r>
      <w:r>
        <w:rPr>
          <w:spacing w:val="12"/>
        </w:rPr>
        <w:t>月发表在</w:t>
      </w:r>
      <w:r>
        <w:rPr>
          <w:rFonts w:ascii="Arial" w:eastAsia="Arial"/>
        </w:rPr>
        <w:t>Clinical Lymphoma</w:t>
      </w:r>
      <w:r>
        <w:rPr>
          <w:rFonts w:ascii="Arial" w:eastAsia="Arial"/>
          <w:spacing w:val="9"/>
        </w:rPr>
        <w:t>, </w:t>
      </w:r>
      <w:r>
        <w:rPr>
          <w:rFonts w:ascii="Arial" w:eastAsia="Arial"/>
        </w:rPr>
        <w:t>Myeloma &amp; Leukemia </w:t>
      </w:r>
      <w:r>
        <w:rPr>
          <w:spacing w:val="4"/>
        </w:rPr>
        <w:t>的文章 </w:t>
      </w:r>
      <w:r>
        <w:rPr>
          <w:rFonts w:ascii="Arial" w:eastAsia="Arial"/>
        </w:rPr>
        <w:t>(</w:t>
      </w:r>
      <w:hyperlink r:id="rId42">
        <w:r>
          <w:rPr>
            <w:rFonts w:ascii="Arial" w:eastAsia="Arial"/>
            <w:color w:val="0000FF"/>
            <w:u w:val="single" w:color="0000FF"/>
          </w:rPr>
          <w:t>link</w:t>
        </w:r>
      </w:hyperlink>
      <w:r>
        <w:rPr>
          <w:rFonts w:ascii="Arial" w:eastAsia="Arial"/>
          <w:spacing w:val="9"/>
        </w:rPr>
        <w:t>) </w:t>
      </w:r>
      <w:r>
        <w:rPr/>
        <w:t>对比了强生</w:t>
      </w:r>
      <w:r>
        <w:rPr>
          <w:rFonts w:ascii="Arial" w:eastAsia="Arial"/>
          <w:spacing w:val="-4"/>
        </w:rPr>
        <w:t>/</w:t>
      </w:r>
      <w:r>
        <w:rPr>
          <w:spacing w:val="7"/>
        </w:rPr>
        <w:t>传奇的</w:t>
      </w:r>
      <w:r>
        <w:rPr>
          <w:rFonts w:ascii="Arial" w:eastAsia="Arial"/>
        </w:rPr>
        <w:t>Cilta-cel </w:t>
      </w:r>
      <w:r>
        <w:rPr>
          <w:spacing w:val="24"/>
        </w:rPr>
        <w:t>与</w:t>
      </w:r>
      <w:r>
        <w:rPr>
          <w:rFonts w:ascii="Arial" w:eastAsia="Arial"/>
          <w:spacing w:val="4"/>
        </w:rPr>
        <w:t>SOC</w:t>
      </w:r>
      <w:r>
        <w:rPr>
          <w:spacing w:val="4"/>
        </w:rPr>
        <w:t>用于末线</w:t>
      </w:r>
      <w:r>
        <w:rPr>
          <w:rFonts w:ascii="Arial" w:eastAsia="Arial"/>
          <w:spacing w:val="9"/>
        </w:rPr>
        <w:t>MM</w:t>
      </w:r>
      <w:r>
        <w:rPr/>
        <w:t>治疗，分别纳入</w:t>
      </w:r>
      <w:r>
        <w:rPr>
          <w:rFonts w:ascii="Arial" w:eastAsia="Arial"/>
        </w:rPr>
        <w:t>CARTITUDE-1 </w:t>
      </w:r>
      <w:r>
        <w:rPr>
          <w:spacing w:val="19"/>
        </w:rPr>
        <w:t>与</w:t>
      </w:r>
      <w:r>
        <w:rPr>
          <w:rFonts w:ascii="Arial" w:eastAsia="Arial"/>
        </w:rPr>
        <w:t>MAMMOTH </w:t>
      </w:r>
      <w:r>
        <w:rPr>
          <w:spacing w:val="-3"/>
        </w:rPr>
        <w:t>研究中相同基线患者各 </w:t>
      </w:r>
      <w:r>
        <w:rPr>
          <w:rFonts w:ascii="Arial" w:eastAsia="Arial"/>
        </w:rPr>
        <w:t>95 </w:t>
      </w:r>
      <w:r>
        <w:rPr>
          <w:spacing w:val="10"/>
        </w:rPr>
        <w:t>例，其中</w:t>
      </w:r>
      <w:r>
        <w:rPr>
          <w:rFonts w:ascii="Arial" w:eastAsia="Arial"/>
        </w:rPr>
        <w:t>TCR MM </w:t>
      </w:r>
      <w:r>
        <w:rPr>
          <w:spacing w:val="-3"/>
        </w:rPr>
        <w:t>占比分别为 </w:t>
      </w:r>
      <w:r>
        <w:rPr>
          <w:rFonts w:ascii="Arial" w:eastAsia="Arial"/>
          <w:spacing w:val="-2"/>
        </w:rPr>
        <w:t>97%</w:t>
      </w:r>
      <w:r>
        <w:rPr/>
        <w:t>与 </w:t>
      </w:r>
      <w:r>
        <w:rPr>
          <w:rFonts w:ascii="Arial" w:eastAsia="Arial"/>
          <w:spacing w:val="-2"/>
        </w:rPr>
        <w:t>96%</w:t>
      </w:r>
      <w:r>
        <w:rPr/>
        <w:t>。自体 </w:t>
      </w:r>
      <w:r>
        <w:rPr>
          <w:rFonts w:ascii="Arial" w:eastAsia="Arial"/>
        </w:rPr>
        <w:t>BCMA CAR- T </w:t>
      </w:r>
      <w:r>
        <w:rPr>
          <w:spacing w:val="21"/>
        </w:rPr>
        <w:t>疗法</w:t>
      </w:r>
      <w:r>
        <w:rPr>
          <w:rFonts w:ascii="Arial" w:eastAsia="Arial"/>
        </w:rPr>
        <w:t>Cilta-cel </w:t>
      </w:r>
      <w:r>
        <w:rPr>
          <w:spacing w:val="-3"/>
        </w:rPr>
        <w:t>对比 </w:t>
      </w:r>
      <w:r>
        <w:rPr>
          <w:rFonts w:ascii="Arial" w:eastAsia="Arial"/>
        </w:rPr>
        <w:t>SOC</w:t>
      </w:r>
      <w:r>
        <w:rPr>
          <w:spacing w:val="-1"/>
        </w:rPr>
        <w:t>，在 </w:t>
      </w:r>
      <w:r>
        <w:rPr>
          <w:rFonts w:ascii="Arial" w:eastAsia="Arial"/>
        </w:rPr>
        <w:t>r/r MM </w:t>
      </w:r>
      <w:r>
        <w:rPr>
          <w:spacing w:val="-5"/>
        </w:rPr>
        <w:t>患者后线治疗中体现出了显著的疗效优势。</w:t>
      </w:r>
      <w:r>
        <w:rPr>
          <w:rFonts w:ascii="Arial" w:eastAsia="Arial"/>
        </w:rPr>
        <w:t>CAR-T </w:t>
      </w:r>
      <w:r>
        <w:rPr/>
        <w:t>缓</w:t>
      </w:r>
      <w:r>
        <w:rPr>
          <w:spacing w:val="-1"/>
        </w:rPr>
        <w:t>解率显著优于 </w:t>
      </w:r>
      <w:r>
        <w:rPr>
          <w:rFonts w:ascii="Arial" w:eastAsia="Arial"/>
        </w:rPr>
        <w:t>SOC</w:t>
      </w:r>
      <w:r>
        <w:rPr>
          <w:spacing w:val="1"/>
        </w:rPr>
        <w:t>，两组 </w:t>
      </w:r>
      <w:r>
        <w:rPr>
          <w:rFonts w:ascii="Arial" w:eastAsia="Arial"/>
        </w:rPr>
        <w:t>ORR </w:t>
      </w:r>
      <w:r>
        <w:rPr>
          <w:spacing w:val="1"/>
        </w:rPr>
        <w:t>分别为 </w:t>
      </w:r>
      <w:r>
        <w:rPr>
          <w:rFonts w:ascii="Arial" w:eastAsia="Arial"/>
          <w:spacing w:val="-2"/>
        </w:rPr>
        <w:t>84%</w:t>
      </w:r>
      <w:r>
        <w:rPr>
          <w:spacing w:val="4"/>
        </w:rPr>
        <w:t>与 </w:t>
      </w:r>
      <w:r>
        <w:rPr>
          <w:rFonts w:ascii="Arial" w:eastAsia="Arial"/>
        </w:rPr>
        <w:t>28%</w:t>
      </w:r>
      <w:r>
        <w:rPr>
          <w:spacing w:val="17"/>
        </w:rPr>
        <w:t>， </w:t>
      </w:r>
      <w:r>
        <w:rPr>
          <w:rFonts w:ascii="Arial" w:eastAsia="Arial"/>
        </w:rPr>
        <w:t>12 </w:t>
      </w:r>
      <w:r>
        <w:rPr>
          <w:spacing w:val="3"/>
        </w:rPr>
        <w:t>个月 </w:t>
      </w:r>
      <w:r>
        <w:rPr>
          <w:rFonts w:ascii="Arial" w:eastAsia="Arial"/>
        </w:rPr>
        <w:t>PFS </w:t>
      </w:r>
      <w:r>
        <w:rPr/>
        <w:t>率分别为 </w:t>
      </w:r>
      <w:r>
        <w:rPr>
          <w:rFonts w:ascii="Arial" w:eastAsia="Arial"/>
          <w:spacing w:val="-2"/>
        </w:rPr>
        <w:t>73%</w:t>
      </w:r>
      <w:r>
        <w:rPr>
          <w:spacing w:val="4"/>
        </w:rPr>
        <w:t>与 </w:t>
      </w:r>
      <w:r>
        <w:rPr>
          <w:rFonts w:ascii="Arial" w:eastAsia="Arial"/>
          <w:spacing w:val="-2"/>
        </w:rPr>
        <w:t>12% </w:t>
      </w:r>
      <w:r>
        <w:rPr>
          <w:rFonts w:ascii="Arial" w:eastAsia="Arial"/>
        </w:rPr>
        <w:t>(HR=0.11)</w:t>
      </w:r>
      <w:r>
        <w:rPr/>
        <w:t>，</w:t>
      </w:r>
      <w:r>
        <w:rPr>
          <w:rFonts w:ascii="Arial" w:eastAsia="Arial"/>
        </w:rPr>
        <w:t>12 </w:t>
      </w:r>
      <w:r>
        <w:rPr>
          <w:spacing w:val="24"/>
        </w:rPr>
        <w:t>个月</w:t>
      </w:r>
      <w:r>
        <w:rPr>
          <w:rFonts w:ascii="Arial" w:eastAsia="Arial"/>
        </w:rPr>
        <w:t>OS </w:t>
      </w:r>
      <w:r>
        <w:rPr>
          <w:spacing w:val="-1"/>
        </w:rPr>
        <w:t>率分别为 </w:t>
      </w:r>
      <w:r>
        <w:rPr>
          <w:rFonts w:ascii="Arial" w:eastAsia="Arial"/>
          <w:spacing w:val="-2"/>
        </w:rPr>
        <w:t>83%</w:t>
      </w:r>
      <w:r>
        <w:rPr>
          <w:spacing w:val="-2"/>
        </w:rPr>
        <w:t>与 </w:t>
      </w:r>
      <w:r>
        <w:rPr>
          <w:rFonts w:ascii="Arial" w:eastAsia="Arial"/>
        </w:rPr>
        <w:t>39% (HR=0.20)</w:t>
      </w:r>
      <w:r>
        <w:rPr/>
        <w:t>。</w:t>
      </w:r>
    </w:p>
    <w:p>
      <w:pPr>
        <w:pStyle w:val="Heading3"/>
        <w:spacing w:before="69" w:after="4"/>
      </w:pPr>
      <w:r>
        <w:rPr/>
        <w:t>图 </w:t>
      </w:r>
      <w:r>
        <w:rPr>
          <w:rFonts w:ascii="Arial" w:eastAsia="Arial"/>
        </w:rPr>
        <w:t>33: BCMA CAR-T vs SOC </w:t>
      </w:r>
      <w:r>
        <w:rPr/>
        <w:t>在末线 </w:t>
      </w:r>
      <w:r>
        <w:rPr>
          <w:rFonts w:ascii="Arial" w:eastAsia="Arial"/>
        </w:rPr>
        <w:t>MM </w:t>
      </w:r>
      <w:r>
        <w:rPr/>
        <w:t>患者中的疗效对比</w:t>
      </w:r>
    </w:p>
    <w:tbl>
      <w:tblPr>
        <w:tblW w:w="0" w:type="auto"/>
        <w:jc w:val="left"/>
        <w:tblInd w:w="2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832"/>
        <w:gridCol w:w="3112"/>
        <w:gridCol w:w="3004"/>
      </w:tblGrid>
      <w:tr>
        <w:trPr>
          <w:trHeight w:val="248" w:hRule="atLeast"/>
        </w:trPr>
        <w:tc>
          <w:tcPr>
            <w:tcW w:w="1832" w:type="dxa"/>
            <w:tcBorders>
              <w:left w:val="nil"/>
              <w:bottom w:val="single" w:sz="6" w:space="0" w:color="000000"/>
              <w:right w:val="single" w:sz="6" w:space="0" w:color="000000"/>
            </w:tcBorders>
            <w:shd w:val="clear" w:color="auto" w:fill="C00000"/>
          </w:tcPr>
          <w:p>
            <w:pPr>
              <w:pStyle w:val="TableParagraph"/>
              <w:spacing w:line="229" w:lineRule="exact"/>
              <w:ind w:left="110"/>
              <w:rPr>
                <w:rFonts w:ascii="Microsoft JhengHei UI" w:eastAsia="Microsoft JhengHei UI" w:hint="eastAsia"/>
                <w:b/>
                <w:sz w:val="16"/>
              </w:rPr>
            </w:pPr>
            <w:r>
              <w:rPr>
                <w:rFonts w:ascii="Microsoft JhengHei UI" w:eastAsia="Microsoft JhengHei UI" w:hint="eastAsia"/>
                <w:b/>
                <w:color w:val="FFFFFF"/>
                <w:sz w:val="16"/>
              </w:rPr>
              <w:t>数据来源</w:t>
            </w:r>
          </w:p>
        </w:tc>
        <w:tc>
          <w:tcPr>
            <w:tcW w:w="3112" w:type="dxa"/>
            <w:tcBorders>
              <w:left w:val="single" w:sz="6" w:space="0" w:color="000000"/>
              <w:bottom w:val="single" w:sz="6" w:space="0" w:color="000000"/>
              <w:right w:val="single" w:sz="6" w:space="0" w:color="000000"/>
            </w:tcBorders>
            <w:shd w:val="clear" w:color="auto" w:fill="C00000"/>
          </w:tcPr>
          <w:p>
            <w:pPr>
              <w:pStyle w:val="TableParagraph"/>
              <w:spacing w:before="27"/>
              <w:ind w:left="100"/>
              <w:rPr>
                <w:b/>
                <w:sz w:val="16"/>
              </w:rPr>
            </w:pPr>
            <w:r>
              <w:rPr>
                <w:b/>
                <w:color w:val="FFFFFF"/>
                <w:sz w:val="16"/>
              </w:rPr>
              <w:t>CARTITUDE-1</w:t>
            </w:r>
          </w:p>
        </w:tc>
        <w:tc>
          <w:tcPr>
            <w:tcW w:w="3004" w:type="dxa"/>
            <w:tcBorders>
              <w:left w:val="single" w:sz="6" w:space="0" w:color="000000"/>
              <w:bottom w:val="single" w:sz="6" w:space="0" w:color="000000"/>
              <w:right w:val="nil"/>
            </w:tcBorders>
            <w:shd w:val="clear" w:color="auto" w:fill="C00000"/>
          </w:tcPr>
          <w:p>
            <w:pPr>
              <w:pStyle w:val="TableParagraph"/>
              <w:spacing w:before="27"/>
              <w:ind w:left="104"/>
              <w:rPr>
                <w:b/>
                <w:sz w:val="16"/>
              </w:rPr>
            </w:pPr>
            <w:r>
              <w:rPr>
                <w:b/>
                <w:color w:val="FFFFFF"/>
                <w:sz w:val="16"/>
              </w:rPr>
              <w:t>MAMMOTH</w:t>
            </w:r>
          </w:p>
        </w:tc>
      </w:tr>
      <w:tr>
        <w:trPr>
          <w:trHeight w:val="249" w:hRule="atLeast"/>
        </w:trPr>
        <w:tc>
          <w:tcPr>
            <w:tcW w:w="1832" w:type="dxa"/>
            <w:tcBorders>
              <w:top w:val="single" w:sz="6" w:space="0" w:color="000000"/>
              <w:left w:val="nil"/>
              <w:bottom w:val="single" w:sz="6" w:space="0" w:color="000000"/>
              <w:right w:val="single" w:sz="6" w:space="0" w:color="000000"/>
            </w:tcBorders>
          </w:tcPr>
          <w:p>
            <w:pPr>
              <w:pStyle w:val="TableParagraph"/>
              <w:spacing w:before="3"/>
              <w:ind w:left="110"/>
              <w:rPr>
                <w:rFonts w:ascii="PMingLiU" w:eastAsia="PMingLiU" w:hint="eastAsia"/>
                <w:sz w:val="16"/>
              </w:rPr>
            </w:pPr>
            <w:r>
              <w:rPr>
                <w:rFonts w:ascii="PMingLiU" w:eastAsia="PMingLiU" w:hint="eastAsia"/>
                <w:sz w:val="16"/>
              </w:rPr>
              <w:t>疗法</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7"/>
              <w:ind w:left="100"/>
              <w:rPr>
                <w:sz w:val="16"/>
              </w:rPr>
            </w:pPr>
            <w:r>
              <w:rPr>
                <w:sz w:val="16"/>
              </w:rPr>
              <w:t>Cilta-cel (CAR-T)</w:t>
            </w:r>
          </w:p>
        </w:tc>
        <w:tc>
          <w:tcPr>
            <w:tcW w:w="3004" w:type="dxa"/>
            <w:tcBorders>
              <w:top w:val="single" w:sz="6" w:space="0" w:color="000000"/>
              <w:left w:val="single" w:sz="6" w:space="0" w:color="000000"/>
              <w:bottom w:val="single" w:sz="6" w:space="0" w:color="000000"/>
              <w:right w:val="nil"/>
            </w:tcBorders>
          </w:tcPr>
          <w:p>
            <w:pPr>
              <w:pStyle w:val="TableParagraph"/>
              <w:spacing w:before="27"/>
              <w:ind w:left="104"/>
              <w:rPr>
                <w:sz w:val="16"/>
              </w:rPr>
            </w:pPr>
            <w:r>
              <w:rPr>
                <w:sz w:val="16"/>
              </w:rPr>
              <w:t>SOC</w:t>
            </w:r>
          </w:p>
        </w:tc>
      </w:tr>
      <w:tr>
        <w:trPr>
          <w:trHeight w:val="249" w:hRule="atLeast"/>
        </w:trPr>
        <w:tc>
          <w:tcPr>
            <w:tcW w:w="1832" w:type="dxa"/>
            <w:tcBorders>
              <w:top w:val="single" w:sz="6" w:space="0" w:color="000000"/>
              <w:left w:val="nil"/>
              <w:bottom w:val="single" w:sz="6" w:space="0" w:color="000000"/>
              <w:right w:val="single" w:sz="6" w:space="0" w:color="000000"/>
            </w:tcBorders>
          </w:tcPr>
          <w:p>
            <w:pPr>
              <w:pStyle w:val="TableParagraph"/>
              <w:spacing w:before="3"/>
              <w:ind w:left="110"/>
              <w:rPr>
                <w:rFonts w:ascii="PMingLiU" w:eastAsia="PMingLiU" w:hint="eastAsia"/>
                <w:sz w:val="16"/>
              </w:rPr>
            </w:pPr>
            <w:r>
              <w:rPr>
                <w:rFonts w:ascii="PMingLiU" w:eastAsia="PMingLiU" w:hint="eastAsia"/>
                <w:sz w:val="16"/>
              </w:rPr>
              <w:t>样本量</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7"/>
              <w:ind w:left="100"/>
              <w:rPr>
                <w:sz w:val="16"/>
              </w:rPr>
            </w:pPr>
            <w:r>
              <w:rPr>
                <w:sz w:val="16"/>
              </w:rPr>
              <w:t>95</w:t>
            </w:r>
          </w:p>
        </w:tc>
        <w:tc>
          <w:tcPr>
            <w:tcW w:w="3004" w:type="dxa"/>
            <w:tcBorders>
              <w:top w:val="single" w:sz="6" w:space="0" w:color="000000"/>
              <w:left w:val="single" w:sz="6" w:space="0" w:color="000000"/>
              <w:bottom w:val="single" w:sz="6" w:space="0" w:color="000000"/>
              <w:right w:val="nil"/>
            </w:tcBorders>
          </w:tcPr>
          <w:p>
            <w:pPr>
              <w:pStyle w:val="TableParagraph"/>
              <w:spacing w:before="27"/>
              <w:ind w:left="104"/>
              <w:rPr>
                <w:sz w:val="16"/>
              </w:rPr>
            </w:pPr>
            <w:r>
              <w:rPr>
                <w:sz w:val="16"/>
              </w:rPr>
              <w:t>95</w:t>
            </w:r>
          </w:p>
        </w:tc>
      </w:tr>
      <w:tr>
        <w:trPr>
          <w:trHeight w:val="248" w:hRule="atLeast"/>
        </w:trPr>
        <w:tc>
          <w:tcPr>
            <w:tcW w:w="1832" w:type="dxa"/>
            <w:tcBorders>
              <w:top w:val="single" w:sz="6" w:space="0" w:color="000000"/>
              <w:left w:val="nil"/>
              <w:bottom w:val="single" w:sz="6" w:space="0" w:color="000000"/>
              <w:right w:val="single" w:sz="6" w:space="0" w:color="000000"/>
            </w:tcBorders>
          </w:tcPr>
          <w:p>
            <w:pPr>
              <w:pStyle w:val="TableParagraph"/>
              <w:spacing w:before="3"/>
              <w:ind w:left="110"/>
              <w:rPr>
                <w:rFonts w:ascii="PMingLiU" w:eastAsia="PMingLiU" w:hint="eastAsia"/>
                <w:sz w:val="16"/>
              </w:rPr>
            </w:pPr>
            <w:r>
              <w:rPr>
                <w:rFonts w:ascii="PMingLiU" w:eastAsia="PMingLiU" w:hint="eastAsia"/>
                <w:sz w:val="16"/>
              </w:rPr>
              <w:t>中位年龄</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7"/>
              <w:ind w:left="100"/>
              <w:rPr>
                <w:sz w:val="16"/>
              </w:rPr>
            </w:pPr>
            <w:r>
              <w:rPr>
                <w:sz w:val="16"/>
              </w:rPr>
              <w:t>62.4</w:t>
            </w:r>
          </w:p>
        </w:tc>
        <w:tc>
          <w:tcPr>
            <w:tcW w:w="3004" w:type="dxa"/>
            <w:tcBorders>
              <w:top w:val="single" w:sz="6" w:space="0" w:color="000000"/>
              <w:left w:val="single" w:sz="6" w:space="0" w:color="000000"/>
              <w:bottom w:val="single" w:sz="6" w:space="0" w:color="000000"/>
              <w:right w:val="nil"/>
            </w:tcBorders>
          </w:tcPr>
          <w:p>
            <w:pPr>
              <w:pStyle w:val="TableParagraph"/>
              <w:spacing w:before="27"/>
              <w:ind w:left="104"/>
              <w:rPr>
                <w:sz w:val="16"/>
              </w:rPr>
            </w:pPr>
            <w:r>
              <w:rPr>
                <w:sz w:val="16"/>
              </w:rPr>
              <w:t>62</w:t>
            </w:r>
          </w:p>
        </w:tc>
      </w:tr>
      <w:tr>
        <w:trPr>
          <w:trHeight w:val="248" w:hRule="atLeast"/>
        </w:trPr>
        <w:tc>
          <w:tcPr>
            <w:tcW w:w="1832" w:type="dxa"/>
            <w:tcBorders>
              <w:top w:val="single" w:sz="6" w:space="0" w:color="000000"/>
              <w:left w:val="nil"/>
              <w:bottom w:val="single" w:sz="6" w:space="0" w:color="000000"/>
              <w:right w:val="single" w:sz="6" w:space="0" w:color="000000"/>
            </w:tcBorders>
          </w:tcPr>
          <w:p>
            <w:pPr>
              <w:pStyle w:val="TableParagraph"/>
              <w:spacing w:before="3"/>
              <w:ind w:left="110"/>
              <w:rPr>
                <w:rFonts w:ascii="PMingLiU" w:eastAsia="PMingLiU" w:hint="eastAsia"/>
                <w:sz w:val="16"/>
              </w:rPr>
            </w:pPr>
            <w:r>
              <w:rPr>
                <w:rFonts w:ascii="PMingLiU" w:eastAsia="PMingLiU" w:hint="eastAsia"/>
                <w:sz w:val="16"/>
              </w:rPr>
              <w:t>中位既往治疗数</w:t>
            </w:r>
            <w:r>
              <w:rPr>
                <w:sz w:val="16"/>
              </w:rPr>
              <w:t>/</w:t>
            </w:r>
            <w:r>
              <w:rPr>
                <w:rFonts w:ascii="PMingLiU" w:eastAsia="PMingLiU" w:hint="eastAsia"/>
                <w:sz w:val="16"/>
              </w:rPr>
              <w:t>线</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7"/>
              <w:ind w:left="100"/>
              <w:rPr>
                <w:sz w:val="16"/>
              </w:rPr>
            </w:pPr>
            <w:r>
              <w:rPr>
                <w:sz w:val="16"/>
              </w:rPr>
              <w:t>6.2</w:t>
            </w:r>
          </w:p>
        </w:tc>
        <w:tc>
          <w:tcPr>
            <w:tcW w:w="3004" w:type="dxa"/>
            <w:tcBorders>
              <w:top w:val="single" w:sz="6" w:space="0" w:color="000000"/>
              <w:left w:val="single" w:sz="6" w:space="0" w:color="000000"/>
              <w:bottom w:val="single" w:sz="6" w:space="0" w:color="000000"/>
              <w:right w:val="nil"/>
            </w:tcBorders>
          </w:tcPr>
          <w:p>
            <w:pPr>
              <w:pStyle w:val="TableParagraph"/>
              <w:spacing w:before="27"/>
              <w:ind w:left="104"/>
              <w:rPr>
                <w:sz w:val="16"/>
              </w:rPr>
            </w:pPr>
            <w:r>
              <w:rPr>
                <w:sz w:val="16"/>
              </w:rPr>
              <w:t>6.3</w:t>
            </w:r>
          </w:p>
        </w:tc>
      </w:tr>
      <w:tr>
        <w:trPr>
          <w:trHeight w:val="248" w:hRule="atLeast"/>
        </w:trPr>
        <w:tc>
          <w:tcPr>
            <w:tcW w:w="1832" w:type="dxa"/>
            <w:tcBorders>
              <w:top w:val="single" w:sz="6" w:space="0" w:color="000000"/>
              <w:left w:val="nil"/>
              <w:bottom w:val="single" w:sz="6" w:space="0" w:color="000000"/>
              <w:right w:val="single" w:sz="6" w:space="0" w:color="000000"/>
            </w:tcBorders>
          </w:tcPr>
          <w:p>
            <w:pPr>
              <w:pStyle w:val="TableParagraph"/>
              <w:spacing w:before="3"/>
              <w:ind w:left="110"/>
              <w:rPr>
                <w:rFonts w:ascii="PMingLiU" w:eastAsia="PMingLiU" w:hint="eastAsia"/>
                <w:sz w:val="16"/>
              </w:rPr>
            </w:pPr>
            <w:r>
              <w:rPr>
                <w:rFonts w:ascii="PMingLiU" w:eastAsia="PMingLiU" w:hint="eastAsia"/>
                <w:sz w:val="16"/>
              </w:rPr>
              <w:t>高危比例</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7"/>
              <w:ind w:left="100"/>
              <w:rPr>
                <w:sz w:val="16"/>
              </w:rPr>
            </w:pPr>
            <w:r>
              <w:rPr>
                <w:sz w:val="16"/>
              </w:rPr>
              <w:t>22%</w:t>
            </w:r>
          </w:p>
        </w:tc>
        <w:tc>
          <w:tcPr>
            <w:tcW w:w="3004" w:type="dxa"/>
            <w:tcBorders>
              <w:top w:val="single" w:sz="6" w:space="0" w:color="000000"/>
              <w:left w:val="single" w:sz="6" w:space="0" w:color="000000"/>
              <w:bottom w:val="single" w:sz="6" w:space="0" w:color="000000"/>
              <w:right w:val="nil"/>
            </w:tcBorders>
          </w:tcPr>
          <w:p>
            <w:pPr>
              <w:pStyle w:val="TableParagraph"/>
              <w:spacing w:before="27"/>
              <w:ind w:left="104"/>
              <w:rPr>
                <w:sz w:val="16"/>
              </w:rPr>
            </w:pPr>
            <w:r>
              <w:rPr>
                <w:sz w:val="16"/>
              </w:rPr>
              <w:t>24%</w:t>
            </w:r>
          </w:p>
        </w:tc>
      </w:tr>
      <w:tr>
        <w:trPr>
          <w:trHeight w:val="249" w:hRule="atLeast"/>
        </w:trPr>
        <w:tc>
          <w:tcPr>
            <w:tcW w:w="1832" w:type="dxa"/>
            <w:tcBorders>
              <w:top w:val="single" w:sz="6" w:space="0" w:color="000000"/>
              <w:left w:val="nil"/>
              <w:bottom w:val="single" w:sz="6" w:space="0" w:color="000000"/>
              <w:right w:val="single" w:sz="6" w:space="0" w:color="000000"/>
            </w:tcBorders>
          </w:tcPr>
          <w:p>
            <w:pPr>
              <w:pStyle w:val="TableParagraph"/>
              <w:spacing w:before="3"/>
              <w:ind w:left="110"/>
              <w:rPr>
                <w:rFonts w:ascii="PMingLiU" w:eastAsia="PMingLiU" w:hint="eastAsia"/>
                <w:sz w:val="16"/>
              </w:rPr>
            </w:pPr>
            <w:r>
              <w:rPr>
                <w:sz w:val="16"/>
              </w:rPr>
              <w:t>TCR MM </w:t>
            </w:r>
            <w:r>
              <w:rPr>
                <w:rFonts w:ascii="PMingLiU" w:eastAsia="PMingLiU" w:hint="eastAsia"/>
                <w:sz w:val="16"/>
              </w:rPr>
              <w:t>比例</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7"/>
              <w:ind w:left="100"/>
              <w:rPr>
                <w:sz w:val="16"/>
              </w:rPr>
            </w:pPr>
            <w:r>
              <w:rPr>
                <w:sz w:val="16"/>
              </w:rPr>
              <w:t>97%</w:t>
            </w:r>
          </w:p>
        </w:tc>
        <w:tc>
          <w:tcPr>
            <w:tcW w:w="3004" w:type="dxa"/>
            <w:tcBorders>
              <w:top w:val="single" w:sz="6" w:space="0" w:color="000000"/>
              <w:left w:val="single" w:sz="6" w:space="0" w:color="000000"/>
              <w:bottom w:val="single" w:sz="6" w:space="0" w:color="000000"/>
              <w:right w:val="nil"/>
            </w:tcBorders>
          </w:tcPr>
          <w:p>
            <w:pPr>
              <w:pStyle w:val="TableParagraph"/>
              <w:spacing w:before="27"/>
              <w:ind w:left="104"/>
              <w:rPr>
                <w:sz w:val="16"/>
              </w:rPr>
            </w:pPr>
            <w:r>
              <w:rPr>
                <w:sz w:val="16"/>
              </w:rPr>
              <w:t>96%</w:t>
            </w:r>
          </w:p>
        </w:tc>
      </w:tr>
      <w:tr>
        <w:trPr>
          <w:trHeight w:val="249" w:hRule="atLeast"/>
        </w:trPr>
        <w:tc>
          <w:tcPr>
            <w:tcW w:w="1832" w:type="dxa"/>
            <w:tcBorders>
              <w:top w:val="single" w:sz="6" w:space="0" w:color="000000"/>
              <w:left w:val="nil"/>
              <w:bottom w:val="single" w:sz="6" w:space="0" w:color="000000"/>
              <w:right w:val="single" w:sz="6" w:space="0" w:color="000000"/>
            </w:tcBorders>
          </w:tcPr>
          <w:p>
            <w:pPr>
              <w:pStyle w:val="TableParagraph"/>
              <w:spacing w:before="3"/>
              <w:ind w:left="110"/>
              <w:rPr>
                <w:rFonts w:ascii="PMingLiU" w:eastAsia="PMingLiU" w:hint="eastAsia"/>
                <w:sz w:val="16"/>
              </w:rPr>
            </w:pPr>
            <w:r>
              <w:rPr>
                <w:rFonts w:ascii="PMingLiU" w:eastAsia="PMingLiU" w:hint="eastAsia"/>
                <w:sz w:val="16"/>
              </w:rPr>
              <w:t>五重耐药比例</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8"/>
              <w:ind w:left="100"/>
              <w:rPr>
                <w:sz w:val="16"/>
              </w:rPr>
            </w:pPr>
            <w:r>
              <w:rPr>
                <w:sz w:val="16"/>
              </w:rPr>
              <w:t>43%</w:t>
            </w:r>
          </w:p>
        </w:tc>
        <w:tc>
          <w:tcPr>
            <w:tcW w:w="3004" w:type="dxa"/>
            <w:tcBorders>
              <w:top w:val="single" w:sz="6" w:space="0" w:color="000000"/>
              <w:left w:val="single" w:sz="6" w:space="0" w:color="000000"/>
              <w:bottom w:val="single" w:sz="6" w:space="0" w:color="000000"/>
              <w:right w:val="nil"/>
            </w:tcBorders>
          </w:tcPr>
          <w:p>
            <w:pPr>
              <w:pStyle w:val="TableParagraph"/>
              <w:spacing w:before="28"/>
              <w:ind w:left="104"/>
              <w:rPr>
                <w:sz w:val="16"/>
              </w:rPr>
            </w:pPr>
            <w:r>
              <w:rPr>
                <w:sz w:val="16"/>
              </w:rPr>
              <w:t>42%</w:t>
            </w:r>
          </w:p>
        </w:tc>
      </w:tr>
      <w:tr>
        <w:trPr>
          <w:trHeight w:val="248" w:hRule="atLeast"/>
        </w:trPr>
        <w:tc>
          <w:tcPr>
            <w:tcW w:w="1832" w:type="dxa"/>
            <w:tcBorders>
              <w:top w:val="single" w:sz="6" w:space="0" w:color="000000"/>
              <w:left w:val="nil"/>
              <w:bottom w:val="single" w:sz="6" w:space="0" w:color="000000"/>
              <w:right w:val="single" w:sz="6" w:space="0" w:color="000000"/>
            </w:tcBorders>
          </w:tcPr>
          <w:p>
            <w:pPr>
              <w:pStyle w:val="TableParagraph"/>
              <w:spacing w:before="27"/>
              <w:ind w:left="110"/>
              <w:rPr>
                <w:sz w:val="16"/>
              </w:rPr>
            </w:pPr>
            <w:r>
              <w:rPr>
                <w:sz w:val="16"/>
              </w:rPr>
              <w:t>ORR</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7"/>
              <w:ind w:left="100"/>
              <w:rPr>
                <w:sz w:val="16"/>
              </w:rPr>
            </w:pPr>
            <w:r>
              <w:rPr>
                <w:sz w:val="16"/>
              </w:rPr>
              <w:t>84%</w:t>
            </w:r>
          </w:p>
        </w:tc>
        <w:tc>
          <w:tcPr>
            <w:tcW w:w="3004" w:type="dxa"/>
            <w:tcBorders>
              <w:top w:val="single" w:sz="6" w:space="0" w:color="000000"/>
              <w:left w:val="single" w:sz="6" w:space="0" w:color="000000"/>
              <w:bottom w:val="single" w:sz="6" w:space="0" w:color="000000"/>
              <w:right w:val="nil"/>
            </w:tcBorders>
          </w:tcPr>
          <w:p>
            <w:pPr>
              <w:pStyle w:val="TableParagraph"/>
              <w:spacing w:before="27"/>
              <w:ind w:left="104"/>
              <w:rPr>
                <w:sz w:val="16"/>
              </w:rPr>
            </w:pPr>
            <w:r>
              <w:rPr>
                <w:sz w:val="16"/>
              </w:rPr>
              <w:t>28%</w:t>
            </w:r>
          </w:p>
        </w:tc>
      </w:tr>
      <w:tr>
        <w:trPr>
          <w:trHeight w:val="248" w:hRule="atLeast"/>
        </w:trPr>
        <w:tc>
          <w:tcPr>
            <w:tcW w:w="1832" w:type="dxa"/>
            <w:tcBorders>
              <w:top w:val="single" w:sz="6" w:space="0" w:color="000000"/>
              <w:left w:val="nil"/>
              <w:bottom w:val="single" w:sz="6" w:space="0" w:color="000000"/>
              <w:right w:val="single" w:sz="6" w:space="0" w:color="000000"/>
            </w:tcBorders>
          </w:tcPr>
          <w:p>
            <w:pPr>
              <w:pStyle w:val="TableParagraph"/>
              <w:spacing w:before="27"/>
              <w:ind w:left="110"/>
              <w:rPr>
                <w:sz w:val="16"/>
              </w:rPr>
            </w:pPr>
            <w:r>
              <w:rPr>
                <w:sz w:val="16"/>
              </w:rPr>
              <w:t>12m PFS</w:t>
            </w:r>
          </w:p>
        </w:tc>
        <w:tc>
          <w:tcPr>
            <w:tcW w:w="3112" w:type="dxa"/>
            <w:tcBorders>
              <w:top w:val="single" w:sz="6" w:space="0" w:color="000000"/>
              <w:left w:val="single" w:sz="6" w:space="0" w:color="000000"/>
              <w:bottom w:val="single" w:sz="6" w:space="0" w:color="000000"/>
              <w:right w:val="single" w:sz="6" w:space="0" w:color="000000"/>
            </w:tcBorders>
          </w:tcPr>
          <w:p>
            <w:pPr>
              <w:pStyle w:val="TableParagraph"/>
              <w:spacing w:before="27"/>
              <w:ind w:left="100"/>
              <w:rPr>
                <w:sz w:val="16"/>
              </w:rPr>
            </w:pPr>
            <w:r>
              <w:rPr>
                <w:sz w:val="16"/>
              </w:rPr>
              <w:t>73%</w:t>
            </w:r>
          </w:p>
        </w:tc>
        <w:tc>
          <w:tcPr>
            <w:tcW w:w="3004" w:type="dxa"/>
            <w:tcBorders>
              <w:top w:val="single" w:sz="6" w:space="0" w:color="000000"/>
              <w:left w:val="single" w:sz="6" w:space="0" w:color="000000"/>
              <w:bottom w:val="single" w:sz="6" w:space="0" w:color="000000"/>
              <w:right w:val="nil"/>
            </w:tcBorders>
          </w:tcPr>
          <w:p>
            <w:pPr>
              <w:pStyle w:val="TableParagraph"/>
              <w:spacing w:before="27"/>
              <w:ind w:left="104"/>
              <w:rPr>
                <w:sz w:val="16"/>
              </w:rPr>
            </w:pPr>
            <w:r>
              <w:rPr>
                <w:sz w:val="16"/>
              </w:rPr>
              <w:t>12%</w:t>
            </w:r>
          </w:p>
        </w:tc>
      </w:tr>
      <w:tr>
        <w:trPr>
          <w:trHeight w:val="248" w:hRule="atLeast"/>
        </w:trPr>
        <w:tc>
          <w:tcPr>
            <w:tcW w:w="1832" w:type="dxa"/>
            <w:tcBorders>
              <w:top w:val="single" w:sz="6" w:space="0" w:color="000000"/>
              <w:left w:val="nil"/>
              <w:right w:val="single" w:sz="6" w:space="0" w:color="000000"/>
            </w:tcBorders>
          </w:tcPr>
          <w:p>
            <w:pPr>
              <w:pStyle w:val="TableParagraph"/>
              <w:spacing w:before="27"/>
              <w:ind w:left="110"/>
              <w:rPr>
                <w:sz w:val="16"/>
              </w:rPr>
            </w:pPr>
            <w:r>
              <w:rPr>
                <w:sz w:val="16"/>
              </w:rPr>
              <w:t>12m OS</w:t>
            </w:r>
          </w:p>
        </w:tc>
        <w:tc>
          <w:tcPr>
            <w:tcW w:w="3112" w:type="dxa"/>
            <w:tcBorders>
              <w:top w:val="single" w:sz="6" w:space="0" w:color="000000"/>
              <w:left w:val="single" w:sz="6" w:space="0" w:color="000000"/>
              <w:right w:val="single" w:sz="6" w:space="0" w:color="000000"/>
            </w:tcBorders>
          </w:tcPr>
          <w:p>
            <w:pPr>
              <w:pStyle w:val="TableParagraph"/>
              <w:spacing w:before="27"/>
              <w:ind w:left="100"/>
              <w:rPr>
                <w:sz w:val="16"/>
              </w:rPr>
            </w:pPr>
            <w:r>
              <w:rPr>
                <w:sz w:val="16"/>
              </w:rPr>
              <w:t>83%</w:t>
            </w:r>
          </w:p>
        </w:tc>
        <w:tc>
          <w:tcPr>
            <w:tcW w:w="3004" w:type="dxa"/>
            <w:tcBorders>
              <w:top w:val="single" w:sz="6" w:space="0" w:color="000000"/>
              <w:left w:val="single" w:sz="6" w:space="0" w:color="000000"/>
              <w:right w:val="nil"/>
            </w:tcBorders>
          </w:tcPr>
          <w:p>
            <w:pPr>
              <w:pStyle w:val="TableParagraph"/>
              <w:spacing w:before="27"/>
              <w:ind w:left="104"/>
              <w:rPr>
                <w:sz w:val="16"/>
              </w:rPr>
            </w:pPr>
            <w:r>
              <w:rPr>
                <w:sz w:val="16"/>
              </w:rPr>
              <w:t>39%</w:t>
            </w:r>
          </w:p>
        </w:tc>
      </w:tr>
    </w:tbl>
    <w:p>
      <w:pPr>
        <w:spacing w:before="17"/>
        <w:ind w:left="210" w:right="0" w:firstLine="0"/>
        <w:jc w:val="both"/>
        <w:rPr>
          <w:sz w:val="16"/>
        </w:rPr>
      </w:pPr>
      <w:r>
        <w:rPr>
          <w:sz w:val="16"/>
        </w:rPr>
        <w:t>资料来源</w:t>
      </w:r>
      <w:r>
        <w:rPr>
          <w:rFonts w:ascii="Arial" w:eastAsia="Arial"/>
          <w:sz w:val="16"/>
        </w:rPr>
        <w:t>: Costa LJ et al. Clin Lymphoma Myeloma Leuk 2021, </w:t>
      </w:r>
      <w:r>
        <w:rPr>
          <w:sz w:val="16"/>
        </w:rPr>
        <w:t>招银国际证券</w:t>
      </w:r>
    </w:p>
    <w:p>
      <w:pPr>
        <w:spacing w:after="0"/>
        <w:jc w:val="both"/>
        <w:rPr>
          <w:sz w:val="16"/>
        </w:rPr>
        <w:sectPr>
          <w:headerReference w:type="default" r:id="rId35"/>
          <w:footerReference w:type="default" r:id="rId36"/>
          <w:pgSz w:w="11910" w:h="16840"/>
          <w:pgMar w:header="685" w:footer="358" w:top="940" w:bottom="540" w:left="640" w:right="300"/>
        </w:sectPr>
      </w:pPr>
    </w:p>
    <w:p>
      <w:pPr>
        <w:pStyle w:val="BodyText"/>
        <w:spacing w:before="11"/>
        <w:ind w:left="0"/>
        <w:rPr>
          <w:sz w:val="13"/>
        </w:rPr>
      </w:pPr>
    </w:p>
    <w:p>
      <w:pPr>
        <w:pStyle w:val="Heading3"/>
        <w:spacing w:before="45"/>
      </w:pPr>
      <w:r>
        <w:rPr>
          <w:rFonts w:ascii="Arial" w:eastAsia="Arial"/>
        </w:rPr>
        <w:t>BCMA </w:t>
      </w:r>
      <w:r>
        <w:rPr/>
        <w:t>靶点百花齐放，已上市产品中 </w:t>
      </w:r>
      <w:r>
        <w:rPr>
          <w:rFonts w:ascii="Arial" w:eastAsia="Arial"/>
        </w:rPr>
        <w:t>cilta-cel </w:t>
      </w:r>
      <w:r>
        <w:rPr/>
        <w:t>疗效大幅领先</w:t>
      </w:r>
    </w:p>
    <w:p>
      <w:pPr>
        <w:pStyle w:val="BodyText"/>
        <w:spacing w:line="288" w:lineRule="auto" w:before="154"/>
        <w:ind w:right="2809"/>
        <w:jc w:val="both"/>
      </w:pPr>
      <w:r>
        <w:rPr>
          <w:rFonts w:ascii="Arial" w:hAnsi="Arial" w:eastAsia="Arial"/>
        </w:rPr>
        <w:t>BCMA </w:t>
      </w:r>
      <w:r>
        <w:rPr/>
        <w:t>是一种 </w:t>
      </w:r>
      <w:r>
        <w:rPr>
          <w:rFonts w:ascii="Arial" w:hAnsi="Arial" w:eastAsia="Arial"/>
        </w:rPr>
        <w:t>MM </w:t>
      </w:r>
      <w:r>
        <w:rPr/>
        <w:t>特异性靶点，针对 </w:t>
      </w:r>
      <w:r>
        <w:rPr>
          <w:rFonts w:ascii="Arial" w:hAnsi="Arial" w:eastAsia="Arial"/>
        </w:rPr>
        <w:t>BCMA </w:t>
      </w:r>
      <w:r>
        <w:rPr/>
        <w:t>靶点的创新疗法有望改善后线 </w:t>
      </w:r>
      <w:r>
        <w:rPr>
          <w:rFonts w:ascii="Arial" w:hAnsi="Arial" w:eastAsia="Arial"/>
        </w:rPr>
        <w:t>r/r MM </w:t>
      </w:r>
      <w:r>
        <w:rPr/>
        <w:t>患者</w:t>
      </w:r>
      <w:r>
        <w:rPr>
          <w:rFonts w:ascii="Arial" w:hAnsi="Arial" w:eastAsia="Arial"/>
        </w:rPr>
        <w:t>“</w:t>
      </w:r>
      <w:r>
        <w:rPr/>
        <w:t>无药可用</w:t>
      </w:r>
      <w:r>
        <w:rPr>
          <w:rFonts w:ascii="Arial" w:hAnsi="Arial" w:eastAsia="Arial"/>
        </w:rPr>
        <w:t>”</w:t>
      </w:r>
      <w:r>
        <w:rPr/>
        <w:t>的状况。</w:t>
      </w:r>
      <w:r>
        <w:rPr>
          <w:rFonts w:ascii="Arial" w:hAnsi="Arial" w:eastAsia="Arial"/>
        </w:rPr>
        <w:t>2021 </w:t>
      </w:r>
      <w:r>
        <w:rPr/>
        <w:t>年以来，针对 </w:t>
      </w:r>
      <w:r>
        <w:rPr>
          <w:rFonts w:ascii="Arial" w:hAnsi="Arial" w:eastAsia="Arial"/>
        </w:rPr>
        <w:t>BCMA </w:t>
      </w:r>
      <w:r>
        <w:rPr/>
        <w:t>靶点已有两种 </w:t>
      </w:r>
      <w:r>
        <w:rPr>
          <w:rFonts w:ascii="Arial" w:hAnsi="Arial" w:eastAsia="Arial"/>
        </w:rPr>
        <w:t>CAR-T </w:t>
      </w:r>
      <w:r>
        <w:rPr/>
        <w:t>疗法，一款 </w:t>
      </w:r>
      <w:r>
        <w:rPr>
          <w:rFonts w:ascii="Arial" w:hAnsi="Arial" w:eastAsia="Arial"/>
        </w:rPr>
        <w:t>ADC </w:t>
      </w:r>
      <w:r>
        <w:rPr/>
        <w:t>药物， 及一款双抗药物上市。</w:t>
      </w:r>
      <w:r>
        <w:rPr>
          <w:rFonts w:ascii="Arial" w:hAnsi="Arial" w:eastAsia="Arial"/>
        </w:rPr>
        <w:t>J&amp;J </w:t>
      </w:r>
      <w:r>
        <w:rPr/>
        <w:t>在 </w:t>
      </w:r>
      <w:r>
        <w:rPr>
          <w:rFonts w:ascii="Arial" w:hAnsi="Arial" w:eastAsia="Arial"/>
        </w:rPr>
        <w:t>BCMA </w:t>
      </w:r>
      <w:r>
        <w:rPr/>
        <w:t>靶点布局完善，</w:t>
      </w:r>
      <w:r>
        <w:rPr>
          <w:rFonts w:ascii="Arial" w:hAnsi="Arial" w:eastAsia="Arial"/>
        </w:rPr>
        <w:t>2022 </w:t>
      </w:r>
      <w:r>
        <w:rPr/>
        <w:t>年 </w:t>
      </w:r>
      <w:r>
        <w:rPr>
          <w:rFonts w:ascii="Arial" w:hAnsi="Arial" w:eastAsia="Arial"/>
        </w:rPr>
        <w:t>8 </w:t>
      </w:r>
      <w:r>
        <w:rPr/>
        <w:t>月 </w:t>
      </w:r>
      <w:r>
        <w:rPr>
          <w:rFonts w:ascii="Arial" w:hAnsi="Arial" w:eastAsia="Arial"/>
        </w:rPr>
        <w:t>24 </w:t>
      </w:r>
      <w:r>
        <w:rPr/>
        <w:t>日，其全球 </w:t>
      </w:r>
      <w:r>
        <w:rPr>
          <w:rFonts w:ascii="Arial" w:hAnsi="Arial" w:eastAsia="Arial"/>
        </w:rPr>
        <w:t>First-in- class </w:t>
      </w:r>
      <w:r>
        <w:rPr/>
        <w:t>的 </w:t>
      </w:r>
      <w:r>
        <w:rPr>
          <w:rFonts w:ascii="Arial" w:hAnsi="Arial" w:eastAsia="Arial"/>
        </w:rPr>
        <w:t>BCMA/CD3 </w:t>
      </w:r>
      <w:r>
        <w:rPr/>
        <w:t>双抗药物 </w:t>
      </w:r>
      <w:r>
        <w:rPr>
          <w:rFonts w:ascii="Arial" w:hAnsi="Arial" w:eastAsia="Arial"/>
        </w:rPr>
        <w:t>Teclistamab </w:t>
      </w:r>
      <w:r>
        <w:rPr/>
        <w:t>获 </w:t>
      </w:r>
      <w:r>
        <w:rPr>
          <w:rFonts w:ascii="Arial" w:hAnsi="Arial" w:eastAsia="Arial"/>
        </w:rPr>
        <w:t>EMA </w:t>
      </w:r>
      <w:r>
        <w:rPr/>
        <w:t>有条件批准，用于 </w:t>
      </w:r>
      <w:r>
        <w:rPr>
          <w:rFonts w:ascii="Arial" w:hAnsi="Arial" w:eastAsia="Arial"/>
        </w:rPr>
        <w:t>4L+ r/r MM</w:t>
      </w:r>
      <w:r>
        <w:rPr/>
        <w:t>；</w:t>
      </w:r>
      <w:r>
        <w:rPr>
          <w:rFonts w:ascii="Arial" w:hAnsi="Arial" w:eastAsia="Arial"/>
        </w:rPr>
        <w:t>2022 </w:t>
      </w:r>
      <w:r>
        <w:rPr/>
        <w:t>年上半年，其与传奇生物合作开发的 </w:t>
      </w:r>
      <w:r>
        <w:rPr>
          <w:rFonts w:ascii="Arial" w:hAnsi="Arial" w:eastAsia="Arial"/>
        </w:rPr>
        <w:t>Best-in-class BCMA CAR-T </w:t>
      </w:r>
      <w:r>
        <w:rPr/>
        <w:t>产品</w:t>
      </w:r>
      <w:r>
        <w:rPr>
          <w:rFonts w:ascii="Arial" w:hAnsi="Arial" w:eastAsia="Arial"/>
        </w:rPr>
        <w:t>Carvykti </w:t>
      </w:r>
      <w:r>
        <w:rPr/>
        <w:t>也凭借惊艳的疗效，先后获</w:t>
      </w:r>
      <w:r>
        <w:rPr>
          <w:rFonts w:ascii="Arial" w:hAnsi="Arial" w:eastAsia="Arial"/>
        </w:rPr>
        <w:t>FDA/ EMA </w:t>
      </w:r>
      <w:r>
        <w:rPr/>
        <w:t>批准上市，分别用于 </w:t>
      </w:r>
      <w:r>
        <w:rPr>
          <w:rFonts w:ascii="Arial" w:hAnsi="Arial" w:eastAsia="Arial"/>
        </w:rPr>
        <w:t>5L+/ 4L+ r/r MM</w:t>
      </w:r>
      <w:r>
        <w:rPr/>
        <w:t>。</w:t>
      </w:r>
    </w:p>
    <w:p>
      <w:pPr>
        <w:pStyle w:val="BodyText"/>
        <w:spacing w:line="288" w:lineRule="auto" w:before="114"/>
        <w:ind w:right="2612"/>
      </w:pPr>
      <w:r>
        <w:rPr>
          <w:rFonts w:ascii="Arial" w:eastAsia="Arial"/>
        </w:rPr>
        <w:t>2021 </w:t>
      </w:r>
      <w:r>
        <w:rPr>
          <w:spacing w:val="-1"/>
        </w:rPr>
        <w:t>年 </w:t>
      </w:r>
      <w:r>
        <w:rPr>
          <w:rFonts w:ascii="Arial" w:eastAsia="Arial"/>
        </w:rPr>
        <w:t>3 </w:t>
      </w:r>
      <w:r>
        <w:rPr/>
        <w:t>月，</w:t>
      </w:r>
      <w:r>
        <w:rPr>
          <w:rFonts w:ascii="Arial" w:eastAsia="Arial"/>
        </w:rPr>
        <w:t>BMS/Bluebird </w:t>
      </w:r>
      <w:r>
        <w:rPr>
          <w:spacing w:val="-1"/>
        </w:rPr>
        <w:t>的 </w:t>
      </w:r>
      <w:r>
        <w:rPr>
          <w:rFonts w:ascii="Arial" w:eastAsia="Arial"/>
        </w:rPr>
        <w:t>Abecma</w:t>
      </w:r>
      <w:r>
        <w:rPr>
          <w:rFonts w:ascii="Arial" w:eastAsia="Arial"/>
          <w:spacing w:val="11"/>
        </w:rPr>
        <w:t> (</w:t>
      </w:r>
      <w:r>
        <w:rPr>
          <w:rFonts w:ascii="Arial" w:eastAsia="Arial"/>
        </w:rPr>
        <w:t>Ide-cel</w:t>
      </w:r>
      <w:r>
        <w:rPr>
          <w:rFonts w:ascii="Arial" w:eastAsia="Arial"/>
          <w:spacing w:val="9"/>
        </w:rPr>
        <w:t>) </w:t>
      </w:r>
      <w:r>
        <w:rPr>
          <w:spacing w:val="-3"/>
        </w:rPr>
        <w:t>作为全球首个获批的 </w:t>
      </w:r>
      <w:r>
        <w:rPr>
          <w:rFonts w:ascii="Arial" w:eastAsia="Arial"/>
        </w:rPr>
        <w:t>BCMA </w:t>
      </w:r>
      <w:r>
        <w:rPr>
          <w:rFonts w:ascii="Arial" w:eastAsia="Arial"/>
          <w:spacing w:val="-3"/>
        </w:rPr>
        <w:t>CAR-T</w:t>
      </w:r>
      <w:r>
        <w:rPr>
          <w:spacing w:val="-4"/>
        </w:rPr>
        <w:t>，获</w:t>
      </w:r>
      <w:r>
        <w:rPr>
          <w:rFonts w:ascii="Arial" w:eastAsia="Arial"/>
        </w:rPr>
        <w:t>FDA </w:t>
      </w:r>
      <w:r>
        <w:rPr>
          <w:spacing w:val="-2"/>
        </w:rPr>
        <w:t>批准用于 </w:t>
      </w:r>
      <w:r>
        <w:rPr>
          <w:rFonts w:ascii="Arial" w:eastAsia="Arial"/>
        </w:rPr>
        <w:t>5L</w:t>
      </w:r>
      <w:r>
        <w:rPr>
          <w:rFonts w:ascii="Arial" w:eastAsia="Arial"/>
          <w:spacing w:val="6"/>
        </w:rPr>
        <w:t>+ </w:t>
      </w:r>
      <w:r>
        <w:rPr>
          <w:rFonts w:ascii="Arial" w:eastAsia="Arial"/>
        </w:rPr>
        <w:t>r/r MM (EMA </w:t>
      </w:r>
      <w:r>
        <w:rPr>
          <w:spacing w:val="-2"/>
        </w:rPr>
        <w:t>批准适应症为 </w:t>
      </w:r>
      <w:r>
        <w:rPr>
          <w:rFonts w:ascii="Arial" w:eastAsia="Arial"/>
        </w:rPr>
        <w:t>4L</w:t>
      </w:r>
      <w:r>
        <w:rPr>
          <w:rFonts w:ascii="Arial" w:eastAsia="Arial"/>
          <w:spacing w:val="7"/>
        </w:rPr>
        <w:t>+  </w:t>
      </w:r>
      <w:r>
        <w:rPr>
          <w:rFonts w:ascii="Arial" w:eastAsia="Arial"/>
        </w:rPr>
        <w:t>r/r MM)</w:t>
      </w:r>
      <w:r>
        <w:rPr/>
        <w:t>。</w:t>
      </w:r>
      <w:r>
        <w:rPr>
          <w:rFonts w:ascii="Arial" w:eastAsia="Arial"/>
        </w:rPr>
        <w:t>Abecma </w:t>
      </w:r>
      <w:r>
        <w:rPr>
          <w:spacing w:val="10"/>
        </w:rPr>
        <w:t>采用二代</w:t>
      </w:r>
      <w:r>
        <w:rPr>
          <w:rFonts w:ascii="Arial" w:eastAsia="Arial"/>
        </w:rPr>
        <w:t>CAR-T </w:t>
      </w:r>
      <w:r>
        <w:rPr/>
        <w:t>结构</w:t>
      </w:r>
      <w:r>
        <w:rPr>
          <w:spacing w:val="4"/>
        </w:rPr>
        <w:t>，鼠源 </w:t>
      </w:r>
      <w:r>
        <w:rPr>
          <w:rFonts w:ascii="Arial" w:eastAsia="Arial"/>
        </w:rPr>
        <w:t>scFv</w:t>
      </w:r>
      <w:r>
        <w:rPr>
          <w:spacing w:val="4"/>
        </w:rPr>
        <w:t>，选择 </w:t>
      </w:r>
      <w:r>
        <w:rPr>
          <w:rFonts w:ascii="Arial" w:eastAsia="Arial"/>
        </w:rPr>
        <w:t>4-1BB </w:t>
      </w:r>
      <w:r>
        <w:rPr>
          <w:spacing w:val="-5"/>
        </w:rPr>
        <w:t>作为共刺激域，并采用慢病毒做载体。</w:t>
      </w:r>
      <w:r>
        <w:rPr>
          <w:rFonts w:ascii="Arial" w:eastAsia="Arial"/>
        </w:rPr>
        <w:t>Abecma </w:t>
      </w:r>
      <w:r>
        <w:rPr>
          <w:spacing w:val="-2"/>
        </w:rPr>
        <w:t>的获批主要基于关</w:t>
      </w:r>
      <w:r>
        <w:rPr>
          <w:spacing w:val="20"/>
        </w:rPr>
        <w:t>键的</w:t>
      </w:r>
      <w:r>
        <w:rPr>
          <w:rFonts w:ascii="Arial" w:eastAsia="Arial"/>
        </w:rPr>
        <w:t>II </w:t>
      </w:r>
      <w:r>
        <w:rPr>
          <w:spacing w:val="-4"/>
        </w:rPr>
        <w:t>期临床研究 </w:t>
      </w:r>
      <w:r>
        <w:rPr>
          <w:rFonts w:ascii="Arial" w:eastAsia="Arial"/>
        </w:rPr>
        <w:t>(KarMMa)</w:t>
      </w:r>
      <w:r>
        <w:rPr>
          <w:spacing w:val="-1"/>
        </w:rPr>
        <w:t>，虽然接受 </w:t>
      </w:r>
      <w:r>
        <w:rPr>
          <w:rFonts w:ascii="Arial" w:eastAsia="Arial"/>
        </w:rPr>
        <w:t>Ide-cel </w:t>
      </w:r>
      <w:r>
        <w:rPr>
          <w:spacing w:val="-2"/>
        </w:rPr>
        <w:t>治疗的 </w:t>
      </w:r>
      <w:r>
        <w:rPr>
          <w:rFonts w:ascii="Arial" w:eastAsia="Arial"/>
        </w:rPr>
        <w:t>128 </w:t>
      </w:r>
      <w:r>
        <w:rPr/>
        <w:t>例患者中 </w:t>
      </w:r>
      <w:r>
        <w:rPr>
          <w:rFonts w:ascii="Arial" w:eastAsia="Arial"/>
          <w:spacing w:val="-2"/>
        </w:rPr>
        <w:t>84%</w:t>
      </w:r>
      <w:r>
        <w:rPr/>
        <w:t>为 </w:t>
      </w:r>
      <w:r>
        <w:rPr>
          <w:rFonts w:ascii="Arial" w:eastAsia="Arial"/>
        </w:rPr>
        <w:t>TCR MM</w:t>
      </w:r>
      <w:r>
        <w:rPr/>
        <w:t>， 但</w:t>
      </w:r>
      <w:r>
        <w:rPr>
          <w:spacing w:val="-3"/>
        </w:rPr>
        <w:t>响应率及生存获益依然保持在较高水平，单次输注</w:t>
      </w:r>
      <w:r>
        <w:rPr>
          <w:rFonts w:ascii="Arial" w:eastAsia="Arial"/>
          <w:spacing w:val="-2"/>
        </w:rPr>
        <w:t>ORR </w:t>
      </w:r>
      <w:r>
        <w:rPr>
          <w:spacing w:val="7"/>
        </w:rPr>
        <w:t>达 </w:t>
      </w:r>
      <w:r>
        <w:rPr>
          <w:rFonts w:ascii="Arial" w:eastAsia="Arial"/>
        </w:rPr>
        <w:t>73%</w:t>
      </w:r>
      <w:r>
        <w:rPr/>
        <w:t>，</w:t>
      </w:r>
      <w:r>
        <w:rPr>
          <w:rFonts w:ascii="Arial" w:eastAsia="Arial"/>
        </w:rPr>
        <w:t>CR </w:t>
      </w:r>
      <w:r>
        <w:rPr>
          <w:spacing w:val="3"/>
        </w:rPr>
        <w:t>率为 </w:t>
      </w:r>
      <w:r>
        <w:rPr>
          <w:rFonts w:ascii="Arial" w:eastAsia="Arial"/>
        </w:rPr>
        <w:t>33%</w:t>
      </w:r>
      <w:r>
        <w:rPr/>
        <w:t>，</w:t>
      </w:r>
      <w:r>
        <w:rPr>
          <w:rFonts w:ascii="Arial" w:eastAsia="Arial"/>
        </w:rPr>
        <w:t>mPFS </w:t>
      </w:r>
      <w:r>
        <w:rPr/>
        <w:t>为 </w:t>
      </w:r>
      <w:r>
        <w:rPr>
          <w:rFonts w:ascii="Arial" w:eastAsia="Arial"/>
        </w:rPr>
        <w:t>9</w:t>
      </w:r>
      <w:r>
        <w:rPr>
          <w:rFonts w:ascii="Arial" w:eastAsia="Arial"/>
          <w:spacing w:val="-14"/>
        </w:rPr>
        <w:t> </w:t>
      </w:r>
      <w:r>
        <w:rPr/>
        <w:t>个月，</w:t>
      </w:r>
      <w:r>
        <w:rPr>
          <w:rFonts w:ascii="Arial" w:eastAsia="Arial"/>
        </w:rPr>
        <w:t>mOS </w:t>
      </w:r>
      <w:r>
        <w:rPr>
          <w:spacing w:val="-2"/>
        </w:rPr>
        <w:t>为 </w:t>
      </w:r>
      <w:r>
        <w:rPr>
          <w:rFonts w:ascii="Arial" w:eastAsia="Arial"/>
        </w:rPr>
        <w:t>19 </w:t>
      </w:r>
      <w:r>
        <w:rPr>
          <w:spacing w:val="-2"/>
        </w:rPr>
        <w:t>个月。</w:t>
      </w:r>
      <w:r>
        <w:rPr>
          <w:rFonts w:ascii="Arial" w:eastAsia="Arial"/>
        </w:rPr>
        <w:t>Abecma </w:t>
      </w:r>
      <w:r>
        <w:rPr>
          <w:spacing w:val="-4"/>
        </w:rPr>
        <w:t>的副作用总体可控，</w:t>
      </w:r>
      <w:r>
        <w:rPr>
          <w:rFonts w:ascii="Arial" w:eastAsia="Arial"/>
        </w:rPr>
        <w:t>CRS </w:t>
      </w:r>
      <w:r>
        <w:rPr>
          <w:spacing w:val="43"/>
        </w:rPr>
        <w:t>和</w:t>
      </w:r>
      <w:r>
        <w:rPr>
          <w:rFonts w:ascii="Arial" w:eastAsia="Arial"/>
        </w:rPr>
        <w:t>ICANS </w:t>
      </w:r>
      <w:r>
        <w:rPr>
          <w:spacing w:val="-3"/>
        </w:rPr>
        <w:t>大多为 </w:t>
      </w:r>
      <w:r>
        <w:rPr>
          <w:rFonts w:ascii="Arial" w:eastAsia="Arial"/>
        </w:rPr>
        <w:t>1~2 </w:t>
      </w:r>
      <w:r>
        <w:rPr>
          <w:spacing w:val="-4"/>
        </w:rPr>
        <w:t>级， 三级以上 </w:t>
      </w:r>
      <w:r>
        <w:rPr>
          <w:rFonts w:ascii="Arial" w:eastAsia="Arial"/>
        </w:rPr>
        <w:t>CRS </w:t>
      </w:r>
      <w:r>
        <w:rPr>
          <w:spacing w:val="-1"/>
        </w:rPr>
        <w:t>比例为 </w:t>
      </w:r>
      <w:r>
        <w:rPr>
          <w:rFonts w:ascii="Arial" w:eastAsia="Arial"/>
          <w:spacing w:val="-3"/>
        </w:rPr>
        <w:t>5%</w:t>
      </w:r>
      <w:r>
        <w:rPr>
          <w:spacing w:val="-3"/>
        </w:rPr>
        <w:t>，三级以上 </w:t>
      </w:r>
      <w:r>
        <w:rPr>
          <w:rFonts w:ascii="Arial" w:eastAsia="Arial"/>
        </w:rPr>
        <w:t>ICANS </w:t>
      </w:r>
      <w:r>
        <w:rPr>
          <w:spacing w:val="-2"/>
        </w:rPr>
        <w:t>为 </w:t>
      </w:r>
      <w:r>
        <w:rPr>
          <w:rFonts w:ascii="Arial" w:eastAsia="Arial"/>
        </w:rPr>
        <w:t>3%</w:t>
      </w:r>
      <w:r>
        <w:rPr/>
        <w:t>。</w:t>
      </w:r>
    </w:p>
    <w:p>
      <w:pPr>
        <w:pStyle w:val="BodyText"/>
        <w:spacing w:line="288" w:lineRule="auto" w:before="118"/>
        <w:ind w:right="2809"/>
        <w:jc w:val="both"/>
      </w:pPr>
      <w:r>
        <w:rPr>
          <w:rFonts w:ascii="Arial" w:eastAsia="Arial"/>
        </w:rPr>
        <w:t>2022 </w:t>
      </w:r>
      <w:r>
        <w:rPr/>
        <w:t>年 </w:t>
      </w:r>
      <w:r>
        <w:rPr>
          <w:rFonts w:ascii="Arial" w:eastAsia="Arial"/>
        </w:rPr>
        <w:t>2 </w:t>
      </w:r>
      <w:r>
        <w:rPr/>
        <w:t>月，</w:t>
      </w:r>
      <w:r>
        <w:rPr>
          <w:rFonts w:ascii="Arial" w:eastAsia="Arial"/>
        </w:rPr>
        <w:t>J&amp;J/</w:t>
      </w:r>
      <w:r>
        <w:rPr/>
        <w:t>传奇生物的 </w:t>
      </w:r>
      <w:r>
        <w:rPr>
          <w:rFonts w:ascii="Arial" w:eastAsia="Arial"/>
        </w:rPr>
        <w:t>Carvykti (Cilta-cel) </w:t>
      </w:r>
      <w:r>
        <w:rPr/>
        <w:t>获</w:t>
      </w:r>
      <w:r>
        <w:rPr>
          <w:rFonts w:ascii="Arial" w:eastAsia="Arial"/>
        </w:rPr>
        <w:t>FDA </w:t>
      </w:r>
      <w:r>
        <w:rPr/>
        <w:t>批准上市，与</w:t>
      </w:r>
      <w:r>
        <w:rPr>
          <w:rFonts w:ascii="Arial" w:eastAsia="Arial"/>
        </w:rPr>
        <w:t>Abecma </w:t>
      </w:r>
      <w:r>
        <w:rPr/>
        <w:t>获批适应症相同，但其疗效显著优于 </w:t>
      </w:r>
      <w:r>
        <w:rPr>
          <w:rFonts w:ascii="Arial" w:eastAsia="Arial"/>
        </w:rPr>
        <w:t>Abecma</w:t>
      </w:r>
      <w:r>
        <w:rPr/>
        <w:t>。</w:t>
      </w:r>
      <w:r>
        <w:rPr>
          <w:rFonts w:ascii="Arial" w:eastAsia="Arial"/>
        </w:rPr>
        <w:t>Carvykti </w:t>
      </w:r>
      <w:r>
        <w:rPr/>
        <w:t>胞外设计了两个靶向 </w:t>
      </w:r>
      <w:r>
        <w:rPr>
          <w:rFonts w:ascii="Arial" w:eastAsia="Arial"/>
        </w:rPr>
        <w:t>BCMA </w:t>
      </w:r>
      <w:r>
        <w:rPr/>
        <w:t>的单域抗体， 因此具有更强的亲和力，其他部分设计与 </w:t>
      </w:r>
      <w:r>
        <w:rPr>
          <w:rFonts w:ascii="Arial" w:eastAsia="Arial"/>
        </w:rPr>
        <w:t>Abecma </w:t>
      </w:r>
      <w:r>
        <w:rPr/>
        <w:t>类似。</w:t>
      </w:r>
      <w:r>
        <w:rPr>
          <w:rFonts w:ascii="Arial" w:eastAsia="Arial"/>
        </w:rPr>
        <w:t>Carvykti </w:t>
      </w:r>
      <w:r>
        <w:rPr/>
        <w:t>获 </w:t>
      </w:r>
      <w:r>
        <w:rPr>
          <w:rFonts w:ascii="Arial" w:eastAsia="Arial"/>
        </w:rPr>
        <w:t>FDA </w:t>
      </w:r>
      <w:r>
        <w:rPr/>
        <w:t>批准主要基于其在美国和日本开展的 </w:t>
      </w:r>
      <w:r>
        <w:rPr>
          <w:rFonts w:ascii="Arial" w:eastAsia="Arial"/>
        </w:rPr>
        <w:t>Ib/II </w:t>
      </w:r>
      <w:r>
        <w:rPr/>
        <w:t>期研究 </w:t>
      </w:r>
      <w:r>
        <w:rPr>
          <w:rFonts w:ascii="Arial" w:eastAsia="Arial"/>
        </w:rPr>
        <w:t>(CARTITUDE-1)</w:t>
      </w:r>
      <w:r>
        <w:rPr/>
        <w:t>。传奇生物在中国的注册性 </w:t>
      </w:r>
      <w:r>
        <w:rPr>
          <w:rFonts w:ascii="Arial" w:eastAsia="Arial"/>
        </w:rPr>
        <w:t>II </w:t>
      </w:r>
      <w:r>
        <w:rPr/>
        <w:t>期研究</w:t>
      </w:r>
      <w:r>
        <w:rPr>
          <w:rFonts w:ascii="Arial" w:eastAsia="Arial"/>
        </w:rPr>
        <w:t>CARTIFAN-1 </w:t>
      </w:r>
      <w:r>
        <w:rPr/>
        <w:t>也正在进行中，同时也在积极推进前线 </w:t>
      </w:r>
      <w:r>
        <w:rPr>
          <w:rFonts w:ascii="Arial" w:eastAsia="Arial"/>
        </w:rPr>
        <w:t>MM </w:t>
      </w:r>
      <w:r>
        <w:rPr/>
        <w:t>治疗的临床研究。</w:t>
      </w:r>
    </w:p>
    <w:p>
      <w:pPr>
        <w:pStyle w:val="BodyText"/>
        <w:spacing w:line="288" w:lineRule="auto" w:before="118"/>
        <w:ind w:right="2809"/>
        <w:jc w:val="both"/>
      </w:pPr>
      <w:r>
        <w:rPr>
          <w:rFonts w:ascii="Arial" w:eastAsia="Arial"/>
        </w:rPr>
        <w:t>CARTITUDE-1 </w:t>
      </w:r>
      <w:r>
        <w:rPr/>
        <w:t>研究包括 </w:t>
      </w:r>
      <w:r>
        <w:rPr>
          <w:rFonts w:ascii="Arial" w:eastAsia="Arial"/>
        </w:rPr>
        <w:t>97 </w:t>
      </w:r>
      <w:r>
        <w:rPr>
          <w:spacing w:val="-5"/>
        </w:rPr>
        <w:t>例接受过中位六线治疗的患者</w:t>
      </w:r>
      <w:r>
        <w:rPr>
          <w:rFonts w:ascii="Arial" w:eastAsia="Arial"/>
        </w:rPr>
        <w:t>(Ib </w:t>
      </w:r>
      <w:r>
        <w:rPr>
          <w:spacing w:val="5"/>
        </w:rPr>
        <w:t>期 </w:t>
      </w:r>
      <w:r>
        <w:rPr>
          <w:rFonts w:ascii="Arial" w:eastAsia="Arial"/>
        </w:rPr>
        <w:t>29 </w:t>
      </w:r>
      <w:r>
        <w:rPr>
          <w:spacing w:val="4"/>
        </w:rPr>
        <w:t>例 </w:t>
      </w:r>
      <w:r>
        <w:rPr>
          <w:rFonts w:ascii="Arial" w:eastAsia="Arial"/>
        </w:rPr>
        <w:t>II </w:t>
      </w:r>
      <w:r>
        <w:rPr>
          <w:spacing w:val="5"/>
        </w:rPr>
        <w:t>期 </w:t>
      </w:r>
      <w:r>
        <w:rPr>
          <w:rFonts w:ascii="Arial" w:eastAsia="Arial"/>
        </w:rPr>
        <w:t>68 </w:t>
      </w:r>
      <w:r>
        <w:rPr>
          <w:spacing w:val="-2"/>
        </w:rPr>
        <w:t>例患者</w:t>
      </w:r>
      <w:r>
        <w:rPr>
          <w:rFonts w:ascii="Arial" w:eastAsia="Arial"/>
        </w:rPr>
        <w:t>)</w:t>
      </w:r>
      <w:r>
        <w:rPr/>
        <w:t>。所</w:t>
      </w:r>
      <w:r>
        <w:rPr>
          <w:spacing w:val="-5"/>
        </w:rPr>
        <w:t>有患者都是三重难治，其中 </w:t>
      </w:r>
      <w:r>
        <w:rPr>
          <w:rFonts w:ascii="Arial" w:eastAsia="Arial"/>
          <w:spacing w:val="-2"/>
        </w:rPr>
        <w:t>42%</w:t>
      </w:r>
      <w:r>
        <w:rPr>
          <w:spacing w:val="-2"/>
        </w:rPr>
        <w:t>为五重难治。</w:t>
      </w:r>
      <w:r>
        <w:rPr>
          <w:rFonts w:ascii="Arial" w:eastAsia="Arial"/>
        </w:rPr>
        <w:t>2022 </w:t>
      </w:r>
      <w:r>
        <w:rPr>
          <w:spacing w:val="1"/>
        </w:rPr>
        <w:t>年 </w:t>
      </w:r>
      <w:r>
        <w:rPr>
          <w:rFonts w:ascii="Arial" w:eastAsia="Arial"/>
        </w:rPr>
        <w:t>6 </w:t>
      </w:r>
      <w:r>
        <w:rPr>
          <w:spacing w:val="-1"/>
        </w:rPr>
        <w:t>月，传奇生物于 </w:t>
      </w:r>
      <w:r>
        <w:rPr>
          <w:rFonts w:ascii="Arial" w:eastAsia="Arial"/>
        </w:rPr>
        <w:t>ASCO 2022 </w:t>
      </w:r>
      <w:r>
        <w:rPr/>
        <w:t>会议</w:t>
      </w:r>
      <w:r>
        <w:rPr>
          <w:spacing w:val="4"/>
        </w:rPr>
        <w:t>更新了 </w:t>
      </w:r>
      <w:r>
        <w:rPr>
          <w:rFonts w:ascii="Arial" w:eastAsia="Arial"/>
        </w:rPr>
        <w:t>CARTITUDE-1 </w:t>
      </w:r>
      <w:r>
        <w:rPr>
          <w:spacing w:val="-4"/>
        </w:rPr>
        <w:t>研究结果，数据显示在平均 </w:t>
      </w:r>
      <w:r>
        <w:rPr>
          <w:rFonts w:ascii="Arial" w:eastAsia="Arial"/>
        </w:rPr>
        <w:t>28 </w:t>
      </w:r>
      <w:r>
        <w:rPr>
          <w:spacing w:val="-2"/>
        </w:rPr>
        <w:t>个月的随访中，</w:t>
      </w:r>
      <w:r>
        <w:rPr>
          <w:rFonts w:ascii="Arial" w:eastAsia="Arial"/>
        </w:rPr>
        <w:t>ORR </w:t>
      </w:r>
      <w:r>
        <w:rPr>
          <w:spacing w:val="8"/>
        </w:rPr>
        <w:t>为 </w:t>
      </w:r>
      <w:r>
        <w:rPr>
          <w:rFonts w:ascii="Arial" w:eastAsia="Arial"/>
          <w:spacing w:val="-2"/>
        </w:rPr>
        <w:t>98%</w:t>
      </w:r>
      <w:r>
        <w:rPr>
          <w:spacing w:val="-4"/>
        </w:rPr>
        <w:t>。根据</w:t>
      </w:r>
      <w:r>
        <w:rPr>
          <w:spacing w:val="1"/>
        </w:rPr>
        <w:t>公司在 </w:t>
      </w:r>
      <w:r>
        <w:rPr>
          <w:rFonts w:ascii="Arial" w:eastAsia="Arial"/>
        </w:rPr>
        <w:t>ASH 2021 </w:t>
      </w:r>
      <w:r>
        <w:rPr>
          <w:spacing w:val="-4"/>
        </w:rPr>
        <w:t>会议提交的随访数据，</w:t>
      </w:r>
      <w:r>
        <w:rPr>
          <w:rFonts w:ascii="Arial" w:eastAsia="Arial"/>
        </w:rPr>
        <w:t>83%</w:t>
      </w:r>
      <w:r>
        <w:rPr>
          <w:spacing w:val="-4"/>
        </w:rPr>
        <w:t>的患者在中位随访时间 </w:t>
      </w:r>
      <w:r>
        <w:rPr>
          <w:rFonts w:ascii="Arial" w:eastAsia="Arial"/>
        </w:rPr>
        <w:t>28 </w:t>
      </w:r>
      <w:r>
        <w:rPr>
          <w:spacing w:val="7"/>
        </w:rPr>
        <w:t>个月时达到</w:t>
      </w:r>
      <w:r>
        <w:rPr>
          <w:rFonts w:ascii="Arial" w:eastAsia="Arial"/>
          <w:spacing w:val="-3"/>
        </w:rPr>
        <w:t>sCR</w:t>
      </w:r>
      <w:r>
        <w:rPr>
          <w:spacing w:val="-3"/>
        </w:rPr>
        <w:t>， </w:t>
      </w:r>
      <w:r>
        <w:rPr>
          <w:rFonts w:ascii="Arial" w:eastAsia="Arial"/>
        </w:rPr>
        <w:t>mPFS </w:t>
      </w:r>
      <w:r>
        <w:rPr>
          <w:spacing w:val="48"/>
        </w:rPr>
        <w:t>和</w:t>
      </w:r>
      <w:r>
        <w:rPr>
          <w:rFonts w:ascii="Arial" w:eastAsia="Arial"/>
        </w:rPr>
        <w:t>mOS </w:t>
      </w:r>
      <w:r>
        <w:rPr>
          <w:spacing w:val="-2"/>
        </w:rPr>
        <w:t>尚未达到，两年 </w:t>
      </w:r>
      <w:r>
        <w:rPr>
          <w:rFonts w:ascii="Arial" w:eastAsia="Arial"/>
        </w:rPr>
        <w:t>PFS </w:t>
      </w:r>
      <w:r>
        <w:rPr>
          <w:spacing w:val="2"/>
        </w:rPr>
        <w:t>和 </w:t>
      </w:r>
      <w:r>
        <w:rPr>
          <w:rFonts w:ascii="Arial" w:eastAsia="Arial"/>
        </w:rPr>
        <w:t>OS </w:t>
      </w:r>
      <w:r>
        <w:rPr>
          <w:spacing w:val="-3"/>
        </w:rPr>
        <w:t>比例分别为 </w:t>
      </w:r>
      <w:r>
        <w:rPr>
          <w:rFonts w:ascii="Arial" w:eastAsia="Arial"/>
          <w:spacing w:val="-2"/>
        </w:rPr>
        <w:t>55%</w:t>
      </w:r>
      <w:r>
        <w:rPr>
          <w:spacing w:val="3"/>
        </w:rPr>
        <w:t>和 </w:t>
      </w:r>
      <w:r>
        <w:rPr>
          <w:rFonts w:ascii="Arial" w:eastAsia="Arial"/>
          <w:spacing w:val="-2"/>
        </w:rPr>
        <w:t>70%</w:t>
      </w:r>
      <w:r>
        <w:rPr>
          <w:spacing w:val="-2"/>
        </w:rPr>
        <w:t>。另外值得一提的是， </w:t>
      </w:r>
      <w:r>
        <w:rPr>
          <w:spacing w:val="8"/>
        </w:rPr>
        <w:t>在 </w:t>
      </w:r>
      <w:r>
        <w:rPr>
          <w:rFonts w:ascii="Arial" w:eastAsia="Arial"/>
        </w:rPr>
        <w:t>61 </w:t>
      </w:r>
      <w:r>
        <w:rPr>
          <w:spacing w:val="9"/>
        </w:rPr>
        <w:t>例 </w:t>
      </w:r>
      <w:r>
        <w:rPr>
          <w:rFonts w:ascii="Arial" w:eastAsia="Arial"/>
        </w:rPr>
        <w:t>MRD </w:t>
      </w:r>
      <w:r>
        <w:rPr>
          <w:spacing w:val="-3"/>
        </w:rPr>
        <w:t>可评估的患者中，</w:t>
      </w:r>
      <w:r>
        <w:rPr>
          <w:rFonts w:ascii="Arial" w:eastAsia="Arial"/>
        </w:rPr>
        <w:t>92%</w:t>
      </w:r>
      <w:r>
        <w:rPr>
          <w:spacing w:val="2"/>
        </w:rPr>
        <w:t>患者达到 </w:t>
      </w:r>
      <w:r>
        <w:rPr>
          <w:rFonts w:ascii="Arial" w:eastAsia="Arial"/>
        </w:rPr>
        <w:t>MRD </w:t>
      </w:r>
      <w:r>
        <w:rPr>
          <w:spacing w:val="13"/>
        </w:rPr>
        <w:t>阴性 </w:t>
      </w:r>
      <w:r>
        <w:rPr>
          <w:rFonts w:ascii="Arial" w:eastAsia="Arial"/>
        </w:rPr>
        <w:t>(10</w:t>
      </w:r>
      <w:r>
        <w:rPr>
          <w:rFonts w:ascii="Arial" w:eastAsia="Arial"/>
          <w:vertAlign w:val="superscript"/>
        </w:rPr>
        <w:t>-5</w:t>
      </w:r>
      <w:r>
        <w:rPr>
          <w:rFonts w:ascii="Arial" w:eastAsia="Arial"/>
          <w:vertAlign w:val="baseline"/>
        </w:rPr>
        <w:t>)</w:t>
      </w:r>
      <w:r>
        <w:rPr>
          <w:spacing w:val="-1"/>
          <w:vertAlign w:val="baseline"/>
        </w:rPr>
        <w:t>，预计可带来更长的 </w:t>
      </w:r>
      <w:r>
        <w:rPr>
          <w:rFonts w:ascii="Arial" w:eastAsia="Arial"/>
          <w:vertAlign w:val="baseline"/>
        </w:rPr>
        <w:t>PFS </w:t>
      </w:r>
      <w:r>
        <w:rPr>
          <w:spacing w:val="33"/>
          <w:vertAlign w:val="baseline"/>
        </w:rPr>
        <w:t>和</w:t>
      </w:r>
      <w:r>
        <w:rPr>
          <w:rFonts w:ascii="Arial" w:eastAsia="Arial"/>
          <w:vertAlign w:val="baseline"/>
        </w:rPr>
        <w:t>OS</w:t>
      </w:r>
      <w:r>
        <w:rPr>
          <w:spacing w:val="-5"/>
          <w:vertAlign w:val="baseline"/>
        </w:rPr>
        <w:t>。</w:t>
      </w:r>
      <w:r>
        <w:rPr>
          <w:rFonts w:ascii="Arial" w:eastAsia="Arial"/>
          <w:vertAlign w:val="baseline"/>
        </w:rPr>
        <w:t>MRD </w:t>
      </w:r>
      <w:r>
        <w:rPr>
          <w:spacing w:val="4"/>
          <w:vertAlign w:val="baseline"/>
        </w:rPr>
        <w:t>阴性持续超过</w:t>
      </w:r>
      <w:r>
        <w:rPr>
          <w:rFonts w:ascii="Arial" w:eastAsia="Arial"/>
          <w:vertAlign w:val="baseline"/>
        </w:rPr>
        <w:t>6 </w:t>
      </w:r>
      <w:r>
        <w:rPr>
          <w:spacing w:val="4"/>
          <w:vertAlign w:val="baseline"/>
        </w:rPr>
        <w:t>个月和超过</w:t>
      </w:r>
      <w:r>
        <w:rPr>
          <w:rFonts w:ascii="Arial" w:eastAsia="Arial"/>
          <w:vertAlign w:val="baseline"/>
        </w:rPr>
        <w:t>12 </w:t>
      </w:r>
      <w:r>
        <w:rPr>
          <w:spacing w:val="1"/>
          <w:vertAlign w:val="baseline"/>
        </w:rPr>
        <w:t>个月的比例分别为</w:t>
      </w:r>
      <w:r>
        <w:rPr>
          <w:rFonts w:ascii="Arial" w:eastAsia="Arial"/>
          <w:spacing w:val="-2"/>
          <w:vertAlign w:val="baseline"/>
        </w:rPr>
        <w:t>68%</w:t>
      </w:r>
      <w:r>
        <w:rPr>
          <w:spacing w:val="33"/>
          <w:vertAlign w:val="baseline"/>
        </w:rPr>
        <w:t>和</w:t>
      </w:r>
      <w:r>
        <w:rPr>
          <w:rFonts w:ascii="Arial" w:eastAsia="Arial"/>
          <w:spacing w:val="-2"/>
          <w:vertAlign w:val="baseline"/>
        </w:rPr>
        <w:t>55%</w:t>
      </w:r>
      <w:r>
        <w:rPr>
          <w:spacing w:val="-3"/>
          <w:vertAlign w:val="baseline"/>
        </w:rPr>
        <w:t>。安全性方面， </w:t>
      </w:r>
      <w:r>
        <w:rPr>
          <w:spacing w:val="-2"/>
          <w:vertAlign w:val="baseline"/>
        </w:rPr>
        <w:t>三级以上 </w:t>
      </w:r>
      <w:r>
        <w:rPr>
          <w:rFonts w:ascii="Arial" w:eastAsia="Arial"/>
          <w:vertAlign w:val="baseline"/>
        </w:rPr>
        <w:t>CRS </w:t>
      </w:r>
      <w:r>
        <w:rPr>
          <w:spacing w:val="-5"/>
          <w:vertAlign w:val="baseline"/>
        </w:rPr>
        <w:t>和神经毒性的发生率分别为 </w:t>
      </w:r>
      <w:r>
        <w:rPr>
          <w:rFonts w:ascii="Arial" w:eastAsia="Arial"/>
          <w:spacing w:val="-3"/>
          <w:vertAlign w:val="baseline"/>
        </w:rPr>
        <w:t>5.1%</w:t>
      </w:r>
      <w:r>
        <w:rPr>
          <w:spacing w:val="3"/>
          <w:vertAlign w:val="baseline"/>
        </w:rPr>
        <w:t>和 </w:t>
      </w:r>
      <w:r>
        <w:rPr>
          <w:rFonts w:ascii="Arial" w:eastAsia="Arial"/>
          <w:spacing w:val="-3"/>
          <w:vertAlign w:val="baseline"/>
        </w:rPr>
        <w:t>12.3%</w:t>
      </w:r>
      <w:r>
        <w:rPr>
          <w:spacing w:val="-1"/>
          <w:vertAlign w:val="baseline"/>
        </w:rPr>
        <w:t>。自首次公布 </w:t>
      </w:r>
      <w:r>
        <w:rPr>
          <w:rFonts w:ascii="Arial" w:eastAsia="Arial"/>
          <w:vertAlign w:val="baseline"/>
        </w:rPr>
        <w:t>12 </w:t>
      </w:r>
      <w:r>
        <w:rPr>
          <w:spacing w:val="-3"/>
          <w:vertAlign w:val="baseline"/>
        </w:rPr>
        <w:t>个月结果以来， </w:t>
      </w:r>
      <w:r>
        <w:rPr>
          <w:spacing w:val="-4"/>
          <w:vertAlign w:val="baseline"/>
        </w:rPr>
        <w:t>并未发生新的 </w:t>
      </w:r>
      <w:r>
        <w:rPr>
          <w:rFonts w:ascii="Arial" w:eastAsia="Arial"/>
          <w:vertAlign w:val="baseline"/>
        </w:rPr>
        <w:t>CRS </w:t>
      </w:r>
      <w:r>
        <w:rPr>
          <w:spacing w:val="-3"/>
          <w:vertAlign w:val="baseline"/>
        </w:rPr>
        <w:t>事件，新发 </w:t>
      </w:r>
      <w:r>
        <w:rPr>
          <w:rFonts w:ascii="Arial" w:eastAsia="Arial"/>
          <w:vertAlign w:val="baseline"/>
        </w:rPr>
        <w:t>1 </w:t>
      </w:r>
      <w:r>
        <w:rPr>
          <w:spacing w:val="-3"/>
          <w:vertAlign w:val="baseline"/>
        </w:rPr>
        <w:t>例帕金森综合征。</w:t>
      </w:r>
    </w:p>
    <w:p>
      <w:pPr>
        <w:pStyle w:val="Heading3"/>
        <w:spacing w:before="65" w:after="4"/>
        <w:jc w:val="left"/>
      </w:pPr>
      <w:r>
        <w:rPr/>
        <w:t>图 </w:t>
      </w:r>
      <w:r>
        <w:rPr>
          <w:rFonts w:ascii="Arial" w:eastAsia="Arial"/>
        </w:rPr>
        <w:t>34: </w:t>
      </w:r>
      <w:r>
        <w:rPr/>
        <w:t>传奇生物</w:t>
      </w:r>
      <w:r>
        <w:rPr>
          <w:rFonts w:ascii="Arial" w:eastAsia="Arial"/>
        </w:rPr>
        <w:t>CARTITUDE-1 </w:t>
      </w:r>
      <w:r>
        <w:rPr/>
        <w:t>研究中临床缓解随着时间推移加深</w:t>
      </w:r>
    </w:p>
    <w:p>
      <w:pPr>
        <w:pStyle w:val="BodyText"/>
        <w:ind w:left="181"/>
        <w:rPr>
          <w:rFonts w:ascii="Microsoft JhengHei UI"/>
        </w:rPr>
      </w:pPr>
      <w:r>
        <w:rPr>
          <w:rFonts w:ascii="Microsoft JhengHei UI"/>
        </w:rPr>
        <w:drawing>
          <wp:inline distT="0" distB="0" distL="0" distR="0">
            <wp:extent cx="5084715" cy="1885950"/>
            <wp:effectExtent l="0" t="0" r="0" b="0"/>
            <wp:docPr id="35" name="image27.png"/>
            <wp:cNvGraphicFramePr>
              <a:graphicFrameLocks noChangeAspect="1"/>
            </wp:cNvGraphicFramePr>
            <a:graphic>
              <a:graphicData uri="http://schemas.openxmlformats.org/drawingml/2006/picture">
                <pic:pic>
                  <pic:nvPicPr>
                    <pic:cNvPr id="36" name="image27.png"/>
                    <pic:cNvPicPr/>
                  </pic:nvPicPr>
                  <pic:blipFill>
                    <a:blip r:embed="rId45" cstate="print"/>
                    <a:stretch>
                      <a:fillRect/>
                    </a:stretch>
                  </pic:blipFill>
                  <pic:spPr>
                    <a:xfrm>
                      <a:off x="0" y="0"/>
                      <a:ext cx="5084715" cy="1885950"/>
                    </a:xfrm>
                    <a:prstGeom prst="rect">
                      <a:avLst/>
                    </a:prstGeom>
                  </pic:spPr>
                </pic:pic>
              </a:graphicData>
            </a:graphic>
          </wp:inline>
        </w:drawing>
      </w:r>
      <w:r>
        <w:rPr>
          <w:rFonts w:ascii="Microsoft JhengHei UI"/>
        </w:rPr>
      </w:r>
    </w:p>
    <w:p>
      <w:pPr>
        <w:spacing w:before="15"/>
        <w:ind w:left="210" w:right="0" w:firstLine="0"/>
        <w:jc w:val="left"/>
        <w:rPr>
          <w:sz w:val="16"/>
        </w:rPr>
      </w:pPr>
      <w:r>
        <w:rPr>
          <w:sz w:val="16"/>
        </w:rPr>
        <w:t>资料来源</w:t>
      </w:r>
      <w:r>
        <w:rPr>
          <w:rFonts w:ascii="Arial" w:eastAsia="Arial"/>
          <w:sz w:val="16"/>
        </w:rPr>
        <w:t>:</w:t>
      </w:r>
      <w:r>
        <w:rPr>
          <w:sz w:val="16"/>
        </w:rPr>
        <w:t>公司官网</w:t>
      </w:r>
      <w:r>
        <w:rPr>
          <w:rFonts w:ascii="Arial" w:eastAsia="Arial"/>
          <w:sz w:val="16"/>
        </w:rPr>
        <w:t>, </w:t>
      </w:r>
      <w:r>
        <w:rPr>
          <w:sz w:val="16"/>
        </w:rPr>
        <w:t>招银国际证券</w:t>
      </w:r>
    </w:p>
    <w:p>
      <w:pPr>
        <w:spacing w:after="0"/>
        <w:jc w:val="left"/>
        <w:rPr>
          <w:sz w:val="16"/>
        </w:rPr>
        <w:sectPr>
          <w:headerReference w:type="default" r:id="rId43"/>
          <w:footerReference w:type="default" r:id="rId44"/>
          <w:pgSz w:w="11910" w:h="16840"/>
          <w:pgMar w:header="682" w:footer="358" w:top="1360" w:bottom="540" w:left="640" w:right="300"/>
        </w:sectPr>
      </w:pPr>
    </w:p>
    <w:p>
      <w:pPr>
        <w:pStyle w:val="BodyText"/>
        <w:spacing w:before="3"/>
        <w:ind w:left="0"/>
        <w:rPr>
          <w:sz w:val="12"/>
        </w:rPr>
      </w:pPr>
    </w:p>
    <w:p>
      <w:pPr>
        <w:pStyle w:val="BodyText"/>
        <w:spacing w:line="288" w:lineRule="auto" w:before="99"/>
        <w:ind w:right="2612"/>
      </w:pPr>
      <w:r>
        <w:rPr>
          <w:spacing w:val="28"/>
        </w:rPr>
        <w:t>除</w:t>
      </w:r>
      <w:r>
        <w:rPr>
          <w:rFonts w:ascii="Arial" w:hAnsi="Arial" w:eastAsia="Arial"/>
        </w:rPr>
        <w:t>CAR-T</w:t>
      </w:r>
      <w:r>
        <w:rPr>
          <w:rFonts w:ascii="Arial" w:hAnsi="Arial" w:eastAsia="Arial"/>
          <w:spacing w:val="-30"/>
        </w:rPr>
        <w:t> </w:t>
      </w:r>
      <w:r>
        <w:rPr/>
        <w:t>外，</w:t>
      </w:r>
      <w:r>
        <w:rPr>
          <w:rFonts w:ascii="Arial" w:hAnsi="Arial" w:eastAsia="Arial"/>
        </w:rPr>
        <w:t>J&amp;J</w:t>
      </w:r>
      <w:r>
        <w:rPr>
          <w:rFonts w:ascii="Arial" w:hAnsi="Arial" w:eastAsia="Arial"/>
          <w:spacing w:val="-37"/>
        </w:rPr>
        <w:t> </w:t>
      </w:r>
      <w:r>
        <w:rPr>
          <w:spacing w:val="28"/>
        </w:rPr>
        <w:t>在</w:t>
      </w:r>
      <w:r>
        <w:rPr>
          <w:rFonts w:ascii="Arial" w:hAnsi="Arial" w:eastAsia="Arial"/>
        </w:rPr>
        <w:t>BCMA</w:t>
      </w:r>
      <w:r>
        <w:rPr>
          <w:rFonts w:ascii="Arial" w:hAnsi="Arial" w:eastAsia="Arial"/>
          <w:spacing w:val="-31"/>
        </w:rPr>
        <w:t> </w:t>
      </w:r>
      <w:r>
        <w:rPr/>
        <w:t>靶点的布局也包括</w:t>
      </w:r>
      <w:r>
        <w:rPr>
          <w:rFonts w:ascii="Arial" w:hAnsi="Arial" w:eastAsia="Arial"/>
        </w:rPr>
        <w:t>BCMA×CD3</w:t>
      </w:r>
      <w:r>
        <w:rPr>
          <w:rFonts w:ascii="Arial" w:hAnsi="Arial" w:eastAsia="Arial"/>
          <w:spacing w:val="-33"/>
        </w:rPr>
        <w:t> </w:t>
      </w:r>
      <w:r>
        <w:rPr>
          <w:spacing w:val="5"/>
        </w:rPr>
        <w:t>双抗产品</w:t>
      </w:r>
      <w:r>
        <w:rPr>
          <w:rFonts w:ascii="Arial" w:hAnsi="Arial" w:eastAsia="Arial"/>
        </w:rPr>
        <w:t>Tecvayli</w:t>
      </w:r>
      <w:r>
        <w:rPr>
          <w:rFonts w:ascii="Arial" w:hAnsi="Arial" w:eastAsia="Arial"/>
          <w:spacing w:val="-5"/>
        </w:rPr>
        <w:t> (</w:t>
      </w:r>
      <w:r>
        <w:rPr>
          <w:rFonts w:ascii="Arial" w:hAnsi="Arial" w:eastAsia="Arial"/>
        </w:rPr>
        <w:t>teclistamab)</w:t>
      </w:r>
      <w:r>
        <w:rPr/>
        <w:t>。</w:t>
      </w:r>
      <w:r>
        <w:rPr>
          <w:rFonts w:ascii="Arial" w:hAnsi="Arial" w:eastAsia="Arial"/>
        </w:rPr>
        <w:t>Teclistamab</w:t>
      </w:r>
      <w:r>
        <w:rPr>
          <w:rFonts w:ascii="Arial" w:hAnsi="Arial" w:eastAsia="Arial"/>
          <w:spacing w:val="-1"/>
        </w:rPr>
        <w:t> </w:t>
      </w:r>
      <w:r>
        <w:rPr>
          <w:spacing w:val="1"/>
        </w:rPr>
        <w:t>开发自 </w:t>
      </w:r>
      <w:r>
        <w:rPr>
          <w:rFonts w:ascii="Arial" w:hAnsi="Arial" w:eastAsia="Arial"/>
        </w:rPr>
        <w:t>Genmab</w:t>
      </w:r>
      <w:r>
        <w:rPr>
          <w:rFonts w:ascii="Arial" w:hAnsi="Arial" w:eastAsia="Arial"/>
          <w:spacing w:val="-6"/>
        </w:rPr>
        <w:t> </w:t>
      </w:r>
      <w:r>
        <w:rPr>
          <w:spacing w:val="4"/>
        </w:rPr>
        <w:t>的 </w:t>
      </w:r>
      <w:r>
        <w:rPr>
          <w:rFonts w:ascii="Arial" w:hAnsi="Arial" w:eastAsia="Arial"/>
        </w:rPr>
        <w:t>DuoBody</w:t>
      </w:r>
      <w:r>
        <w:rPr>
          <w:rFonts w:ascii="Arial" w:hAnsi="Arial" w:eastAsia="Arial"/>
          <w:spacing w:val="1"/>
        </w:rPr>
        <w:t> </w:t>
      </w:r>
      <w:r>
        <w:rPr>
          <w:spacing w:val="-5"/>
        </w:rPr>
        <w:t>双抗平台，是一种人源化、非对称的双抗，采用</w:t>
      </w:r>
      <w:r>
        <w:rPr>
          <w:rFonts w:ascii="Arial" w:hAnsi="Arial" w:eastAsia="Arial"/>
          <w:spacing w:val="-5"/>
        </w:rPr>
        <w:t>IgG4</w:t>
      </w:r>
      <w:r>
        <w:rPr>
          <w:rFonts w:ascii="Arial" w:hAnsi="Arial" w:eastAsia="Arial"/>
          <w:spacing w:val="-9"/>
        </w:rPr>
        <w:t> </w:t>
      </w:r>
      <w:r>
        <w:rPr>
          <w:spacing w:val="-2"/>
        </w:rPr>
        <w:t>亚型。</w:t>
      </w:r>
      <w:r>
        <w:rPr>
          <w:rFonts w:ascii="Arial" w:hAnsi="Arial" w:eastAsia="Arial"/>
        </w:rPr>
        <w:t>2022</w:t>
      </w:r>
      <w:r>
        <w:rPr>
          <w:rFonts w:ascii="Arial" w:hAnsi="Arial" w:eastAsia="Arial"/>
          <w:spacing w:val="-10"/>
        </w:rPr>
        <w:t> </w:t>
      </w:r>
      <w:r>
        <w:rPr/>
        <w:t>年 </w:t>
      </w:r>
      <w:r>
        <w:rPr>
          <w:rFonts w:ascii="Arial" w:hAnsi="Arial" w:eastAsia="Arial"/>
        </w:rPr>
        <w:t>8</w:t>
      </w:r>
      <w:r>
        <w:rPr>
          <w:rFonts w:ascii="Arial" w:hAnsi="Arial" w:eastAsia="Arial"/>
          <w:spacing w:val="-10"/>
        </w:rPr>
        <w:t> </w:t>
      </w:r>
      <w:r>
        <w:rPr/>
        <w:t>月 </w:t>
      </w:r>
      <w:r>
        <w:rPr>
          <w:rFonts w:ascii="Arial" w:hAnsi="Arial" w:eastAsia="Arial"/>
        </w:rPr>
        <w:t>24</w:t>
      </w:r>
      <w:r>
        <w:rPr>
          <w:rFonts w:ascii="Arial" w:hAnsi="Arial" w:eastAsia="Arial"/>
          <w:spacing w:val="-9"/>
        </w:rPr>
        <w:t> </w:t>
      </w:r>
      <w:r>
        <w:rPr>
          <w:spacing w:val="12"/>
        </w:rPr>
        <w:t>日，基于</w:t>
      </w:r>
      <w:r>
        <w:rPr>
          <w:rFonts w:ascii="Arial" w:hAnsi="Arial" w:eastAsia="Arial"/>
        </w:rPr>
        <w:t>I/II</w:t>
      </w:r>
      <w:r>
        <w:rPr>
          <w:rFonts w:ascii="Arial" w:hAnsi="Arial" w:eastAsia="Arial"/>
          <w:spacing w:val="-6"/>
        </w:rPr>
        <w:t> </w:t>
      </w:r>
      <w:r>
        <w:rPr/>
        <w:t>期 </w:t>
      </w:r>
      <w:r>
        <w:rPr>
          <w:rFonts w:ascii="Arial" w:hAnsi="Arial" w:eastAsia="Arial"/>
        </w:rPr>
        <w:t>MajesTEC-1</w:t>
      </w:r>
      <w:r>
        <w:rPr>
          <w:rFonts w:ascii="Arial" w:hAnsi="Arial" w:eastAsia="Arial"/>
          <w:spacing w:val="-10"/>
        </w:rPr>
        <w:t> </w:t>
      </w:r>
      <w:r>
        <w:rPr>
          <w:spacing w:val="-2"/>
        </w:rPr>
        <w:t>的临床数据，该药物获 </w:t>
      </w:r>
      <w:r>
        <w:rPr>
          <w:rFonts w:ascii="Arial" w:hAnsi="Arial" w:eastAsia="Arial"/>
        </w:rPr>
        <w:t>EMA</w:t>
      </w:r>
      <w:r>
        <w:rPr>
          <w:rFonts w:ascii="Arial" w:hAnsi="Arial" w:eastAsia="Arial"/>
          <w:spacing w:val="-13"/>
        </w:rPr>
        <w:t> </w:t>
      </w:r>
      <w:r>
        <w:rPr/>
        <w:t>批准 </w:t>
      </w:r>
      <w:r>
        <w:rPr>
          <w:spacing w:val="-1"/>
        </w:rPr>
        <w:t>上市，用于 </w:t>
      </w:r>
      <w:r>
        <w:rPr>
          <w:rFonts w:ascii="Arial" w:hAnsi="Arial" w:eastAsia="Arial"/>
          <w:spacing w:val="-3"/>
        </w:rPr>
        <w:t>4L</w:t>
      </w:r>
      <w:r>
        <w:rPr>
          <w:rFonts w:ascii="Arial" w:hAnsi="Arial" w:eastAsia="Arial"/>
        </w:rPr>
        <w:t>+ r/r</w:t>
      </w:r>
      <w:r>
        <w:rPr>
          <w:rFonts w:ascii="Arial" w:hAnsi="Arial" w:eastAsia="Arial"/>
          <w:spacing w:val="1"/>
        </w:rPr>
        <w:t> </w:t>
      </w:r>
      <w:r>
        <w:rPr>
          <w:rFonts w:ascii="Arial" w:hAnsi="Arial" w:eastAsia="Arial"/>
          <w:spacing w:val="-3"/>
        </w:rPr>
        <w:t>MM</w:t>
      </w:r>
      <w:r>
        <w:rPr>
          <w:spacing w:val="-2"/>
        </w:rPr>
        <w:t>。此外 </w:t>
      </w:r>
      <w:r>
        <w:rPr>
          <w:rFonts w:ascii="Arial" w:hAnsi="Arial" w:eastAsia="Arial"/>
        </w:rPr>
        <w:t>J&amp;J</w:t>
      </w:r>
      <w:r>
        <w:rPr>
          <w:rFonts w:ascii="Arial" w:hAnsi="Arial" w:eastAsia="Arial"/>
          <w:spacing w:val="-13"/>
        </w:rPr>
        <w:t> </w:t>
      </w:r>
      <w:r>
        <w:rPr>
          <w:spacing w:val="10"/>
        </w:rPr>
        <w:t>也已经向</w:t>
      </w:r>
      <w:r>
        <w:rPr>
          <w:rFonts w:ascii="Arial" w:hAnsi="Arial" w:eastAsia="Arial"/>
        </w:rPr>
        <w:t>FDA</w:t>
      </w:r>
      <w:r>
        <w:rPr>
          <w:rFonts w:ascii="Arial" w:hAnsi="Arial" w:eastAsia="Arial"/>
          <w:spacing w:val="-12"/>
        </w:rPr>
        <w:t> </w:t>
      </w:r>
      <w:r>
        <w:rPr>
          <w:spacing w:val="-3"/>
        </w:rPr>
        <w:t>递交 </w:t>
      </w:r>
      <w:r>
        <w:rPr>
          <w:rFonts w:ascii="Arial" w:hAnsi="Arial" w:eastAsia="Arial"/>
        </w:rPr>
        <w:t>BLA</w:t>
      </w:r>
      <w:r>
        <w:rPr/>
        <w:t>。</w:t>
      </w:r>
    </w:p>
    <w:p>
      <w:pPr>
        <w:pStyle w:val="BodyText"/>
        <w:spacing w:line="288" w:lineRule="auto" w:before="118"/>
        <w:ind w:right="2809"/>
        <w:jc w:val="both"/>
      </w:pPr>
      <w:r>
        <w:rPr>
          <w:rFonts w:ascii="Arial" w:eastAsia="Arial"/>
        </w:rPr>
        <w:t>MajesTEC-1 </w:t>
      </w:r>
      <w:r>
        <w:rPr>
          <w:spacing w:val="2"/>
        </w:rPr>
        <w:t>研究中共有 </w:t>
      </w:r>
      <w:r>
        <w:rPr>
          <w:rFonts w:ascii="Arial" w:eastAsia="Arial"/>
        </w:rPr>
        <w:t>165 </w:t>
      </w:r>
      <w:r>
        <w:rPr>
          <w:spacing w:val="-2"/>
        </w:rPr>
        <w:t>名患者接受了推荐剂量的 </w:t>
      </w:r>
      <w:r>
        <w:rPr>
          <w:rFonts w:ascii="Arial" w:eastAsia="Arial"/>
        </w:rPr>
        <w:t>teclistamab</w:t>
      </w:r>
      <w:r>
        <w:rPr>
          <w:rFonts w:ascii="Arial" w:eastAsia="Arial"/>
          <w:spacing w:val="15"/>
        </w:rPr>
        <w:t> (</w:t>
      </w:r>
      <w:r>
        <w:rPr>
          <w:rFonts w:ascii="Arial" w:eastAsia="Arial"/>
          <w:spacing w:val="-3"/>
        </w:rPr>
        <w:t>I </w:t>
      </w:r>
      <w:r>
        <w:rPr>
          <w:spacing w:val="12"/>
        </w:rPr>
        <w:t>期 </w:t>
      </w:r>
      <w:r>
        <w:rPr>
          <w:rFonts w:ascii="Arial" w:eastAsia="Arial"/>
        </w:rPr>
        <w:t>40 </w:t>
      </w:r>
      <w:r>
        <w:rPr/>
        <w:t>名，</w:t>
      </w:r>
      <w:r>
        <w:rPr>
          <w:rFonts w:ascii="Arial" w:eastAsia="Arial"/>
        </w:rPr>
        <w:t>II </w:t>
      </w:r>
      <w:r>
        <w:rPr>
          <w:spacing w:val="12"/>
        </w:rPr>
        <w:t>期 </w:t>
      </w:r>
      <w:r>
        <w:rPr>
          <w:rFonts w:ascii="Arial" w:eastAsia="Arial"/>
          <w:spacing w:val="-2"/>
        </w:rPr>
        <w:t>125 </w:t>
      </w:r>
      <w:r>
        <w:rPr/>
        <w:t>名</w:t>
      </w:r>
      <w:r>
        <w:rPr>
          <w:rFonts w:ascii="Arial" w:eastAsia="Arial"/>
        </w:rPr>
        <w:t>)</w:t>
      </w:r>
      <w:r>
        <w:rPr>
          <w:spacing w:val="-5"/>
        </w:rPr>
        <w:t>，给药方式为每周一次皮下注射，入组患者既往中位治疗线数为 </w:t>
      </w:r>
      <w:r>
        <w:rPr>
          <w:rFonts w:ascii="Arial" w:eastAsia="Arial"/>
          <w:spacing w:val="-4"/>
        </w:rPr>
        <w:t>5</w:t>
      </w:r>
      <w:r>
        <w:rPr/>
        <w:t>，其中 </w:t>
      </w:r>
      <w:r>
        <w:rPr>
          <w:rFonts w:ascii="Arial" w:eastAsia="Arial"/>
          <w:spacing w:val="-2"/>
        </w:rPr>
        <w:t>74%</w:t>
      </w:r>
      <w:r>
        <w:rPr>
          <w:spacing w:val="-5"/>
        </w:rPr>
        <w:t>既往治疗</w:t>
      </w:r>
      <w:r>
        <w:rPr>
          <w:spacing w:val="5"/>
        </w:rPr>
        <w:t>线数大于 </w:t>
      </w:r>
      <w:r>
        <w:rPr>
          <w:rFonts w:ascii="Arial" w:eastAsia="Arial"/>
        </w:rPr>
        <w:t>4</w:t>
      </w:r>
      <w:r>
        <w:rPr/>
        <w:t>，</w:t>
      </w:r>
      <w:r>
        <w:rPr>
          <w:rFonts w:ascii="Arial" w:eastAsia="Arial"/>
        </w:rPr>
        <w:t>78%</w:t>
      </w:r>
      <w:r>
        <w:rPr>
          <w:spacing w:val="-3"/>
        </w:rPr>
        <w:t>的患者三重耐药，</w:t>
      </w:r>
      <w:r>
        <w:rPr>
          <w:rFonts w:ascii="Arial" w:eastAsia="Arial"/>
        </w:rPr>
        <w:t>30%</w:t>
      </w:r>
      <w:r>
        <w:rPr>
          <w:spacing w:val="-2"/>
        </w:rPr>
        <w:t>的患者五重耐药。中位随访 </w:t>
      </w:r>
      <w:r>
        <w:rPr>
          <w:rFonts w:ascii="Arial" w:eastAsia="Arial"/>
        </w:rPr>
        <w:t>14 </w:t>
      </w:r>
      <w:r>
        <w:rPr>
          <w:spacing w:val="-4"/>
        </w:rPr>
        <w:t>个月的数据显示， </w:t>
      </w:r>
      <w:r>
        <w:rPr>
          <w:rFonts w:ascii="Arial" w:eastAsia="Arial"/>
          <w:spacing w:val="-4"/>
        </w:rPr>
        <w:t>165 </w:t>
      </w:r>
      <w:r>
        <w:rPr>
          <w:spacing w:val="1"/>
        </w:rPr>
        <w:t>例患者中 </w:t>
      </w:r>
      <w:r>
        <w:rPr>
          <w:rFonts w:ascii="Arial" w:eastAsia="Arial"/>
        </w:rPr>
        <w:t>104 </w:t>
      </w:r>
      <w:r>
        <w:rPr>
          <w:spacing w:val="4"/>
        </w:rPr>
        <w:t>例出现缓解 </w:t>
      </w:r>
      <w:r>
        <w:rPr>
          <w:rFonts w:ascii="Arial" w:eastAsia="Arial"/>
        </w:rPr>
        <w:t>(ORR</w:t>
      </w:r>
      <w:r>
        <w:rPr>
          <w:rFonts w:ascii="Arial" w:eastAsia="Arial"/>
          <w:spacing w:val="14"/>
        </w:rPr>
        <w:t>: </w:t>
      </w:r>
      <w:r>
        <w:rPr>
          <w:rFonts w:ascii="Arial" w:eastAsia="Arial"/>
        </w:rPr>
        <w:t>63%)</w:t>
      </w:r>
      <w:r>
        <w:rPr/>
        <w:t>，</w:t>
      </w:r>
      <w:r>
        <w:rPr>
          <w:rFonts w:ascii="Arial" w:eastAsia="Arial"/>
        </w:rPr>
        <w:t>CR </w:t>
      </w:r>
      <w:r>
        <w:rPr/>
        <w:t>率为 </w:t>
      </w:r>
      <w:r>
        <w:rPr>
          <w:rFonts w:ascii="Arial" w:eastAsia="Arial"/>
        </w:rPr>
        <w:t>39.4%</w:t>
      </w:r>
      <w:r>
        <w:rPr/>
        <w:t>，</w:t>
      </w:r>
      <w:r>
        <w:rPr>
          <w:rFonts w:ascii="Arial" w:eastAsia="Arial"/>
        </w:rPr>
        <w:t>26.7%</w:t>
      </w:r>
      <w:r>
        <w:rPr/>
        <w:t>的患者未见 </w:t>
      </w:r>
      <w:r>
        <w:rPr>
          <w:rFonts w:ascii="Arial" w:eastAsia="Arial"/>
        </w:rPr>
        <w:t>MRD </w:t>
      </w:r>
      <w:r>
        <w:rPr/>
        <w:t>残</w:t>
      </w:r>
      <w:r>
        <w:rPr>
          <w:spacing w:val="2"/>
        </w:rPr>
        <w:t>留。安全性方面，接受</w:t>
      </w:r>
      <w:r>
        <w:rPr>
          <w:rFonts w:ascii="Arial" w:eastAsia="Arial"/>
        </w:rPr>
        <w:t>Tecvayli </w:t>
      </w:r>
      <w:r>
        <w:rPr/>
        <w:t>治疗的 </w:t>
      </w:r>
      <w:r>
        <w:rPr>
          <w:rFonts w:ascii="Arial" w:eastAsia="Arial"/>
        </w:rPr>
        <w:t>165 </w:t>
      </w:r>
      <w:r>
        <w:rPr>
          <w:spacing w:val="-3"/>
        </w:rPr>
        <w:t>例患者中，</w:t>
      </w:r>
      <w:r>
        <w:rPr>
          <w:rFonts w:ascii="Arial" w:eastAsia="Arial"/>
          <w:spacing w:val="-3"/>
        </w:rPr>
        <w:t>156 </w:t>
      </w:r>
      <w:r>
        <w:rPr>
          <w:spacing w:val="20"/>
        </w:rPr>
        <w:t>例 </w:t>
      </w:r>
      <w:r>
        <w:rPr>
          <w:rFonts w:ascii="Arial" w:eastAsia="Arial"/>
        </w:rPr>
        <w:t>(95%</w:t>
      </w:r>
      <w:r>
        <w:rPr>
          <w:rFonts w:ascii="Arial" w:eastAsia="Arial"/>
          <w:spacing w:val="19"/>
        </w:rPr>
        <w:t>) </w:t>
      </w:r>
      <w:r>
        <w:rPr/>
        <w:t>发生了 </w:t>
      </w:r>
      <w:r>
        <w:rPr>
          <w:rFonts w:ascii="Arial" w:eastAsia="Arial"/>
        </w:rPr>
        <w:t>3/4 </w:t>
      </w:r>
      <w:r>
        <w:rPr>
          <w:spacing w:val="-2"/>
        </w:rPr>
        <w:t>级以上不良反应，</w:t>
      </w:r>
      <w:r>
        <w:rPr>
          <w:rFonts w:ascii="Arial" w:eastAsia="Arial"/>
          <w:spacing w:val="-2"/>
        </w:rPr>
        <w:t>104 </w:t>
      </w:r>
      <w:r>
        <w:rPr>
          <w:spacing w:val="25"/>
        </w:rPr>
        <w:t>例 </w:t>
      </w:r>
      <w:r>
        <w:rPr>
          <w:rFonts w:ascii="Arial" w:eastAsia="Arial"/>
        </w:rPr>
        <w:t>(63%)</w:t>
      </w:r>
      <w:r>
        <w:rPr>
          <w:spacing w:val="-5"/>
        </w:rPr>
        <w:t>因不良反应而跳过一次给药。</w:t>
      </w:r>
      <w:r>
        <w:rPr>
          <w:rFonts w:ascii="Arial" w:eastAsia="Arial"/>
          <w:spacing w:val="-2"/>
        </w:rPr>
        <w:t>3/4 </w:t>
      </w:r>
      <w:r>
        <w:rPr>
          <w:spacing w:val="-4"/>
        </w:rPr>
        <w:t>级不良反应中，最常见的为血液系</w:t>
      </w:r>
      <w:r>
        <w:rPr>
          <w:spacing w:val="3"/>
        </w:rPr>
        <w:t>统 </w:t>
      </w:r>
      <w:r>
        <w:rPr>
          <w:rFonts w:ascii="Arial" w:eastAsia="Arial"/>
          <w:spacing w:val="2"/>
        </w:rPr>
        <w:t>AE</w:t>
      </w:r>
      <w:r>
        <w:rPr>
          <w:spacing w:val="3"/>
        </w:rPr>
        <w:t>，包括中性粒细胞减少 </w:t>
      </w:r>
      <w:r>
        <w:rPr>
          <w:rFonts w:ascii="Arial" w:eastAsia="Arial"/>
        </w:rPr>
        <w:t>(64%)</w:t>
      </w:r>
      <w:r>
        <w:rPr>
          <w:spacing w:val="3"/>
        </w:rPr>
        <w:t>、贫血 </w:t>
      </w:r>
      <w:r>
        <w:rPr>
          <w:rFonts w:ascii="Arial" w:eastAsia="Arial"/>
        </w:rPr>
        <w:t>(37%</w:t>
      </w:r>
      <w:r>
        <w:rPr>
          <w:rFonts w:ascii="Arial" w:eastAsia="Arial"/>
          <w:spacing w:val="20"/>
        </w:rPr>
        <w:t>) </w:t>
      </w:r>
      <w:r>
        <w:rPr>
          <w:spacing w:val="3"/>
        </w:rPr>
        <w:t>、血小板减少 </w:t>
      </w:r>
      <w:r>
        <w:rPr>
          <w:rFonts w:ascii="Arial" w:eastAsia="Arial"/>
        </w:rPr>
        <w:t>(21%)</w:t>
      </w:r>
      <w:r>
        <w:rPr>
          <w:spacing w:val="3"/>
        </w:rPr>
        <w:t>、淋巴细胞减少</w:t>
      </w:r>
      <w:r>
        <w:rPr>
          <w:rFonts w:ascii="Arial" w:eastAsia="Arial"/>
          <w:spacing w:val="3"/>
        </w:rPr>
        <w:t>(33%)</w:t>
      </w:r>
      <w:r>
        <w:rPr>
          <w:spacing w:val="3"/>
        </w:rPr>
        <w:t>。</w:t>
      </w:r>
      <w:r>
        <w:rPr>
          <w:rFonts w:ascii="Arial" w:eastAsia="Arial"/>
          <w:spacing w:val="3"/>
        </w:rPr>
        <w:t>CRS </w:t>
      </w:r>
      <w:r>
        <w:rPr>
          <w:spacing w:val="9"/>
        </w:rPr>
        <w:t>发生率为 </w:t>
      </w:r>
      <w:r>
        <w:rPr>
          <w:rFonts w:ascii="Arial" w:eastAsia="Arial"/>
          <w:spacing w:val="-3"/>
        </w:rPr>
        <w:t>72%</w:t>
      </w:r>
      <w:r>
        <w:rPr>
          <w:spacing w:val="3"/>
        </w:rPr>
        <w:t>，其中大多为 </w:t>
      </w:r>
      <w:r>
        <w:rPr>
          <w:rFonts w:ascii="Arial" w:eastAsia="Arial"/>
        </w:rPr>
        <w:t>1/2 </w:t>
      </w:r>
      <w:r>
        <w:rPr>
          <w:spacing w:val="-2"/>
        </w:rPr>
        <w:t>级并完全缓解，仅有一例 </w:t>
      </w:r>
      <w:r>
        <w:rPr>
          <w:rFonts w:ascii="Arial" w:eastAsia="Arial"/>
        </w:rPr>
        <w:t>(0.6%</w:t>
      </w:r>
      <w:r>
        <w:rPr>
          <w:rFonts w:ascii="Arial" w:eastAsia="Arial"/>
          <w:spacing w:val="16"/>
        </w:rPr>
        <w:t>) </w:t>
      </w:r>
      <w:r>
        <w:rPr>
          <w:spacing w:val="-2"/>
        </w:rPr>
        <w:t>三级以上</w:t>
      </w:r>
      <w:r>
        <w:rPr>
          <w:rFonts w:ascii="Arial" w:eastAsia="Arial"/>
          <w:spacing w:val="-2"/>
        </w:rPr>
        <w:t>CRS</w:t>
      </w:r>
      <w:r>
        <w:rPr>
          <w:spacing w:val="-2"/>
        </w:rPr>
        <w:t>；</w:t>
      </w:r>
      <w:r>
        <w:rPr>
          <w:rFonts w:ascii="Arial" w:eastAsia="Arial"/>
          <w:spacing w:val="-2"/>
        </w:rPr>
        <w:t>15%</w:t>
      </w:r>
      <w:r>
        <w:rPr>
          <w:spacing w:val="-6"/>
        </w:rPr>
        <w:t>的患者出现神经毒性，其中三级以上发生率 </w:t>
      </w:r>
      <w:r>
        <w:rPr>
          <w:rFonts w:ascii="Arial" w:eastAsia="Arial"/>
        </w:rPr>
        <w:t>0.6%</w:t>
      </w:r>
      <w:r>
        <w:rPr/>
        <w:t>。</w:t>
      </w:r>
    </w:p>
    <w:p>
      <w:pPr>
        <w:pStyle w:val="BodyText"/>
        <w:spacing w:line="288" w:lineRule="auto" w:before="114"/>
        <w:ind w:right="2809"/>
        <w:jc w:val="both"/>
      </w:pPr>
      <w:r>
        <w:rPr>
          <w:spacing w:val="11"/>
        </w:rPr>
        <w:t>相较于 </w:t>
      </w:r>
      <w:r>
        <w:rPr>
          <w:rFonts w:ascii="Arial" w:eastAsia="Arial"/>
        </w:rPr>
        <w:t>CAR-T</w:t>
      </w:r>
      <w:r>
        <w:rPr>
          <w:rFonts w:ascii="Arial" w:eastAsia="Arial"/>
          <w:spacing w:val="50"/>
        </w:rPr>
        <w:t> </w:t>
      </w:r>
      <w:r>
        <w:rPr>
          <w:spacing w:val="8"/>
        </w:rPr>
        <w:t>和双抗已经展现出来的疗效， </w:t>
      </w:r>
      <w:r>
        <w:rPr>
          <w:rFonts w:ascii="Arial" w:eastAsia="Arial"/>
        </w:rPr>
        <w:t>BCMA</w:t>
      </w:r>
      <w:r>
        <w:rPr>
          <w:rFonts w:ascii="Arial" w:eastAsia="Arial"/>
          <w:spacing w:val="43"/>
        </w:rPr>
        <w:t> </w:t>
      </w:r>
      <w:r>
        <w:rPr>
          <w:rFonts w:ascii="Arial" w:eastAsia="Arial"/>
        </w:rPr>
        <w:t>ADC</w:t>
      </w:r>
      <w:r>
        <w:rPr>
          <w:rFonts w:ascii="Arial" w:eastAsia="Arial"/>
          <w:spacing w:val="47"/>
        </w:rPr>
        <w:t> </w:t>
      </w:r>
      <w:r>
        <w:rPr>
          <w:spacing w:val="9"/>
        </w:rPr>
        <w:t>药物 </w:t>
      </w:r>
      <w:r>
        <w:rPr>
          <w:rFonts w:ascii="Arial" w:eastAsia="Arial"/>
        </w:rPr>
        <w:t>Blenrep</w:t>
      </w:r>
      <w:r>
        <w:rPr>
          <w:rFonts w:ascii="Arial" w:eastAsia="Arial"/>
          <w:spacing w:val="46"/>
        </w:rPr>
        <w:t> </w:t>
      </w:r>
      <w:r>
        <w:rPr>
          <w:rFonts w:ascii="Arial" w:eastAsia="Arial"/>
        </w:rPr>
        <w:t>(Belantamab Mafodotin</w:t>
      </w:r>
      <w:r>
        <w:rPr>
          <w:rFonts w:ascii="Arial" w:eastAsia="Arial"/>
          <w:spacing w:val="-7"/>
        </w:rPr>
        <w:t>) </w:t>
      </w:r>
      <w:r>
        <w:rPr>
          <w:spacing w:val="-5"/>
        </w:rPr>
        <w:t>疗效有限，且安全性不佳。</w:t>
      </w:r>
      <w:r>
        <w:rPr>
          <w:rFonts w:ascii="Arial" w:eastAsia="Arial"/>
        </w:rPr>
        <w:t>2020</w:t>
      </w:r>
      <w:r>
        <w:rPr>
          <w:rFonts w:ascii="Arial" w:eastAsia="Arial"/>
          <w:spacing w:val="-21"/>
        </w:rPr>
        <w:t> </w:t>
      </w:r>
      <w:r>
        <w:rPr>
          <w:spacing w:val="-5"/>
        </w:rPr>
        <w:t>年 </w:t>
      </w:r>
      <w:r>
        <w:rPr>
          <w:rFonts w:ascii="Arial" w:eastAsia="Arial"/>
        </w:rPr>
        <w:t>8</w:t>
      </w:r>
      <w:r>
        <w:rPr>
          <w:rFonts w:ascii="Arial" w:eastAsia="Arial"/>
          <w:spacing w:val="-21"/>
        </w:rPr>
        <w:t> </w:t>
      </w:r>
      <w:r>
        <w:rPr>
          <w:spacing w:val="-3"/>
        </w:rPr>
        <w:t>月，</w:t>
      </w:r>
      <w:r>
        <w:rPr>
          <w:rFonts w:ascii="Arial" w:eastAsia="Arial"/>
        </w:rPr>
        <w:t>GSK</w:t>
      </w:r>
      <w:r>
        <w:rPr>
          <w:rFonts w:ascii="Arial" w:eastAsia="Arial"/>
          <w:spacing w:val="-20"/>
        </w:rPr>
        <w:t> </w:t>
      </w:r>
      <w:r>
        <w:rPr>
          <w:spacing w:val="-4"/>
        </w:rPr>
        <w:t>的靶向 </w:t>
      </w:r>
      <w:r>
        <w:rPr>
          <w:rFonts w:ascii="Arial" w:eastAsia="Arial"/>
        </w:rPr>
        <w:t>BCMA</w:t>
      </w:r>
      <w:r>
        <w:rPr>
          <w:rFonts w:ascii="Arial" w:eastAsia="Arial"/>
          <w:spacing w:val="-9"/>
        </w:rPr>
        <w:t> </w:t>
      </w:r>
      <w:r>
        <w:rPr>
          <w:rFonts w:ascii="Arial" w:eastAsia="Arial"/>
        </w:rPr>
        <w:t>ADC</w:t>
      </w:r>
      <w:r>
        <w:rPr>
          <w:rFonts w:ascii="Arial" w:eastAsia="Arial"/>
          <w:spacing w:val="-25"/>
        </w:rPr>
        <w:t> </w:t>
      </w:r>
      <w:r>
        <w:rPr>
          <w:spacing w:val="19"/>
        </w:rPr>
        <w:t>药物</w:t>
      </w:r>
      <w:r>
        <w:rPr>
          <w:rFonts w:ascii="Arial" w:eastAsia="Arial"/>
        </w:rPr>
        <w:t>Blenrep </w:t>
      </w:r>
      <w:r>
        <w:rPr>
          <w:spacing w:val="48"/>
        </w:rPr>
        <w:t>获</w:t>
      </w:r>
      <w:r>
        <w:rPr>
          <w:rFonts w:ascii="Arial" w:eastAsia="Arial"/>
        </w:rPr>
        <w:t>FDA</w:t>
      </w:r>
      <w:r>
        <w:rPr>
          <w:rFonts w:ascii="Arial" w:eastAsia="Arial"/>
          <w:spacing w:val="-6"/>
        </w:rPr>
        <w:t> </w:t>
      </w:r>
      <w:r>
        <w:rPr>
          <w:spacing w:val="-5"/>
        </w:rPr>
        <w:t>批准上市，用于治疗至少接受过四种疗法的 </w:t>
      </w:r>
      <w:r>
        <w:rPr>
          <w:rFonts w:ascii="Arial" w:eastAsia="Arial"/>
        </w:rPr>
        <w:t>r/r</w:t>
      </w:r>
      <w:r>
        <w:rPr>
          <w:rFonts w:ascii="Arial" w:eastAsia="Arial"/>
          <w:spacing w:val="12"/>
        </w:rPr>
        <w:t> </w:t>
      </w:r>
      <w:r>
        <w:rPr>
          <w:rFonts w:ascii="Arial" w:eastAsia="Arial"/>
        </w:rPr>
        <w:t>MM</w:t>
      </w:r>
      <w:r>
        <w:rPr>
          <w:rFonts w:ascii="Arial" w:eastAsia="Arial"/>
          <w:spacing w:val="-5"/>
        </w:rPr>
        <w:t> </w:t>
      </w:r>
      <w:r>
        <w:rPr>
          <w:spacing w:val="-2"/>
        </w:rPr>
        <w:t>患者。</w:t>
      </w:r>
      <w:r>
        <w:rPr>
          <w:rFonts w:ascii="Arial" w:eastAsia="Arial"/>
        </w:rPr>
        <w:t>Blenrep</w:t>
      </w:r>
      <w:r>
        <w:rPr>
          <w:rFonts w:ascii="Arial" w:eastAsia="Arial"/>
          <w:spacing w:val="-7"/>
        </w:rPr>
        <w:t> </w:t>
      </w:r>
      <w:r>
        <w:rPr>
          <w:spacing w:val="-1"/>
        </w:rPr>
        <w:t>由全人源 </w:t>
      </w:r>
      <w:r>
        <w:rPr>
          <w:rFonts w:ascii="Arial" w:eastAsia="Arial"/>
        </w:rPr>
        <w:t>BCMA </w:t>
      </w:r>
      <w:r>
        <w:rPr>
          <w:spacing w:val="4"/>
        </w:rPr>
        <w:t>单抗 </w:t>
      </w:r>
      <w:r>
        <w:rPr>
          <w:rFonts w:ascii="Arial" w:eastAsia="Arial"/>
        </w:rPr>
        <w:t>J6M0</w:t>
      </w:r>
      <w:r>
        <w:rPr>
          <w:rFonts w:ascii="Arial" w:eastAsia="Arial"/>
          <w:spacing w:val="-1"/>
        </w:rPr>
        <w:t> </w:t>
      </w:r>
      <w:r>
        <w:rPr>
          <w:spacing w:val="-2"/>
        </w:rPr>
        <w:t>通过不可裂解的 </w:t>
      </w:r>
      <w:r>
        <w:rPr>
          <w:rFonts w:ascii="Arial" w:eastAsia="Arial"/>
        </w:rPr>
        <w:t>Linker </w:t>
      </w:r>
      <w:r>
        <w:rPr>
          <w:spacing w:val="-4"/>
        </w:rPr>
        <w:t>连接微管蛋白抑制剂 </w:t>
      </w:r>
      <w:r>
        <w:rPr>
          <w:rFonts w:ascii="Arial" w:eastAsia="Arial"/>
        </w:rPr>
        <w:t>MMAF</w:t>
      </w:r>
      <w:r>
        <w:rPr>
          <w:rFonts w:ascii="Arial" w:eastAsia="Arial"/>
          <w:spacing w:val="3"/>
        </w:rPr>
        <w:t> </w:t>
      </w:r>
      <w:r>
        <w:rPr>
          <w:spacing w:val="-5"/>
        </w:rPr>
        <w:t>构成。其上市主要基于关键</w:t>
      </w:r>
      <w:r>
        <w:rPr/>
        <w:t>性 </w:t>
      </w:r>
      <w:r>
        <w:rPr>
          <w:rFonts w:ascii="Arial" w:eastAsia="Arial"/>
        </w:rPr>
        <w:t>DREAMM-2</w:t>
      </w:r>
      <w:r>
        <w:rPr>
          <w:rFonts w:ascii="Arial" w:eastAsia="Arial"/>
          <w:spacing w:val="40"/>
        </w:rPr>
        <w:t> </w:t>
      </w:r>
      <w:r>
        <w:rPr>
          <w:spacing w:val="6"/>
        </w:rPr>
        <w:t>研究。</w:t>
      </w:r>
      <w:r>
        <w:rPr>
          <w:rFonts w:ascii="Arial" w:eastAsia="Arial"/>
        </w:rPr>
        <w:t>DREAMM-2</w:t>
      </w:r>
      <w:r>
        <w:rPr>
          <w:rFonts w:ascii="Arial" w:eastAsia="Arial"/>
          <w:spacing w:val="39"/>
        </w:rPr>
        <w:t> </w:t>
      </w:r>
      <w:r>
        <w:rPr>
          <w:spacing w:val="4"/>
        </w:rPr>
        <w:t>研究入组了 </w:t>
      </w:r>
      <w:r>
        <w:rPr>
          <w:rFonts w:ascii="Arial" w:eastAsia="Arial"/>
        </w:rPr>
        <w:t>196</w:t>
      </w:r>
      <w:r>
        <w:rPr>
          <w:rFonts w:ascii="Arial" w:eastAsia="Arial"/>
          <w:spacing w:val="40"/>
        </w:rPr>
        <w:t> </w:t>
      </w:r>
      <w:r>
        <w:rPr>
          <w:spacing w:val="3"/>
        </w:rPr>
        <w:t>名患者，既往中位治疗线数为 </w:t>
      </w:r>
      <w:r>
        <w:rPr>
          <w:rFonts w:ascii="Arial" w:eastAsia="Arial"/>
          <w:spacing w:val="3"/>
        </w:rPr>
        <w:t>7</w:t>
      </w:r>
      <w:r>
        <w:rPr/>
        <w:t>。</w:t>
      </w:r>
      <w:r>
        <w:rPr>
          <w:rFonts w:ascii="Arial" w:eastAsia="Arial"/>
        </w:rPr>
        <w:t>Blenrep</w:t>
      </w:r>
      <w:r>
        <w:rPr>
          <w:rFonts w:ascii="Arial" w:eastAsia="Arial"/>
          <w:spacing w:val="-5"/>
        </w:rPr>
        <w:t> </w:t>
      </w:r>
      <w:r>
        <w:rPr>
          <w:spacing w:val="-2"/>
        </w:rPr>
        <w:t>的单药治疗有效性较差，高剂量组</w:t>
      </w:r>
      <w:r>
        <w:rPr>
          <w:rFonts w:ascii="Arial" w:eastAsia="Arial"/>
        </w:rPr>
        <w:t>ORR</w:t>
      </w:r>
      <w:r>
        <w:rPr>
          <w:rFonts w:ascii="Arial" w:eastAsia="Arial"/>
          <w:spacing w:val="-4"/>
        </w:rPr>
        <w:t> </w:t>
      </w:r>
      <w:r>
        <w:rPr>
          <w:spacing w:val="3"/>
        </w:rPr>
        <w:t>仅 </w:t>
      </w:r>
      <w:r>
        <w:rPr>
          <w:rFonts w:ascii="Arial" w:eastAsia="Arial"/>
        </w:rPr>
        <w:t>35%</w:t>
      </w:r>
      <w:r>
        <w:rPr/>
        <w:t>，</w:t>
      </w:r>
      <w:r>
        <w:rPr>
          <w:rFonts w:ascii="Arial" w:eastAsia="Arial"/>
        </w:rPr>
        <w:t>DOR</w:t>
      </w:r>
      <w:r>
        <w:rPr>
          <w:rFonts w:ascii="Arial" w:eastAsia="Arial"/>
          <w:spacing w:val="-4"/>
        </w:rPr>
        <w:t> </w:t>
      </w:r>
      <w:r>
        <w:rPr>
          <w:spacing w:val="3"/>
        </w:rPr>
        <w:t>为 </w:t>
      </w:r>
      <w:r>
        <w:rPr>
          <w:rFonts w:ascii="Arial" w:eastAsia="Arial"/>
        </w:rPr>
        <w:t>6.2</w:t>
      </w:r>
      <w:r>
        <w:rPr>
          <w:rFonts w:ascii="Arial" w:eastAsia="Arial"/>
          <w:spacing w:val="-5"/>
        </w:rPr>
        <w:t> </w:t>
      </w:r>
      <w:r>
        <w:rPr>
          <w:spacing w:val="-1"/>
        </w:rPr>
        <w:t>个月，患者 </w:t>
      </w:r>
      <w:r>
        <w:rPr>
          <w:rFonts w:ascii="Arial" w:eastAsia="Arial"/>
        </w:rPr>
        <w:t>12</w:t>
      </w:r>
      <w:r>
        <w:rPr>
          <w:rFonts w:ascii="Arial" w:eastAsia="Arial"/>
          <w:spacing w:val="-5"/>
        </w:rPr>
        <w:t> </w:t>
      </w:r>
      <w:r>
        <w:rPr/>
        <w:t>个月</w:t>
      </w:r>
      <w:r>
        <w:rPr>
          <w:spacing w:val="-2"/>
        </w:rPr>
        <w:t>生存率仅为 </w:t>
      </w:r>
      <w:r>
        <w:rPr>
          <w:rFonts w:ascii="Arial" w:eastAsia="Arial"/>
          <w:spacing w:val="-2"/>
        </w:rPr>
        <w:t>53%</w:t>
      </w:r>
      <w:r>
        <w:rPr>
          <w:spacing w:val="-2"/>
        </w:rPr>
        <w:t>。同时  </w:t>
      </w:r>
      <w:r>
        <w:rPr>
          <w:rFonts w:ascii="Arial" w:eastAsia="Arial"/>
        </w:rPr>
        <w:t>Blenrep</w:t>
      </w:r>
      <w:r>
        <w:rPr>
          <w:rFonts w:ascii="Arial" w:eastAsia="Arial"/>
          <w:spacing w:val="34"/>
        </w:rPr>
        <w:t> </w:t>
      </w:r>
      <w:r>
        <w:rPr>
          <w:spacing w:val="-5"/>
        </w:rPr>
        <w:t>伴有较为严重的安全性问题，主要不良反应为眼毒性，三级以上角膜病变发生率高达 </w:t>
      </w:r>
      <w:r>
        <w:rPr>
          <w:rFonts w:ascii="Arial" w:eastAsia="Arial"/>
          <w:spacing w:val="-2"/>
        </w:rPr>
        <w:t>21%</w:t>
      </w:r>
      <w:r>
        <w:rPr/>
        <w:t>。</w:t>
      </w:r>
    </w:p>
    <w:p>
      <w:pPr>
        <w:pStyle w:val="Heading3"/>
        <w:spacing w:before="65" w:after="5"/>
      </w:pPr>
      <w:r>
        <w:rPr/>
        <w:t>图 </w:t>
      </w:r>
      <w:r>
        <w:rPr>
          <w:rFonts w:ascii="Arial" w:eastAsia="Arial"/>
        </w:rPr>
        <w:t>35: </w:t>
      </w:r>
      <w:r>
        <w:rPr/>
        <w:t>已获批上市</w:t>
      </w:r>
      <w:r>
        <w:rPr>
          <w:rFonts w:ascii="Arial" w:eastAsia="Arial"/>
        </w:rPr>
        <w:t>/ BLA </w:t>
      </w:r>
      <w:r>
        <w:rPr/>
        <w:t>阶段的 </w:t>
      </w:r>
      <w:r>
        <w:rPr>
          <w:rFonts w:ascii="Arial" w:eastAsia="Arial"/>
        </w:rPr>
        <w:t>r/r MM </w:t>
      </w:r>
      <w:r>
        <w:rPr/>
        <w:t>新型疗法临床数据对比</w:t>
      </w:r>
    </w:p>
    <w:tbl>
      <w:tblPr>
        <w:tblW w:w="0" w:type="auto"/>
        <w:jc w:val="left"/>
        <w:tblInd w:w="2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629"/>
        <w:gridCol w:w="1220"/>
        <w:gridCol w:w="1225"/>
        <w:gridCol w:w="1220"/>
        <w:gridCol w:w="1225"/>
        <w:gridCol w:w="1225"/>
        <w:gridCol w:w="1225"/>
      </w:tblGrid>
      <w:tr>
        <w:trPr>
          <w:trHeight w:val="205" w:hRule="atLeast"/>
        </w:trPr>
        <w:tc>
          <w:tcPr>
            <w:tcW w:w="629" w:type="dxa"/>
            <w:tcBorders>
              <w:left w:val="nil"/>
              <w:bottom w:val="single" w:sz="4" w:space="0" w:color="000000"/>
              <w:right w:val="single" w:sz="4" w:space="0" w:color="000000"/>
            </w:tcBorders>
            <w:shd w:val="clear" w:color="auto" w:fill="C00000"/>
          </w:tcPr>
          <w:p>
            <w:pPr>
              <w:pStyle w:val="TableParagraph"/>
              <w:spacing w:line="186" w:lineRule="exact"/>
              <w:ind w:left="110"/>
              <w:rPr>
                <w:rFonts w:ascii="Microsoft JhengHei UI" w:eastAsia="Microsoft JhengHei UI" w:hint="eastAsia"/>
                <w:b/>
                <w:sz w:val="14"/>
              </w:rPr>
            </w:pPr>
            <w:r>
              <w:rPr>
                <w:rFonts w:ascii="Microsoft JhengHei UI" w:eastAsia="Microsoft JhengHei UI" w:hint="eastAsia"/>
                <w:b/>
                <w:color w:val="FFFFFF"/>
                <w:sz w:val="14"/>
              </w:rPr>
              <w:t>类别</w:t>
            </w:r>
          </w:p>
        </w:tc>
        <w:tc>
          <w:tcPr>
            <w:tcW w:w="4890" w:type="dxa"/>
            <w:gridSpan w:val="4"/>
            <w:tcBorders>
              <w:left w:val="single" w:sz="4" w:space="0" w:color="000000"/>
              <w:bottom w:val="single" w:sz="4" w:space="0" w:color="000000"/>
              <w:right w:val="single" w:sz="6" w:space="0" w:color="000000"/>
            </w:tcBorders>
            <w:shd w:val="clear" w:color="auto" w:fill="C00000"/>
          </w:tcPr>
          <w:p>
            <w:pPr>
              <w:pStyle w:val="TableParagraph"/>
              <w:spacing w:before="17"/>
              <w:ind w:left="100"/>
              <w:rPr>
                <w:b/>
                <w:sz w:val="14"/>
              </w:rPr>
            </w:pPr>
            <w:r>
              <w:rPr>
                <w:b/>
                <w:color w:val="FFFFFF"/>
                <w:sz w:val="14"/>
              </w:rPr>
              <w:t>CAR-T</w:t>
            </w:r>
          </w:p>
        </w:tc>
        <w:tc>
          <w:tcPr>
            <w:tcW w:w="1225" w:type="dxa"/>
            <w:tcBorders>
              <w:left w:val="single" w:sz="6" w:space="0" w:color="000000"/>
              <w:bottom w:val="single" w:sz="4" w:space="0" w:color="000000"/>
              <w:right w:val="single" w:sz="4" w:space="0" w:color="000000"/>
            </w:tcBorders>
            <w:shd w:val="clear" w:color="auto" w:fill="C00000"/>
          </w:tcPr>
          <w:p>
            <w:pPr>
              <w:pStyle w:val="TableParagraph"/>
              <w:spacing w:before="17"/>
              <w:ind w:left="101"/>
              <w:rPr>
                <w:b/>
                <w:sz w:val="14"/>
              </w:rPr>
            </w:pPr>
            <w:r>
              <w:rPr>
                <w:b/>
                <w:color w:val="FFFFFF"/>
                <w:sz w:val="14"/>
              </w:rPr>
              <w:t>ADC</w:t>
            </w:r>
          </w:p>
        </w:tc>
        <w:tc>
          <w:tcPr>
            <w:tcW w:w="1225" w:type="dxa"/>
            <w:tcBorders>
              <w:left w:val="single" w:sz="4" w:space="0" w:color="000000"/>
              <w:bottom w:val="single" w:sz="4" w:space="0" w:color="000000"/>
              <w:right w:val="nil"/>
            </w:tcBorders>
            <w:shd w:val="clear" w:color="auto" w:fill="C00000"/>
          </w:tcPr>
          <w:p>
            <w:pPr>
              <w:pStyle w:val="TableParagraph"/>
              <w:spacing w:line="186" w:lineRule="exact"/>
              <w:ind w:left="103"/>
              <w:rPr>
                <w:rFonts w:ascii="Microsoft JhengHei UI" w:eastAsia="Microsoft JhengHei UI" w:hint="eastAsia"/>
                <w:b/>
                <w:sz w:val="14"/>
              </w:rPr>
            </w:pPr>
            <w:r>
              <w:rPr>
                <w:rFonts w:ascii="Microsoft JhengHei UI" w:eastAsia="Microsoft JhengHei UI" w:hint="eastAsia"/>
                <w:b/>
                <w:color w:val="FFFFFF"/>
                <w:sz w:val="14"/>
              </w:rPr>
              <w:t>双抗</w:t>
            </w:r>
          </w:p>
        </w:tc>
      </w:tr>
      <w:tr>
        <w:trPr>
          <w:trHeight w:val="201" w:hRule="atLeast"/>
        </w:trPr>
        <w:tc>
          <w:tcPr>
            <w:tcW w:w="629" w:type="dxa"/>
            <w:tcBorders>
              <w:top w:val="single" w:sz="4" w:space="0" w:color="000000"/>
              <w:left w:val="nil"/>
              <w:bottom w:val="single" w:sz="4" w:space="0" w:color="000000"/>
              <w:right w:val="single" w:sz="4" w:space="0" w:color="000000"/>
            </w:tcBorders>
          </w:tcPr>
          <w:p>
            <w:pPr>
              <w:pStyle w:val="TableParagraph"/>
              <w:spacing w:line="181" w:lineRule="exact"/>
              <w:ind w:left="110"/>
              <w:rPr>
                <w:rFonts w:ascii="PMingLiU" w:eastAsia="PMingLiU" w:hint="eastAsia"/>
                <w:sz w:val="14"/>
              </w:rPr>
            </w:pPr>
            <w:r>
              <w:rPr>
                <w:rFonts w:ascii="PMingLiU" w:eastAsia="PMingLiU" w:hint="eastAsia"/>
                <w:sz w:val="14"/>
              </w:rPr>
              <w:t>公司</w:t>
            </w:r>
          </w:p>
        </w:tc>
        <w:tc>
          <w:tcPr>
            <w:tcW w:w="2445"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7"/>
              <w:ind w:left="100"/>
              <w:rPr>
                <w:sz w:val="14"/>
              </w:rPr>
            </w:pPr>
            <w:r>
              <w:rPr>
                <w:sz w:val="14"/>
              </w:rPr>
              <w:t>BMS/ Blurbird</w:t>
            </w:r>
          </w:p>
        </w:tc>
        <w:tc>
          <w:tcPr>
            <w:tcW w:w="2445" w:type="dxa"/>
            <w:gridSpan w:val="2"/>
            <w:tcBorders>
              <w:top w:val="single" w:sz="4" w:space="0" w:color="000000"/>
              <w:left w:val="single" w:sz="4" w:space="0" w:color="000000"/>
              <w:bottom w:val="single" w:sz="4" w:space="0" w:color="000000"/>
              <w:right w:val="single" w:sz="6" w:space="0" w:color="000000"/>
            </w:tcBorders>
          </w:tcPr>
          <w:p>
            <w:pPr>
              <w:pStyle w:val="TableParagraph"/>
              <w:spacing w:line="181" w:lineRule="exact"/>
              <w:ind w:left="104"/>
              <w:rPr>
                <w:rFonts w:ascii="PMingLiU" w:eastAsia="PMingLiU" w:hint="eastAsia"/>
                <w:sz w:val="14"/>
              </w:rPr>
            </w:pPr>
            <w:r>
              <w:rPr>
                <w:sz w:val="14"/>
              </w:rPr>
              <w:t>J&amp;J/ </w:t>
            </w:r>
            <w:r>
              <w:rPr>
                <w:rFonts w:ascii="PMingLiU" w:eastAsia="PMingLiU" w:hint="eastAsia"/>
                <w:sz w:val="14"/>
              </w:rPr>
              <w:t>传奇生物</w:t>
            </w:r>
          </w:p>
        </w:tc>
        <w:tc>
          <w:tcPr>
            <w:tcW w:w="1225" w:type="dxa"/>
            <w:tcBorders>
              <w:top w:val="single" w:sz="4" w:space="0" w:color="000000"/>
              <w:left w:val="single" w:sz="6" w:space="0" w:color="000000"/>
              <w:bottom w:val="single" w:sz="4" w:space="0" w:color="000000"/>
              <w:right w:val="single" w:sz="4" w:space="0" w:color="000000"/>
            </w:tcBorders>
          </w:tcPr>
          <w:p>
            <w:pPr>
              <w:pStyle w:val="TableParagraph"/>
              <w:spacing w:before="17"/>
              <w:ind w:left="101"/>
              <w:rPr>
                <w:sz w:val="14"/>
              </w:rPr>
            </w:pPr>
            <w:r>
              <w:rPr>
                <w:sz w:val="14"/>
              </w:rPr>
              <w:t>GSK/ Seagen</w:t>
            </w:r>
          </w:p>
        </w:tc>
        <w:tc>
          <w:tcPr>
            <w:tcW w:w="1225" w:type="dxa"/>
            <w:tcBorders>
              <w:top w:val="single" w:sz="4" w:space="0" w:color="000000"/>
              <w:left w:val="single" w:sz="4" w:space="0" w:color="000000"/>
              <w:bottom w:val="single" w:sz="4" w:space="0" w:color="000000"/>
              <w:right w:val="nil"/>
            </w:tcBorders>
          </w:tcPr>
          <w:p>
            <w:pPr>
              <w:pStyle w:val="TableParagraph"/>
              <w:spacing w:before="17"/>
              <w:ind w:left="103"/>
              <w:rPr>
                <w:sz w:val="14"/>
              </w:rPr>
            </w:pPr>
            <w:r>
              <w:rPr>
                <w:sz w:val="14"/>
              </w:rPr>
              <w:t>J&amp;J/ Genmab</w:t>
            </w:r>
          </w:p>
        </w:tc>
      </w:tr>
      <w:tr>
        <w:trPr>
          <w:trHeight w:val="484" w:hRule="atLeast"/>
        </w:trPr>
        <w:tc>
          <w:tcPr>
            <w:tcW w:w="629" w:type="dxa"/>
            <w:tcBorders>
              <w:top w:val="single" w:sz="4" w:space="0" w:color="000000"/>
              <w:left w:val="nil"/>
              <w:bottom w:val="single" w:sz="4" w:space="0" w:color="000000"/>
              <w:right w:val="single" w:sz="4" w:space="0" w:color="000000"/>
            </w:tcBorders>
          </w:tcPr>
          <w:p>
            <w:pPr>
              <w:pStyle w:val="TableParagraph"/>
              <w:spacing w:before="138"/>
              <w:ind w:left="110"/>
              <w:rPr>
                <w:rFonts w:ascii="PMingLiU" w:eastAsia="PMingLiU" w:hint="eastAsia"/>
                <w:sz w:val="14"/>
              </w:rPr>
            </w:pPr>
            <w:r>
              <w:rPr>
                <w:rFonts w:ascii="PMingLiU" w:eastAsia="PMingLiU" w:hint="eastAsia"/>
                <w:sz w:val="14"/>
              </w:rPr>
              <w:t>产品</w:t>
            </w:r>
          </w:p>
        </w:tc>
        <w:tc>
          <w:tcPr>
            <w:tcW w:w="24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2" w:lineRule="auto" w:before="79"/>
              <w:ind w:left="100" w:right="1818"/>
              <w:rPr>
                <w:sz w:val="14"/>
              </w:rPr>
            </w:pPr>
            <w:r>
              <w:rPr>
                <w:sz w:val="14"/>
              </w:rPr>
              <w:t>Abecma (Ide-cel)</w:t>
            </w:r>
          </w:p>
        </w:tc>
        <w:tc>
          <w:tcPr>
            <w:tcW w:w="2445" w:type="dxa"/>
            <w:gridSpan w:val="2"/>
            <w:tcBorders>
              <w:top w:val="single" w:sz="4" w:space="0" w:color="000000"/>
              <w:left w:val="single" w:sz="4" w:space="0" w:color="000000"/>
              <w:bottom w:val="single" w:sz="4" w:space="0" w:color="000000"/>
              <w:right w:val="single" w:sz="6" w:space="0" w:color="000000"/>
            </w:tcBorders>
          </w:tcPr>
          <w:p>
            <w:pPr>
              <w:pStyle w:val="TableParagraph"/>
              <w:spacing w:line="242" w:lineRule="auto" w:before="79"/>
              <w:ind w:left="104" w:right="1722"/>
              <w:rPr>
                <w:sz w:val="14"/>
              </w:rPr>
            </w:pPr>
            <w:r>
              <w:rPr>
                <w:sz w:val="14"/>
              </w:rPr>
              <w:t>CarvytkI (Cilta-cel)</w:t>
            </w:r>
          </w:p>
        </w:tc>
        <w:tc>
          <w:tcPr>
            <w:tcW w:w="1225" w:type="dxa"/>
            <w:tcBorders>
              <w:top w:val="single" w:sz="4" w:space="0" w:color="000000"/>
              <w:left w:val="single" w:sz="6" w:space="0" w:color="000000"/>
              <w:bottom w:val="single" w:sz="4" w:space="0" w:color="000000"/>
              <w:right w:val="single" w:sz="4" w:space="0" w:color="000000"/>
            </w:tcBorders>
          </w:tcPr>
          <w:p>
            <w:pPr>
              <w:pStyle w:val="TableParagraph"/>
              <w:spacing w:line="159" w:lineRule="exact"/>
              <w:ind w:left="101"/>
              <w:rPr>
                <w:sz w:val="14"/>
              </w:rPr>
            </w:pPr>
            <w:r>
              <w:rPr>
                <w:sz w:val="14"/>
              </w:rPr>
              <w:t>Blenrep</w:t>
            </w:r>
          </w:p>
          <w:p>
            <w:pPr>
              <w:pStyle w:val="TableParagraph"/>
              <w:spacing w:line="158" w:lineRule="exact"/>
              <w:ind w:left="101" w:firstLine="38"/>
              <w:rPr>
                <w:sz w:val="14"/>
              </w:rPr>
            </w:pPr>
            <w:r>
              <w:rPr>
                <w:w w:val="95"/>
                <w:sz w:val="14"/>
              </w:rPr>
              <w:t>(Belantamab </w:t>
            </w:r>
            <w:r>
              <w:rPr>
                <w:sz w:val="14"/>
              </w:rPr>
              <w:t>mafodotin)</w:t>
            </w:r>
          </w:p>
        </w:tc>
        <w:tc>
          <w:tcPr>
            <w:tcW w:w="1225" w:type="dxa"/>
            <w:tcBorders>
              <w:top w:val="single" w:sz="4" w:space="0" w:color="000000"/>
              <w:left w:val="single" w:sz="4" w:space="0" w:color="000000"/>
              <w:bottom w:val="single" w:sz="4" w:space="0" w:color="000000"/>
              <w:right w:val="nil"/>
            </w:tcBorders>
          </w:tcPr>
          <w:p>
            <w:pPr>
              <w:pStyle w:val="TableParagraph"/>
              <w:spacing w:before="1"/>
              <w:rPr>
                <w:rFonts w:ascii="Microsoft JhengHei UI"/>
                <w:b/>
                <w:sz w:val="9"/>
              </w:rPr>
            </w:pPr>
          </w:p>
          <w:p>
            <w:pPr>
              <w:pStyle w:val="TableParagraph"/>
              <w:ind w:left="103"/>
              <w:rPr>
                <w:sz w:val="14"/>
              </w:rPr>
            </w:pPr>
            <w:r>
              <w:rPr>
                <w:sz w:val="14"/>
              </w:rPr>
              <w:t>Teclistamab</w:t>
            </w:r>
          </w:p>
        </w:tc>
      </w:tr>
      <w:tr>
        <w:trPr>
          <w:trHeight w:val="571" w:hRule="atLeast"/>
        </w:trPr>
        <w:tc>
          <w:tcPr>
            <w:tcW w:w="629" w:type="dxa"/>
            <w:tcBorders>
              <w:top w:val="single" w:sz="4" w:space="0" w:color="000000"/>
              <w:left w:val="nil"/>
              <w:bottom w:val="single" w:sz="4" w:space="0" w:color="000000"/>
              <w:right w:val="single" w:sz="4" w:space="0" w:color="000000"/>
            </w:tcBorders>
          </w:tcPr>
          <w:p>
            <w:pPr>
              <w:pStyle w:val="TableParagraph"/>
              <w:spacing w:line="159" w:lineRule="exact"/>
              <w:ind w:left="110"/>
              <w:rPr>
                <w:sz w:val="14"/>
              </w:rPr>
            </w:pPr>
            <w:r>
              <w:rPr>
                <w:sz w:val="14"/>
              </w:rPr>
              <w:t>FDA</w:t>
            </w:r>
          </w:p>
          <w:p>
            <w:pPr>
              <w:pStyle w:val="TableParagraph"/>
              <w:spacing w:before="3"/>
              <w:ind w:left="110"/>
              <w:rPr>
                <w:rFonts w:ascii="PMingLiU" w:eastAsia="PMingLiU" w:hint="eastAsia"/>
                <w:sz w:val="14"/>
              </w:rPr>
            </w:pPr>
            <w:r>
              <w:rPr>
                <w:rFonts w:ascii="PMingLiU" w:eastAsia="PMingLiU" w:hint="eastAsia"/>
                <w:w w:val="95"/>
                <w:sz w:val="14"/>
              </w:rPr>
              <w:t>申报</w:t>
            </w:r>
          </w:p>
          <w:p>
            <w:pPr>
              <w:pStyle w:val="TableParagraph"/>
              <w:spacing w:line="187" w:lineRule="exact" w:before="6"/>
              <w:ind w:left="110"/>
              <w:rPr>
                <w:rFonts w:ascii="PMingLiU" w:eastAsia="PMingLiU" w:hint="eastAsia"/>
                <w:sz w:val="14"/>
              </w:rPr>
            </w:pPr>
            <w:r>
              <w:rPr>
                <w:rFonts w:ascii="PMingLiU" w:eastAsia="PMingLiU" w:hint="eastAsia"/>
                <w:w w:val="95"/>
                <w:sz w:val="14"/>
              </w:rPr>
              <w:t>进展</w:t>
            </w:r>
          </w:p>
        </w:tc>
        <w:tc>
          <w:tcPr>
            <w:tcW w:w="2445" w:type="dxa"/>
            <w:gridSpan w:val="2"/>
            <w:tcBorders>
              <w:top w:val="single" w:sz="4" w:space="0" w:color="000000"/>
              <w:left w:val="single" w:sz="4" w:space="0" w:color="000000"/>
              <w:bottom w:val="single" w:sz="4" w:space="0" w:color="000000"/>
              <w:right w:val="single" w:sz="4" w:space="0" w:color="000000"/>
            </w:tcBorders>
          </w:tcPr>
          <w:p>
            <w:pPr>
              <w:pStyle w:val="TableParagraph"/>
              <w:spacing w:before="99"/>
              <w:ind w:left="100"/>
              <w:rPr>
                <w:sz w:val="14"/>
              </w:rPr>
            </w:pPr>
            <w:r>
              <w:rPr>
                <w:sz w:val="14"/>
              </w:rPr>
              <w:t>2021.03.26</w:t>
            </w:r>
          </w:p>
          <w:p>
            <w:pPr>
              <w:pStyle w:val="TableParagraph"/>
              <w:spacing w:before="3"/>
              <w:ind w:left="100"/>
              <w:rPr>
                <w:rFonts w:ascii="PMingLiU" w:eastAsia="PMingLiU" w:hint="eastAsia"/>
                <w:sz w:val="14"/>
              </w:rPr>
            </w:pPr>
            <w:r>
              <w:rPr>
                <w:rFonts w:ascii="PMingLiU" w:eastAsia="PMingLiU" w:hint="eastAsia"/>
                <w:sz w:val="14"/>
              </w:rPr>
              <w:t>获批</w:t>
            </w:r>
          </w:p>
        </w:tc>
        <w:tc>
          <w:tcPr>
            <w:tcW w:w="2445" w:type="dxa"/>
            <w:gridSpan w:val="2"/>
            <w:tcBorders>
              <w:top w:val="single" w:sz="4" w:space="0" w:color="000000"/>
              <w:left w:val="single" w:sz="4" w:space="0" w:color="000000"/>
              <w:bottom w:val="single" w:sz="4" w:space="0" w:color="000000"/>
              <w:right w:val="single" w:sz="6" w:space="0" w:color="000000"/>
            </w:tcBorders>
          </w:tcPr>
          <w:p>
            <w:pPr>
              <w:pStyle w:val="TableParagraph"/>
              <w:spacing w:before="99"/>
              <w:ind w:left="104"/>
              <w:rPr>
                <w:sz w:val="14"/>
              </w:rPr>
            </w:pPr>
            <w:r>
              <w:rPr>
                <w:sz w:val="14"/>
              </w:rPr>
              <w:t>2022.02.28</w:t>
            </w:r>
          </w:p>
          <w:p>
            <w:pPr>
              <w:pStyle w:val="TableParagraph"/>
              <w:spacing w:before="3"/>
              <w:ind w:left="104"/>
              <w:rPr>
                <w:rFonts w:ascii="PMingLiU" w:eastAsia="PMingLiU" w:hint="eastAsia"/>
                <w:sz w:val="14"/>
              </w:rPr>
            </w:pPr>
            <w:r>
              <w:rPr>
                <w:rFonts w:ascii="PMingLiU" w:eastAsia="PMingLiU" w:hint="eastAsia"/>
                <w:sz w:val="14"/>
              </w:rPr>
              <w:t>获批</w:t>
            </w:r>
          </w:p>
        </w:tc>
        <w:tc>
          <w:tcPr>
            <w:tcW w:w="1225" w:type="dxa"/>
            <w:tcBorders>
              <w:top w:val="single" w:sz="4" w:space="0" w:color="000000"/>
              <w:left w:val="single" w:sz="6" w:space="0" w:color="000000"/>
              <w:bottom w:val="single" w:sz="4" w:space="0" w:color="000000"/>
              <w:right w:val="single" w:sz="4" w:space="0" w:color="000000"/>
            </w:tcBorders>
          </w:tcPr>
          <w:p>
            <w:pPr>
              <w:pStyle w:val="TableParagraph"/>
              <w:spacing w:before="99"/>
              <w:ind w:left="101"/>
              <w:rPr>
                <w:sz w:val="14"/>
              </w:rPr>
            </w:pPr>
            <w:r>
              <w:rPr>
                <w:sz w:val="14"/>
              </w:rPr>
              <w:t>2020.08.06</w:t>
            </w:r>
          </w:p>
          <w:p>
            <w:pPr>
              <w:pStyle w:val="TableParagraph"/>
              <w:spacing w:before="3"/>
              <w:ind w:left="101"/>
              <w:rPr>
                <w:rFonts w:ascii="PMingLiU" w:eastAsia="PMingLiU" w:hint="eastAsia"/>
                <w:sz w:val="14"/>
              </w:rPr>
            </w:pPr>
            <w:r>
              <w:rPr>
                <w:rFonts w:ascii="PMingLiU" w:eastAsia="PMingLiU" w:hint="eastAsia"/>
                <w:sz w:val="14"/>
              </w:rPr>
              <w:t>获批</w:t>
            </w:r>
          </w:p>
        </w:tc>
        <w:tc>
          <w:tcPr>
            <w:tcW w:w="1225" w:type="dxa"/>
            <w:tcBorders>
              <w:top w:val="single" w:sz="4" w:space="0" w:color="000000"/>
              <w:left w:val="single" w:sz="4" w:space="0" w:color="000000"/>
              <w:bottom w:val="single" w:sz="4" w:space="0" w:color="000000"/>
              <w:right w:val="nil"/>
            </w:tcBorders>
          </w:tcPr>
          <w:p>
            <w:pPr>
              <w:pStyle w:val="TableParagraph"/>
              <w:spacing w:before="99"/>
              <w:ind w:left="103"/>
              <w:rPr>
                <w:sz w:val="14"/>
              </w:rPr>
            </w:pPr>
            <w:r>
              <w:rPr>
                <w:sz w:val="14"/>
              </w:rPr>
              <w:t>2022.08.24</w:t>
            </w:r>
          </w:p>
          <w:p>
            <w:pPr>
              <w:pStyle w:val="TableParagraph"/>
              <w:spacing w:before="3"/>
              <w:ind w:left="103"/>
              <w:rPr>
                <w:rFonts w:ascii="PMingLiU" w:eastAsia="PMingLiU" w:hint="eastAsia"/>
                <w:sz w:val="14"/>
              </w:rPr>
            </w:pPr>
            <w:r>
              <w:rPr>
                <w:rFonts w:ascii="PMingLiU" w:eastAsia="PMingLiU" w:hint="eastAsia"/>
                <w:sz w:val="14"/>
              </w:rPr>
              <w:t>获批</w:t>
            </w:r>
          </w:p>
        </w:tc>
      </w:tr>
      <w:tr>
        <w:trPr>
          <w:trHeight w:val="201" w:hRule="atLeast"/>
        </w:trPr>
        <w:tc>
          <w:tcPr>
            <w:tcW w:w="629" w:type="dxa"/>
            <w:tcBorders>
              <w:top w:val="single" w:sz="4" w:space="0" w:color="000000"/>
              <w:left w:val="nil"/>
              <w:bottom w:val="single" w:sz="4" w:space="0" w:color="000000"/>
              <w:right w:val="single" w:sz="4" w:space="0" w:color="000000"/>
            </w:tcBorders>
          </w:tcPr>
          <w:p>
            <w:pPr>
              <w:pStyle w:val="TableParagraph"/>
              <w:spacing w:line="181" w:lineRule="exact"/>
              <w:ind w:left="110"/>
              <w:rPr>
                <w:rFonts w:ascii="PMingLiU" w:eastAsia="PMingLiU" w:hint="eastAsia"/>
                <w:sz w:val="14"/>
              </w:rPr>
            </w:pPr>
            <w:r>
              <w:rPr>
                <w:rFonts w:ascii="PMingLiU" w:eastAsia="PMingLiU" w:hint="eastAsia"/>
                <w:sz w:val="14"/>
              </w:rPr>
              <w:t>靶点</w:t>
            </w:r>
          </w:p>
        </w:tc>
        <w:tc>
          <w:tcPr>
            <w:tcW w:w="2445" w:type="dxa"/>
            <w:gridSpan w:val="2"/>
            <w:tcBorders>
              <w:top w:val="single" w:sz="4" w:space="0" w:color="000000"/>
              <w:left w:val="single" w:sz="4" w:space="0" w:color="000000"/>
              <w:bottom w:val="single" w:sz="4" w:space="0" w:color="000000"/>
              <w:right w:val="single" w:sz="4" w:space="0" w:color="000000"/>
            </w:tcBorders>
          </w:tcPr>
          <w:p>
            <w:pPr>
              <w:pStyle w:val="TableParagraph"/>
              <w:spacing w:before="17"/>
              <w:ind w:left="100"/>
              <w:rPr>
                <w:sz w:val="14"/>
              </w:rPr>
            </w:pPr>
            <w:r>
              <w:rPr>
                <w:sz w:val="14"/>
              </w:rPr>
              <w:t>BCMA</w:t>
            </w:r>
          </w:p>
        </w:tc>
        <w:tc>
          <w:tcPr>
            <w:tcW w:w="2445" w:type="dxa"/>
            <w:gridSpan w:val="2"/>
            <w:tcBorders>
              <w:top w:val="single" w:sz="4" w:space="0" w:color="000000"/>
              <w:left w:val="single" w:sz="4" w:space="0" w:color="000000"/>
              <w:bottom w:val="single" w:sz="4" w:space="0" w:color="000000"/>
              <w:right w:val="single" w:sz="6" w:space="0" w:color="000000"/>
            </w:tcBorders>
          </w:tcPr>
          <w:p>
            <w:pPr>
              <w:pStyle w:val="TableParagraph"/>
              <w:spacing w:before="17"/>
              <w:ind w:left="104"/>
              <w:rPr>
                <w:sz w:val="14"/>
              </w:rPr>
            </w:pPr>
            <w:r>
              <w:rPr>
                <w:sz w:val="14"/>
              </w:rPr>
              <w:t>BCMA</w:t>
            </w:r>
          </w:p>
        </w:tc>
        <w:tc>
          <w:tcPr>
            <w:tcW w:w="1225" w:type="dxa"/>
            <w:tcBorders>
              <w:top w:val="single" w:sz="4" w:space="0" w:color="000000"/>
              <w:left w:val="single" w:sz="6" w:space="0" w:color="000000"/>
              <w:bottom w:val="single" w:sz="4" w:space="0" w:color="000000"/>
              <w:right w:val="single" w:sz="4" w:space="0" w:color="000000"/>
            </w:tcBorders>
          </w:tcPr>
          <w:p>
            <w:pPr>
              <w:pStyle w:val="TableParagraph"/>
              <w:spacing w:before="17"/>
              <w:ind w:left="101"/>
              <w:rPr>
                <w:sz w:val="14"/>
              </w:rPr>
            </w:pPr>
            <w:r>
              <w:rPr>
                <w:sz w:val="14"/>
              </w:rPr>
              <w:t>BCMA</w:t>
            </w:r>
          </w:p>
        </w:tc>
        <w:tc>
          <w:tcPr>
            <w:tcW w:w="1225" w:type="dxa"/>
            <w:tcBorders>
              <w:top w:val="single" w:sz="4" w:space="0" w:color="000000"/>
              <w:left w:val="single" w:sz="4" w:space="0" w:color="000000"/>
              <w:bottom w:val="single" w:sz="4" w:space="0" w:color="000000"/>
              <w:right w:val="nil"/>
            </w:tcBorders>
          </w:tcPr>
          <w:p>
            <w:pPr>
              <w:pStyle w:val="TableParagraph"/>
              <w:spacing w:before="17"/>
              <w:ind w:left="103"/>
              <w:rPr>
                <w:sz w:val="14"/>
              </w:rPr>
            </w:pPr>
            <w:r>
              <w:rPr>
                <w:sz w:val="14"/>
              </w:rPr>
              <w:t>BCMA x CD3</w:t>
            </w:r>
          </w:p>
        </w:tc>
      </w:tr>
      <w:tr>
        <w:trPr>
          <w:trHeight w:val="407" w:hRule="atLeast"/>
        </w:trPr>
        <w:tc>
          <w:tcPr>
            <w:tcW w:w="629" w:type="dxa"/>
            <w:tcBorders>
              <w:top w:val="single" w:sz="4" w:space="0" w:color="000000"/>
              <w:left w:val="nil"/>
              <w:bottom w:val="single" w:sz="4" w:space="0" w:color="000000"/>
              <w:right w:val="single" w:sz="4" w:space="0" w:color="000000"/>
            </w:tcBorders>
          </w:tcPr>
          <w:p>
            <w:pPr>
              <w:pStyle w:val="TableParagraph"/>
              <w:spacing w:line="195" w:lineRule="exact"/>
              <w:ind w:left="110"/>
              <w:rPr>
                <w:rFonts w:ascii="PMingLiU" w:eastAsia="PMingLiU" w:hint="eastAsia"/>
                <w:sz w:val="14"/>
              </w:rPr>
            </w:pPr>
            <w:r>
              <w:rPr>
                <w:rFonts w:ascii="PMingLiU" w:eastAsia="PMingLiU" w:hint="eastAsia"/>
                <w:w w:val="95"/>
                <w:sz w:val="14"/>
              </w:rPr>
              <w:t>临床</w:t>
            </w:r>
          </w:p>
          <w:p>
            <w:pPr>
              <w:pStyle w:val="TableParagraph"/>
              <w:spacing w:line="182" w:lineRule="exact" w:before="10"/>
              <w:ind w:left="110"/>
              <w:rPr>
                <w:rFonts w:ascii="PMingLiU" w:eastAsia="PMingLiU" w:hint="eastAsia"/>
                <w:sz w:val="14"/>
              </w:rPr>
            </w:pPr>
            <w:r>
              <w:rPr>
                <w:rFonts w:ascii="PMingLiU" w:eastAsia="PMingLiU" w:hint="eastAsia"/>
                <w:w w:val="95"/>
                <w:sz w:val="14"/>
              </w:rPr>
              <w:t>研究</w:t>
            </w:r>
          </w:p>
        </w:tc>
        <w:tc>
          <w:tcPr>
            <w:tcW w:w="1220" w:type="dxa"/>
            <w:tcBorders>
              <w:top w:val="single" w:sz="4" w:space="0" w:color="000000"/>
              <w:left w:val="single" w:sz="4" w:space="0" w:color="000000"/>
              <w:bottom w:val="single" w:sz="4" w:space="0" w:color="000000"/>
              <w:right w:val="dashSmallGap" w:sz="4" w:space="0" w:color="000000"/>
            </w:tcBorders>
          </w:tcPr>
          <w:p>
            <w:pPr>
              <w:pStyle w:val="TableParagraph"/>
              <w:spacing w:line="242" w:lineRule="auto" w:before="41"/>
              <w:ind w:left="100"/>
              <w:rPr>
                <w:sz w:val="14"/>
              </w:rPr>
            </w:pPr>
            <w:r>
              <w:rPr>
                <w:sz w:val="14"/>
              </w:rPr>
              <w:t>KarMMa-1 </w:t>
            </w:r>
            <w:r>
              <w:rPr>
                <w:w w:val="95"/>
                <w:sz w:val="14"/>
              </w:rPr>
              <w:t>(NCT03361748)</w:t>
            </w:r>
          </w:p>
        </w:tc>
        <w:tc>
          <w:tcPr>
            <w:tcW w:w="1225" w:type="dxa"/>
            <w:tcBorders>
              <w:top w:val="single" w:sz="4" w:space="0" w:color="000000"/>
              <w:left w:val="dashSmallGap" w:sz="4" w:space="0" w:color="000000"/>
              <w:bottom w:val="single" w:sz="4" w:space="0" w:color="000000"/>
              <w:right w:val="single" w:sz="4" w:space="0" w:color="000000"/>
            </w:tcBorders>
          </w:tcPr>
          <w:p>
            <w:pPr>
              <w:pStyle w:val="TableParagraph"/>
              <w:spacing w:line="242" w:lineRule="auto" w:before="41"/>
              <w:ind w:left="104"/>
              <w:rPr>
                <w:sz w:val="14"/>
              </w:rPr>
            </w:pPr>
            <w:r>
              <w:rPr>
                <w:sz w:val="14"/>
              </w:rPr>
              <w:t>CRB-402 </w:t>
            </w:r>
            <w:r>
              <w:rPr>
                <w:w w:val="95"/>
                <w:sz w:val="14"/>
              </w:rPr>
              <w:t>(NCT03274219)</w:t>
            </w:r>
          </w:p>
        </w:tc>
        <w:tc>
          <w:tcPr>
            <w:tcW w:w="1220" w:type="dxa"/>
            <w:tcBorders>
              <w:top w:val="single" w:sz="4" w:space="0" w:color="000000"/>
              <w:left w:val="single" w:sz="4" w:space="0" w:color="000000"/>
              <w:bottom w:val="single" w:sz="4" w:space="0" w:color="000000"/>
              <w:right w:val="dashSmallGap" w:sz="4" w:space="0" w:color="000000"/>
            </w:tcBorders>
          </w:tcPr>
          <w:p>
            <w:pPr>
              <w:pStyle w:val="TableParagraph"/>
              <w:spacing w:line="242" w:lineRule="auto" w:before="41"/>
              <w:ind w:left="104"/>
              <w:rPr>
                <w:sz w:val="14"/>
              </w:rPr>
            </w:pPr>
            <w:r>
              <w:rPr>
                <w:sz w:val="14"/>
              </w:rPr>
              <w:t>LEGEND-2 </w:t>
            </w:r>
            <w:r>
              <w:rPr>
                <w:w w:val="95"/>
                <w:sz w:val="14"/>
              </w:rPr>
              <w:t>(NCT03090659)</w:t>
            </w:r>
          </w:p>
        </w:tc>
        <w:tc>
          <w:tcPr>
            <w:tcW w:w="1225" w:type="dxa"/>
            <w:tcBorders>
              <w:top w:val="single" w:sz="4" w:space="0" w:color="000000"/>
              <w:left w:val="dashSmallGap" w:sz="4" w:space="0" w:color="000000"/>
              <w:bottom w:val="single" w:sz="4" w:space="0" w:color="000000"/>
              <w:right w:val="single" w:sz="6" w:space="0" w:color="000000"/>
            </w:tcBorders>
          </w:tcPr>
          <w:p>
            <w:pPr>
              <w:pStyle w:val="TableParagraph"/>
              <w:spacing w:line="242" w:lineRule="auto" w:before="41"/>
              <w:ind w:left="104" w:firstLine="38"/>
              <w:rPr>
                <w:sz w:val="14"/>
              </w:rPr>
            </w:pPr>
            <w:r>
              <w:rPr>
                <w:sz w:val="14"/>
              </w:rPr>
              <w:t>CARTITUDE-1 </w:t>
            </w:r>
            <w:r>
              <w:rPr>
                <w:w w:val="95"/>
                <w:sz w:val="14"/>
              </w:rPr>
              <w:t>(NCT03548207)</w:t>
            </w:r>
          </w:p>
        </w:tc>
        <w:tc>
          <w:tcPr>
            <w:tcW w:w="1225" w:type="dxa"/>
            <w:tcBorders>
              <w:top w:val="single" w:sz="4" w:space="0" w:color="000000"/>
              <w:left w:val="single" w:sz="6" w:space="0" w:color="000000"/>
              <w:bottom w:val="single" w:sz="4" w:space="0" w:color="000000"/>
              <w:right w:val="single" w:sz="4" w:space="0" w:color="000000"/>
            </w:tcBorders>
          </w:tcPr>
          <w:p>
            <w:pPr>
              <w:pStyle w:val="TableParagraph"/>
              <w:spacing w:line="242" w:lineRule="auto" w:before="41"/>
              <w:ind w:left="101"/>
              <w:rPr>
                <w:sz w:val="14"/>
              </w:rPr>
            </w:pPr>
            <w:r>
              <w:rPr>
                <w:sz w:val="14"/>
              </w:rPr>
              <w:t>DREAMM-2 </w:t>
            </w:r>
            <w:r>
              <w:rPr>
                <w:w w:val="95"/>
                <w:sz w:val="14"/>
              </w:rPr>
              <w:t>(NCT03525678)</w:t>
            </w:r>
          </w:p>
        </w:tc>
        <w:tc>
          <w:tcPr>
            <w:tcW w:w="1225" w:type="dxa"/>
            <w:tcBorders>
              <w:top w:val="single" w:sz="4" w:space="0" w:color="000000"/>
              <w:left w:val="single" w:sz="4" w:space="0" w:color="000000"/>
              <w:bottom w:val="single" w:sz="4" w:space="0" w:color="000000"/>
              <w:right w:val="nil"/>
            </w:tcBorders>
          </w:tcPr>
          <w:p>
            <w:pPr>
              <w:pStyle w:val="TableParagraph"/>
              <w:spacing w:line="242" w:lineRule="auto" w:before="41"/>
              <w:ind w:left="103"/>
              <w:rPr>
                <w:sz w:val="14"/>
              </w:rPr>
            </w:pPr>
            <w:r>
              <w:rPr>
                <w:sz w:val="14"/>
              </w:rPr>
              <w:t>MajesTEC-1 </w:t>
            </w:r>
            <w:r>
              <w:rPr>
                <w:w w:val="95"/>
                <w:sz w:val="14"/>
              </w:rPr>
              <w:t>(NCT04557098)</w:t>
            </w:r>
          </w:p>
        </w:tc>
      </w:tr>
      <w:tr>
        <w:trPr>
          <w:trHeight w:val="407" w:hRule="atLeast"/>
        </w:trPr>
        <w:tc>
          <w:tcPr>
            <w:tcW w:w="629" w:type="dxa"/>
            <w:tcBorders>
              <w:top w:val="single" w:sz="4" w:space="0" w:color="000000"/>
              <w:left w:val="nil"/>
              <w:bottom w:val="single" w:sz="4" w:space="0" w:color="000000"/>
              <w:right w:val="single" w:sz="4" w:space="0" w:color="000000"/>
            </w:tcBorders>
          </w:tcPr>
          <w:p>
            <w:pPr>
              <w:pStyle w:val="TableParagraph"/>
              <w:spacing w:line="195" w:lineRule="exact"/>
              <w:ind w:left="110"/>
              <w:rPr>
                <w:rFonts w:ascii="PMingLiU" w:eastAsia="PMingLiU" w:hint="eastAsia"/>
                <w:sz w:val="14"/>
              </w:rPr>
            </w:pPr>
            <w:r>
              <w:rPr>
                <w:rFonts w:ascii="PMingLiU" w:eastAsia="PMingLiU" w:hint="eastAsia"/>
                <w:w w:val="95"/>
                <w:sz w:val="14"/>
              </w:rPr>
              <w:t>临床</w:t>
            </w:r>
          </w:p>
          <w:p>
            <w:pPr>
              <w:pStyle w:val="TableParagraph"/>
              <w:spacing w:line="182" w:lineRule="exact" w:before="10"/>
              <w:ind w:left="110"/>
              <w:rPr>
                <w:rFonts w:ascii="PMingLiU" w:eastAsia="PMingLiU" w:hint="eastAsia"/>
                <w:sz w:val="14"/>
              </w:rPr>
            </w:pPr>
            <w:r>
              <w:rPr>
                <w:rFonts w:ascii="PMingLiU" w:eastAsia="PMingLiU" w:hint="eastAsia"/>
                <w:w w:val="95"/>
                <w:sz w:val="14"/>
              </w:rPr>
              <w:t>阶段</w:t>
            </w:r>
          </w:p>
        </w:tc>
        <w:tc>
          <w:tcPr>
            <w:tcW w:w="1220" w:type="dxa"/>
            <w:tcBorders>
              <w:top w:val="single" w:sz="4" w:space="0" w:color="000000"/>
              <w:left w:val="single" w:sz="4" w:space="0" w:color="000000"/>
              <w:bottom w:val="single" w:sz="4" w:space="0" w:color="000000"/>
              <w:right w:val="dashSmallGap" w:sz="4" w:space="0" w:color="000000"/>
            </w:tcBorders>
          </w:tcPr>
          <w:p>
            <w:pPr>
              <w:pStyle w:val="TableParagraph"/>
              <w:spacing w:before="100"/>
              <w:ind w:left="100"/>
              <w:rPr>
                <w:rFonts w:ascii="PMingLiU" w:eastAsia="PMingLiU" w:hint="eastAsia"/>
                <w:sz w:val="14"/>
              </w:rPr>
            </w:pPr>
            <w:r>
              <w:rPr>
                <w:sz w:val="14"/>
              </w:rPr>
              <w:t>II </w:t>
            </w:r>
            <w:r>
              <w:rPr>
                <w:rFonts w:ascii="PMingLiU" w:eastAsia="PMingLiU" w:hint="eastAsia"/>
                <w:sz w:val="14"/>
              </w:rPr>
              <w:t>期</w:t>
            </w:r>
          </w:p>
        </w:tc>
        <w:tc>
          <w:tcPr>
            <w:tcW w:w="1225" w:type="dxa"/>
            <w:tcBorders>
              <w:top w:val="single" w:sz="4" w:space="0" w:color="000000"/>
              <w:left w:val="dashSmallGap" w:sz="4" w:space="0" w:color="000000"/>
              <w:bottom w:val="single" w:sz="4" w:space="0" w:color="000000"/>
              <w:right w:val="single" w:sz="4" w:space="0" w:color="000000"/>
            </w:tcBorders>
          </w:tcPr>
          <w:p>
            <w:pPr>
              <w:pStyle w:val="TableParagraph"/>
              <w:spacing w:before="100"/>
              <w:ind w:left="104"/>
              <w:rPr>
                <w:rFonts w:ascii="PMingLiU" w:eastAsia="PMingLiU" w:hint="eastAsia"/>
                <w:sz w:val="14"/>
              </w:rPr>
            </w:pPr>
            <w:r>
              <w:rPr>
                <w:sz w:val="14"/>
              </w:rPr>
              <w:t>I </w:t>
            </w:r>
            <w:r>
              <w:rPr>
                <w:rFonts w:ascii="PMingLiU" w:eastAsia="PMingLiU" w:hint="eastAsia"/>
                <w:sz w:val="14"/>
              </w:rPr>
              <w:t>期</w:t>
            </w:r>
          </w:p>
        </w:tc>
        <w:tc>
          <w:tcPr>
            <w:tcW w:w="1220" w:type="dxa"/>
            <w:tcBorders>
              <w:top w:val="single" w:sz="4" w:space="0" w:color="000000"/>
              <w:left w:val="single" w:sz="4" w:space="0" w:color="000000"/>
              <w:bottom w:val="single" w:sz="4" w:space="0" w:color="000000"/>
              <w:right w:val="dashSmallGap" w:sz="4" w:space="0" w:color="000000"/>
            </w:tcBorders>
          </w:tcPr>
          <w:p>
            <w:pPr>
              <w:pStyle w:val="TableParagraph"/>
              <w:spacing w:before="100"/>
              <w:ind w:left="104"/>
              <w:rPr>
                <w:rFonts w:ascii="PMingLiU" w:eastAsia="PMingLiU" w:hint="eastAsia"/>
                <w:sz w:val="14"/>
              </w:rPr>
            </w:pPr>
            <w:r>
              <w:rPr>
                <w:sz w:val="14"/>
              </w:rPr>
              <w:t>I/ II </w:t>
            </w:r>
            <w:r>
              <w:rPr>
                <w:rFonts w:ascii="PMingLiU" w:eastAsia="PMingLiU" w:hint="eastAsia"/>
                <w:sz w:val="14"/>
              </w:rPr>
              <w:t>期</w:t>
            </w:r>
          </w:p>
        </w:tc>
        <w:tc>
          <w:tcPr>
            <w:tcW w:w="1225" w:type="dxa"/>
            <w:tcBorders>
              <w:top w:val="single" w:sz="4" w:space="0" w:color="000000"/>
              <w:left w:val="dashSmallGap" w:sz="4" w:space="0" w:color="000000"/>
              <w:bottom w:val="single" w:sz="4" w:space="0" w:color="000000"/>
              <w:right w:val="single" w:sz="6" w:space="0" w:color="000000"/>
            </w:tcBorders>
          </w:tcPr>
          <w:p>
            <w:pPr>
              <w:pStyle w:val="TableParagraph"/>
              <w:spacing w:before="100"/>
              <w:ind w:left="104"/>
              <w:rPr>
                <w:rFonts w:ascii="PMingLiU" w:eastAsia="PMingLiU" w:hint="eastAsia"/>
                <w:sz w:val="14"/>
              </w:rPr>
            </w:pPr>
            <w:r>
              <w:rPr>
                <w:sz w:val="14"/>
              </w:rPr>
              <w:t>Ib/ II </w:t>
            </w:r>
            <w:r>
              <w:rPr>
                <w:rFonts w:ascii="PMingLiU" w:eastAsia="PMingLiU" w:hint="eastAsia"/>
                <w:sz w:val="14"/>
              </w:rPr>
              <w:t>期</w:t>
            </w:r>
          </w:p>
        </w:tc>
        <w:tc>
          <w:tcPr>
            <w:tcW w:w="1225" w:type="dxa"/>
            <w:tcBorders>
              <w:top w:val="single" w:sz="4" w:space="0" w:color="000000"/>
              <w:left w:val="single" w:sz="6" w:space="0" w:color="000000"/>
              <w:bottom w:val="single" w:sz="4" w:space="0" w:color="000000"/>
              <w:right w:val="single" w:sz="4" w:space="0" w:color="000000"/>
            </w:tcBorders>
          </w:tcPr>
          <w:p>
            <w:pPr>
              <w:pStyle w:val="TableParagraph"/>
              <w:spacing w:before="100"/>
              <w:ind w:left="101"/>
              <w:rPr>
                <w:rFonts w:ascii="PMingLiU" w:eastAsia="PMingLiU" w:hint="eastAsia"/>
                <w:sz w:val="14"/>
              </w:rPr>
            </w:pPr>
            <w:r>
              <w:rPr>
                <w:sz w:val="14"/>
              </w:rPr>
              <w:t>II </w:t>
            </w:r>
            <w:r>
              <w:rPr>
                <w:rFonts w:ascii="PMingLiU" w:eastAsia="PMingLiU" w:hint="eastAsia"/>
                <w:sz w:val="14"/>
              </w:rPr>
              <w:t>期</w:t>
            </w:r>
          </w:p>
        </w:tc>
        <w:tc>
          <w:tcPr>
            <w:tcW w:w="1225" w:type="dxa"/>
            <w:tcBorders>
              <w:top w:val="single" w:sz="4" w:space="0" w:color="000000"/>
              <w:left w:val="single" w:sz="4" w:space="0" w:color="000000"/>
              <w:bottom w:val="single" w:sz="4" w:space="0" w:color="000000"/>
              <w:right w:val="nil"/>
            </w:tcBorders>
          </w:tcPr>
          <w:p>
            <w:pPr>
              <w:pStyle w:val="TableParagraph"/>
              <w:spacing w:before="100"/>
              <w:ind w:left="103"/>
              <w:rPr>
                <w:rFonts w:ascii="PMingLiU" w:eastAsia="PMingLiU" w:hint="eastAsia"/>
                <w:sz w:val="14"/>
              </w:rPr>
            </w:pPr>
            <w:r>
              <w:rPr>
                <w:sz w:val="14"/>
              </w:rPr>
              <w:t>I/ II </w:t>
            </w:r>
            <w:r>
              <w:rPr>
                <w:rFonts w:ascii="PMingLiU" w:eastAsia="PMingLiU" w:hint="eastAsia"/>
                <w:sz w:val="14"/>
              </w:rPr>
              <w:t>期</w:t>
            </w:r>
          </w:p>
        </w:tc>
      </w:tr>
      <w:tr>
        <w:trPr>
          <w:trHeight w:val="408" w:hRule="atLeast"/>
        </w:trPr>
        <w:tc>
          <w:tcPr>
            <w:tcW w:w="629" w:type="dxa"/>
            <w:tcBorders>
              <w:top w:val="single" w:sz="4" w:space="0" w:color="000000"/>
              <w:left w:val="nil"/>
              <w:bottom w:val="single" w:sz="4" w:space="0" w:color="000000"/>
              <w:right w:val="single" w:sz="4" w:space="0" w:color="000000"/>
            </w:tcBorders>
          </w:tcPr>
          <w:p>
            <w:pPr>
              <w:pStyle w:val="TableParagraph"/>
              <w:spacing w:line="195" w:lineRule="exact"/>
              <w:ind w:left="110"/>
              <w:rPr>
                <w:rFonts w:ascii="PMingLiU" w:eastAsia="PMingLiU" w:hint="eastAsia"/>
                <w:sz w:val="14"/>
              </w:rPr>
            </w:pPr>
            <w:r>
              <w:rPr>
                <w:rFonts w:ascii="PMingLiU" w:eastAsia="PMingLiU" w:hint="eastAsia"/>
                <w:w w:val="95"/>
                <w:sz w:val="14"/>
              </w:rPr>
              <w:t>入组</w:t>
            </w:r>
          </w:p>
          <w:p>
            <w:pPr>
              <w:pStyle w:val="TableParagraph"/>
              <w:spacing w:line="182" w:lineRule="exact" w:before="11"/>
              <w:ind w:left="110"/>
              <w:rPr>
                <w:rFonts w:ascii="PMingLiU" w:eastAsia="PMingLiU" w:hint="eastAsia"/>
                <w:sz w:val="14"/>
              </w:rPr>
            </w:pPr>
            <w:r>
              <w:rPr>
                <w:rFonts w:ascii="PMingLiU" w:eastAsia="PMingLiU" w:hint="eastAsia"/>
                <w:w w:val="95"/>
                <w:sz w:val="14"/>
              </w:rPr>
              <w:t>人数</w:t>
            </w:r>
          </w:p>
        </w:tc>
        <w:tc>
          <w:tcPr>
            <w:tcW w:w="1220" w:type="dxa"/>
            <w:tcBorders>
              <w:top w:val="single" w:sz="4" w:space="0" w:color="000000"/>
              <w:left w:val="single" w:sz="4" w:space="0" w:color="000000"/>
              <w:bottom w:val="single" w:sz="4" w:space="0" w:color="000000"/>
              <w:right w:val="dashSmallGap" w:sz="4" w:space="0" w:color="000000"/>
            </w:tcBorders>
          </w:tcPr>
          <w:p>
            <w:pPr>
              <w:pStyle w:val="TableParagraph"/>
              <w:spacing w:before="123"/>
              <w:ind w:left="100"/>
              <w:rPr>
                <w:sz w:val="14"/>
              </w:rPr>
            </w:pPr>
            <w:r>
              <w:rPr>
                <w:sz w:val="14"/>
              </w:rPr>
              <w:t>128</w:t>
            </w:r>
          </w:p>
        </w:tc>
        <w:tc>
          <w:tcPr>
            <w:tcW w:w="1225" w:type="dxa"/>
            <w:tcBorders>
              <w:top w:val="single" w:sz="4" w:space="0" w:color="000000"/>
              <w:left w:val="dashSmallGap" w:sz="4" w:space="0" w:color="000000"/>
              <w:bottom w:val="single" w:sz="4" w:space="0" w:color="000000"/>
              <w:right w:val="single" w:sz="4" w:space="0" w:color="000000"/>
            </w:tcBorders>
          </w:tcPr>
          <w:p>
            <w:pPr>
              <w:pStyle w:val="TableParagraph"/>
              <w:spacing w:before="123"/>
              <w:ind w:left="104"/>
              <w:rPr>
                <w:sz w:val="14"/>
              </w:rPr>
            </w:pPr>
            <w:r>
              <w:rPr>
                <w:sz w:val="14"/>
              </w:rPr>
              <w:t>72</w:t>
            </w:r>
          </w:p>
        </w:tc>
        <w:tc>
          <w:tcPr>
            <w:tcW w:w="1220" w:type="dxa"/>
            <w:tcBorders>
              <w:top w:val="single" w:sz="4" w:space="0" w:color="000000"/>
              <w:left w:val="single" w:sz="4" w:space="0" w:color="000000"/>
              <w:bottom w:val="single" w:sz="4" w:space="0" w:color="000000"/>
              <w:right w:val="dashSmallGap" w:sz="4" w:space="0" w:color="000000"/>
            </w:tcBorders>
          </w:tcPr>
          <w:p>
            <w:pPr>
              <w:pStyle w:val="TableParagraph"/>
              <w:spacing w:before="123"/>
              <w:ind w:left="104"/>
              <w:rPr>
                <w:sz w:val="14"/>
              </w:rPr>
            </w:pPr>
            <w:r>
              <w:rPr>
                <w:sz w:val="14"/>
              </w:rPr>
              <w:t>57</w:t>
            </w:r>
          </w:p>
        </w:tc>
        <w:tc>
          <w:tcPr>
            <w:tcW w:w="1225" w:type="dxa"/>
            <w:tcBorders>
              <w:top w:val="single" w:sz="4" w:space="0" w:color="000000"/>
              <w:left w:val="dashSmallGap" w:sz="4" w:space="0" w:color="000000"/>
              <w:bottom w:val="single" w:sz="4" w:space="0" w:color="000000"/>
              <w:right w:val="single" w:sz="6" w:space="0" w:color="000000"/>
            </w:tcBorders>
          </w:tcPr>
          <w:p>
            <w:pPr>
              <w:pStyle w:val="TableParagraph"/>
              <w:spacing w:before="123"/>
              <w:ind w:left="104"/>
              <w:rPr>
                <w:sz w:val="14"/>
              </w:rPr>
            </w:pPr>
            <w:r>
              <w:rPr>
                <w:sz w:val="14"/>
              </w:rPr>
              <w:t>97</w:t>
            </w:r>
          </w:p>
        </w:tc>
        <w:tc>
          <w:tcPr>
            <w:tcW w:w="1225" w:type="dxa"/>
            <w:tcBorders>
              <w:top w:val="single" w:sz="4" w:space="0" w:color="000000"/>
              <w:left w:val="single" w:sz="6" w:space="0" w:color="000000"/>
              <w:bottom w:val="single" w:sz="4" w:space="0" w:color="000000"/>
              <w:right w:val="single" w:sz="4" w:space="0" w:color="000000"/>
            </w:tcBorders>
          </w:tcPr>
          <w:p>
            <w:pPr>
              <w:pStyle w:val="TableParagraph"/>
              <w:spacing w:before="123"/>
              <w:ind w:left="101"/>
              <w:rPr>
                <w:sz w:val="14"/>
              </w:rPr>
            </w:pPr>
            <w:r>
              <w:rPr>
                <w:sz w:val="14"/>
              </w:rPr>
              <w:t>196 (99)</w:t>
            </w:r>
          </w:p>
        </w:tc>
        <w:tc>
          <w:tcPr>
            <w:tcW w:w="1225" w:type="dxa"/>
            <w:tcBorders>
              <w:top w:val="single" w:sz="4" w:space="0" w:color="000000"/>
              <w:left w:val="single" w:sz="4" w:space="0" w:color="000000"/>
              <w:bottom w:val="single" w:sz="4" w:space="0" w:color="000000"/>
              <w:right w:val="nil"/>
            </w:tcBorders>
          </w:tcPr>
          <w:p>
            <w:pPr>
              <w:pStyle w:val="TableParagraph"/>
              <w:spacing w:before="123"/>
              <w:ind w:left="103"/>
              <w:rPr>
                <w:sz w:val="14"/>
              </w:rPr>
            </w:pPr>
            <w:r>
              <w:rPr>
                <w:sz w:val="14"/>
              </w:rPr>
              <w:t>165</w:t>
            </w:r>
          </w:p>
        </w:tc>
      </w:tr>
      <w:tr>
        <w:trPr>
          <w:trHeight w:val="1699" w:hRule="atLeast"/>
        </w:trPr>
        <w:tc>
          <w:tcPr>
            <w:tcW w:w="629" w:type="dxa"/>
            <w:tcBorders>
              <w:top w:val="single" w:sz="4" w:space="0" w:color="000000"/>
              <w:left w:val="nil"/>
              <w:bottom w:val="single" w:sz="4" w:space="0" w:color="000000"/>
              <w:right w:val="single" w:sz="4" w:space="0" w:color="000000"/>
            </w:tcBorders>
          </w:tcPr>
          <w:p>
            <w:pPr>
              <w:pStyle w:val="TableParagraph"/>
              <w:rPr>
                <w:rFonts w:ascii="Microsoft JhengHei UI"/>
                <w:b/>
                <w:sz w:val="18"/>
              </w:rPr>
            </w:pPr>
          </w:p>
          <w:p>
            <w:pPr>
              <w:pStyle w:val="TableParagraph"/>
              <w:spacing w:before="1"/>
              <w:rPr>
                <w:rFonts w:ascii="Microsoft JhengHei UI"/>
                <w:b/>
                <w:sz w:val="18"/>
              </w:rPr>
            </w:pPr>
          </w:p>
          <w:p>
            <w:pPr>
              <w:pStyle w:val="TableParagraph"/>
              <w:spacing w:line="252" w:lineRule="auto" w:before="1"/>
              <w:ind w:left="110" w:right="233"/>
              <w:rPr>
                <w:rFonts w:ascii="PMingLiU" w:eastAsia="PMingLiU" w:hint="eastAsia"/>
                <w:sz w:val="14"/>
              </w:rPr>
            </w:pPr>
            <w:r>
              <w:rPr>
                <w:rFonts w:ascii="PMingLiU" w:eastAsia="PMingLiU" w:hint="eastAsia"/>
                <w:sz w:val="14"/>
              </w:rPr>
              <w:t>有效性</w:t>
            </w:r>
          </w:p>
        </w:tc>
        <w:tc>
          <w:tcPr>
            <w:tcW w:w="1220" w:type="dxa"/>
            <w:tcBorders>
              <w:top w:val="single" w:sz="4" w:space="0" w:color="000000"/>
              <w:left w:val="single" w:sz="4" w:space="0" w:color="000000"/>
              <w:bottom w:val="single" w:sz="4" w:space="0" w:color="000000"/>
              <w:right w:val="dashSmallGap" w:sz="4" w:space="0" w:color="000000"/>
            </w:tcBorders>
          </w:tcPr>
          <w:p>
            <w:pPr>
              <w:pStyle w:val="TableParagraph"/>
              <w:rPr>
                <w:rFonts w:ascii="Microsoft JhengHei UI"/>
                <w:b/>
                <w:sz w:val="16"/>
              </w:rPr>
            </w:pPr>
          </w:p>
          <w:p>
            <w:pPr>
              <w:pStyle w:val="TableParagraph"/>
              <w:spacing w:before="17"/>
              <w:rPr>
                <w:rFonts w:ascii="Microsoft JhengHei UI"/>
                <w:b/>
                <w:sz w:val="8"/>
              </w:rPr>
            </w:pPr>
          </w:p>
          <w:p>
            <w:pPr>
              <w:pStyle w:val="TableParagraph"/>
              <w:ind w:left="100"/>
              <w:jc w:val="both"/>
              <w:rPr>
                <w:sz w:val="14"/>
              </w:rPr>
            </w:pPr>
            <w:r>
              <w:rPr>
                <w:sz w:val="14"/>
              </w:rPr>
              <w:t>ORR: 73%;</w:t>
            </w:r>
          </w:p>
          <w:p>
            <w:pPr>
              <w:pStyle w:val="TableParagraph"/>
              <w:spacing w:line="160" w:lineRule="exact" w:before="2"/>
              <w:ind w:left="100"/>
              <w:jc w:val="both"/>
              <w:rPr>
                <w:sz w:val="14"/>
              </w:rPr>
            </w:pPr>
            <w:r>
              <w:rPr>
                <w:sz w:val="14"/>
              </w:rPr>
              <w:t>CR: 33%;</w:t>
            </w:r>
          </w:p>
          <w:p>
            <w:pPr>
              <w:pStyle w:val="TableParagraph"/>
              <w:ind w:left="100" w:right="291"/>
              <w:jc w:val="both"/>
              <w:rPr>
                <w:sz w:val="14"/>
              </w:rPr>
            </w:pPr>
            <w:r>
              <w:rPr>
                <w:sz w:val="14"/>
              </w:rPr>
              <w:t>VGPR: 52%; mPFS: 8.8m; mOS: 19.4m</w:t>
            </w:r>
          </w:p>
        </w:tc>
        <w:tc>
          <w:tcPr>
            <w:tcW w:w="1225" w:type="dxa"/>
            <w:tcBorders>
              <w:top w:val="single" w:sz="4" w:space="0" w:color="000000"/>
              <w:left w:val="dashSmallGap" w:sz="4" w:space="0" w:color="000000"/>
              <w:bottom w:val="single" w:sz="4" w:space="0" w:color="000000"/>
              <w:right w:val="single" w:sz="4" w:space="0" w:color="000000"/>
            </w:tcBorders>
          </w:tcPr>
          <w:p>
            <w:pPr>
              <w:pStyle w:val="TableParagraph"/>
              <w:rPr>
                <w:rFonts w:ascii="Microsoft JhengHei UI"/>
                <w:b/>
                <w:sz w:val="16"/>
              </w:rPr>
            </w:pPr>
          </w:p>
          <w:p>
            <w:pPr>
              <w:pStyle w:val="TableParagraph"/>
              <w:spacing w:before="2"/>
              <w:rPr>
                <w:rFonts w:ascii="Microsoft JhengHei UI"/>
                <w:b/>
                <w:sz w:val="18"/>
              </w:rPr>
            </w:pPr>
          </w:p>
          <w:p>
            <w:pPr>
              <w:pStyle w:val="TableParagraph"/>
              <w:spacing w:line="160" w:lineRule="exact" w:before="1"/>
              <w:ind w:left="104"/>
              <w:rPr>
                <w:sz w:val="14"/>
              </w:rPr>
            </w:pPr>
            <w:r>
              <w:rPr>
                <w:sz w:val="14"/>
              </w:rPr>
              <w:t>ORR: 69%;</w:t>
            </w:r>
          </w:p>
          <w:p>
            <w:pPr>
              <w:pStyle w:val="TableParagraph"/>
              <w:spacing w:line="242" w:lineRule="auto"/>
              <w:ind w:left="104" w:right="196"/>
              <w:rPr>
                <w:sz w:val="14"/>
              </w:rPr>
            </w:pPr>
            <w:r>
              <w:rPr>
                <w:sz w:val="14"/>
              </w:rPr>
              <w:t>CR: 36%; mDOR: 23.8m</w:t>
            </w:r>
          </w:p>
        </w:tc>
        <w:tc>
          <w:tcPr>
            <w:tcW w:w="1220" w:type="dxa"/>
            <w:tcBorders>
              <w:top w:val="single" w:sz="4" w:space="0" w:color="000000"/>
              <w:left w:val="single" w:sz="4" w:space="0" w:color="000000"/>
              <w:bottom w:val="single" w:sz="4" w:space="0" w:color="000000"/>
              <w:right w:val="dashSmallGap" w:sz="4" w:space="0" w:color="000000"/>
            </w:tcBorders>
          </w:tcPr>
          <w:p>
            <w:pPr>
              <w:pStyle w:val="TableParagraph"/>
              <w:spacing w:before="3"/>
              <w:rPr>
                <w:rFonts w:ascii="Microsoft JhengHei UI"/>
                <w:b/>
                <w:sz w:val="20"/>
              </w:rPr>
            </w:pPr>
          </w:p>
          <w:p>
            <w:pPr>
              <w:pStyle w:val="TableParagraph"/>
              <w:spacing w:line="249" w:lineRule="auto"/>
              <w:ind w:left="104" w:right="75"/>
              <w:rPr>
                <w:sz w:val="14"/>
              </w:rPr>
            </w:pPr>
            <w:r>
              <w:rPr>
                <w:sz w:val="14"/>
              </w:rPr>
              <w:t>ORR: 88%</w:t>
            </w:r>
            <w:r>
              <w:rPr>
                <w:rFonts w:ascii="PMingLiU" w:eastAsia="PMingLiU" w:hint="eastAsia"/>
                <w:sz w:val="14"/>
              </w:rPr>
              <w:t>； </w:t>
            </w:r>
            <w:r>
              <w:rPr>
                <w:sz w:val="14"/>
              </w:rPr>
              <w:t>CR: 74%</w:t>
            </w:r>
            <w:r>
              <w:rPr>
                <w:rFonts w:ascii="PMingLiU" w:eastAsia="PMingLiU" w:hint="eastAsia"/>
                <w:sz w:val="14"/>
              </w:rPr>
              <w:t>； </w:t>
            </w:r>
            <w:r>
              <w:rPr>
                <w:sz w:val="14"/>
              </w:rPr>
              <w:t>VGPR: 4%</w:t>
            </w:r>
            <w:r>
              <w:rPr>
                <w:rFonts w:ascii="PMingLiU" w:eastAsia="PMingLiU" w:hint="eastAsia"/>
                <w:sz w:val="14"/>
              </w:rPr>
              <w:t>； </w:t>
            </w:r>
            <w:r>
              <w:rPr>
                <w:sz w:val="14"/>
              </w:rPr>
              <w:t>PR: 11%</w:t>
            </w:r>
            <w:r>
              <w:rPr>
                <w:rFonts w:ascii="PMingLiU" w:eastAsia="PMingLiU" w:hint="eastAsia"/>
                <w:sz w:val="14"/>
              </w:rPr>
              <w:t>； </w:t>
            </w:r>
            <w:r>
              <w:rPr>
                <w:sz w:val="14"/>
              </w:rPr>
              <w:t>mPFS: 20m</w:t>
            </w:r>
          </w:p>
        </w:tc>
        <w:tc>
          <w:tcPr>
            <w:tcW w:w="1225" w:type="dxa"/>
            <w:tcBorders>
              <w:top w:val="single" w:sz="4" w:space="0" w:color="000000"/>
              <w:left w:val="dashSmallGap" w:sz="4" w:space="0" w:color="000000"/>
              <w:bottom w:val="single" w:sz="4" w:space="0" w:color="000000"/>
              <w:right w:val="single" w:sz="6" w:space="0" w:color="000000"/>
            </w:tcBorders>
          </w:tcPr>
          <w:p>
            <w:pPr>
              <w:pStyle w:val="TableParagraph"/>
              <w:spacing w:before="4"/>
              <w:rPr>
                <w:rFonts w:ascii="Microsoft JhengHei UI"/>
                <w:b/>
                <w:sz w:val="11"/>
              </w:rPr>
            </w:pPr>
          </w:p>
          <w:p>
            <w:pPr>
              <w:pStyle w:val="TableParagraph"/>
              <w:spacing w:line="244" w:lineRule="auto" w:before="1"/>
              <w:ind w:left="104" w:right="279"/>
              <w:rPr>
                <w:rFonts w:ascii="PMingLiU" w:eastAsia="PMingLiU" w:hint="eastAsia"/>
                <w:sz w:val="14"/>
              </w:rPr>
            </w:pPr>
            <w:r>
              <w:rPr>
                <w:sz w:val="14"/>
              </w:rPr>
              <w:t>ORR: 97%</w:t>
            </w:r>
            <w:r>
              <w:rPr>
                <w:rFonts w:ascii="PMingLiU" w:eastAsia="PMingLiU" w:hint="eastAsia"/>
                <w:sz w:val="14"/>
              </w:rPr>
              <w:t>； </w:t>
            </w:r>
            <w:r>
              <w:rPr>
                <w:sz w:val="14"/>
              </w:rPr>
              <w:t>sCR: 67%</w:t>
            </w:r>
            <w:r>
              <w:rPr>
                <w:rFonts w:ascii="PMingLiU" w:eastAsia="PMingLiU" w:hint="eastAsia"/>
                <w:sz w:val="14"/>
              </w:rPr>
              <w:t>； </w:t>
            </w:r>
            <w:r>
              <w:rPr>
                <w:sz w:val="14"/>
              </w:rPr>
              <w:t>VGPR: 32.0%</w:t>
            </w:r>
            <w:r>
              <w:rPr>
                <w:rFonts w:ascii="PMingLiU" w:eastAsia="PMingLiU" w:hint="eastAsia"/>
                <w:sz w:val="14"/>
              </w:rPr>
              <w:t>；</w:t>
            </w:r>
          </w:p>
          <w:p>
            <w:pPr>
              <w:pStyle w:val="TableParagraph"/>
              <w:spacing w:line="247" w:lineRule="auto" w:before="9"/>
              <w:ind w:left="104" w:right="86" w:firstLine="38"/>
              <w:rPr>
                <w:sz w:val="14"/>
              </w:rPr>
            </w:pPr>
            <w:r>
              <w:rPr>
                <w:sz w:val="14"/>
              </w:rPr>
              <w:t>PR: 7.2%</w:t>
            </w:r>
            <w:r>
              <w:rPr>
                <w:rFonts w:ascii="PMingLiU" w:eastAsia="PMingLiU" w:hint="eastAsia"/>
                <w:sz w:val="14"/>
              </w:rPr>
              <w:t>； </w:t>
            </w:r>
            <w:r>
              <w:rPr>
                <w:sz w:val="14"/>
              </w:rPr>
              <w:t>12m PFS: 77%;</w:t>
            </w:r>
          </w:p>
          <w:p>
            <w:pPr>
              <w:pStyle w:val="TableParagraph"/>
              <w:spacing w:line="158" w:lineRule="exact"/>
              <w:ind w:left="104"/>
              <w:rPr>
                <w:sz w:val="14"/>
              </w:rPr>
            </w:pPr>
            <w:r>
              <w:rPr>
                <w:sz w:val="14"/>
              </w:rPr>
              <w:t>12m OS: 89%</w:t>
            </w:r>
          </w:p>
        </w:tc>
        <w:tc>
          <w:tcPr>
            <w:tcW w:w="1225" w:type="dxa"/>
            <w:tcBorders>
              <w:top w:val="single" w:sz="4" w:space="0" w:color="000000"/>
              <w:left w:val="single" w:sz="6" w:space="0" w:color="000000"/>
              <w:bottom w:val="single" w:sz="4" w:space="0" w:color="000000"/>
              <w:right w:val="single" w:sz="4" w:space="0" w:color="000000"/>
            </w:tcBorders>
          </w:tcPr>
          <w:p>
            <w:pPr>
              <w:pStyle w:val="TableParagraph"/>
              <w:spacing w:line="244" w:lineRule="auto"/>
              <w:ind w:left="101" w:right="418"/>
              <w:rPr>
                <w:sz w:val="14"/>
              </w:rPr>
            </w:pPr>
            <w:r>
              <w:rPr>
                <w:sz w:val="14"/>
              </w:rPr>
              <w:t>3.4mg/kg </w:t>
            </w:r>
            <w:r>
              <w:rPr>
                <w:rFonts w:ascii="PMingLiU" w:eastAsia="PMingLiU" w:hint="eastAsia"/>
                <w:sz w:val="14"/>
              </w:rPr>
              <w:t>剂 量 组 </w:t>
            </w:r>
            <w:r>
              <w:rPr>
                <w:sz w:val="14"/>
              </w:rPr>
              <w:t>: ORR: 35% CR: 3%</w:t>
            </w:r>
            <w:r>
              <w:rPr>
                <w:rFonts w:ascii="PMingLiU" w:eastAsia="PMingLiU" w:hint="eastAsia"/>
                <w:sz w:val="14"/>
              </w:rPr>
              <w:t>； </w:t>
            </w:r>
            <w:r>
              <w:rPr>
                <w:sz w:val="14"/>
              </w:rPr>
              <w:t>sCR: 2%;</w:t>
            </w:r>
          </w:p>
          <w:p>
            <w:pPr>
              <w:pStyle w:val="TableParagraph"/>
              <w:ind w:left="101" w:right="86"/>
              <w:rPr>
                <w:sz w:val="14"/>
              </w:rPr>
            </w:pPr>
            <w:r>
              <w:rPr>
                <w:sz w:val="14"/>
              </w:rPr>
              <w:t>VGPR: 18%; DOR: 6.2m; mPFS: 3.9m; 12m OS: 53%</w:t>
            </w:r>
          </w:p>
          <w:p>
            <w:pPr>
              <w:pStyle w:val="TableParagraph"/>
              <w:spacing w:line="145" w:lineRule="exact"/>
              <w:ind w:left="101"/>
              <w:rPr>
                <w:sz w:val="14"/>
              </w:rPr>
            </w:pPr>
            <w:r>
              <w:rPr>
                <w:sz w:val="14"/>
              </w:rPr>
              <w:t>mOS: 13.8m</w:t>
            </w:r>
          </w:p>
        </w:tc>
        <w:tc>
          <w:tcPr>
            <w:tcW w:w="1225" w:type="dxa"/>
            <w:tcBorders>
              <w:top w:val="single" w:sz="4" w:space="0" w:color="000000"/>
              <w:left w:val="single" w:sz="4" w:space="0" w:color="000000"/>
              <w:bottom w:val="single" w:sz="4" w:space="0" w:color="000000"/>
              <w:right w:val="nil"/>
            </w:tcBorders>
          </w:tcPr>
          <w:p>
            <w:pPr>
              <w:pStyle w:val="TableParagraph"/>
              <w:rPr>
                <w:rFonts w:ascii="Microsoft JhengHei UI"/>
                <w:b/>
                <w:sz w:val="16"/>
              </w:rPr>
            </w:pPr>
          </w:p>
          <w:p>
            <w:pPr>
              <w:pStyle w:val="TableParagraph"/>
              <w:spacing w:before="2"/>
              <w:rPr>
                <w:rFonts w:ascii="Microsoft JhengHei UI"/>
                <w:b/>
                <w:sz w:val="18"/>
              </w:rPr>
            </w:pPr>
          </w:p>
          <w:p>
            <w:pPr>
              <w:pStyle w:val="TableParagraph"/>
              <w:spacing w:line="160" w:lineRule="exact" w:before="1"/>
              <w:ind w:left="103"/>
              <w:rPr>
                <w:sz w:val="14"/>
              </w:rPr>
            </w:pPr>
            <w:r>
              <w:rPr>
                <w:sz w:val="14"/>
              </w:rPr>
              <w:t>ORR:</w:t>
            </w:r>
            <w:r>
              <w:rPr>
                <w:spacing w:val="-6"/>
                <w:sz w:val="14"/>
              </w:rPr>
              <w:t> </w:t>
            </w:r>
            <w:r>
              <w:rPr>
                <w:sz w:val="14"/>
              </w:rPr>
              <w:t>63%;</w:t>
            </w:r>
          </w:p>
          <w:p>
            <w:pPr>
              <w:pStyle w:val="TableParagraph"/>
              <w:spacing w:line="160" w:lineRule="exact"/>
              <w:ind w:left="103"/>
              <w:rPr>
                <w:sz w:val="14"/>
              </w:rPr>
            </w:pPr>
            <w:r>
              <w:rPr>
                <w:sz w:val="14"/>
              </w:rPr>
              <w:t>≥CR:</w:t>
            </w:r>
            <w:r>
              <w:rPr>
                <w:spacing w:val="-8"/>
                <w:sz w:val="14"/>
              </w:rPr>
              <w:t> </w:t>
            </w:r>
            <w:r>
              <w:rPr>
                <w:sz w:val="14"/>
              </w:rPr>
              <w:t>40%;</w:t>
            </w:r>
          </w:p>
          <w:p>
            <w:pPr>
              <w:pStyle w:val="TableParagraph"/>
              <w:spacing w:before="2"/>
              <w:ind w:left="103"/>
              <w:rPr>
                <w:sz w:val="14"/>
              </w:rPr>
            </w:pPr>
            <w:r>
              <w:rPr>
                <w:sz w:val="14"/>
              </w:rPr>
              <w:t>≥VGPR: 58%;</w:t>
            </w:r>
          </w:p>
        </w:tc>
      </w:tr>
      <w:tr>
        <w:trPr>
          <w:trHeight w:val="1007" w:hRule="atLeast"/>
        </w:trPr>
        <w:tc>
          <w:tcPr>
            <w:tcW w:w="629" w:type="dxa"/>
            <w:tcBorders>
              <w:top w:val="single" w:sz="4" w:space="0" w:color="000000"/>
              <w:left w:val="nil"/>
              <w:right w:val="single" w:sz="4" w:space="0" w:color="000000"/>
            </w:tcBorders>
          </w:tcPr>
          <w:p>
            <w:pPr>
              <w:pStyle w:val="TableParagraph"/>
              <w:spacing w:before="12"/>
              <w:rPr>
                <w:rFonts w:ascii="Microsoft JhengHei UI"/>
                <w:b/>
                <w:sz w:val="16"/>
              </w:rPr>
            </w:pPr>
          </w:p>
          <w:p>
            <w:pPr>
              <w:pStyle w:val="TableParagraph"/>
              <w:spacing w:line="252" w:lineRule="auto"/>
              <w:ind w:left="110" w:right="233"/>
              <w:rPr>
                <w:rFonts w:ascii="PMingLiU" w:eastAsia="PMingLiU" w:hint="eastAsia"/>
                <w:sz w:val="14"/>
              </w:rPr>
            </w:pPr>
            <w:r>
              <w:rPr>
                <w:rFonts w:ascii="PMingLiU" w:eastAsia="PMingLiU" w:hint="eastAsia"/>
                <w:sz w:val="14"/>
              </w:rPr>
              <w:t>安全性</w:t>
            </w:r>
          </w:p>
        </w:tc>
        <w:tc>
          <w:tcPr>
            <w:tcW w:w="1220" w:type="dxa"/>
            <w:tcBorders>
              <w:top w:val="single" w:sz="4" w:space="0" w:color="000000"/>
              <w:left w:val="single" w:sz="4" w:space="0" w:color="000000"/>
              <w:right w:val="dashSmallGap" w:sz="4" w:space="0" w:color="000000"/>
            </w:tcBorders>
          </w:tcPr>
          <w:p>
            <w:pPr>
              <w:pStyle w:val="TableParagraph"/>
              <w:spacing w:line="160" w:lineRule="exact" w:before="55"/>
              <w:ind w:left="100"/>
              <w:rPr>
                <w:sz w:val="14"/>
              </w:rPr>
            </w:pPr>
            <w:r>
              <w:rPr>
                <w:sz w:val="14"/>
              </w:rPr>
              <w:t>CRS: 84%,</w:t>
            </w:r>
          </w:p>
          <w:p>
            <w:pPr>
              <w:pStyle w:val="TableParagraph"/>
              <w:spacing w:line="252" w:lineRule="auto"/>
              <w:ind w:left="100"/>
              <w:rPr>
                <w:sz w:val="14"/>
              </w:rPr>
            </w:pPr>
            <w:r>
              <w:rPr>
                <w:sz w:val="14"/>
              </w:rPr>
              <w:t>≥G3 CRS 5%</w:t>
            </w:r>
            <w:r>
              <w:rPr>
                <w:rFonts w:ascii="PMingLiU" w:hAnsi="PMingLiU" w:eastAsia="PMingLiU" w:hint="eastAsia"/>
                <w:sz w:val="14"/>
              </w:rPr>
              <w:t>； </w:t>
            </w:r>
            <w:r>
              <w:rPr>
                <w:sz w:val="14"/>
              </w:rPr>
              <w:t>ICANS: 18%,</w:t>
            </w:r>
          </w:p>
          <w:p>
            <w:pPr>
              <w:pStyle w:val="TableParagraph"/>
              <w:spacing w:line="150" w:lineRule="exact"/>
              <w:ind w:left="100"/>
              <w:rPr>
                <w:sz w:val="14"/>
              </w:rPr>
            </w:pPr>
            <w:r>
              <w:rPr>
                <w:sz w:val="14"/>
              </w:rPr>
              <w:t>≥G3 ICANS</w:t>
            </w:r>
          </w:p>
          <w:p>
            <w:pPr>
              <w:pStyle w:val="TableParagraph"/>
              <w:spacing w:before="3"/>
              <w:ind w:left="100"/>
              <w:rPr>
                <w:rFonts w:ascii="PMingLiU" w:eastAsia="PMingLiU" w:hint="eastAsia"/>
                <w:sz w:val="14"/>
              </w:rPr>
            </w:pPr>
            <w:r>
              <w:rPr>
                <w:sz w:val="14"/>
              </w:rPr>
              <w:t>3%</w:t>
            </w:r>
            <w:r>
              <w:rPr>
                <w:rFonts w:ascii="PMingLiU" w:eastAsia="PMingLiU" w:hint="eastAsia"/>
                <w:sz w:val="14"/>
              </w:rPr>
              <w:t>；</w:t>
            </w:r>
          </w:p>
        </w:tc>
        <w:tc>
          <w:tcPr>
            <w:tcW w:w="1225" w:type="dxa"/>
            <w:tcBorders>
              <w:top w:val="single" w:sz="4" w:space="0" w:color="000000"/>
              <w:left w:val="dashSmallGap" w:sz="4" w:space="0" w:color="000000"/>
              <w:right w:val="single" w:sz="4" w:space="0" w:color="000000"/>
            </w:tcBorders>
          </w:tcPr>
          <w:p>
            <w:pPr>
              <w:pStyle w:val="TableParagraph"/>
              <w:rPr>
                <w:rFonts w:ascii="Microsoft JhengHei UI"/>
                <w:b/>
                <w:sz w:val="19"/>
              </w:rPr>
            </w:pPr>
          </w:p>
          <w:p>
            <w:pPr>
              <w:pStyle w:val="TableParagraph"/>
              <w:spacing w:before="1"/>
              <w:ind w:left="104"/>
              <w:rPr>
                <w:sz w:val="14"/>
              </w:rPr>
            </w:pPr>
            <w:r>
              <w:rPr>
                <w:sz w:val="14"/>
              </w:rPr>
              <w:t>CRS: 75%;</w:t>
            </w:r>
          </w:p>
          <w:p>
            <w:pPr>
              <w:pStyle w:val="TableParagraph"/>
              <w:spacing w:before="2"/>
              <w:ind w:left="104"/>
              <w:rPr>
                <w:sz w:val="14"/>
              </w:rPr>
            </w:pPr>
            <w:r>
              <w:rPr>
                <w:sz w:val="14"/>
              </w:rPr>
              <w:t>ICANS: 15%</w:t>
            </w:r>
          </w:p>
        </w:tc>
        <w:tc>
          <w:tcPr>
            <w:tcW w:w="1220" w:type="dxa"/>
            <w:tcBorders>
              <w:top w:val="single" w:sz="4" w:space="0" w:color="000000"/>
              <w:left w:val="single" w:sz="4" w:space="0" w:color="000000"/>
              <w:right w:val="dashSmallGap" w:sz="4" w:space="0" w:color="000000"/>
            </w:tcBorders>
          </w:tcPr>
          <w:p>
            <w:pPr>
              <w:pStyle w:val="TableParagraph"/>
              <w:spacing w:before="11"/>
              <w:rPr>
                <w:rFonts w:ascii="Microsoft JhengHei UI"/>
                <w:b/>
                <w:sz w:val="23"/>
              </w:rPr>
            </w:pPr>
          </w:p>
          <w:p>
            <w:pPr>
              <w:pStyle w:val="TableParagraph"/>
              <w:ind w:left="104"/>
              <w:rPr>
                <w:sz w:val="14"/>
              </w:rPr>
            </w:pPr>
            <w:r>
              <w:rPr>
                <w:sz w:val="14"/>
              </w:rPr>
              <w:t>N/A</w:t>
            </w:r>
          </w:p>
        </w:tc>
        <w:tc>
          <w:tcPr>
            <w:tcW w:w="1225" w:type="dxa"/>
            <w:tcBorders>
              <w:top w:val="single" w:sz="4" w:space="0" w:color="000000"/>
              <w:left w:val="dashSmallGap" w:sz="4" w:space="0" w:color="000000"/>
              <w:right w:val="single" w:sz="6" w:space="0" w:color="000000"/>
            </w:tcBorders>
          </w:tcPr>
          <w:p>
            <w:pPr>
              <w:pStyle w:val="TableParagraph"/>
              <w:spacing w:line="158" w:lineRule="exact"/>
              <w:ind w:left="104"/>
              <w:rPr>
                <w:sz w:val="14"/>
              </w:rPr>
            </w:pPr>
            <w:r>
              <w:rPr>
                <w:sz w:val="14"/>
              </w:rPr>
              <w:t>CRS: 94.8%,</w:t>
            </w:r>
          </w:p>
          <w:p>
            <w:pPr>
              <w:pStyle w:val="TableParagraph"/>
              <w:spacing w:line="244" w:lineRule="auto"/>
              <w:ind w:left="104" w:right="171"/>
              <w:rPr>
                <w:sz w:val="14"/>
              </w:rPr>
            </w:pPr>
            <w:r>
              <w:rPr>
                <w:sz w:val="14"/>
              </w:rPr>
              <w:t>≥G3 CRS 4.1%</w:t>
            </w:r>
            <w:r>
              <w:rPr>
                <w:rFonts w:ascii="PMingLiU" w:hAnsi="PMingLiU" w:eastAsia="PMingLiU" w:hint="eastAsia"/>
                <w:sz w:val="14"/>
              </w:rPr>
              <w:t>； </w:t>
            </w:r>
            <w:r>
              <w:rPr>
                <w:sz w:val="14"/>
              </w:rPr>
              <w:t>ICANS: </w:t>
            </w:r>
            <w:r>
              <w:rPr>
                <w:spacing w:val="-4"/>
                <w:sz w:val="14"/>
              </w:rPr>
              <w:t>20.6%,</w:t>
            </w:r>
          </w:p>
          <w:p>
            <w:pPr>
              <w:pStyle w:val="TableParagraph"/>
              <w:spacing w:line="158" w:lineRule="exact"/>
              <w:ind w:left="104" w:right="279"/>
              <w:rPr>
                <w:sz w:val="14"/>
              </w:rPr>
            </w:pPr>
            <w:r>
              <w:rPr>
                <w:sz w:val="14"/>
              </w:rPr>
              <w:t>≥G3 ICANS 9.3%</w:t>
            </w:r>
          </w:p>
        </w:tc>
        <w:tc>
          <w:tcPr>
            <w:tcW w:w="1225" w:type="dxa"/>
            <w:tcBorders>
              <w:top w:val="single" w:sz="4" w:space="0" w:color="000000"/>
              <w:left w:val="single" w:sz="6" w:space="0" w:color="000000"/>
              <w:right w:val="single" w:sz="4" w:space="0" w:color="000000"/>
            </w:tcBorders>
          </w:tcPr>
          <w:p>
            <w:pPr>
              <w:pStyle w:val="TableParagraph"/>
              <w:spacing w:before="1"/>
              <w:rPr>
                <w:rFonts w:ascii="Microsoft JhengHei UI"/>
                <w:b/>
                <w:sz w:val="12"/>
              </w:rPr>
            </w:pPr>
          </w:p>
          <w:p>
            <w:pPr>
              <w:pStyle w:val="TableParagraph"/>
              <w:ind w:left="101"/>
              <w:rPr>
                <w:sz w:val="14"/>
              </w:rPr>
            </w:pPr>
            <w:r>
              <w:rPr>
                <w:rFonts w:ascii="PMingLiU" w:eastAsia="PMingLiU" w:hint="eastAsia"/>
                <w:sz w:val="14"/>
              </w:rPr>
              <w:t>角膜病变</w:t>
            </w:r>
            <w:r>
              <w:rPr>
                <w:sz w:val="14"/>
              </w:rPr>
              <w:t>: 75%,</w:t>
            </w:r>
          </w:p>
          <w:p>
            <w:pPr>
              <w:pStyle w:val="TableParagraph"/>
              <w:spacing w:line="247" w:lineRule="auto" w:before="11"/>
              <w:ind w:left="101"/>
              <w:rPr>
                <w:sz w:val="14"/>
              </w:rPr>
            </w:pPr>
            <w:r>
              <w:rPr>
                <w:sz w:val="14"/>
              </w:rPr>
              <w:t>≥G3 </w:t>
            </w:r>
            <w:r>
              <w:rPr>
                <w:rFonts w:ascii="PMingLiU" w:hAnsi="PMingLiU" w:eastAsia="PMingLiU" w:hint="eastAsia"/>
                <w:sz w:val="14"/>
              </w:rPr>
              <w:t>角膜病变</w:t>
            </w:r>
            <w:r>
              <w:rPr>
                <w:sz w:val="14"/>
              </w:rPr>
              <w:t>: 21%</w:t>
            </w:r>
          </w:p>
        </w:tc>
        <w:tc>
          <w:tcPr>
            <w:tcW w:w="1225" w:type="dxa"/>
            <w:tcBorders>
              <w:top w:val="single" w:sz="4" w:space="0" w:color="000000"/>
              <w:left w:val="single" w:sz="4" w:space="0" w:color="000000"/>
              <w:right w:val="nil"/>
            </w:tcBorders>
          </w:tcPr>
          <w:p>
            <w:pPr>
              <w:pStyle w:val="TableParagraph"/>
              <w:spacing w:before="2"/>
              <w:rPr>
                <w:rFonts w:ascii="Microsoft JhengHei UI"/>
                <w:b/>
                <w:sz w:val="10"/>
              </w:rPr>
            </w:pPr>
          </w:p>
          <w:p>
            <w:pPr>
              <w:pStyle w:val="TableParagraph"/>
              <w:spacing w:line="160" w:lineRule="exact"/>
              <w:ind w:left="103"/>
              <w:rPr>
                <w:sz w:val="14"/>
              </w:rPr>
            </w:pPr>
            <w:r>
              <w:rPr>
                <w:sz w:val="14"/>
              </w:rPr>
              <w:t>CRS: 72%,</w:t>
            </w:r>
          </w:p>
          <w:p>
            <w:pPr>
              <w:pStyle w:val="TableParagraph"/>
              <w:spacing w:line="160" w:lineRule="exact"/>
              <w:ind w:left="103"/>
              <w:rPr>
                <w:sz w:val="14"/>
              </w:rPr>
            </w:pPr>
            <w:r>
              <w:rPr>
                <w:sz w:val="14"/>
              </w:rPr>
              <w:t>≥G3 CRS &lt;1%;</w:t>
            </w:r>
          </w:p>
          <w:p>
            <w:pPr>
              <w:pStyle w:val="TableParagraph"/>
              <w:spacing w:line="160" w:lineRule="exact" w:before="3"/>
              <w:ind w:left="103"/>
              <w:rPr>
                <w:sz w:val="14"/>
              </w:rPr>
            </w:pPr>
            <w:r>
              <w:rPr>
                <w:sz w:val="14"/>
              </w:rPr>
              <w:t>ICANS: 15%</w:t>
            </w:r>
          </w:p>
          <w:p>
            <w:pPr>
              <w:pStyle w:val="TableParagraph"/>
              <w:spacing w:line="160" w:lineRule="exact"/>
              <w:ind w:left="103"/>
              <w:rPr>
                <w:sz w:val="14"/>
              </w:rPr>
            </w:pPr>
            <w:r>
              <w:rPr>
                <w:sz w:val="14"/>
              </w:rPr>
              <w:t>≥G3 ICANS 0%</w:t>
            </w:r>
          </w:p>
        </w:tc>
      </w:tr>
    </w:tbl>
    <w:p>
      <w:pPr>
        <w:spacing w:before="17"/>
        <w:ind w:left="210" w:right="0" w:firstLine="0"/>
        <w:jc w:val="both"/>
        <w:rPr>
          <w:sz w:val="16"/>
        </w:rPr>
      </w:pPr>
      <w:r>
        <w:rPr>
          <w:sz w:val="16"/>
        </w:rPr>
        <w:t>资料来源</w:t>
      </w:r>
      <w:r>
        <w:rPr>
          <w:rFonts w:ascii="Arial" w:eastAsia="Arial"/>
          <w:sz w:val="16"/>
        </w:rPr>
        <w:t>: FDA, Pubmed</w:t>
      </w:r>
      <w:r>
        <w:rPr>
          <w:sz w:val="16"/>
        </w:rPr>
        <w:t>，</w:t>
      </w:r>
      <w:r>
        <w:rPr>
          <w:rFonts w:ascii="Arial" w:eastAsia="Arial"/>
          <w:sz w:val="16"/>
        </w:rPr>
        <w:t>ASH 2021</w:t>
      </w:r>
      <w:r>
        <w:rPr>
          <w:sz w:val="16"/>
        </w:rPr>
        <w:t>，公司官网</w:t>
      </w:r>
      <w:r>
        <w:rPr>
          <w:rFonts w:ascii="Arial" w:eastAsia="Arial"/>
          <w:sz w:val="16"/>
        </w:rPr>
        <w:t>, </w:t>
      </w:r>
      <w:r>
        <w:rPr>
          <w:sz w:val="16"/>
        </w:rPr>
        <w:t>招银国际证券</w:t>
      </w:r>
    </w:p>
    <w:p>
      <w:pPr>
        <w:spacing w:after="0"/>
        <w:jc w:val="both"/>
        <w:rPr>
          <w:sz w:val="16"/>
        </w:rPr>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09"/>
        <w:jc w:val="both"/>
      </w:pPr>
      <w:r>
        <w:rPr>
          <w:spacing w:val="-3"/>
        </w:rPr>
        <w:t>上述已获批产品中，</w:t>
      </w:r>
      <w:r>
        <w:rPr>
          <w:rFonts w:ascii="Arial" w:hAnsi="Arial" w:eastAsia="Arial"/>
        </w:rPr>
        <w:t>Tecvayli </w:t>
      </w:r>
      <w:r>
        <w:rPr>
          <w:spacing w:val="1"/>
        </w:rPr>
        <w:t>的疗效已经与 </w:t>
      </w:r>
      <w:r>
        <w:rPr>
          <w:rFonts w:ascii="Arial" w:hAnsi="Arial" w:eastAsia="Arial"/>
        </w:rPr>
        <w:t>Abecma </w:t>
      </w:r>
      <w:r>
        <w:rPr>
          <w:spacing w:val="1"/>
        </w:rPr>
        <w:t>比较接近，但 </w:t>
      </w:r>
      <w:r>
        <w:rPr>
          <w:rFonts w:ascii="Arial" w:hAnsi="Arial" w:eastAsia="Arial"/>
        </w:rPr>
        <w:t>Carvykti </w:t>
      </w:r>
      <w:r>
        <w:rPr>
          <w:spacing w:val="-3"/>
        </w:rPr>
        <w:t>在疗效方面毫</w:t>
      </w:r>
      <w:r>
        <w:rPr>
          <w:spacing w:val="-2"/>
        </w:rPr>
        <w:t>无疑问是同类最佳。目前双抗和 </w:t>
      </w:r>
      <w:r>
        <w:rPr>
          <w:rFonts w:ascii="Arial" w:hAnsi="Arial" w:eastAsia="Arial"/>
        </w:rPr>
        <w:t>CAR-T </w:t>
      </w:r>
      <w:r>
        <w:rPr>
          <w:spacing w:val="-6"/>
        </w:rPr>
        <w:t>疗法的优势各异，双抗使用前无需等待制备，可一</w:t>
      </w:r>
      <w:r>
        <w:rPr>
          <w:spacing w:val="1"/>
        </w:rPr>
        <w:t>定程度上避免疾病进展，而 </w:t>
      </w:r>
      <w:r>
        <w:rPr>
          <w:rFonts w:ascii="Arial" w:hAnsi="Arial" w:eastAsia="Arial"/>
        </w:rPr>
        <w:t>CAR-T </w:t>
      </w:r>
      <w:r>
        <w:rPr/>
        <w:t>已经展现出了长期深度缓释的能力，可能实现</w:t>
      </w:r>
      <w:r>
        <w:rPr>
          <w:rFonts w:ascii="Arial" w:hAnsi="Arial" w:eastAsia="Arial"/>
          <w:spacing w:val="4"/>
        </w:rPr>
        <w:t>“</w:t>
      </w:r>
      <w:r>
        <w:rPr/>
        <w:t>一针治愈</w:t>
      </w:r>
      <w:r>
        <w:rPr>
          <w:rFonts w:ascii="Arial" w:hAnsi="Arial" w:eastAsia="Arial"/>
        </w:rPr>
        <w:t>”</w:t>
      </w:r>
      <w:r>
        <w:rPr>
          <w:spacing w:val="-2"/>
        </w:rPr>
        <w:t>。目前，</w:t>
      </w:r>
      <w:r>
        <w:rPr>
          <w:rFonts w:ascii="Arial" w:hAnsi="Arial" w:eastAsia="Arial"/>
        </w:rPr>
        <w:t>J&amp;J </w:t>
      </w:r>
      <w:r>
        <w:rPr>
          <w:spacing w:val="12"/>
        </w:rPr>
        <w:t>旗下的</w:t>
      </w:r>
      <w:r>
        <w:rPr>
          <w:rFonts w:ascii="Arial" w:hAnsi="Arial" w:eastAsia="Arial"/>
        </w:rPr>
        <w:t>CAR-T </w:t>
      </w:r>
      <w:r>
        <w:rPr>
          <w:spacing w:val="-6"/>
        </w:rPr>
        <w:t>疗法和双抗疗法均已经全面布局了早线适应症，预计未来可</w:t>
      </w:r>
      <w:r>
        <w:rPr>
          <w:spacing w:val="-4"/>
        </w:rPr>
        <w:t>供患者多种选择。除已上市产品外，临床阶段也有若干靶向 </w:t>
      </w:r>
      <w:r>
        <w:rPr>
          <w:rFonts w:ascii="Arial" w:hAnsi="Arial" w:eastAsia="Arial"/>
        </w:rPr>
        <w:t>BCMA/CD3 </w:t>
      </w:r>
      <w:r>
        <w:rPr>
          <w:spacing w:val="-5"/>
        </w:rPr>
        <w:t>的双抗疗法，已经</w:t>
      </w:r>
      <w:r>
        <w:rPr>
          <w:spacing w:val="1"/>
        </w:rPr>
        <w:t>展现出了不逊于 </w:t>
      </w:r>
      <w:r>
        <w:rPr>
          <w:rFonts w:ascii="Arial" w:hAnsi="Arial" w:eastAsia="Arial"/>
        </w:rPr>
        <w:t>Tecvayli </w:t>
      </w:r>
      <w:r>
        <w:rPr>
          <w:spacing w:val="-5"/>
        </w:rPr>
        <w:t>的早期数据。国内方面，也有若干产品进入临床阶段，其中康诺</w:t>
      </w:r>
      <w:r>
        <w:rPr>
          <w:spacing w:val="3"/>
        </w:rPr>
        <w:t>亚的 </w:t>
      </w:r>
      <w:r>
        <w:rPr>
          <w:rFonts w:ascii="Arial" w:hAnsi="Arial" w:eastAsia="Arial"/>
        </w:rPr>
        <w:t>CM336 </w:t>
      </w:r>
      <w:r>
        <w:rPr/>
        <w:t>和岸迈生物的 </w:t>
      </w:r>
      <w:r>
        <w:rPr>
          <w:rFonts w:ascii="Arial" w:hAnsi="Arial" w:eastAsia="Arial"/>
        </w:rPr>
        <w:t>EMB-06 </w:t>
      </w:r>
      <w:r>
        <w:rPr>
          <w:spacing w:val="2"/>
        </w:rPr>
        <w:t>目前处于 </w:t>
      </w:r>
      <w:r>
        <w:rPr>
          <w:rFonts w:ascii="Arial" w:hAnsi="Arial" w:eastAsia="Arial"/>
        </w:rPr>
        <w:t>I/II </w:t>
      </w:r>
      <w:r>
        <w:rPr>
          <w:spacing w:val="-2"/>
        </w:rPr>
        <w:t>期临床阶段，另有两款 </w:t>
      </w:r>
      <w:r>
        <w:rPr>
          <w:rFonts w:ascii="Arial" w:hAnsi="Arial" w:eastAsia="Arial"/>
        </w:rPr>
        <w:t>BCMA/CD3 </w:t>
      </w:r>
      <w:r>
        <w:rPr/>
        <w:t>双抗</w:t>
      </w:r>
      <w:r>
        <w:rPr>
          <w:spacing w:val="48"/>
        </w:rPr>
        <w:t>在</w:t>
      </w:r>
      <w:r>
        <w:rPr>
          <w:rFonts w:ascii="Arial" w:hAnsi="Arial" w:eastAsia="Arial"/>
        </w:rPr>
        <w:t>I </w:t>
      </w:r>
      <w:r>
        <w:rPr>
          <w:spacing w:val="-2"/>
        </w:rPr>
        <w:t>期临床阶段。</w:t>
      </w:r>
    </w:p>
    <w:p>
      <w:pPr>
        <w:pStyle w:val="Heading3"/>
        <w:spacing w:before="65" w:after="5"/>
      </w:pPr>
      <w:r>
        <w:rPr/>
        <w:t>图 </w:t>
      </w:r>
      <w:r>
        <w:rPr>
          <w:rFonts w:ascii="Arial" w:eastAsia="Arial"/>
        </w:rPr>
        <w:t>36: </w:t>
      </w:r>
      <w:r>
        <w:rPr/>
        <w:t>其他临床阶段的</w:t>
      </w:r>
      <w:r>
        <w:rPr>
          <w:rFonts w:ascii="Arial" w:eastAsia="Arial"/>
        </w:rPr>
        <w:t>BCMA x CD3 </w:t>
      </w:r>
      <w:r>
        <w:rPr/>
        <w:t>双抗疗法数据对比</w:t>
      </w:r>
    </w:p>
    <w:tbl>
      <w:tblPr>
        <w:tblW w:w="0" w:type="auto"/>
        <w:jc w:val="left"/>
        <w:tblInd w:w="2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52"/>
        <w:gridCol w:w="1383"/>
        <w:gridCol w:w="1441"/>
        <w:gridCol w:w="1364"/>
        <w:gridCol w:w="1364"/>
        <w:gridCol w:w="1369"/>
      </w:tblGrid>
      <w:tr>
        <w:trPr>
          <w:trHeight w:val="248" w:hRule="atLeast"/>
        </w:trPr>
        <w:tc>
          <w:tcPr>
            <w:tcW w:w="1052" w:type="dxa"/>
            <w:tcBorders>
              <w:left w:val="nil"/>
              <w:bottom w:val="single" w:sz="4" w:space="0" w:color="000000"/>
              <w:right w:val="single" w:sz="4" w:space="0" w:color="000000"/>
            </w:tcBorders>
            <w:shd w:val="clear" w:color="auto" w:fill="C00000"/>
          </w:tcPr>
          <w:p>
            <w:pPr>
              <w:pStyle w:val="TableParagraph"/>
              <w:spacing w:line="229" w:lineRule="exact"/>
              <w:ind w:left="110"/>
              <w:rPr>
                <w:rFonts w:ascii="Microsoft JhengHei UI" w:eastAsia="Microsoft JhengHei UI" w:hint="eastAsia"/>
                <w:b/>
                <w:sz w:val="14"/>
              </w:rPr>
            </w:pPr>
            <w:r>
              <w:rPr>
                <w:rFonts w:ascii="Microsoft JhengHei UI" w:eastAsia="Microsoft JhengHei UI" w:hint="eastAsia"/>
                <w:b/>
                <w:color w:val="FFFFFF"/>
                <w:sz w:val="14"/>
              </w:rPr>
              <w:t>产品类别</w:t>
            </w:r>
          </w:p>
        </w:tc>
        <w:tc>
          <w:tcPr>
            <w:tcW w:w="4188" w:type="dxa"/>
            <w:gridSpan w:val="3"/>
            <w:tcBorders>
              <w:left w:val="single" w:sz="4" w:space="0" w:color="000000"/>
              <w:bottom w:val="single" w:sz="4" w:space="0" w:color="000000"/>
              <w:right w:val="single" w:sz="4" w:space="0" w:color="000000"/>
            </w:tcBorders>
            <w:shd w:val="clear" w:color="auto" w:fill="C00000"/>
          </w:tcPr>
          <w:p>
            <w:pPr>
              <w:pStyle w:val="TableParagraph"/>
              <w:spacing w:before="36"/>
              <w:ind w:left="105"/>
              <w:rPr>
                <w:b/>
                <w:sz w:val="14"/>
              </w:rPr>
            </w:pPr>
            <w:r>
              <w:rPr>
                <w:b/>
                <w:color w:val="FFFFFF"/>
                <w:sz w:val="14"/>
              </w:rPr>
              <w:t>BiTE</w:t>
            </w:r>
          </w:p>
        </w:tc>
        <w:tc>
          <w:tcPr>
            <w:tcW w:w="2733" w:type="dxa"/>
            <w:gridSpan w:val="2"/>
            <w:tcBorders>
              <w:left w:val="single" w:sz="4" w:space="0" w:color="000000"/>
              <w:bottom w:val="single" w:sz="4" w:space="0" w:color="000000"/>
              <w:right w:val="nil"/>
            </w:tcBorders>
            <w:shd w:val="clear" w:color="auto" w:fill="C00000"/>
          </w:tcPr>
          <w:p>
            <w:pPr>
              <w:pStyle w:val="TableParagraph"/>
              <w:spacing w:before="36"/>
              <w:ind w:left="104"/>
              <w:rPr>
                <w:b/>
                <w:sz w:val="14"/>
              </w:rPr>
            </w:pPr>
            <w:r>
              <w:rPr>
                <w:b/>
                <w:color w:val="FFFFFF"/>
                <w:sz w:val="14"/>
              </w:rPr>
              <w:t>BsAb</w:t>
            </w:r>
          </w:p>
        </w:tc>
      </w:tr>
      <w:tr>
        <w:trPr>
          <w:trHeight w:val="210" w:hRule="atLeast"/>
        </w:trPr>
        <w:tc>
          <w:tcPr>
            <w:tcW w:w="1052" w:type="dxa"/>
            <w:tcBorders>
              <w:top w:val="single" w:sz="4" w:space="0" w:color="000000"/>
              <w:left w:val="nil"/>
              <w:bottom w:val="single" w:sz="4" w:space="0" w:color="000000"/>
              <w:right w:val="single" w:sz="4" w:space="0" w:color="000000"/>
            </w:tcBorders>
          </w:tcPr>
          <w:p>
            <w:pPr>
              <w:pStyle w:val="TableParagraph"/>
              <w:spacing w:line="187" w:lineRule="exact" w:before="4"/>
              <w:ind w:left="110"/>
              <w:rPr>
                <w:rFonts w:ascii="PMingLiU" w:eastAsia="PMingLiU" w:hint="eastAsia"/>
                <w:sz w:val="14"/>
              </w:rPr>
            </w:pPr>
            <w:r>
              <w:rPr>
                <w:rFonts w:ascii="PMingLiU" w:eastAsia="PMingLiU" w:hint="eastAsia"/>
                <w:sz w:val="14"/>
              </w:rPr>
              <w:t>公司</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before="22"/>
              <w:ind w:left="105"/>
              <w:rPr>
                <w:sz w:val="14"/>
              </w:rPr>
            </w:pPr>
            <w:r>
              <w:rPr>
                <w:sz w:val="14"/>
              </w:rPr>
              <w:t>Pfizer</w:t>
            </w:r>
          </w:p>
        </w:tc>
        <w:tc>
          <w:tcPr>
            <w:tcW w:w="2805" w:type="dxa"/>
            <w:gridSpan w:val="2"/>
            <w:tcBorders>
              <w:top w:val="single" w:sz="4" w:space="0" w:color="000000"/>
              <w:left w:val="single" w:sz="4" w:space="0" w:color="000000"/>
              <w:bottom w:val="single" w:sz="4" w:space="0" w:color="000000"/>
              <w:right w:val="single" w:sz="4" w:space="0" w:color="000000"/>
            </w:tcBorders>
          </w:tcPr>
          <w:p>
            <w:pPr>
              <w:pStyle w:val="TableParagraph"/>
              <w:spacing w:before="22"/>
              <w:ind w:left="104"/>
              <w:rPr>
                <w:sz w:val="14"/>
              </w:rPr>
            </w:pPr>
            <w:r>
              <w:rPr>
                <w:sz w:val="14"/>
              </w:rPr>
              <w:t>Amgen</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before="22"/>
              <w:ind w:left="104"/>
              <w:rPr>
                <w:sz w:val="14"/>
              </w:rPr>
            </w:pPr>
            <w:r>
              <w:rPr>
                <w:sz w:val="14"/>
              </w:rPr>
              <w:t>Regeneron</w:t>
            </w:r>
          </w:p>
        </w:tc>
        <w:tc>
          <w:tcPr>
            <w:tcW w:w="1369" w:type="dxa"/>
            <w:tcBorders>
              <w:top w:val="single" w:sz="4" w:space="0" w:color="000000"/>
              <w:left w:val="single" w:sz="4" w:space="0" w:color="000000"/>
              <w:bottom w:val="single" w:sz="4" w:space="0" w:color="000000"/>
              <w:right w:val="nil"/>
            </w:tcBorders>
          </w:tcPr>
          <w:p>
            <w:pPr>
              <w:pStyle w:val="TableParagraph"/>
              <w:spacing w:before="22"/>
              <w:ind w:left="104"/>
              <w:rPr>
                <w:sz w:val="14"/>
              </w:rPr>
            </w:pPr>
            <w:r>
              <w:rPr>
                <w:sz w:val="14"/>
              </w:rPr>
              <w:t>AbbVie</w:t>
            </w:r>
          </w:p>
        </w:tc>
      </w:tr>
      <w:tr>
        <w:trPr>
          <w:trHeight w:val="470" w:hRule="atLeast"/>
        </w:trPr>
        <w:tc>
          <w:tcPr>
            <w:tcW w:w="1052" w:type="dxa"/>
            <w:tcBorders>
              <w:top w:val="single" w:sz="4" w:space="0" w:color="000000"/>
              <w:left w:val="nil"/>
              <w:bottom w:val="single" w:sz="4" w:space="0" w:color="000000"/>
              <w:right w:val="single" w:sz="4" w:space="0" w:color="000000"/>
            </w:tcBorders>
          </w:tcPr>
          <w:p>
            <w:pPr>
              <w:pStyle w:val="TableParagraph"/>
              <w:spacing w:before="133"/>
              <w:ind w:left="110"/>
              <w:rPr>
                <w:rFonts w:ascii="PMingLiU" w:eastAsia="PMingLiU" w:hint="eastAsia"/>
                <w:sz w:val="14"/>
              </w:rPr>
            </w:pPr>
            <w:r>
              <w:rPr>
                <w:rFonts w:ascii="PMingLiU" w:eastAsia="PMingLiU" w:hint="eastAsia"/>
                <w:sz w:val="14"/>
              </w:rPr>
              <w:t>产品</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35" w:lineRule="auto" w:before="77"/>
              <w:ind w:left="105" w:right="289"/>
              <w:rPr>
                <w:sz w:val="14"/>
              </w:rPr>
            </w:pPr>
            <w:r>
              <w:rPr>
                <w:sz w:val="14"/>
              </w:rPr>
              <w:t>Elranatamab (PF-06863135)</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35" w:lineRule="auto" w:before="77"/>
              <w:ind w:left="104" w:right="211"/>
              <w:rPr>
                <w:sz w:val="14"/>
              </w:rPr>
            </w:pPr>
            <w:r>
              <w:rPr>
                <w:w w:val="95"/>
                <w:sz w:val="14"/>
              </w:rPr>
              <w:t>Pacanalotamab </w:t>
            </w:r>
            <w:r>
              <w:rPr>
                <w:sz w:val="14"/>
              </w:rPr>
              <w:t>(AMG 420)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35" w:lineRule="auto" w:before="77"/>
              <w:ind w:left="104" w:right="113"/>
              <w:rPr>
                <w:sz w:val="14"/>
              </w:rPr>
            </w:pPr>
            <w:r>
              <w:rPr>
                <w:w w:val="95"/>
                <w:sz w:val="14"/>
              </w:rPr>
              <w:t>Pavurutamab </w:t>
            </w:r>
            <w:r>
              <w:rPr>
                <w:sz w:val="14"/>
              </w:rPr>
              <w:t>(AMG 701)</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35" w:lineRule="auto" w:before="77"/>
              <w:ind w:left="104"/>
              <w:rPr>
                <w:sz w:val="14"/>
              </w:rPr>
            </w:pPr>
            <w:r>
              <w:rPr>
                <w:w w:val="95"/>
                <w:sz w:val="14"/>
              </w:rPr>
              <w:t>Linvoseltamab </w:t>
            </w:r>
            <w:r>
              <w:rPr>
                <w:sz w:val="14"/>
              </w:rPr>
              <w:t>(REGN5458)</w:t>
            </w:r>
          </w:p>
        </w:tc>
        <w:tc>
          <w:tcPr>
            <w:tcW w:w="1369" w:type="dxa"/>
            <w:tcBorders>
              <w:top w:val="single" w:sz="4" w:space="0" w:color="000000"/>
              <w:left w:val="single" w:sz="4" w:space="0" w:color="000000"/>
              <w:bottom w:val="single" w:sz="4" w:space="0" w:color="000000"/>
              <w:right w:val="nil"/>
            </w:tcBorders>
          </w:tcPr>
          <w:p>
            <w:pPr>
              <w:pStyle w:val="TableParagraph"/>
              <w:spacing w:before="9"/>
              <w:rPr>
                <w:rFonts w:ascii="Microsoft JhengHei UI"/>
                <w:b/>
                <w:sz w:val="8"/>
              </w:rPr>
            </w:pPr>
          </w:p>
          <w:p>
            <w:pPr>
              <w:pStyle w:val="TableParagraph"/>
              <w:ind w:left="104"/>
              <w:rPr>
                <w:sz w:val="14"/>
              </w:rPr>
            </w:pPr>
            <w:r>
              <w:rPr>
                <w:sz w:val="14"/>
              </w:rPr>
              <w:t>TNB383B</w:t>
            </w:r>
          </w:p>
        </w:tc>
      </w:tr>
      <w:tr>
        <w:trPr>
          <w:trHeight w:val="205" w:hRule="atLeast"/>
        </w:trPr>
        <w:tc>
          <w:tcPr>
            <w:tcW w:w="1052" w:type="dxa"/>
            <w:tcBorders>
              <w:top w:val="single" w:sz="4" w:space="0" w:color="000000"/>
              <w:left w:val="nil"/>
              <w:bottom w:val="single" w:sz="4" w:space="0" w:color="000000"/>
              <w:right w:val="single" w:sz="4" w:space="0" w:color="000000"/>
            </w:tcBorders>
          </w:tcPr>
          <w:p>
            <w:pPr>
              <w:pStyle w:val="TableParagraph"/>
              <w:spacing w:line="182" w:lineRule="exact" w:before="4"/>
              <w:ind w:left="110"/>
              <w:rPr>
                <w:rFonts w:ascii="PMingLiU" w:eastAsia="PMingLiU" w:hint="eastAsia"/>
                <w:sz w:val="14"/>
              </w:rPr>
            </w:pPr>
            <w:r>
              <w:rPr>
                <w:rFonts w:ascii="PMingLiU" w:eastAsia="PMingLiU" w:hint="eastAsia"/>
                <w:sz w:val="14"/>
              </w:rPr>
              <w:t>靶点</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before="22"/>
              <w:ind w:left="105"/>
              <w:rPr>
                <w:sz w:val="14"/>
              </w:rPr>
            </w:pPr>
            <w:r>
              <w:rPr>
                <w:sz w:val="14"/>
              </w:rPr>
              <w:t>BCMA x CD3</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before="22"/>
              <w:ind w:left="104"/>
              <w:rPr>
                <w:sz w:val="14"/>
              </w:rPr>
            </w:pPr>
            <w:r>
              <w:rPr>
                <w:sz w:val="14"/>
              </w:rPr>
              <w:t>BCMA x CD3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before="22"/>
              <w:ind w:left="104"/>
              <w:rPr>
                <w:sz w:val="14"/>
              </w:rPr>
            </w:pPr>
            <w:r>
              <w:rPr>
                <w:sz w:val="14"/>
              </w:rPr>
              <w:t>BCMA x CD3</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before="22"/>
              <w:ind w:left="104"/>
              <w:rPr>
                <w:sz w:val="14"/>
              </w:rPr>
            </w:pPr>
            <w:r>
              <w:rPr>
                <w:sz w:val="14"/>
              </w:rPr>
              <w:t>BCMA x CD3</w:t>
            </w:r>
          </w:p>
        </w:tc>
        <w:tc>
          <w:tcPr>
            <w:tcW w:w="1369" w:type="dxa"/>
            <w:tcBorders>
              <w:top w:val="single" w:sz="4" w:space="0" w:color="000000"/>
              <w:left w:val="single" w:sz="4" w:space="0" w:color="000000"/>
              <w:bottom w:val="single" w:sz="4" w:space="0" w:color="000000"/>
              <w:right w:val="nil"/>
            </w:tcBorders>
          </w:tcPr>
          <w:p>
            <w:pPr>
              <w:pStyle w:val="TableParagraph"/>
              <w:spacing w:before="22"/>
              <w:ind w:left="104"/>
              <w:rPr>
                <w:sz w:val="14"/>
              </w:rPr>
            </w:pPr>
            <w:r>
              <w:rPr>
                <w:sz w:val="14"/>
              </w:rPr>
              <w:t>BCMA x CD3</w:t>
            </w:r>
          </w:p>
        </w:tc>
      </w:tr>
      <w:tr>
        <w:trPr>
          <w:trHeight w:val="210" w:hRule="atLeast"/>
        </w:trPr>
        <w:tc>
          <w:tcPr>
            <w:tcW w:w="1052" w:type="dxa"/>
            <w:tcBorders>
              <w:top w:val="single" w:sz="4" w:space="0" w:color="000000"/>
              <w:left w:val="nil"/>
              <w:bottom w:val="single" w:sz="4" w:space="0" w:color="000000"/>
              <w:right w:val="single" w:sz="4" w:space="0" w:color="000000"/>
            </w:tcBorders>
          </w:tcPr>
          <w:p>
            <w:pPr>
              <w:pStyle w:val="TableParagraph"/>
              <w:spacing w:line="187" w:lineRule="exact" w:before="4"/>
              <w:ind w:left="110"/>
              <w:rPr>
                <w:rFonts w:ascii="PMingLiU" w:eastAsia="PMingLiU" w:hint="eastAsia"/>
                <w:sz w:val="14"/>
              </w:rPr>
            </w:pPr>
            <w:r>
              <w:rPr>
                <w:rFonts w:ascii="PMingLiU" w:eastAsia="PMingLiU" w:hint="eastAsia"/>
                <w:sz w:val="14"/>
              </w:rPr>
              <w:t>研发阶段</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before="4"/>
              <w:ind w:left="105"/>
              <w:rPr>
                <w:rFonts w:ascii="PMingLiU" w:eastAsia="PMingLiU" w:hint="eastAsia"/>
                <w:sz w:val="14"/>
              </w:rPr>
            </w:pPr>
            <w:r>
              <w:rPr>
                <w:sz w:val="14"/>
              </w:rPr>
              <w:t>II </w:t>
            </w:r>
            <w:r>
              <w:rPr>
                <w:rFonts w:ascii="PMingLiU" w:eastAsia="PMingLiU" w:hint="eastAsia"/>
                <w:sz w:val="14"/>
              </w:rPr>
              <w:t>期</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before="4"/>
              <w:ind w:left="104"/>
              <w:rPr>
                <w:sz w:val="14"/>
              </w:rPr>
            </w:pPr>
            <w:r>
              <w:rPr>
                <w:sz w:val="14"/>
              </w:rPr>
              <w:t>Ib </w:t>
            </w:r>
            <w:r>
              <w:rPr>
                <w:rFonts w:ascii="PMingLiU" w:eastAsia="PMingLiU" w:hint="eastAsia"/>
                <w:sz w:val="14"/>
              </w:rPr>
              <w:t>期 </w:t>
            </w:r>
            <w:r>
              <w:rPr>
                <w:sz w:val="14"/>
              </w:rPr>
              <w:t>(</w:t>
            </w:r>
            <w:r>
              <w:rPr>
                <w:rFonts w:ascii="PMingLiU" w:eastAsia="PMingLiU" w:hint="eastAsia"/>
                <w:sz w:val="14"/>
              </w:rPr>
              <w:t>暂停开发</w:t>
            </w:r>
            <w:r>
              <w:rPr>
                <w:sz w:val="14"/>
              </w:rPr>
              <w:t>)</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before="4"/>
              <w:ind w:left="104"/>
              <w:rPr>
                <w:rFonts w:ascii="PMingLiU" w:eastAsia="PMingLiU" w:hint="eastAsia"/>
                <w:sz w:val="14"/>
              </w:rPr>
            </w:pPr>
            <w:r>
              <w:rPr>
                <w:sz w:val="14"/>
              </w:rPr>
              <w:t>I </w:t>
            </w:r>
            <w:r>
              <w:rPr>
                <w:rFonts w:ascii="PMingLiU" w:eastAsia="PMingLiU" w:hint="eastAsia"/>
                <w:sz w:val="14"/>
              </w:rPr>
              <w:t>期</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187" w:lineRule="exact" w:before="4"/>
              <w:ind w:left="104"/>
              <w:rPr>
                <w:rFonts w:ascii="PMingLiU" w:eastAsia="PMingLiU" w:hint="eastAsia"/>
                <w:sz w:val="14"/>
              </w:rPr>
            </w:pPr>
            <w:r>
              <w:rPr>
                <w:sz w:val="14"/>
              </w:rPr>
              <w:t>I/ II </w:t>
            </w:r>
            <w:r>
              <w:rPr>
                <w:rFonts w:ascii="PMingLiU" w:eastAsia="PMingLiU" w:hint="eastAsia"/>
                <w:sz w:val="14"/>
              </w:rPr>
              <w:t>期</w:t>
            </w:r>
          </w:p>
        </w:tc>
        <w:tc>
          <w:tcPr>
            <w:tcW w:w="1369" w:type="dxa"/>
            <w:tcBorders>
              <w:top w:val="single" w:sz="4" w:space="0" w:color="000000"/>
              <w:left w:val="single" w:sz="4" w:space="0" w:color="000000"/>
              <w:bottom w:val="single" w:sz="4" w:space="0" w:color="000000"/>
              <w:right w:val="nil"/>
            </w:tcBorders>
          </w:tcPr>
          <w:p>
            <w:pPr>
              <w:pStyle w:val="TableParagraph"/>
              <w:spacing w:line="187" w:lineRule="exact" w:before="4"/>
              <w:ind w:left="104"/>
              <w:rPr>
                <w:rFonts w:ascii="PMingLiU" w:eastAsia="PMingLiU" w:hint="eastAsia"/>
                <w:sz w:val="14"/>
              </w:rPr>
            </w:pPr>
            <w:r>
              <w:rPr>
                <w:sz w:val="14"/>
              </w:rPr>
              <w:t>I </w:t>
            </w:r>
            <w:r>
              <w:rPr>
                <w:rFonts w:ascii="PMingLiU" w:eastAsia="PMingLiU" w:hint="eastAsia"/>
                <w:sz w:val="14"/>
              </w:rPr>
              <w:t>期</w:t>
            </w:r>
          </w:p>
        </w:tc>
      </w:tr>
      <w:tr>
        <w:trPr>
          <w:trHeight w:val="321" w:hRule="atLeast"/>
        </w:trPr>
        <w:tc>
          <w:tcPr>
            <w:tcW w:w="1052" w:type="dxa"/>
            <w:tcBorders>
              <w:top w:val="single" w:sz="4" w:space="0" w:color="000000"/>
              <w:left w:val="nil"/>
              <w:bottom w:val="single" w:sz="4" w:space="0" w:color="000000"/>
              <w:right w:val="single" w:sz="4" w:space="0" w:color="000000"/>
            </w:tcBorders>
          </w:tcPr>
          <w:p>
            <w:pPr>
              <w:pStyle w:val="TableParagraph"/>
              <w:spacing w:before="61"/>
              <w:ind w:left="110"/>
              <w:rPr>
                <w:rFonts w:ascii="PMingLiU" w:eastAsia="PMingLiU" w:hint="eastAsia"/>
                <w:sz w:val="14"/>
              </w:rPr>
            </w:pPr>
            <w:r>
              <w:rPr>
                <w:rFonts w:ascii="PMingLiU" w:eastAsia="PMingLiU" w:hint="eastAsia"/>
                <w:sz w:val="14"/>
              </w:rPr>
              <w:t>临床研究</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159" w:lineRule="exact"/>
              <w:ind w:left="105"/>
              <w:rPr>
                <w:sz w:val="14"/>
              </w:rPr>
            </w:pPr>
            <w:r>
              <w:rPr>
                <w:sz w:val="14"/>
              </w:rPr>
              <w:t>MagnetisMM-1</w:t>
            </w:r>
          </w:p>
          <w:p>
            <w:pPr>
              <w:pStyle w:val="TableParagraph"/>
              <w:spacing w:line="140" w:lineRule="exact" w:before="2"/>
              <w:ind w:left="105"/>
              <w:rPr>
                <w:sz w:val="14"/>
              </w:rPr>
            </w:pPr>
            <w:r>
              <w:rPr>
                <w:sz w:val="14"/>
              </w:rPr>
              <w:t>(NCT03269136)</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before="79"/>
              <w:ind w:left="104"/>
              <w:rPr>
                <w:sz w:val="14"/>
              </w:rPr>
            </w:pPr>
            <w:r>
              <w:rPr>
                <w:sz w:val="14"/>
              </w:rPr>
              <w:t>NCT02514239</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before="79"/>
              <w:ind w:left="104"/>
              <w:rPr>
                <w:sz w:val="14"/>
              </w:rPr>
            </w:pPr>
            <w:r>
              <w:rPr>
                <w:sz w:val="14"/>
              </w:rPr>
              <w:t>NCT03287908</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before="79"/>
              <w:ind w:left="104"/>
              <w:rPr>
                <w:sz w:val="14"/>
              </w:rPr>
            </w:pPr>
            <w:r>
              <w:rPr>
                <w:sz w:val="14"/>
              </w:rPr>
              <w:t>NCT03761108</w:t>
            </w:r>
          </w:p>
        </w:tc>
        <w:tc>
          <w:tcPr>
            <w:tcW w:w="1369" w:type="dxa"/>
            <w:tcBorders>
              <w:top w:val="single" w:sz="4" w:space="0" w:color="000000"/>
              <w:left w:val="single" w:sz="4" w:space="0" w:color="000000"/>
              <w:bottom w:val="single" w:sz="4" w:space="0" w:color="000000"/>
              <w:right w:val="nil"/>
            </w:tcBorders>
          </w:tcPr>
          <w:p>
            <w:pPr>
              <w:pStyle w:val="TableParagraph"/>
              <w:spacing w:before="79"/>
              <w:ind w:left="104"/>
              <w:rPr>
                <w:sz w:val="14"/>
              </w:rPr>
            </w:pPr>
            <w:r>
              <w:rPr>
                <w:sz w:val="14"/>
              </w:rPr>
              <w:t>NCT03486067</w:t>
            </w:r>
          </w:p>
        </w:tc>
      </w:tr>
      <w:tr>
        <w:trPr>
          <w:trHeight w:val="215" w:hRule="atLeast"/>
        </w:trPr>
        <w:tc>
          <w:tcPr>
            <w:tcW w:w="1052" w:type="dxa"/>
            <w:tcBorders>
              <w:top w:val="single" w:sz="4" w:space="0" w:color="000000"/>
              <w:left w:val="nil"/>
              <w:bottom w:val="single" w:sz="4" w:space="0" w:color="000000"/>
              <w:right w:val="single" w:sz="4" w:space="0" w:color="000000"/>
            </w:tcBorders>
          </w:tcPr>
          <w:p>
            <w:pPr>
              <w:pStyle w:val="TableParagraph"/>
              <w:spacing w:line="192" w:lineRule="exact" w:before="4"/>
              <w:ind w:left="110"/>
              <w:rPr>
                <w:rFonts w:ascii="PMingLiU" w:eastAsia="PMingLiU" w:hint="eastAsia"/>
                <w:sz w:val="14"/>
              </w:rPr>
            </w:pPr>
            <w:r>
              <w:rPr>
                <w:rFonts w:ascii="PMingLiU" w:eastAsia="PMingLiU" w:hint="eastAsia"/>
                <w:sz w:val="14"/>
              </w:rPr>
              <w:t>入组人数</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192" w:lineRule="exact" w:before="4"/>
              <w:ind w:left="105"/>
              <w:rPr>
                <w:sz w:val="14"/>
              </w:rPr>
            </w:pPr>
            <w:r>
              <w:rPr>
                <w:rFonts w:ascii="PMingLiU" w:eastAsia="PMingLiU" w:hint="eastAsia"/>
                <w:sz w:val="14"/>
              </w:rPr>
              <w:t>队列</w:t>
            </w:r>
            <w:r>
              <w:rPr>
                <w:sz w:val="14"/>
              </w:rPr>
              <w:t>A: 94</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before="27"/>
              <w:ind w:left="104"/>
              <w:rPr>
                <w:sz w:val="14"/>
              </w:rPr>
            </w:pPr>
            <w:r>
              <w:rPr>
                <w:sz w:val="14"/>
              </w:rPr>
              <w:t>42</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before="27"/>
              <w:ind w:left="104"/>
              <w:rPr>
                <w:sz w:val="14"/>
              </w:rPr>
            </w:pPr>
            <w:r>
              <w:rPr>
                <w:sz w:val="14"/>
              </w:rPr>
              <w:t>75</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before="27"/>
              <w:ind w:left="104"/>
              <w:rPr>
                <w:sz w:val="14"/>
              </w:rPr>
            </w:pPr>
            <w:r>
              <w:rPr>
                <w:sz w:val="14"/>
              </w:rPr>
              <w:t>68</w:t>
            </w:r>
          </w:p>
        </w:tc>
        <w:tc>
          <w:tcPr>
            <w:tcW w:w="1369" w:type="dxa"/>
            <w:tcBorders>
              <w:top w:val="single" w:sz="4" w:space="0" w:color="000000"/>
              <w:left w:val="single" w:sz="4" w:space="0" w:color="000000"/>
              <w:bottom w:val="single" w:sz="4" w:space="0" w:color="000000"/>
              <w:right w:val="nil"/>
            </w:tcBorders>
          </w:tcPr>
          <w:p>
            <w:pPr>
              <w:pStyle w:val="TableParagraph"/>
              <w:spacing w:before="27"/>
              <w:ind w:left="104"/>
              <w:rPr>
                <w:sz w:val="14"/>
              </w:rPr>
            </w:pPr>
            <w:r>
              <w:rPr>
                <w:sz w:val="14"/>
              </w:rPr>
              <w:t>103</w:t>
            </w:r>
          </w:p>
        </w:tc>
      </w:tr>
      <w:tr>
        <w:trPr>
          <w:trHeight w:val="1075" w:hRule="atLeast"/>
        </w:trPr>
        <w:tc>
          <w:tcPr>
            <w:tcW w:w="1052" w:type="dxa"/>
            <w:tcBorders>
              <w:top w:val="single" w:sz="4" w:space="0" w:color="000000"/>
              <w:left w:val="nil"/>
              <w:bottom w:val="single" w:sz="4" w:space="0" w:color="000000"/>
              <w:right w:val="single" w:sz="4" w:space="0" w:color="000000"/>
            </w:tcBorders>
          </w:tcPr>
          <w:p>
            <w:pPr>
              <w:pStyle w:val="TableParagraph"/>
              <w:spacing w:before="9"/>
              <w:rPr>
                <w:rFonts w:ascii="Microsoft JhengHei UI"/>
                <w:b/>
                <w:sz w:val="24"/>
              </w:rPr>
            </w:pPr>
          </w:p>
          <w:p>
            <w:pPr>
              <w:pStyle w:val="TableParagraph"/>
              <w:ind w:left="110"/>
              <w:rPr>
                <w:rFonts w:ascii="PMingLiU" w:eastAsia="PMingLiU" w:hint="eastAsia"/>
                <w:sz w:val="14"/>
              </w:rPr>
            </w:pPr>
            <w:r>
              <w:rPr>
                <w:rFonts w:ascii="PMingLiU" w:eastAsia="PMingLiU" w:hint="eastAsia"/>
                <w:sz w:val="14"/>
              </w:rPr>
              <w:t>有效性</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rPr>
                <w:rFonts w:ascii="Microsoft JhengHei UI"/>
                <w:b/>
                <w:sz w:val="12"/>
              </w:rPr>
            </w:pPr>
          </w:p>
          <w:p>
            <w:pPr>
              <w:pStyle w:val="TableParagraph"/>
              <w:ind w:left="105"/>
              <w:rPr>
                <w:sz w:val="14"/>
              </w:rPr>
            </w:pPr>
            <w:r>
              <w:rPr>
                <w:sz w:val="14"/>
              </w:rPr>
              <w:t>ORR: 70%</w:t>
            </w:r>
          </w:p>
          <w:p>
            <w:pPr>
              <w:pStyle w:val="TableParagraph"/>
              <w:spacing w:before="3"/>
              <w:ind w:left="105" w:right="300"/>
              <w:rPr>
                <w:sz w:val="14"/>
              </w:rPr>
            </w:pPr>
            <w:r>
              <w:rPr>
                <w:sz w:val="14"/>
              </w:rPr>
              <w:t>≥CR: 30%; ORR at RP2D: 83%</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before="11"/>
              <w:rPr>
                <w:rFonts w:ascii="Microsoft JhengHei UI"/>
                <w:b/>
                <w:sz w:val="16"/>
              </w:rPr>
            </w:pPr>
          </w:p>
          <w:p>
            <w:pPr>
              <w:pStyle w:val="TableParagraph"/>
              <w:spacing w:line="160" w:lineRule="exact"/>
              <w:ind w:left="104"/>
              <w:rPr>
                <w:sz w:val="14"/>
              </w:rPr>
            </w:pPr>
            <w:r>
              <w:rPr>
                <w:sz w:val="14"/>
              </w:rPr>
              <w:t>ORR: 70%,</w:t>
            </w:r>
          </w:p>
          <w:p>
            <w:pPr>
              <w:pStyle w:val="TableParagraph"/>
              <w:spacing w:line="242" w:lineRule="auto"/>
              <w:ind w:left="104" w:right="211"/>
              <w:rPr>
                <w:sz w:val="14"/>
              </w:rPr>
            </w:pPr>
            <w:r>
              <w:rPr>
                <w:sz w:val="14"/>
              </w:rPr>
              <w:t>sCR: 11%.; mPFS: 23.5m</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before="6"/>
              <w:rPr>
                <w:rFonts w:ascii="Microsoft JhengHei UI"/>
                <w:b/>
                <w:sz w:val="21"/>
              </w:rPr>
            </w:pPr>
          </w:p>
          <w:p>
            <w:pPr>
              <w:pStyle w:val="TableParagraph"/>
              <w:spacing w:line="235" w:lineRule="auto"/>
              <w:ind w:left="104" w:right="522"/>
              <w:rPr>
                <w:sz w:val="14"/>
              </w:rPr>
            </w:pPr>
            <w:r>
              <w:rPr>
                <w:sz w:val="14"/>
              </w:rPr>
              <w:t>ORR: 36%; DOR: 3.8m</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before="17"/>
              <w:rPr>
                <w:rFonts w:ascii="Microsoft JhengHei UI"/>
                <w:b/>
                <w:sz w:val="10"/>
              </w:rPr>
            </w:pPr>
          </w:p>
          <w:p>
            <w:pPr>
              <w:pStyle w:val="TableParagraph"/>
              <w:spacing w:line="160" w:lineRule="exact"/>
              <w:ind w:left="104"/>
              <w:rPr>
                <w:sz w:val="14"/>
              </w:rPr>
            </w:pPr>
            <w:r>
              <w:rPr>
                <w:sz w:val="14"/>
              </w:rPr>
              <w:t>ORR:</w:t>
            </w:r>
            <w:r>
              <w:rPr>
                <w:spacing w:val="-8"/>
                <w:sz w:val="14"/>
              </w:rPr>
              <w:t> </w:t>
            </w:r>
            <w:r>
              <w:rPr>
                <w:sz w:val="14"/>
              </w:rPr>
              <w:t>73.3%;</w:t>
            </w:r>
          </w:p>
          <w:p>
            <w:pPr>
              <w:pStyle w:val="TableParagraph"/>
              <w:spacing w:line="160" w:lineRule="exact"/>
              <w:ind w:left="104"/>
              <w:rPr>
                <w:sz w:val="14"/>
              </w:rPr>
            </w:pPr>
            <w:r>
              <w:rPr>
                <w:sz w:val="14"/>
              </w:rPr>
              <w:t>≥CR:</w:t>
            </w:r>
            <w:r>
              <w:rPr>
                <w:spacing w:val="-10"/>
                <w:sz w:val="14"/>
              </w:rPr>
              <w:t> </w:t>
            </w:r>
            <w:r>
              <w:rPr>
                <w:sz w:val="14"/>
              </w:rPr>
              <w:t>19.1%;</w:t>
            </w:r>
          </w:p>
          <w:p>
            <w:pPr>
              <w:pStyle w:val="TableParagraph"/>
              <w:spacing w:line="160" w:lineRule="exact" w:before="2"/>
              <w:ind w:left="104"/>
              <w:rPr>
                <w:sz w:val="14"/>
              </w:rPr>
            </w:pPr>
            <w:r>
              <w:rPr>
                <w:sz w:val="14"/>
              </w:rPr>
              <w:t>≥VGPR: 36.8%;</w:t>
            </w:r>
          </w:p>
          <w:p>
            <w:pPr>
              <w:pStyle w:val="TableParagraph"/>
              <w:spacing w:line="195" w:lineRule="exact"/>
              <w:ind w:left="104"/>
              <w:rPr>
                <w:rFonts w:ascii="PMingLiU" w:eastAsia="PMingLiU" w:hint="eastAsia"/>
                <w:sz w:val="14"/>
              </w:rPr>
            </w:pPr>
            <w:r>
              <w:rPr>
                <w:sz w:val="14"/>
              </w:rPr>
              <w:t>mDOR: </w:t>
            </w:r>
            <w:r>
              <w:rPr>
                <w:rFonts w:ascii="PMingLiU" w:eastAsia="PMingLiU" w:hint="eastAsia"/>
                <w:sz w:val="14"/>
              </w:rPr>
              <w:t>未达到</w:t>
            </w:r>
          </w:p>
        </w:tc>
        <w:tc>
          <w:tcPr>
            <w:tcW w:w="1369" w:type="dxa"/>
            <w:tcBorders>
              <w:top w:val="single" w:sz="4" w:space="0" w:color="000000"/>
              <w:left w:val="single" w:sz="4" w:space="0" w:color="000000"/>
              <w:bottom w:val="single" w:sz="4" w:space="0" w:color="000000"/>
              <w:right w:val="nil"/>
            </w:tcBorders>
          </w:tcPr>
          <w:p>
            <w:pPr>
              <w:pStyle w:val="TableParagraph"/>
              <w:spacing w:before="14"/>
              <w:rPr>
                <w:rFonts w:ascii="Microsoft JhengHei UI"/>
                <w:b/>
                <w:sz w:val="18"/>
              </w:rPr>
            </w:pPr>
          </w:p>
          <w:p>
            <w:pPr>
              <w:pStyle w:val="TableParagraph"/>
              <w:spacing w:before="1"/>
              <w:ind w:left="104"/>
              <w:rPr>
                <w:sz w:val="14"/>
              </w:rPr>
            </w:pPr>
            <w:r>
              <w:rPr>
                <w:rFonts w:ascii="PMingLiU" w:eastAsia="PMingLiU" w:hint="eastAsia"/>
                <w:sz w:val="14"/>
              </w:rPr>
              <w:t>最佳</w:t>
            </w:r>
            <w:r>
              <w:rPr>
                <w:sz w:val="14"/>
              </w:rPr>
              <w:t>ORR: 79%;</w:t>
            </w:r>
          </w:p>
          <w:p>
            <w:pPr>
              <w:pStyle w:val="TableParagraph"/>
              <w:spacing w:before="6"/>
              <w:ind w:left="104"/>
              <w:rPr>
                <w:sz w:val="14"/>
              </w:rPr>
            </w:pPr>
            <w:r>
              <w:rPr>
                <w:rFonts w:ascii="PMingLiU" w:eastAsia="PMingLiU" w:hint="eastAsia"/>
                <w:sz w:val="14"/>
              </w:rPr>
              <w:t>最佳 </w:t>
            </w:r>
            <w:r>
              <w:rPr>
                <w:sz w:val="14"/>
              </w:rPr>
              <w:t>CR: 29%</w:t>
            </w:r>
          </w:p>
        </w:tc>
      </w:tr>
      <w:tr>
        <w:trPr>
          <w:trHeight w:val="805" w:hRule="atLeast"/>
        </w:trPr>
        <w:tc>
          <w:tcPr>
            <w:tcW w:w="1052" w:type="dxa"/>
            <w:tcBorders>
              <w:top w:val="single" w:sz="4" w:space="0" w:color="000000"/>
              <w:left w:val="nil"/>
              <w:right w:val="single" w:sz="4" w:space="0" w:color="000000"/>
            </w:tcBorders>
          </w:tcPr>
          <w:p>
            <w:pPr>
              <w:pStyle w:val="TableParagraph"/>
              <w:spacing w:before="16"/>
              <w:rPr>
                <w:rFonts w:ascii="Microsoft JhengHei UI"/>
                <w:b/>
                <w:sz w:val="16"/>
              </w:rPr>
            </w:pPr>
          </w:p>
          <w:p>
            <w:pPr>
              <w:pStyle w:val="TableParagraph"/>
              <w:ind w:left="110"/>
              <w:rPr>
                <w:rFonts w:ascii="PMingLiU" w:eastAsia="PMingLiU" w:hint="eastAsia"/>
                <w:sz w:val="14"/>
              </w:rPr>
            </w:pPr>
            <w:r>
              <w:rPr>
                <w:rFonts w:ascii="PMingLiU" w:eastAsia="PMingLiU" w:hint="eastAsia"/>
                <w:sz w:val="14"/>
              </w:rPr>
              <w:t>安全性</w:t>
            </w:r>
          </w:p>
        </w:tc>
        <w:tc>
          <w:tcPr>
            <w:tcW w:w="1383" w:type="dxa"/>
            <w:tcBorders>
              <w:top w:val="single" w:sz="4" w:space="0" w:color="000000"/>
              <w:left w:val="single" w:sz="4" w:space="0" w:color="000000"/>
              <w:right w:val="single" w:sz="4" w:space="0" w:color="000000"/>
            </w:tcBorders>
          </w:tcPr>
          <w:p>
            <w:pPr>
              <w:pStyle w:val="TableParagraph"/>
              <w:spacing w:before="11"/>
              <w:rPr>
                <w:rFonts w:ascii="Microsoft JhengHei UI"/>
                <w:b/>
                <w:sz w:val="13"/>
              </w:rPr>
            </w:pPr>
          </w:p>
          <w:p>
            <w:pPr>
              <w:pStyle w:val="TableParagraph"/>
              <w:spacing w:line="160" w:lineRule="exact"/>
              <w:ind w:left="105"/>
              <w:rPr>
                <w:sz w:val="14"/>
              </w:rPr>
            </w:pPr>
            <w:r>
              <w:rPr>
                <w:sz w:val="14"/>
              </w:rPr>
              <w:t>CRS: 83%;</w:t>
            </w:r>
          </w:p>
          <w:p>
            <w:pPr>
              <w:pStyle w:val="TableParagraph"/>
              <w:spacing w:line="160" w:lineRule="exact"/>
              <w:ind w:left="105"/>
              <w:rPr>
                <w:sz w:val="14"/>
              </w:rPr>
            </w:pPr>
            <w:r>
              <w:rPr>
                <w:sz w:val="14"/>
              </w:rPr>
              <w:t>≥G3 CRS: 0%</w:t>
            </w:r>
          </w:p>
        </w:tc>
        <w:tc>
          <w:tcPr>
            <w:tcW w:w="1441" w:type="dxa"/>
            <w:tcBorders>
              <w:top w:val="single" w:sz="4" w:space="0" w:color="000000"/>
              <w:left w:val="single" w:sz="4" w:space="0" w:color="000000"/>
              <w:right w:val="single" w:sz="4" w:space="0" w:color="000000"/>
            </w:tcBorders>
          </w:tcPr>
          <w:p>
            <w:pPr>
              <w:pStyle w:val="TableParagraph"/>
              <w:spacing w:line="160" w:lineRule="exact" w:before="60"/>
              <w:ind w:left="104"/>
              <w:rPr>
                <w:sz w:val="14"/>
              </w:rPr>
            </w:pPr>
            <w:r>
              <w:rPr>
                <w:sz w:val="14"/>
              </w:rPr>
              <w:t>CRS: 38%;</w:t>
            </w:r>
          </w:p>
          <w:p>
            <w:pPr>
              <w:pStyle w:val="TableParagraph"/>
              <w:spacing w:line="252" w:lineRule="auto"/>
              <w:ind w:left="104" w:right="211"/>
              <w:rPr>
                <w:sz w:val="14"/>
              </w:rPr>
            </w:pPr>
            <w:r>
              <w:rPr>
                <w:sz w:val="14"/>
              </w:rPr>
              <w:t>≥G3 CRS: 2%</w:t>
            </w:r>
            <w:r>
              <w:rPr>
                <w:rFonts w:ascii="PMingLiU" w:hAnsi="PMingLiU" w:eastAsia="PMingLiU" w:hint="eastAsia"/>
                <w:sz w:val="14"/>
              </w:rPr>
              <w:t>； </w:t>
            </w:r>
            <w:r>
              <w:rPr>
                <w:sz w:val="14"/>
              </w:rPr>
              <w:t>ICANS: 7%;</w:t>
            </w:r>
          </w:p>
          <w:p>
            <w:pPr>
              <w:pStyle w:val="TableParagraph"/>
              <w:spacing w:line="150" w:lineRule="exact"/>
              <w:ind w:left="104"/>
              <w:rPr>
                <w:sz w:val="14"/>
              </w:rPr>
            </w:pPr>
            <w:r>
              <w:rPr>
                <w:sz w:val="14"/>
              </w:rPr>
              <w:t>≥G3 ICANS: 7%</w:t>
            </w:r>
          </w:p>
        </w:tc>
        <w:tc>
          <w:tcPr>
            <w:tcW w:w="1364" w:type="dxa"/>
            <w:tcBorders>
              <w:top w:val="single" w:sz="4" w:space="0" w:color="000000"/>
              <w:left w:val="single" w:sz="4" w:space="0" w:color="000000"/>
              <w:right w:val="single" w:sz="4" w:space="0" w:color="000000"/>
            </w:tcBorders>
          </w:tcPr>
          <w:p>
            <w:pPr>
              <w:pStyle w:val="TableParagraph"/>
              <w:spacing w:line="160" w:lineRule="exact" w:before="60"/>
              <w:ind w:left="104"/>
              <w:rPr>
                <w:sz w:val="14"/>
              </w:rPr>
            </w:pPr>
            <w:r>
              <w:rPr>
                <w:sz w:val="14"/>
              </w:rPr>
              <w:t>CRS: 61%;</w:t>
            </w:r>
          </w:p>
          <w:p>
            <w:pPr>
              <w:pStyle w:val="TableParagraph"/>
              <w:spacing w:line="252" w:lineRule="auto"/>
              <w:ind w:left="104"/>
              <w:rPr>
                <w:sz w:val="14"/>
              </w:rPr>
            </w:pPr>
            <w:r>
              <w:rPr>
                <w:sz w:val="14"/>
              </w:rPr>
              <w:t>≥G3 CRS: 7%</w:t>
            </w:r>
            <w:r>
              <w:rPr>
                <w:rFonts w:ascii="PMingLiU" w:hAnsi="PMingLiU" w:eastAsia="PMingLiU" w:hint="eastAsia"/>
                <w:sz w:val="14"/>
              </w:rPr>
              <w:t>； </w:t>
            </w:r>
            <w:r>
              <w:rPr>
                <w:sz w:val="14"/>
              </w:rPr>
              <w:t>ICANS: 8%;</w:t>
            </w:r>
          </w:p>
          <w:p>
            <w:pPr>
              <w:pStyle w:val="TableParagraph"/>
              <w:spacing w:line="150" w:lineRule="exact"/>
              <w:ind w:left="104"/>
              <w:rPr>
                <w:sz w:val="14"/>
              </w:rPr>
            </w:pPr>
            <w:r>
              <w:rPr>
                <w:sz w:val="14"/>
              </w:rPr>
              <w:t>≥G3 ICANS: 0%</w:t>
            </w:r>
          </w:p>
        </w:tc>
        <w:tc>
          <w:tcPr>
            <w:tcW w:w="1364" w:type="dxa"/>
            <w:tcBorders>
              <w:top w:val="single" w:sz="4" w:space="0" w:color="000000"/>
              <w:left w:val="single" w:sz="4" w:space="0" w:color="000000"/>
              <w:right w:val="single" w:sz="4" w:space="0" w:color="000000"/>
            </w:tcBorders>
          </w:tcPr>
          <w:p>
            <w:pPr>
              <w:pStyle w:val="TableParagraph"/>
              <w:spacing w:before="6"/>
              <w:rPr>
                <w:rFonts w:ascii="Microsoft JhengHei UI"/>
                <w:b/>
                <w:sz w:val="12"/>
              </w:rPr>
            </w:pPr>
          </w:p>
          <w:p>
            <w:pPr>
              <w:pStyle w:val="TableParagraph"/>
              <w:ind w:left="104"/>
              <w:rPr>
                <w:rFonts w:ascii="PMingLiU" w:eastAsia="PMingLiU" w:hint="eastAsia"/>
                <w:sz w:val="14"/>
              </w:rPr>
            </w:pPr>
            <w:r>
              <w:rPr>
                <w:sz w:val="14"/>
              </w:rPr>
              <w:t>CRS:</w:t>
            </w:r>
            <w:r>
              <w:rPr>
                <w:spacing w:val="-7"/>
                <w:sz w:val="14"/>
              </w:rPr>
              <w:t> </w:t>
            </w:r>
            <w:r>
              <w:rPr>
                <w:sz w:val="14"/>
              </w:rPr>
              <w:t>38.2%</w:t>
            </w:r>
            <w:r>
              <w:rPr>
                <w:rFonts w:ascii="PMingLiU" w:eastAsia="PMingLiU" w:hint="eastAsia"/>
                <w:sz w:val="14"/>
              </w:rPr>
              <w:t>；</w:t>
            </w:r>
          </w:p>
          <w:p>
            <w:pPr>
              <w:pStyle w:val="TableParagraph"/>
              <w:spacing w:before="10"/>
              <w:ind w:left="104"/>
              <w:rPr>
                <w:sz w:val="14"/>
              </w:rPr>
            </w:pPr>
            <w:r>
              <w:rPr>
                <w:sz w:val="14"/>
              </w:rPr>
              <w:t>≥G3 CRS:</w:t>
            </w:r>
            <w:r>
              <w:rPr>
                <w:spacing w:val="-10"/>
                <w:sz w:val="14"/>
              </w:rPr>
              <w:t> </w:t>
            </w:r>
            <w:r>
              <w:rPr>
                <w:sz w:val="14"/>
              </w:rPr>
              <w:t>0%</w:t>
            </w:r>
          </w:p>
        </w:tc>
        <w:tc>
          <w:tcPr>
            <w:tcW w:w="1369" w:type="dxa"/>
            <w:tcBorders>
              <w:top w:val="single" w:sz="4" w:space="0" w:color="000000"/>
              <w:left w:val="single" w:sz="4" w:space="0" w:color="000000"/>
              <w:right w:val="nil"/>
            </w:tcBorders>
          </w:tcPr>
          <w:p>
            <w:pPr>
              <w:pStyle w:val="TableParagraph"/>
              <w:spacing w:before="61"/>
              <w:ind w:left="104"/>
              <w:rPr>
                <w:sz w:val="14"/>
              </w:rPr>
            </w:pPr>
            <w:r>
              <w:rPr>
                <w:rFonts w:ascii="PMingLiU" w:eastAsia="PMingLiU" w:hint="eastAsia"/>
                <w:sz w:val="14"/>
              </w:rPr>
              <w:t>全部</w:t>
            </w:r>
            <w:r>
              <w:rPr>
                <w:sz w:val="14"/>
              </w:rPr>
              <w:t>TRAE: 77%</w:t>
            </w:r>
          </w:p>
          <w:p>
            <w:pPr>
              <w:pStyle w:val="TableParagraph"/>
              <w:spacing w:before="5"/>
              <w:ind w:left="104"/>
              <w:rPr>
                <w:sz w:val="14"/>
              </w:rPr>
            </w:pPr>
            <w:r>
              <w:rPr>
                <w:sz w:val="14"/>
              </w:rPr>
              <w:t>(≥G3 :</w:t>
            </w:r>
            <w:r>
              <w:rPr>
                <w:spacing w:val="-5"/>
                <w:sz w:val="14"/>
              </w:rPr>
              <w:t> </w:t>
            </w:r>
            <w:r>
              <w:rPr>
                <w:sz w:val="14"/>
              </w:rPr>
              <w:t>32%,</w:t>
            </w:r>
          </w:p>
          <w:p>
            <w:pPr>
              <w:pStyle w:val="TableParagraph"/>
              <w:spacing w:line="160" w:lineRule="exact" w:before="2"/>
              <w:ind w:left="104"/>
              <w:rPr>
                <w:sz w:val="14"/>
              </w:rPr>
            </w:pPr>
            <w:r>
              <w:rPr>
                <w:sz w:val="14"/>
              </w:rPr>
              <w:t>SAE:</w:t>
            </w:r>
            <w:r>
              <w:rPr>
                <w:spacing w:val="-7"/>
                <w:sz w:val="14"/>
              </w:rPr>
              <w:t> </w:t>
            </w:r>
            <w:r>
              <w:rPr>
                <w:sz w:val="14"/>
              </w:rPr>
              <w:t>22%);</w:t>
            </w:r>
          </w:p>
          <w:p>
            <w:pPr>
              <w:pStyle w:val="TableParagraph"/>
              <w:spacing w:line="160" w:lineRule="exact"/>
              <w:ind w:left="104"/>
              <w:rPr>
                <w:sz w:val="14"/>
              </w:rPr>
            </w:pPr>
            <w:r>
              <w:rPr>
                <w:sz w:val="14"/>
              </w:rPr>
              <w:t>CRS: 52%</w:t>
            </w:r>
          </w:p>
        </w:tc>
      </w:tr>
    </w:tbl>
    <w:p>
      <w:pPr>
        <w:spacing w:before="17"/>
        <w:ind w:left="210" w:right="0" w:firstLine="0"/>
        <w:jc w:val="both"/>
        <w:rPr>
          <w:sz w:val="16"/>
        </w:rPr>
      </w:pPr>
      <w:r>
        <w:rPr>
          <w:sz w:val="16"/>
        </w:rPr>
        <w:t>资料来源</w:t>
      </w:r>
      <w:r>
        <w:rPr>
          <w:rFonts w:ascii="Arial" w:eastAsia="Arial"/>
          <w:sz w:val="16"/>
        </w:rPr>
        <w:t>: Pubmed</w:t>
      </w:r>
      <w:r>
        <w:rPr>
          <w:sz w:val="16"/>
        </w:rPr>
        <w:t>，</w:t>
      </w:r>
      <w:r>
        <w:rPr>
          <w:rFonts w:ascii="Arial" w:eastAsia="Arial"/>
          <w:sz w:val="16"/>
        </w:rPr>
        <w:t>ASH 2021, </w:t>
      </w:r>
      <w:r>
        <w:rPr>
          <w:sz w:val="16"/>
        </w:rPr>
        <w:t>公司官网，招银国际证券</w:t>
      </w:r>
    </w:p>
    <w:p>
      <w:pPr>
        <w:pStyle w:val="BodyText"/>
        <w:spacing w:before="10"/>
        <w:ind w:left="0"/>
        <w:rPr>
          <w:sz w:val="17"/>
        </w:rPr>
      </w:pPr>
    </w:p>
    <w:p>
      <w:pPr>
        <w:pStyle w:val="Heading3"/>
        <w:spacing w:before="45"/>
        <w:jc w:val="left"/>
      </w:pPr>
      <w:r>
        <w:rPr>
          <w:rFonts w:ascii="Arial" w:eastAsia="Arial"/>
        </w:rPr>
        <w:t>CAR-T </w:t>
      </w:r>
      <w:r>
        <w:rPr/>
        <w:t>疗效优势带来更高定价，</w:t>
      </w:r>
      <w:r>
        <w:rPr>
          <w:rFonts w:ascii="Arial" w:eastAsia="Arial"/>
        </w:rPr>
        <w:t>ICER </w:t>
      </w:r>
      <w:r>
        <w:rPr/>
        <w:t>评价 </w:t>
      </w:r>
      <w:r>
        <w:rPr>
          <w:rFonts w:ascii="Arial" w:eastAsia="Arial"/>
        </w:rPr>
        <w:t>Carvykti </w:t>
      </w:r>
      <w:r>
        <w:rPr/>
        <w:t>更具经济价值</w:t>
      </w:r>
    </w:p>
    <w:p>
      <w:pPr>
        <w:pStyle w:val="BodyText"/>
        <w:spacing w:line="288" w:lineRule="auto" w:before="154"/>
        <w:ind w:right="2541"/>
      </w:pPr>
      <w:r>
        <w:rPr>
          <w:rFonts w:ascii="Arial" w:eastAsia="Arial"/>
        </w:rPr>
        <w:t>Abecma</w:t>
      </w:r>
      <w:r>
        <w:rPr/>
        <w:t>、</w:t>
      </w:r>
      <w:r>
        <w:rPr>
          <w:rFonts w:ascii="Arial" w:eastAsia="Arial"/>
        </w:rPr>
        <w:t>Carvykti </w:t>
      </w:r>
      <w:r>
        <w:rPr/>
        <w:t>及 </w:t>
      </w:r>
      <w:r>
        <w:rPr>
          <w:rFonts w:ascii="Arial" w:eastAsia="Arial"/>
        </w:rPr>
        <w:t>Blenrep </w:t>
      </w:r>
      <w:r>
        <w:rPr/>
        <w:t>目前已经获批用于治疗至少接受过四种疗法的 </w:t>
      </w:r>
      <w:r>
        <w:rPr>
          <w:rFonts w:ascii="Arial" w:eastAsia="Arial"/>
        </w:rPr>
        <w:t>r/r MM</w:t>
      </w:r>
      <w:r>
        <w:rPr/>
        <w:t>。</w:t>
      </w:r>
      <w:r>
        <w:rPr>
          <w:rFonts w:ascii="Arial" w:eastAsia="Arial"/>
        </w:rPr>
        <w:t>Teclistamab </w:t>
      </w:r>
      <w:r>
        <w:rPr/>
        <w:t>目前尚无销售价格信息。定价方面，</w:t>
      </w:r>
      <w:r>
        <w:rPr>
          <w:rFonts w:ascii="Arial" w:eastAsia="Arial"/>
        </w:rPr>
        <w:t>Abecma </w:t>
      </w:r>
      <w:r>
        <w:rPr/>
        <w:t>价格为 </w:t>
      </w:r>
      <w:r>
        <w:rPr>
          <w:rFonts w:ascii="Arial" w:eastAsia="Arial"/>
        </w:rPr>
        <w:t>41.9 </w:t>
      </w:r>
      <w:r>
        <w:rPr/>
        <w:t>万美元</w:t>
      </w:r>
      <w:r>
        <w:rPr>
          <w:rFonts w:ascii="Arial" w:eastAsia="Arial"/>
        </w:rPr>
        <w:t>/</w:t>
      </w:r>
      <w:r>
        <w:rPr/>
        <w:t>针，定价略高于其他几款治疗 </w:t>
      </w:r>
      <w:r>
        <w:rPr>
          <w:rFonts w:ascii="Arial" w:eastAsia="Arial"/>
        </w:rPr>
        <w:t>NHL </w:t>
      </w:r>
      <w:r>
        <w:rPr/>
        <w:t>的 </w:t>
      </w:r>
      <w:r>
        <w:rPr>
          <w:rFonts w:ascii="Arial" w:eastAsia="Arial"/>
        </w:rPr>
        <w:t>CAR-T </w:t>
      </w:r>
      <w:r>
        <w:rPr/>
        <w:t>产品。基于更好的疗效数据， </w:t>
      </w:r>
      <w:r>
        <w:rPr>
          <w:rFonts w:ascii="Arial" w:eastAsia="Arial"/>
        </w:rPr>
        <w:t>Carvykti </w:t>
      </w:r>
      <w:r>
        <w:rPr/>
        <w:t>的价格为 </w:t>
      </w:r>
      <w:r>
        <w:rPr>
          <w:rFonts w:ascii="Arial" w:eastAsia="Arial"/>
        </w:rPr>
        <w:t>46.5 </w:t>
      </w:r>
      <w:r>
        <w:rPr/>
        <w:t>万美元</w:t>
      </w:r>
      <w:r>
        <w:rPr>
          <w:rFonts w:ascii="Arial" w:eastAsia="Arial"/>
        </w:rPr>
        <w:t>/</w:t>
      </w:r>
      <w:r>
        <w:rPr/>
        <w:t>针，相比 </w:t>
      </w:r>
      <w:r>
        <w:rPr>
          <w:rFonts w:ascii="Arial" w:eastAsia="Arial"/>
        </w:rPr>
        <w:t>Abecma </w:t>
      </w:r>
      <w:r>
        <w:rPr/>
        <w:t>溢价 </w:t>
      </w:r>
      <w:r>
        <w:rPr>
          <w:rFonts w:ascii="Arial" w:eastAsia="Arial"/>
        </w:rPr>
        <w:t>11%</w:t>
      </w:r>
      <w:r>
        <w:rPr/>
        <w:t>。</w:t>
      </w:r>
      <w:r>
        <w:rPr>
          <w:rFonts w:ascii="Arial" w:eastAsia="Arial"/>
        </w:rPr>
        <w:t>Blenrep </w:t>
      </w:r>
      <w:r>
        <w:rPr/>
        <w:t>售价 </w:t>
      </w:r>
      <w:r>
        <w:rPr>
          <w:rFonts w:ascii="Arial" w:eastAsia="Arial"/>
        </w:rPr>
        <w:t>8,277 </w:t>
      </w:r>
      <w:r>
        <w:rPr/>
        <w:t>美元</w:t>
      </w:r>
      <w:r>
        <w:rPr>
          <w:rFonts w:ascii="Arial" w:eastAsia="Arial"/>
        </w:rPr>
        <w:t>/100mg</w:t>
      </w:r>
      <w:r>
        <w:rPr/>
        <w:t>，给药频率为 </w:t>
      </w:r>
      <w:r>
        <w:rPr>
          <w:rFonts w:ascii="Arial" w:eastAsia="Arial"/>
        </w:rPr>
        <w:t>2.5mg/kg</w:t>
      </w:r>
      <w:r>
        <w:rPr/>
        <w:t>、三周一次，根据 </w:t>
      </w:r>
      <w:r>
        <w:rPr>
          <w:rFonts w:ascii="Arial" w:eastAsia="Arial"/>
        </w:rPr>
        <w:t>175 </w:t>
      </w:r>
      <w:r>
        <w:rPr/>
        <w:t>磅 </w:t>
      </w:r>
      <w:r>
        <w:rPr>
          <w:rFonts w:ascii="Arial" w:eastAsia="Arial"/>
        </w:rPr>
        <w:t>(80kg) </w:t>
      </w:r>
      <w:r>
        <w:rPr/>
        <w:t>的患者体重计算得到治疗费用约为 </w:t>
      </w:r>
      <w:r>
        <w:rPr>
          <w:rFonts w:ascii="Arial" w:eastAsia="Arial"/>
        </w:rPr>
        <w:t>2.39 </w:t>
      </w:r>
      <w:r>
        <w:rPr/>
        <w:t>万美元</w:t>
      </w:r>
      <w:r>
        <w:rPr>
          <w:rFonts w:ascii="Arial" w:eastAsia="Arial"/>
        </w:rPr>
        <w:t>/</w:t>
      </w:r>
      <w:r>
        <w:rPr/>
        <w:t>月。</w:t>
      </w:r>
    </w:p>
    <w:p>
      <w:pPr>
        <w:pStyle w:val="BodyText"/>
        <w:spacing w:line="288" w:lineRule="auto" w:before="118"/>
        <w:ind w:right="2812"/>
        <w:jc w:val="both"/>
      </w:pPr>
      <w:r>
        <w:rPr>
          <w:rFonts w:ascii="Arial" w:eastAsia="Arial"/>
        </w:rPr>
        <w:t>2021 </w:t>
      </w:r>
      <w:r>
        <w:rPr>
          <w:spacing w:val="1"/>
        </w:rPr>
        <w:t>年 </w:t>
      </w:r>
      <w:r>
        <w:rPr>
          <w:rFonts w:ascii="Arial" w:eastAsia="Arial"/>
        </w:rPr>
        <w:t>5 </w:t>
      </w:r>
      <w:r>
        <w:rPr>
          <w:spacing w:val="-3"/>
        </w:rPr>
        <w:t>月，美国临床和经济审查研究所 </w:t>
      </w:r>
      <w:r>
        <w:rPr>
          <w:rFonts w:ascii="Arial" w:eastAsia="Arial"/>
        </w:rPr>
        <w:t>(ICER</w:t>
      </w:r>
      <w:r>
        <w:rPr>
          <w:rFonts w:ascii="Arial" w:eastAsia="Arial"/>
          <w:spacing w:val="15"/>
        </w:rPr>
        <w:t>) </w:t>
      </w:r>
      <w:r>
        <w:rPr>
          <w:spacing w:val="1"/>
        </w:rPr>
        <w:t>对 </w:t>
      </w:r>
      <w:r>
        <w:rPr>
          <w:rFonts w:ascii="Arial" w:eastAsia="Arial"/>
        </w:rPr>
        <w:t>Abecma </w:t>
      </w:r>
      <w:r>
        <w:rPr>
          <w:spacing w:val="1"/>
        </w:rPr>
        <w:t>与 </w:t>
      </w:r>
      <w:r>
        <w:rPr>
          <w:rFonts w:ascii="Arial" w:eastAsia="Arial"/>
        </w:rPr>
        <w:t>Carvykti </w:t>
      </w:r>
      <w:r>
        <w:rPr>
          <w:spacing w:val="-3"/>
        </w:rPr>
        <w:t>的临床效益进行</w:t>
      </w:r>
      <w:r>
        <w:rPr>
          <w:spacing w:val="-5"/>
        </w:rPr>
        <w:t>了评估。从长期获益角度出发，</w:t>
      </w:r>
      <w:r>
        <w:rPr>
          <w:rFonts w:ascii="Arial" w:eastAsia="Arial"/>
        </w:rPr>
        <w:t>ICER </w:t>
      </w:r>
      <w:r>
        <w:rPr>
          <w:spacing w:val="-1"/>
        </w:rPr>
        <w:t>认为 </w:t>
      </w:r>
      <w:r>
        <w:rPr>
          <w:rFonts w:ascii="Arial" w:eastAsia="Arial"/>
        </w:rPr>
        <w:t>Abecma </w:t>
      </w:r>
      <w:r>
        <w:rPr>
          <w:spacing w:val="-2"/>
        </w:rPr>
        <w:t>的合理价格区间为 </w:t>
      </w:r>
      <w:r>
        <w:rPr>
          <w:rFonts w:ascii="Arial" w:eastAsia="Arial"/>
        </w:rPr>
        <w:t>20.6~24.5 </w:t>
      </w:r>
      <w:r>
        <w:rPr>
          <w:spacing w:val="-2"/>
        </w:rPr>
        <w:t>万美元， 相当于在其现价基础上做出</w:t>
      </w:r>
      <w:r>
        <w:rPr>
          <w:rFonts w:ascii="Arial" w:eastAsia="Arial"/>
        </w:rPr>
        <w:t>37%~54%</w:t>
      </w:r>
      <w:r>
        <w:rPr>
          <w:spacing w:val="3"/>
        </w:rPr>
        <w:t>的折扣。基于</w:t>
      </w:r>
      <w:r>
        <w:rPr>
          <w:rFonts w:ascii="Arial" w:eastAsia="Arial"/>
        </w:rPr>
        <w:t>Carvykti </w:t>
      </w:r>
      <w:r>
        <w:rPr>
          <w:spacing w:val="-5"/>
        </w:rPr>
        <w:t>在临床中有较好的长期获益， </w:t>
      </w:r>
      <w:r>
        <w:rPr>
          <w:rFonts w:ascii="Arial" w:eastAsia="Arial"/>
          <w:spacing w:val="-5"/>
        </w:rPr>
        <w:t>ICER </w:t>
      </w:r>
      <w:r>
        <w:rPr>
          <w:spacing w:val="9"/>
        </w:rPr>
        <w:t>认为 </w:t>
      </w:r>
      <w:r>
        <w:rPr>
          <w:rFonts w:ascii="Arial" w:eastAsia="Arial"/>
        </w:rPr>
        <w:t>Carvykti </w:t>
      </w:r>
      <w:r>
        <w:rPr>
          <w:spacing w:val="7"/>
        </w:rPr>
        <w:t>定价在 </w:t>
      </w:r>
      <w:r>
        <w:rPr>
          <w:rFonts w:ascii="Arial" w:eastAsia="Arial"/>
        </w:rPr>
        <w:t>47.5 </w:t>
      </w:r>
      <w:r>
        <w:rPr>
          <w:spacing w:val="-5"/>
        </w:rPr>
        <w:t>万美元以内，都将具有成本效益。考虑到其他替代疗法的高定价，</w:t>
      </w:r>
      <w:r>
        <w:rPr>
          <w:rFonts w:ascii="Arial" w:eastAsia="Arial"/>
          <w:spacing w:val="-5"/>
        </w:rPr>
        <w:t>ICER </w:t>
      </w:r>
      <w:r>
        <w:rPr>
          <w:spacing w:val="4"/>
        </w:rPr>
        <w:t>认为 </w:t>
      </w:r>
      <w:r>
        <w:rPr>
          <w:rFonts w:ascii="Arial" w:eastAsia="Arial"/>
        </w:rPr>
        <w:t>Blenrep </w:t>
      </w:r>
      <w:r>
        <w:rPr>
          <w:spacing w:val="-4"/>
        </w:rPr>
        <w:t>在当前定价区间具备成本效益，但其报告中也提到 </w:t>
      </w:r>
      <w:r>
        <w:rPr>
          <w:rFonts w:ascii="Arial" w:eastAsia="Arial"/>
        </w:rPr>
        <w:t>Blenrep </w:t>
      </w:r>
      <w:r>
        <w:rPr/>
        <w:t>疗</w:t>
      </w:r>
      <w:r>
        <w:rPr>
          <w:spacing w:val="-5"/>
        </w:rPr>
        <w:t>效相比较差，且存在较多包括眼毒性在内的安全性问题。</w:t>
      </w:r>
    </w:p>
    <w:p>
      <w:pPr>
        <w:pStyle w:val="Heading3"/>
        <w:spacing w:before="59"/>
      </w:pPr>
      <w:r>
        <w:rPr/>
        <w:t>国内 </w:t>
      </w:r>
      <w:r>
        <w:rPr>
          <w:rFonts w:ascii="Arial" w:eastAsia="Arial"/>
        </w:rPr>
        <w:t>BCMA CAR-T </w:t>
      </w:r>
      <w:r>
        <w:rPr/>
        <w:t>已在获批前夜，驯鹿</w:t>
      </w:r>
      <w:r>
        <w:rPr>
          <w:rFonts w:ascii="Arial" w:eastAsia="Arial"/>
        </w:rPr>
        <w:t>/ </w:t>
      </w:r>
      <w:r>
        <w:rPr/>
        <w:t>科济</w:t>
      </w:r>
      <w:r>
        <w:rPr>
          <w:rFonts w:ascii="Arial" w:eastAsia="Arial"/>
        </w:rPr>
        <w:t>/ </w:t>
      </w:r>
      <w:r>
        <w:rPr/>
        <w:t>传奇三家领跑</w:t>
      </w:r>
    </w:p>
    <w:p>
      <w:pPr>
        <w:pStyle w:val="BodyText"/>
        <w:spacing w:line="288" w:lineRule="auto" w:before="155"/>
        <w:ind w:right="2809"/>
        <w:jc w:val="both"/>
      </w:pPr>
      <w:r>
        <w:rPr/>
        <w:t>近年来国内 </w:t>
      </w:r>
      <w:r>
        <w:rPr>
          <w:rFonts w:ascii="Arial" w:eastAsia="Arial"/>
        </w:rPr>
        <w:t>CAR-T </w:t>
      </w:r>
      <w:r>
        <w:rPr/>
        <w:t>研发火热，</w:t>
      </w:r>
      <w:r>
        <w:rPr>
          <w:rFonts w:ascii="Arial" w:eastAsia="Arial"/>
        </w:rPr>
        <w:t>2021 </w:t>
      </w:r>
      <w:r>
        <w:rPr/>
        <w:t>年随着首批两款 </w:t>
      </w:r>
      <w:r>
        <w:rPr>
          <w:rFonts w:ascii="Arial" w:eastAsia="Arial"/>
        </w:rPr>
        <w:t>CD19 CAR-T </w:t>
      </w:r>
      <w:r>
        <w:rPr/>
        <w:t>在国内成功上市，中国</w:t>
      </w:r>
      <w:r>
        <w:rPr>
          <w:rFonts w:ascii="Arial" w:eastAsia="Arial"/>
        </w:rPr>
        <w:t>CAR-T </w:t>
      </w:r>
      <w:r>
        <w:rPr/>
        <w:t>行业步入新纪元。目前有三款国产 </w:t>
      </w:r>
      <w:r>
        <w:rPr>
          <w:rFonts w:ascii="Arial" w:eastAsia="Arial"/>
        </w:rPr>
        <w:t>BCMA CAR-T </w:t>
      </w:r>
      <w:r>
        <w:rPr/>
        <w:t>在国内临近上市，分别是驯鹿</w:t>
      </w:r>
      <w:r>
        <w:rPr>
          <w:rFonts w:ascii="Arial" w:eastAsia="Arial"/>
        </w:rPr>
        <w:t>/</w:t>
      </w:r>
      <w:r>
        <w:rPr/>
        <w:t>信达的</w:t>
      </w:r>
      <w:r>
        <w:rPr>
          <w:rFonts w:ascii="Arial" w:eastAsia="Arial"/>
        </w:rPr>
        <w:t>CT103A</w:t>
      </w:r>
      <w:r>
        <w:rPr/>
        <w:t>、科济药业的 </w:t>
      </w:r>
      <w:r>
        <w:rPr>
          <w:rFonts w:ascii="Arial" w:eastAsia="Arial"/>
        </w:rPr>
        <w:t>CT053 </w:t>
      </w:r>
      <w:r>
        <w:rPr/>
        <w:t>和传奇生物的</w:t>
      </w:r>
      <w:r>
        <w:rPr>
          <w:rFonts w:ascii="Arial" w:eastAsia="Arial"/>
        </w:rPr>
        <w:t>cilta-cel</w:t>
      </w:r>
      <w:r>
        <w:rPr/>
        <w:t>，其中</w:t>
      </w:r>
      <w:r>
        <w:rPr>
          <w:rFonts w:ascii="Arial" w:eastAsia="Arial"/>
        </w:rPr>
        <w:t>CT103A </w:t>
      </w:r>
      <w:r>
        <w:rPr/>
        <w:t>的 </w:t>
      </w:r>
      <w:r>
        <w:rPr>
          <w:rFonts w:ascii="Arial" w:eastAsia="Arial"/>
        </w:rPr>
        <w:t>NDA </w:t>
      </w:r>
      <w:r>
        <w:rPr/>
        <w:t>申请已获</w:t>
      </w:r>
      <w:r>
        <w:rPr>
          <w:rFonts w:ascii="Arial" w:eastAsia="Arial"/>
        </w:rPr>
        <w:t>NMPA </w:t>
      </w:r>
      <w:r>
        <w:rPr/>
        <w:t>受理，我们预计</w:t>
      </w:r>
      <w:r>
        <w:rPr>
          <w:rFonts w:ascii="Arial" w:eastAsia="Arial"/>
        </w:rPr>
        <w:t>CT053 </w:t>
      </w:r>
      <w:r>
        <w:rPr/>
        <w:t>和 </w:t>
      </w:r>
      <w:r>
        <w:rPr>
          <w:rFonts w:ascii="Arial" w:eastAsia="Arial"/>
        </w:rPr>
        <w:t>cilta-cel </w:t>
      </w:r>
      <w:r>
        <w:rPr/>
        <w:t>也有望在 </w:t>
      </w:r>
      <w:r>
        <w:rPr>
          <w:rFonts w:ascii="Arial" w:eastAsia="Arial"/>
        </w:rPr>
        <w:t>2022 </w:t>
      </w:r>
      <w:r>
        <w:rPr/>
        <w:t>年内在中国递交 </w:t>
      </w:r>
      <w:r>
        <w:rPr>
          <w:rFonts w:ascii="Arial" w:eastAsia="Arial"/>
        </w:rPr>
        <w:t>NDA</w:t>
      </w:r>
      <w:r>
        <w:rPr/>
        <w:t>。</w:t>
      </w:r>
    </w:p>
    <w:p>
      <w:pPr>
        <w:spacing w:after="0" w:line="288" w:lineRule="auto"/>
        <w:jc w:val="both"/>
        <w:sectPr>
          <w:pgSz w:w="11910" w:h="16840"/>
          <w:pgMar w:header="682" w:footer="358" w:top="1380" w:bottom="540" w:left="640" w:right="300"/>
        </w:sectPr>
      </w:pPr>
    </w:p>
    <w:p>
      <w:pPr>
        <w:pStyle w:val="BodyText"/>
        <w:spacing w:before="3"/>
        <w:ind w:left="0"/>
        <w:rPr>
          <w:sz w:val="12"/>
        </w:rPr>
      </w:pPr>
    </w:p>
    <w:p>
      <w:pPr>
        <w:pStyle w:val="BodyText"/>
        <w:spacing w:line="285" w:lineRule="auto" w:before="45"/>
        <w:ind w:right="2809"/>
        <w:jc w:val="both"/>
      </w:pPr>
      <w:r>
        <w:rPr>
          <w:rFonts w:ascii="Arial" w:hAnsi="Arial" w:eastAsia="Arial"/>
          <w:b/>
        </w:rPr>
        <w:t>CT103A</w:t>
      </w:r>
      <w:r>
        <w:rPr>
          <w:rFonts w:ascii="Arial" w:hAnsi="Arial" w:eastAsia="Arial"/>
          <w:b/>
          <w:spacing w:val="-6"/>
        </w:rPr>
        <w:t> </w:t>
      </w:r>
      <w:r>
        <w:rPr>
          <w:rFonts w:ascii="Microsoft JhengHei UI" w:hAnsi="Microsoft JhengHei UI" w:eastAsia="Microsoft JhengHei UI" w:hint="eastAsia"/>
          <w:b/>
          <w:spacing w:val="-5"/>
        </w:rPr>
        <w:t>由驯鹿医疗和信达生物联合开发，是一款全人源的 </w:t>
      </w:r>
      <w:r>
        <w:rPr>
          <w:rFonts w:ascii="Arial" w:hAnsi="Arial" w:eastAsia="Arial"/>
          <w:b/>
        </w:rPr>
        <w:t>BCMA</w:t>
      </w:r>
      <w:r>
        <w:rPr>
          <w:rFonts w:ascii="Arial" w:hAnsi="Arial" w:eastAsia="Arial"/>
          <w:b/>
          <w:spacing w:val="42"/>
        </w:rPr>
        <w:t> </w:t>
      </w:r>
      <w:r>
        <w:rPr>
          <w:rFonts w:ascii="Arial" w:hAnsi="Arial" w:eastAsia="Arial"/>
          <w:b/>
        </w:rPr>
        <w:t>CAR-T</w:t>
      </w:r>
      <w:r>
        <w:rPr/>
        <w:t>。</w:t>
      </w:r>
      <w:r>
        <w:rPr>
          <w:rFonts w:ascii="Arial" w:hAnsi="Arial" w:eastAsia="Arial"/>
          <w:spacing w:val="-2"/>
        </w:rPr>
        <w:t>CT103A</w:t>
      </w:r>
      <w:r>
        <w:rPr>
          <w:rFonts w:ascii="Arial" w:hAnsi="Arial" w:eastAsia="Arial"/>
          <w:spacing w:val="3"/>
        </w:rPr>
        <w:t> </w:t>
      </w:r>
      <w:r>
        <w:rPr/>
        <w:t>采用了 </w:t>
      </w:r>
      <w:r>
        <w:rPr>
          <w:rFonts w:ascii="Arial" w:hAnsi="Arial" w:eastAsia="Arial"/>
        </w:rPr>
        <w:t>4-1BB</w:t>
      </w:r>
      <w:r>
        <w:rPr>
          <w:rFonts w:ascii="Arial" w:hAnsi="Arial" w:eastAsia="Arial"/>
          <w:spacing w:val="-9"/>
        </w:rPr>
        <w:t> </w:t>
      </w:r>
      <w:r>
        <w:rPr>
          <w:spacing w:val="-3"/>
        </w:rPr>
        <w:t>共刺激域，以慢病毒为基因载体转染自体</w:t>
      </w:r>
      <w:r>
        <w:rPr>
          <w:rFonts w:ascii="Arial" w:hAnsi="Arial" w:eastAsia="Arial"/>
        </w:rPr>
        <w:t>T</w:t>
      </w:r>
      <w:r>
        <w:rPr>
          <w:rFonts w:ascii="Arial" w:hAnsi="Arial" w:eastAsia="Arial"/>
          <w:spacing w:val="-12"/>
        </w:rPr>
        <w:t> </w:t>
      </w:r>
      <w:r>
        <w:rPr>
          <w:spacing w:val="-3"/>
        </w:rPr>
        <w:t>细胞。由于 </w:t>
      </w:r>
      <w:r>
        <w:rPr>
          <w:rFonts w:ascii="Arial" w:hAnsi="Arial" w:eastAsia="Arial"/>
        </w:rPr>
        <w:t>svFc</w:t>
      </w:r>
      <w:r>
        <w:rPr>
          <w:rFonts w:ascii="Arial" w:hAnsi="Arial" w:eastAsia="Arial"/>
          <w:spacing w:val="-7"/>
        </w:rPr>
        <w:t> </w:t>
      </w:r>
      <w:r>
        <w:rPr>
          <w:spacing w:val="-4"/>
        </w:rPr>
        <w:t>采用了全人源序列， </w:t>
      </w:r>
      <w:r>
        <w:rPr>
          <w:rFonts w:ascii="Arial" w:hAnsi="Arial" w:eastAsia="Arial"/>
          <w:spacing w:val="-4"/>
        </w:rPr>
        <w:t>CT103A</w:t>
      </w:r>
      <w:r>
        <w:rPr>
          <w:rFonts w:ascii="Arial" w:hAnsi="Arial" w:eastAsia="Arial"/>
          <w:spacing w:val="-3"/>
        </w:rPr>
        <w:t> </w:t>
      </w:r>
      <w:r>
        <w:rPr>
          <w:spacing w:val="-5"/>
        </w:rPr>
        <w:t>具有低免疫原性、高亲和力和长效的特点。信达</w:t>
      </w:r>
      <w:r>
        <w:rPr>
          <w:rFonts w:ascii="Arial" w:hAnsi="Arial" w:eastAsia="Arial"/>
        </w:rPr>
        <w:t>/</w:t>
      </w:r>
      <w:r>
        <w:rPr>
          <w:spacing w:val="-1"/>
        </w:rPr>
        <w:t>驯鹿在今年 </w:t>
      </w:r>
      <w:r>
        <w:rPr>
          <w:rFonts w:ascii="Arial" w:hAnsi="Arial" w:eastAsia="Arial"/>
        </w:rPr>
        <w:t>6</w:t>
      </w:r>
      <w:r>
        <w:rPr>
          <w:rFonts w:ascii="Arial" w:hAnsi="Arial" w:eastAsia="Arial"/>
          <w:spacing w:val="-11"/>
        </w:rPr>
        <w:t> </w:t>
      </w:r>
      <w:r>
        <w:rPr>
          <w:spacing w:val="2"/>
        </w:rPr>
        <w:t>月的 </w:t>
      </w:r>
      <w:r>
        <w:rPr>
          <w:rFonts w:ascii="Arial" w:hAnsi="Arial" w:eastAsia="Arial"/>
        </w:rPr>
        <w:t>EHA</w:t>
      </w:r>
      <w:r>
        <w:rPr>
          <w:rFonts w:ascii="Arial" w:hAnsi="Arial" w:eastAsia="Arial"/>
          <w:spacing w:val="-9"/>
        </w:rPr>
        <w:t> </w:t>
      </w:r>
      <w:r>
        <w:rPr>
          <w:spacing w:val="-2"/>
        </w:rPr>
        <w:t>年会更新</w:t>
      </w:r>
      <w:r>
        <w:rPr>
          <w:spacing w:val="48"/>
        </w:rPr>
        <w:t>了</w:t>
      </w:r>
      <w:r>
        <w:rPr>
          <w:rFonts w:ascii="Arial" w:hAnsi="Arial" w:eastAsia="Arial"/>
        </w:rPr>
        <w:t>CT103A</w:t>
      </w:r>
      <w:r>
        <w:rPr>
          <w:rFonts w:ascii="Arial" w:hAnsi="Arial" w:eastAsia="Arial"/>
          <w:spacing w:val="-10"/>
        </w:rPr>
        <w:t> </w:t>
      </w:r>
      <w:r>
        <w:rPr>
          <w:spacing w:val="15"/>
        </w:rPr>
        <w:t>的最新</w:t>
      </w:r>
      <w:r>
        <w:rPr>
          <w:rFonts w:ascii="Arial" w:hAnsi="Arial" w:eastAsia="Arial"/>
        </w:rPr>
        <w:t>I/II</w:t>
      </w:r>
      <w:r>
        <w:rPr>
          <w:rFonts w:ascii="Arial" w:hAnsi="Arial" w:eastAsia="Arial"/>
          <w:spacing w:val="-9"/>
        </w:rPr>
        <w:t> </w:t>
      </w:r>
      <w:r>
        <w:rPr>
          <w:spacing w:val="-3"/>
        </w:rPr>
        <w:t>期注册性临床 </w:t>
      </w:r>
      <w:r>
        <w:rPr>
          <w:rFonts w:ascii="Arial" w:hAnsi="Arial" w:eastAsia="Arial"/>
        </w:rPr>
        <w:t>(NCT05066646</w:t>
      </w:r>
      <w:r>
        <w:rPr>
          <w:rFonts w:ascii="Arial" w:hAnsi="Arial" w:eastAsia="Arial"/>
          <w:spacing w:val="-1"/>
        </w:rPr>
        <w:t>) </w:t>
      </w:r>
      <w:r>
        <w:rPr>
          <w:spacing w:val="-3"/>
        </w:rPr>
        <w:t>研究结果，截至 </w:t>
      </w:r>
      <w:r>
        <w:rPr>
          <w:rFonts w:ascii="Arial" w:hAnsi="Arial" w:eastAsia="Arial"/>
        </w:rPr>
        <w:t>22</w:t>
      </w:r>
      <w:r>
        <w:rPr>
          <w:rFonts w:ascii="Arial" w:hAnsi="Arial" w:eastAsia="Arial"/>
          <w:spacing w:val="-14"/>
        </w:rPr>
        <w:t> </w:t>
      </w:r>
      <w:r>
        <w:rPr>
          <w:spacing w:val="-1"/>
        </w:rPr>
        <w:t>年 </w:t>
      </w:r>
      <w:r>
        <w:rPr>
          <w:rFonts w:ascii="Arial" w:hAnsi="Arial" w:eastAsia="Arial"/>
        </w:rPr>
        <w:t>1</w:t>
      </w:r>
      <w:r>
        <w:rPr>
          <w:rFonts w:ascii="Arial" w:hAnsi="Arial" w:eastAsia="Arial"/>
          <w:spacing w:val="-12"/>
        </w:rPr>
        <w:t> </w:t>
      </w:r>
      <w:r>
        <w:rPr>
          <w:spacing w:val="-1"/>
        </w:rPr>
        <w:t>月 </w:t>
      </w:r>
      <w:r>
        <w:rPr>
          <w:rFonts w:ascii="Arial" w:hAnsi="Arial" w:eastAsia="Arial"/>
        </w:rPr>
        <w:t>21</w:t>
      </w:r>
      <w:r>
        <w:rPr>
          <w:rFonts w:ascii="Arial" w:hAnsi="Arial" w:eastAsia="Arial"/>
          <w:spacing w:val="-13"/>
        </w:rPr>
        <w:t> </w:t>
      </w:r>
      <w:r>
        <w:rPr/>
        <w:t>日，</w:t>
      </w:r>
      <w:r>
        <w:rPr>
          <w:rFonts w:ascii="Arial" w:hAnsi="Arial" w:eastAsia="Arial"/>
        </w:rPr>
        <w:t>14 </w:t>
      </w:r>
      <w:r>
        <w:rPr/>
        <w:t>个中心共计纳入 </w:t>
      </w:r>
      <w:r>
        <w:rPr>
          <w:rFonts w:ascii="Arial" w:hAnsi="Arial" w:eastAsia="Arial"/>
        </w:rPr>
        <w:t>79</w:t>
      </w:r>
      <w:r>
        <w:rPr>
          <w:rFonts w:ascii="Arial" w:hAnsi="Arial" w:eastAsia="Arial"/>
          <w:spacing w:val="10"/>
        </w:rPr>
        <w:t> </w:t>
      </w:r>
      <w:r>
        <w:rPr>
          <w:spacing w:val="-3"/>
        </w:rPr>
        <w:t>例患者，既往治疗中位数为 </w:t>
      </w:r>
      <w:r>
        <w:rPr>
          <w:rFonts w:ascii="Arial" w:hAnsi="Arial" w:eastAsia="Arial"/>
        </w:rPr>
        <w:t>5</w:t>
      </w:r>
      <w:r>
        <w:rPr>
          <w:spacing w:val="3"/>
        </w:rPr>
        <w:t>。接受 </w:t>
      </w:r>
      <w:r>
        <w:rPr>
          <w:rFonts w:ascii="Arial" w:hAnsi="Arial" w:eastAsia="Arial"/>
        </w:rPr>
        <w:t>RP2D</w:t>
      </w:r>
      <w:r>
        <w:rPr>
          <w:rFonts w:ascii="Arial" w:hAnsi="Arial" w:eastAsia="Arial"/>
          <w:spacing w:val="10"/>
        </w:rPr>
        <w:t> </w:t>
      </w:r>
      <w:r>
        <w:rPr>
          <w:spacing w:val="5"/>
        </w:rPr>
        <w:t>剂量的 </w:t>
      </w:r>
      <w:r>
        <w:rPr>
          <w:rFonts w:ascii="Arial" w:hAnsi="Arial" w:eastAsia="Arial"/>
        </w:rPr>
        <w:t>CAR-T</w:t>
      </w:r>
      <w:r>
        <w:rPr>
          <w:rFonts w:ascii="Arial" w:hAnsi="Arial" w:eastAsia="Arial"/>
          <w:spacing w:val="14"/>
        </w:rPr>
        <w:t> </w:t>
      </w:r>
      <w:r>
        <w:rPr>
          <w:spacing w:val="-3"/>
        </w:rPr>
        <w:t>输注，中位随访时间为 </w:t>
      </w:r>
      <w:r>
        <w:rPr>
          <w:rFonts w:ascii="Arial" w:hAnsi="Arial" w:eastAsia="Arial"/>
        </w:rPr>
        <w:t>9</w:t>
      </w:r>
      <w:r>
        <w:rPr>
          <w:rFonts w:ascii="Arial" w:hAnsi="Arial" w:eastAsia="Arial"/>
          <w:spacing w:val="-10"/>
        </w:rPr>
        <w:t> </w:t>
      </w:r>
      <w:r>
        <w:rPr>
          <w:spacing w:val="-2"/>
        </w:rPr>
        <w:t>个月，其中 </w:t>
      </w:r>
      <w:r>
        <w:rPr>
          <w:rFonts w:ascii="Arial" w:hAnsi="Arial" w:eastAsia="Arial"/>
        </w:rPr>
        <w:t>12/79</w:t>
      </w:r>
      <w:r>
        <w:rPr>
          <w:rFonts w:ascii="Arial" w:hAnsi="Arial" w:eastAsia="Arial"/>
          <w:spacing w:val="-10"/>
        </w:rPr>
        <w:t> </w:t>
      </w:r>
      <w:r>
        <w:rPr>
          <w:spacing w:val="-5"/>
        </w:rPr>
        <w:t>例受试者既往接受过非全人源 </w:t>
      </w:r>
      <w:r>
        <w:rPr>
          <w:rFonts w:ascii="Arial" w:hAnsi="Arial" w:eastAsia="Arial"/>
        </w:rPr>
        <w:t>BCMA</w:t>
      </w:r>
      <w:r>
        <w:rPr>
          <w:rFonts w:ascii="Arial" w:hAnsi="Arial" w:eastAsia="Arial"/>
          <w:spacing w:val="4"/>
        </w:rPr>
        <w:t> </w:t>
      </w:r>
      <w:r>
        <w:rPr>
          <w:rFonts w:ascii="Arial" w:hAnsi="Arial" w:eastAsia="Arial"/>
        </w:rPr>
        <w:t>CAR-T</w:t>
      </w:r>
      <w:r>
        <w:rPr>
          <w:rFonts w:ascii="Arial" w:hAnsi="Arial" w:eastAsia="Arial"/>
          <w:spacing w:val="-5"/>
        </w:rPr>
        <w:t> </w:t>
      </w:r>
      <w:r>
        <w:rPr>
          <w:spacing w:val="-3"/>
        </w:rPr>
        <w:t>治疗。伊基仑</w:t>
      </w:r>
      <w:r>
        <w:rPr>
          <w:spacing w:val="6"/>
        </w:rPr>
        <w:t>赛注射液 </w:t>
      </w:r>
      <w:r>
        <w:rPr>
          <w:rFonts w:ascii="Arial" w:hAnsi="Arial" w:eastAsia="Arial"/>
        </w:rPr>
        <w:t>(CT103A)</w:t>
      </w:r>
      <w:r>
        <w:rPr>
          <w:rFonts w:ascii="Arial" w:hAnsi="Arial" w:eastAsia="Arial"/>
          <w:spacing w:val="41"/>
        </w:rPr>
        <w:t> </w:t>
      </w:r>
      <w:r>
        <w:rPr>
          <w:spacing w:val="-5"/>
        </w:rPr>
        <w:t>展现出了良好的有效性和安全性。有效性方面，</w:t>
      </w:r>
      <w:r>
        <w:rPr>
          <w:rFonts w:ascii="Arial" w:hAnsi="Arial" w:eastAsia="Arial"/>
        </w:rPr>
        <w:t>79</w:t>
      </w:r>
      <w:r>
        <w:rPr>
          <w:rFonts w:ascii="Arial" w:hAnsi="Arial" w:eastAsia="Arial"/>
          <w:spacing w:val="-5"/>
        </w:rPr>
        <w:t> </w:t>
      </w:r>
      <w:r>
        <w:rPr>
          <w:spacing w:val="-3"/>
        </w:rPr>
        <w:t>例受试者中，</w:t>
      </w:r>
      <w:r>
        <w:rPr>
          <w:rFonts w:ascii="Arial" w:hAnsi="Arial" w:eastAsia="Arial"/>
        </w:rPr>
        <w:t>ORR </w:t>
      </w:r>
      <w:r>
        <w:rPr>
          <w:spacing w:val="14"/>
        </w:rPr>
        <w:t>达 </w:t>
      </w:r>
      <w:r>
        <w:rPr>
          <w:rFonts w:ascii="Arial" w:hAnsi="Arial" w:eastAsia="Arial"/>
        </w:rPr>
        <w:t>94.9%</w:t>
      </w:r>
      <w:r>
        <w:rPr>
          <w:spacing w:val="6"/>
        </w:rPr>
        <w:t>，其中 </w:t>
      </w:r>
      <w:r>
        <w:rPr>
          <w:rFonts w:ascii="Arial" w:hAnsi="Arial" w:eastAsia="Arial"/>
        </w:rPr>
        <w:t>89.9%</w:t>
      </w:r>
      <w:r>
        <w:rPr>
          <w:spacing w:val="-3"/>
        </w:rPr>
        <w:t>受试者达到</w:t>
      </w:r>
      <w:r>
        <w:rPr>
          <w:rFonts w:ascii="Arial" w:hAnsi="Arial" w:eastAsia="Arial"/>
        </w:rPr>
        <w:t>≥VGPR</w:t>
      </w:r>
      <w:r>
        <w:rPr>
          <w:spacing w:val="17"/>
        </w:rPr>
        <w:t>， </w:t>
      </w:r>
      <w:r>
        <w:rPr>
          <w:rFonts w:ascii="Arial" w:hAnsi="Arial" w:eastAsia="Arial"/>
        </w:rPr>
        <w:t>CR/</w:t>
      </w:r>
      <w:r>
        <w:rPr>
          <w:rFonts w:ascii="Arial" w:hAnsi="Arial" w:eastAsia="Arial"/>
          <w:spacing w:val="39"/>
        </w:rPr>
        <w:t> </w:t>
      </w:r>
      <w:r>
        <w:rPr>
          <w:rFonts w:ascii="Arial" w:hAnsi="Arial" w:eastAsia="Arial"/>
          <w:spacing w:val="-3"/>
        </w:rPr>
        <w:t>sCR</w:t>
      </w:r>
      <w:r>
        <w:rPr>
          <w:rFonts w:ascii="Arial" w:hAnsi="Arial" w:eastAsia="Arial"/>
          <w:spacing w:val="15"/>
        </w:rPr>
        <w:t> </w:t>
      </w:r>
      <w:r>
        <w:rPr>
          <w:spacing w:val="9"/>
        </w:rPr>
        <w:t>率为 </w:t>
      </w:r>
      <w:r>
        <w:rPr>
          <w:rFonts w:ascii="Arial" w:hAnsi="Arial" w:eastAsia="Arial"/>
        </w:rPr>
        <w:t>68.4%</w:t>
      </w:r>
      <w:r>
        <w:rPr/>
        <w:t>。</w:t>
      </w:r>
      <w:r>
        <w:rPr>
          <w:rFonts w:ascii="Arial" w:hAnsi="Arial" w:eastAsia="Arial"/>
          <w:spacing w:val="-3"/>
        </w:rPr>
        <w:t>92.4%</w:t>
      </w:r>
      <w:r>
        <w:rPr>
          <w:spacing w:val="-2"/>
        </w:rPr>
        <w:t>的受试者达到</w:t>
      </w:r>
      <w:r>
        <w:rPr>
          <w:rFonts w:ascii="Arial" w:hAnsi="Arial" w:eastAsia="Arial"/>
          <w:spacing w:val="-2"/>
        </w:rPr>
        <w:t>MRD</w:t>
      </w:r>
      <w:r>
        <w:rPr>
          <w:rFonts w:ascii="Arial" w:hAnsi="Arial" w:eastAsia="Arial"/>
          <w:spacing w:val="20"/>
        </w:rPr>
        <w:t> </w:t>
      </w:r>
      <w:r>
        <w:rPr>
          <w:spacing w:val="1"/>
        </w:rPr>
        <w:t>阴性。安全性方面， </w:t>
      </w:r>
      <w:r>
        <w:rPr>
          <w:rFonts w:ascii="Arial" w:hAnsi="Arial" w:eastAsia="Arial"/>
        </w:rPr>
        <w:t>94.9%</w:t>
      </w:r>
      <w:r>
        <w:rPr>
          <w:spacing w:val="2"/>
        </w:rPr>
        <w:t>的受试者发生 </w:t>
      </w:r>
      <w:r>
        <w:rPr>
          <w:rFonts w:ascii="Arial" w:hAnsi="Arial" w:eastAsia="Arial"/>
          <w:spacing w:val="-3"/>
        </w:rPr>
        <w:t>CRS</w:t>
      </w:r>
      <w:r>
        <w:rPr>
          <w:spacing w:val="7"/>
        </w:rPr>
        <w:t>，均为 </w:t>
      </w:r>
      <w:r>
        <w:rPr>
          <w:rFonts w:ascii="Arial" w:hAnsi="Arial" w:eastAsia="Arial"/>
        </w:rPr>
        <w:t>1~2</w:t>
      </w:r>
      <w:r>
        <w:rPr>
          <w:rFonts w:ascii="Arial" w:hAnsi="Arial" w:eastAsia="Arial"/>
          <w:spacing w:val="16"/>
        </w:rPr>
        <w:t> </w:t>
      </w:r>
      <w:r>
        <w:rPr>
          <w:spacing w:val="18"/>
        </w:rPr>
        <w:t>级 </w:t>
      </w:r>
      <w:r>
        <w:rPr>
          <w:rFonts w:ascii="Arial" w:hAnsi="Arial" w:eastAsia="Arial"/>
          <w:spacing w:val="-3"/>
        </w:rPr>
        <w:t>CRS</w:t>
      </w:r>
      <w:r>
        <w:rPr>
          <w:spacing w:val="11"/>
        </w:rPr>
        <w:t>，无 </w:t>
      </w:r>
      <w:r>
        <w:rPr>
          <w:rFonts w:ascii="Arial" w:hAnsi="Arial" w:eastAsia="Arial"/>
        </w:rPr>
        <w:t>3</w:t>
      </w:r>
      <w:r>
        <w:rPr>
          <w:rFonts w:ascii="Arial" w:hAnsi="Arial" w:eastAsia="Arial"/>
          <w:spacing w:val="20"/>
        </w:rPr>
        <w:t> </w:t>
      </w:r>
      <w:r>
        <w:rPr>
          <w:spacing w:val="-2"/>
        </w:rPr>
        <w:t>级及以上</w:t>
      </w:r>
      <w:r>
        <w:rPr>
          <w:rFonts w:ascii="Arial" w:hAnsi="Arial" w:eastAsia="Arial"/>
          <w:spacing w:val="-2"/>
        </w:rPr>
        <w:t>CRS</w:t>
      </w:r>
      <w:r>
        <w:rPr>
          <w:spacing w:val="-2"/>
        </w:rPr>
        <w:t>，</w:t>
      </w:r>
      <w:r>
        <w:rPr>
          <w:rFonts w:ascii="Arial" w:hAnsi="Arial" w:eastAsia="Arial"/>
          <w:spacing w:val="-2"/>
        </w:rPr>
        <w:t>2.5%</w:t>
      </w:r>
      <w:r>
        <w:rPr>
          <w:spacing w:val="-3"/>
        </w:rPr>
        <w:t>的受试者出现 </w:t>
      </w:r>
      <w:r>
        <w:rPr>
          <w:rFonts w:ascii="Arial" w:hAnsi="Arial" w:eastAsia="Arial"/>
        </w:rPr>
        <w:t>ICANS</w:t>
      </w:r>
      <w:r>
        <w:rPr>
          <w:spacing w:val="-1"/>
        </w:rPr>
        <w:t>，其中 </w:t>
      </w:r>
      <w:r>
        <w:rPr>
          <w:rFonts w:ascii="Arial" w:hAnsi="Arial" w:eastAsia="Arial"/>
        </w:rPr>
        <w:t>1</w:t>
      </w:r>
      <w:r>
        <w:rPr>
          <w:rFonts w:ascii="Arial" w:hAnsi="Arial" w:eastAsia="Arial"/>
          <w:spacing w:val="-11"/>
        </w:rPr>
        <w:t> </w:t>
      </w:r>
      <w:r>
        <w:rPr>
          <w:spacing w:val="-1"/>
        </w:rPr>
        <w:t>级和 </w:t>
      </w:r>
      <w:r>
        <w:rPr>
          <w:rFonts w:ascii="Arial" w:hAnsi="Arial" w:eastAsia="Arial"/>
        </w:rPr>
        <w:t>2</w:t>
      </w:r>
      <w:r>
        <w:rPr>
          <w:rFonts w:ascii="Arial" w:hAnsi="Arial" w:eastAsia="Arial"/>
          <w:spacing w:val="-12"/>
        </w:rPr>
        <w:t> </w:t>
      </w:r>
      <w:r>
        <w:rPr>
          <w:spacing w:val="-2"/>
        </w:rPr>
        <w:t>级各 </w:t>
      </w:r>
      <w:r>
        <w:rPr>
          <w:rFonts w:ascii="Arial" w:hAnsi="Arial" w:eastAsia="Arial"/>
        </w:rPr>
        <w:t>1</w:t>
      </w:r>
      <w:r>
        <w:rPr>
          <w:rFonts w:ascii="Arial" w:hAnsi="Arial" w:eastAsia="Arial"/>
          <w:spacing w:val="-12"/>
        </w:rPr>
        <w:t> </w:t>
      </w:r>
      <w:r>
        <w:rPr>
          <w:spacing w:val="-2"/>
        </w:rPr>
        <w:t>例。所有受试者的 </w:t>
      </w:r>
      <w:r>
        <w:rPr>
          <w:rFonts w:ascii="Arial" w:hAnsi="Arial" w:eastAsia="Arial"/>
        </w:rPr>
        <w:t>CRS</w:t>
      </w:r>
      <w:r>
        <w:rPr>
          <w:rFonts w:ascii="Arial" w:hAnsi="Arial" w:eastAsia="Arial"/>
          <w:spacing w:val="-9"/>
        </w:rPr>
        <w:t> </w:t>
      </w:r>
      <w:r>
        <w:rPr>
          <w:spacing w:val="48"/>
        </w:rPr>
        <w:t>和</w:t>
      </w:r>
      <w:r>
        <w:rPr>
          <w:rFonts w:ascii="Arial" w:hAnsi="Arial" w:eastAsia="Arial"/>
        </w:rPr>
        <w:t>ICANS </w:t>
      </w:r>
      <w:r>
        <w:rPr>
          <w:spacing w:val="-2"/>
        </w:rPr>
        <w:t>均得到缓解。对于既往接受 </w:t>
      </w:r>
      <w:r>
        <w:rPr>
          <w:rFonts w:ascii="Arial" w:hAnsi="Arial" w:eastAsia="Arial"/>
        </w:rPr>
        <w:t>CAR-T</w:t>
      </w:r>
      <w:r>
        <w:rPr>
          <w:rFonts w:ascii="Arial" w:hAnsi="Arial" w:eastAsia="Arial"/>
          <w:spacing w:val="10"/>
        </w:rPr>
        <w:t> </w:t>
      </w:r>
      <w:r>
        <w:rPr>
          <w:spacing w:val="-4"/>
        </w:rPr>
        <w:t>治疗后复发的受试者，</w:t>
      </w:r>
      <w:r>
        <w:rPr>
          <w:rFonts w:ascii="Arial" w:hAnsi="Arial" w:eastAsia="Arial"/>
        </w:rPr>
        <w:t>CT103A</w:t>
      </w:r>
      <w:r>
        <w:rPr>
          <w:rFonts w:ascii="Arial" w:hAnsi="Arial" w:eastAsia="Arial"/>
          <w:spacing w:val="10"/>
        </w:rPr>
        <w:t> </w:t>
      </w:r>
      <w:r>
        <w:rPr>
          <w:spacing w:val="-4"/>
        </w:rPr>
        <w:t>仍然有良好的疗效，</w:t>
      </w:r>
      <w:r>
        <w:rPr>
          <w:rFonts w:ascii="Arial" w:hAnsi="Arial" w:eastAsia="Arial"/>
        </w:rPr>
        <w:t>12 </w:t>
      </w:r>
      <w:r>
        <w:rPr>
          <w:spacing w:val="9"/>
        </w:rPr>
        <w:t>例既往接受</w:t>
      </w:r>
      <w:r>
        <w:rPr>
          <w:rFonts w:ascii="Arial" w:hAnsi="Arial" w:eastAsia="Arial"/>
        </w:rPr>
        <w:t>CAR-T</w:t>
      </w:r>
      <w:r>
        <w:rPr>
          <w:rFonts w:ascii="Arial" w:hAnsi="Arial" w:eastAsia="Arial"/>
          <w:spacing w:val="-11"/>
        </w:rPr>
        <w:t> </w:t>
      </w:r>
      <w:r>
        <w:rPr>
          <w:spacing w:val="4"/>
        </w:rPr>
        <w:t>治疗的受试者的</w:t>
      </w:r>
      <w:r>
        <w:rPr>
          <w:rFonts w:ascii="Arial" w:hAnsi="Arial" w:eastAsia="Arial"/>
        </w:rPr>
        <w:t>ORR</w:t>
      </w:r>
      <w:r>
        <w:rPr>
          <w:rFonts w:ascii="Arial" w:hAnsi="Arial" w:eastAsia="Arial"/>
          <w:spacing w:val="-13"/>
        </w:rPr>
        <w:t> </w:t>
      </w:r>
      <w:r>
        <w:rPr>
          <w:spacing w:val="-2"/>
        </w:rPr>
        <w:t>为 </w:t>
      </w:r>
      <w:r>
        <w:rPr>
          <w:rFonts w:ascii="Arial" w:hAnsi="Arial" w:eastAsia="Arial"/>
        </w:rPr>
        <w:t>75.0%</w:t>
      </w:r>
      <w:r>
        <w:rPr>
          <w:spacing w:val="-3"/>
        </w:rPr>
        <w:t>，其中 </w:t>
      </w:r>
      <w:r>
        <w:rPr>
          <w:rFonts w:ascii="Arial" w:hAnsi="Arial" w:eastAsia="Arial"/>
        </w:rPr>
        <w:t>41.7%</w:t>
      </w:r>
      <w:r>
        <w:rPr>
          <w:spacing w:val="24"/>
        </w:rPr>
        <w:t>达到</w:t>
      </w:r>
      <w:r>
        <w:rPr>
          <w:rFonts w:ascii="Arial" w:hAnsi="Arial" w:eastAsia="Arial"/>
        </w:rPr>
        <w:t>CR/sCR</w:t>
      </w:r>
      <w:r>
        <w:rPr/>
        <w:t>。</w:t>
      </w:r>
    </w:p>
    <w:p>
      <w:pPr>
        <w:pStyle w:val="BodyText"/>
        <w:spacing w:line="283" w:lineRule="auto" w:before="55"/>
        <w:ind w:right="2613"/>
      </w:pPr>
      <w:r>
        <w:rPr>
          <w:rFonts w:ascii="Arial" w:eastAsia="Arial"/>
          <w:b/>
        </w:rPr>
        <w:t>CT053</w:t>
      </w:r>
      <w:r>
        <w:rPr>
          <w:rFonts w:ascii="Arial" w:eastAsia="Arial"/>
          <w:b/>
          <w:spacing w:val="50"/>
        </w:rPr>
        <w:t> </w:t>
      </w:r>
      <w:r>
        <w:rPr>
          <w:rFonts w:ascii="Microsoft JhengHei UI" w:eastAsia="Microsoft JhengHei UI" w:hint="eastAsia"/>
          <w:b/>
          <w:spacing w:val="4"/>
        </w:rPr>
        <w:t>是由科济药业自主研发的全人源 </w:t>
      </w:r>
      <w:r>
        <w:rPr>
          <w:rFonts w:ascii="Arial" w:eastAsia="Arial"/>
          <w:b/>
        </w:rPr>
        <w:t>BCMA</w:t>
      </w:r>
      <w:r>
        <w:rPr>
          <w:rFonts w:ascii="Arial" w:eastAsia="Arial"/>
          <w:b/>
          <w:spacing w:val="40"/>
        </w:rPr>
        <w:t> </w:t>
      </w:r>
      <w:r>
        <w:rPr>
          <w:rFonts w:ascii="Arial" w:eastAsia="Arial"/>
          <w:b/>
        </w:rPr>
        <w:t>CAR-T</w:t>
      </w:r>
      <w:r>
        <w:rPr>
          <w:rFonts w:ascii="Microsoft JhengHei UI" w:eastAsia="Microsoft JhengHei UI" w:hint="eastAsia"/>
          <w:b/>
          <w:spacing w:val="3"/>
        </w:rPr>
        <w:t>，目前正在中美同时推进临床。</w:t>
      </w:r>
      <w:r>
        <w:rPr>
          <w:rFonts w:ascii="Arial" w:eastAsia="Arial"/>
          <w:spacing w:val="3"/>
        </w:rPr>
        <w:t>CT053</w:t>
      </w:r>
      <w:r>
        <w:rPr>
          <w:rFonts w:ascii="Arial" w:eastAsia="Arial"/>
          <w:spacing w:val="21"/>
        </w:rPr>
        <w:t> </w:t>
      </w:r>
      <w:r>
        <w:rPr>
          <w:spacing w:val="12"/>
        </w:rPr>
        <w:t>包含 </w:t>
      </w:r>
      <w:r>
        <w:rPr>
          <w:rFonts w:ascii="Arial" w:eastAsia="Arial"/>
        </w:rPr>
        <w:t>4-1BB</w:t>
      </w:r>
      <w:r>
        <w:rPr>
          <w:rFonts w:ascii="Arial" w:eastAsia="Arial"/>
          <w:spacing w:val="23"/>
        </w:rPr>
        <w:t> </w:t>
      </w:r>
      <w:r>
        <w:rPr>
          <w:spacing w:val="-3"/>
        </w:rPr>
        <w:t>共刺激域，基于慢病毒载体构建，融合了升级版 </w:t>
      </w:r>
      <w:r>
        <w:rPr>
          <w:rFonts w:ascii="Arial" w:eastAsia="Arial"/>
        </w:rPr>
        <w:t>CAR</w:t>
      </w:r>
      <w:r>
        <w:rPr>
          <w:rFonts w:ascii="Arial" w:eastAsia="Arial"/>
          <w:spacing w:val="21"/>
        </w:rPr>
        <w:t> </w:t>
      </w:r>
      <w:r>
        <w:rPr>
          <w:spacing w:val="-3"/>
        </w:rPr>
        <w:t>结构，具有较低的</w:t>
      </w:r>
      <w:r>
        <w:rPr>
          <w:spacing w:val="-4"/>
        </w:rPr>
        <w:t>免疫原性和较高的稳定性，在没有肿瘤相关靶点的情况下，可降低 </w:t>
      </w:r>
      <w:r>
        <w:rPr>
          <w:rFonts w:ascii="Arial" w:eastAsia="Arial"/>
        </w:rPr>
        <w:t>CAR</w:t>
      </w:r>
      <w:r>
        <w:rPr>
          <w:rFonts w:ascii="Arial" w:eastAsia="Arial"/>
          <w:spacing w:val="12"/>
        </w:rPr>
        <w:t> </w:t>
      </w:r>
      <w:r>
        <w:rPr>
          <w:spacing w:val="-5"/>
        </w:rPr>
        <w:t>细胞的自动激活。</w:t>
      </w:r>
      <w:r>
        <w:rPr>
          <w:rFonts w:ascii="Arial" w:eastAsia="Arial"/>
        </w:rPr>
        <w:t>CT053</w:t>
      </w:r>
      <w:r>
        <w:rPr>
          <w:rFonts w:ascii="Arial" w:eastAsia="Arial"/>
          <w:spacing w:val="5"/>
        </w:rPr>
        <w:t> </w:t>
      </w:r>
      <w:r>
        <w:rPr>
          <w:spacing w:val="10"/>
        </w:rPr>
        <w:t>于 </w:t>
      </w:r>
      <w:r>
        <w:rPr>
          <w:rFonts w:ascii="Arial" w:eastAsia="Arial"/>
        </w:rPr>
        <w:t>2019</w:t>
      </w:r>
      <w:r>
        <w:rPr>
          <w:rFonts w:ascii="Arial" w:eastAsia="Arial"/>
          <w:spacing w:val="6"/>
        </w:rPr>
        <w:t> </w:t>
      </w:r>
      <w:r>
        <w:rPr>
          <w:spacing w:val="5"/>
        </w:rPr>
        <w:t>年获得 </w:t>
      </w:r>
      <w:r>
        <w:rPr>
          <w:rFonts w:ascii="Arial" w:eastAsia="Arial"/>
        </w:rPr>
        <w:t>FDA</w:t>
      </w:r>
      <w:r>
        <w:rPr>
          <w:rFonts w:ascii="Arial" w:eastAsia="Arial"/>
          <w:spacing w:val="7"/>
        </w:rPr>
        <w:t> </w:t>
      </w:r>
      <w:r>
        <w:rPr>
          <w:spacing w:val="1"/>
        </w:rPr>
        <w:t>的再生医学先进疗法 </w:t>
      </w:r>
      <w:r>
        <w:rPr>
          <w:rFonts w:ascii="Arial" w:eastAsia="Arial"/>
        </w:rPr>
        <w:t>(RMAT</w:t>
      </w:r>
      <w:r>
        <w:rPr>
          <w:rFonts w:ascii="Arial" w:eastAsia="Arial"/>
          <w:spacing w:val="16"/>
        </w:rPr>
        <w:t>) </w:t>
      </w:r>
      <w:r>
        <w:rPr>
          <w:spacing w:val="-2"/>
        </w:rPr>
        <w:t>及孤儿药称号，并先后于 </w:t>
      </w:r>
      <w:r>
        <w:rPr>
          <w:rFonts w:ascii="Arial" w:eastAsia="Arial"/>
        </w:rPr>
        <w:t>2019 </w:t>
      </w:r>
      <w:r>
        <w:rPr>
          <w:spacing w:val="7"/>
        </w:rPr>
        <w:t>年及 </w:t>
      </w:r>
      <w:r>
        <w:rPr>
          <w:rFonts w:ascii="Arial" w:eastAsia="Arial"/>
        </w:rPr>
        <w:t>2020</w:t>
      </w:r>
      <w:r>
        <w:rPr>
          <w:rFonts w:ascii="Arial" w:eastAsia="Arial"/>
          <w:spacing w:val="12"/>
        </w:rPr>
        <w:t> </w:t>
      </w:r>
      <w:r>
        <w:rPr>
          <w:spacing w:val="5"/>
        </w:rPr>
        <w:t>年获得 </w:t>
      </w:r>
      <w:r>
        <w:rPr>
          <w:rFonts w:ascii="Arial" w:eastAsia="Arial"/>
        </w:rPr>
        <w:t>EMA</w:t>
      </w:r>
      <w:r>
        <w:rPr>
          <w:rFonts w:ascii="Arial" w:eastAsia="Arial"/>
          <w:spacing w:val="14"/>
        </w:rPr>
        <w:t> </w:t>
      </w:r>
      <w:r>
        <w:rPr>
          <w:spacing w:val="3"/>
        </w:rPr>
        <w:t>的优先药物 </w:t>
      </w:r>
      <w:r>
        <w:rPr>
          <w:rFonts w:ascii="Arial" w:eastAsia="Arial"/>
        </w:rPr>
        <w:t>(PRIME)</w:t>
      </w:r>
      <w:r>
        <w:rPr>
          <w:rFonts w:ascii="Arial" w:eastAsia="Arial"/>
          <w:spacing w:val="29"/>
        </w:rPr>
        <w:t> </w:t>
      </w:r>
      <w:r>
        <w:rPr>
          <w:spacing w:val="-3"/>
        </w:rPr>
        <w:t>及孤儿药称号。</w:t>
      </w:r>
      <w:r>
        <w:rPr>
          <w:rFonts w:ascii="Arial" w:eastAsia="Arial"/>
        </w:rPr>
        <w:t>CT053</w:t>
      </w:r>
      <w:r>
        <w:rPr>
          <w:rFonts w:ascii="Arial" w:eastAsia="Arial"/>
          <w:spacing w:val="7"/>
        </w:rPr>
        <w:t> </w:t>
      </w:r>
      <w:r>
        <w:rPr>
          <w:spacing w:val="7"/>
        </w:rPr>
        <w:t>也于 </w:t>
      </w:r>
      <w:r>
        <w:rPr>
          <w:rFonts w:ascii="Arial" w:eastAsia="Arial"/>
        </w:rPr>
        <w:t>2020</w:t>
      </w:r>
      <w:r>
        <w:rPr>
          <w:rFonts w:ascii="Arial" w:eastAsia="Arial"/>
          <w:spacing w:val="12"/>
        </w:rPr>
        <w:t> </w:t>
      </w:r>
      <w:r>
        <w:rPr>
          <w:spacing w:val="-2"/>
        </w:rPr>
        <w:t>年获中国</w:t>
      </w:r>
      <w:r>
        <w:rPr>
          <w:rFonts w:ascii="Arial" w:eastAsia="Arial"/>
          <w:spacing w:val="-2"/>
        </w:rPr>
        <w:t>CDE</w:t>
      </w:r>
      <w:r>
        <w:rPr>
          <w:rFonts w:ascii="Arial" w:eastAsia="Arial"/>
          <w:spacing w:val="-18"/>
        </w:rPr>
        <w:t> </w:t>
      </w:r>
      <w:r>
        <w:rPr>
          <w:spacing w:val="-4"/>
        </w:rPr>
        <w:t>纳入突破性治疗药物品种。目前科济药业计划在</w:t>
      </w:r>
      <w:r>
        <w:rPr>
          <w:rFonts w:ascii="Arial" w:eastAsia="Arial"/>
        </w:rPr>
        <w:t>3Q22</w:t>
      </w:r>
      <w:r>
        <w:rPr>
          <w:rFonts w:ascii="Arial" w:eastAsia="Arial"/>
          <w:spacing w:val="-21"/>
        </w:rPr>
        <w:t> </w:t>
      </w:r>
      <w:r>
        <w:rPr>
          <w:spacing w:val="28"/>
        </w:rPr>
        <w:t>就</w:t>
      </w:r>
      <w:r>
        <w:rPr>
          <w:rFonts w:ascii="Arial" w:eastAsia="Arial"/>
        </w:rPr>
        <w:t>CT053</w:t>
      </w:r>
      <w:r>
        <w:rPr>
          <w:rFonts w:ascii="Arial" w:eastAsia="Arial"/>
          <w:spacing w:val="-19"/>
        </w:rPr>
        <w:t> </w:t>
      </w:r>
      <w:r>
        <w:rPr>
          <w:spacing w:val="28"/>
        </w:rPr>
        <w:t>向</w:t>
      </w:r>
      <w:r>
        <w:rPr>
          <w:rFonts w:ascii="Arial" w:eastAsia="Arial"/>
        </w:rPr>
        <w:t>NMPA</w:t>
      </w:r>
      <w:r>
        <w:rPr>
          <w:rFonts w:ascii="Arial" w:eastAsia="Arial"/>
          <w:spacing w:val="-17"/>
        </w:rPr>
        <w:t> </w:t>
      </w:r>
      <w:r>
        <w:rPr>
          <w:spacing w:val="14"/>
        </w:rPr>
        <w:t>提交</w:t>
      </w:r>
      <w:r>
        <w:rPr>
          <w:rFonts w:ascii="Arial" w:eastAsia="Arial"/>
        </w:rPr>
        <w:t>NDA</w:t>
      </w:r>
      <w:r>
        <w:rPr/>
        <w:t>。同时，</w:t>
      </w:r>
      <w:r>
        <w:rPr>
          <w:rFonts w:ascii="Arial" w:eastAsia="Arial"/>
        </w:rPr>
        <w:t>CT053</w:t>
      </w:r>
      <w:r>
        <w:rPr>
          <w:rFonts w:ascii="Arial" w:eastAsia="Arial"/>
          <w:spacing w:val="-13"/>
        </w:rPr>
        <w:t> </w:t>
      </w:r>
      <w:r>
        <w:rPr>
          <w:spacing w:val="10"/>
        </w:rPr>
        <w:t>在美国的</w:t>
      </w:r>
      <w:r>
        <w:rPr>
          <w:rFonts w:ascii="Arial" w:eastAsia="Arial"/>
        </w:rPr>
        <w:t>II</w:t>
      </w:r>
      <w:r>
        <w:rPr>
          <w:rFonts w:ascii="Arial" w:eastAsia="Arial"/>
          <w:spacing w:val="-15"/>
        </w:rPr>
        <w:t> </w:t>
      </w:r>
      <w:r>
        <w:rPr>
          <w:spacing w:val="-5"/>
        </w:rPr>
        <w:t>期临床也在顺利进行中，且计划入组部分门诊患者。</w:t>
      </w:r>
    </w:p>
    <w:p>
      <w:pPr>
        <w:pStyle w:val="BodyText"/>
        <w:spacing w:line="288" w:lineRule="auto" w:before="122"/>
        <w:ind w:right="2814"/>
        <w:jc w:val="both"/>
      </w:pPr>
      <w:r>
        <w:rPr/>
        <w:t>科济药业在</w:t>
      </w:r>
      <w:r>
        <w:rPr>
          <w:rFonts w:ascii="Arial" w:eastAsia="Arial"/>
        </w:rPr>
        <w:t>ASH 2021 </w:t>
      </w:r>
      <w:r>
        <w:rPr/>
        <w:t>上展示了</w:t>
      </w:r>
      <w:r>
        <w:rPr>
          <w:rFonts w:ascii="Arial" w:eastAsia="Arial"/>
        </w:rPr>
        <w:t>CT053 </w:t>
      </w:r>
      <w:r>
        <w:rPr/>
        <w:t>在中国开展的</w:t>
      </w:r>
      <w:r>
        <w:rPr>
          <w:rFonts w:ascii="Arial" w:eastAsia="Arial"/>
        </w:rPr>
        <w:t>I/II </w:t>
      </w:r>
      <w:r>
        <w:rPr/>
        <w:t>期研究 </w:t>
      </w:r>
      <w:r>
        <w:rPr>
          <w:rFonts w:ascii="Arial" w:eastAsia="Arial"/>
        </w:rPr>
        <w:t>(LUMMICAR-1) </w:t>
      </w:r>
      <w:r>
        <w:rPr/>
        <w:t>的持续有效性和安全性结果，截至 </w:t>
      </w:r>
      <w:r>
        <w:rPr>
          <w:rFonts w:ascii="Arial" w:eastAsia="Arial"/>
        </w:rPr>
        <w:t>21 </w:t>
      </w:r>
      <w:r>
        <w:rPr/>
        <w:t>年 </w:t>
      </w:r>
      <w:r>
        <w:rPr>
          <w:rFonts w:ascii="Arial" w:eastAsia="Arial"/>
        </w:rPr>
        <w:t>7 </w:t>
      </w:r>
      <w:r>
        <w:rPr/>
        <w:t>月 </w:t>
      </w:r>
      <w:r>
        <w:rPr>
          <w:rFonts w:ascii="Arial" w:eastAsia="Arial"/>
        </w:rPr>
        <w:t>8 </w:t>
      </w:r>
      <w:r>
        <w:rPr/>
        <w:t>日，</w:t>
      </w:r>
      <w:r>
        <w:rPr>
          <w:rFonts w:ascii="Arial" w:eastAsia="Arial"/>
        </w:rPr>
        <w:t>14 </w:t>
      </w:r>
      <w:r>
        <w:rPr/>
        <w:t>位既往经多种治疗的 </w:t>
      </w:r>
      <w:r>
        <w:rPr>
          <w:rFonts w:ascii="Arial" w:eastAsia="Arial"/>
        </w:rPr>
        <w:t>R/R MM </w:t>
      </w:r>
      <w:r>
        <w:rPr/>
        <w:t>患者接受了</w:t>
      </w:r>
      <w:r>
        <w:rPr>
          <w:rFonts w:ascii="Arial" w:eastAsia="Arial"/>
        </w:rPr>
        <w:t>CT053 </w:t>
      </w:r>
      <w:r>
        <w:rPr/>
        <w:t>输注，既往治疗中位数为 </w:t>
      </w:r>
      <w:r>
        <w:rPr>
          <w:rFonts w:ascii="Arial" w:eastAsia="Arial"/>
        </w:rPr>
        <w:t>6</w:t>
      </w:r>
      <w:r>
        <w:rPr/>
        <w:t>，截至 </w:t>
      </w:r>
      <w:r>
        <w:rPr>
          <w:rFonts w:ascii="Arial" w:eastAsia="Arial"/>
        </w:rPr>
        <w:t>2021 </w:t>
      </w:r>
      <w:r>
        <w:rPr/>
        <w:t>年 </w:t>
      </w:r>
      <w:r>
        <w:rPr>
          <w:rFonts w:ascii="Arial" w:eastAsia="Arial"/>
        </w:rPr>
        <w:t>7 </w:t>
      </w:r>
      <w:r>
        <w:rPr/>
        <w:t>月 </w:t>
      </w:r>
      <w:r>
        <w:rPr>
          <w:rFonts w:ascii="Arial" w:eastAsia="Arial"/>
        </w:rPr>
        <w:t>8 </w:t>
      </w:r>
      <w:r>
        <w:rPr/>
        <w:t>日，中位随访期为 </w:t>
      </w:r>
      <w:r>
        <w:rPr>
          <w:rFonts w:ascii="Arial" w:eastAsia="Arial"/>
        </w:rPr>
        <w:t>13.6 </w:t>
      </w:r>
      <w:r>
        <w:rPr/>
        <w:t>个月。有效性方面，</w:t>
      </w:r>
      <w:r>
        <w:rPr>
          <w:rFonts w:ascii="Arial" w:eastAsia="Arial"/>
        </w:rPr>
        <w:t>ORR </w:t>
      </w:r>
      <w:r>
        <w:rPr/>
        <w:t>为 </w:t>
      </w:r>
      <w:r>
        <w:rPr>
          <w:rFonts w:ascii="Arial" w:eastAsia="Arial"/>
        </w:rPr>
        <w:t>100%</w:t>
      </w:r>
      <w:r>
        <w:rPr/>
        <w:t>，其中 </w:t>
      </w:r>
      <w:r>
        <w:rPr>
          <w:rFonts w:ascii="Arial" w:eastAsia="Arial"/>
        </w:rPr>
        <w:t>78.6%</w:t>
      </w:r>
      <w:r>
        <w:rPr/>
        <w:t>的患者达到严格意义的 </w:t>
      </w:r>
      <w:r>
        <w:rPr>
          <w:rFonts w:ascii="Arial" w:eastAsia="Arial"/>
        </w:rPr>
        <w:t>sCR </w:t>
      </w:r>
      <w:r>
        <w:rPr/>
        <w:t>且全部为 </w:t>
      </w:r>
      <w:r>
        <w:rPr>
          <w:rFonts w:ascii="Arial" w:eastAsia="Arial"/>
        </w:rPr>
        <w:t>MRD10</w:t>
      </w:r>
      <w:r>
        <w:rPr>
          <w:rFonts w:ascii="Arial" w:eastAsia="Arial"/>
          <w:vertAlign w:val="superscript"/>
        </w:rPr>
        <w:t>-5</w:t>
      </w:r>
      <w:r>
        <w:rPr>
          <w:rFonts w:ascii="Arial" w:eastAsia="Arial"/>
          <w:vertAlign w:val="baseline"/>
        </w:rPr>
        <w:t> </w:t>
      </w:r>
      <w:r>
        <w:rPr>
          <w:vertAlign w:val="baseline"/>
        </w:rPr>
        <w:t>阴性，并且有 </w:t>
      </w:r>
      <w:r>
        <w:rPr>
          <w:rFonts w:ascii="Arial" w:eastAsia="Arial"/>
          <w:vertAlign w:val="baseline"/>
        </w:rPr>
        <w:t>9 </w:t>
      </w:r>
      <w:r>
        <w:rPr>
          <w:vertAlign w:val="baseline"/>
        </w:rPr>
        <w:t>例患者 </w:t>
      </w:r>
      <w:r>
        <w:rPr>
          <w:rFonts w:ascii="Arial" w:eastAsia="Arial"/>
          <w:vertAlign w:val="baseline"/>
        </w:rPr>
        <w:t>CR/sCR </w:t>
      </w:r>
      <w:r>
        <w:rPr>
          <w:vertAlign w:val="baseline"/>
        </w:rPr>
        <w:t>超过 </w:t>
      </w:r>
      <w:r>
        <w:rPr>
          <w:rFonts w:ascii="Arial" w:eastAsia="Arial"/>
          <w:vertAlign w:val="baseline"/>
        </w:rPr>
        <w:t>12 </w:t>
      </w:r>
      <w:r>
        <w:rPr>
          <w:vertAlign w:val="baseline"/>
        </w:rPr>
        <w:t>个月，</w:t>
      </w:r>
      <w:r>
        <w:rPr>
          <w:rFonts w:ascii="Arial" w:eastAsia="Arial"/>
          <w:vertAlign w:val="baseline"/>
        </w:rPr>
        <w:t>92.9%</w:t>
      </w:r>
      <w:r>
        <w:rPr>
          <w:vertAlign w:val="baseline"/>
        </w:rPr>
        <w:t>的患者达到 </w:t>
      </w:r>
      <w:r>
        <w:rPr>
          <w:rFonts w:ascii="Arial" w:eastAsia="Arial"/>
          <w:vertAlign w:val="baseline"/>
        </w:rPr>
        <w:t>VGPR </w:t>
      </w:r>
      <w:r>
        <w:rPr>
          <w:vertAlign w:val="baseline"/>
        </w:rPr>
        <w:t>及以上。</w:t>
      </w:r>
      <w:r>
        <w:rPr>
          <w:rFonts w:ascii="Arial" w:eastAsia="Arial"/>
          <w:vertAlign w:val="baseline"/>
        </w:rPr>
        <w:t>12 </w:t>
      </w:r>
      <w:r>
        <w:rPr>
          <w:vertAlign w:val="baseline"/>
        </w:rPr>
        <w:t>个月的</w:t>
      </w:r>
      <w:r>
        <w:rPr>
          <w:rFonts w:ascii="Arial" w:eastAsia="Arial"/>
          <w:vertAlign w:val="baseline"/>
        </w:rPr>
        <w:t>PFS </w:t>
      </w:r>
      <w:r>
        <w:rPr>
          <w:vertAlign w:val="baseline"/>
        </w:rPr>
        <w:t>为</w:t>
      </w:r>
      <w:r>
        <w:rPr>
          <w:rFonts w:ascii="Arial" w:eastAsia="Arial"/>
          <w:vertAlign w:val="baseline"/>
        </w:rPr>
        <w:t>85.7%</w:t>
      </w:r>
      <w:r>
        <w:rPr>
          <w:vertAlign w:val="baseline"/>
        </w:rPr>
        <w:t>。 安全性方面，</w:t>
      </w:r>
      <w:r>
        <w:rPr>
          <w:rFonts w:ascii="Arial" w:eastAsia="Arial"/>
          <w:vertAlign w:val="baseline"/>
        </w:rPr>
        <w:t>CT053 </w:t>
      </w:r>
      <w:r>
        <w:rPr>
          <w:vertAlign w:val="baseline"/>
        </w:rPr>
        <w:t>总体耐受性良好，无三级以上</w:t>
      </w:r>
      <w:r>
        <w:rPr>
          <w:rFonts w:ascii="Arial" w:eastAsia="Arial"/>
          <w:vertAlign w:val="baseline"/>
        </w:rPr>
        <w:t>CRS</w:t>
      </w:r>
      <w:r>
        <w:rPr>
          <w:vertAlign w:val="baseline"/>
        </w:rPr>
        <w:t>和神经毒性发生， 未检测到药物免疫原性。</w:t>
      </w:r>
    </w:p>
    <w:p>
      <w:pPr>
        <w:pStyle w:val="BodyText"/>
        <w:spacing w:before="114"/>
        <w:jc w:val="both"/>
      </w:pPr>
      <w:r>
        <w:rPr>
          <w:rFonts w:ascii="Arial" w:eastAsia="Arial"/>
        </w:rPr>
        <w:t>2022 </w:t>
      </w:r>
      <w:r>
        <w:rPr/>
        <w:t>年 </w:t>
      </w:r>
      <w:r>
        <w:rPr>
          <w:rFonts w:ascii="Arial" w:eastAsia="Arial"/>
        </w:rPr>
        <w:t>9 </w:t>
      </w:r>
      <w:r>
        <w:rPr/>
        <w:t>月，科济药业在</w:t>
      </w:r>
      <w:r>
        <w:rPr>
          <w:rFonts w:ascii="Arial" w:eastAsia="Arial"/>
        </w:rPr>
        <w:t>CAR-TCR </w:t>
      </w:r>
      <w:r>
        <w:rPr/>
        <w:t>年度峰会上更新了</w:t>
      </w:r>
      <w:r>
        <w:rPr>
          <w:rFonts w:ascii="Arial" w:eastAsia="Arial"/>
        </w:rPr>
        <w:t>CT053 </w:t>
      </w:r>
      <w:r>
        <w:rPr/>
        <w:t>的北美</w:t>
      </w:r>
      <w:r>
        <w:rPr>
          <w:rFonts w:ascii="Arial" w:eastAsia="Arial"/>
        </w:rPr>
        <w:t>II </w:t>
      </w:r>
      <w:r>
        <w:rPr/>
        <w:t>期临床试验数据，</w:t>
      </w:r>
    </w:p>
    <w:p>
      <w:pPr>
        <w:pStyle w:val="BodyText"/>
        <w:spacing w:line="288" w:lineRule="auto" w:before="56"/>
        <w:ind w:right="2614"/>
      </w:pPr>
      <w:r>
        <w:rPr>
          <w:rFonts w:ascii="Arial" w:eastAsia="Arial"/>
        </w:rPr>
        <w:t>17 </w:t>
      </w:r>
      <w:r>
        <w:rPr/>
        <w:t>名接受输注的患者中，</w:t>
      </w:r>
      <w:r>
        <w:rPr>
          <w:rFonts w:ascii="Arial" w:eastAsia="Arial"/>
        </w:rPr>
        <w:t>3 </w:t>
      </w:r>
      <w:r>
        <w:rPr>
          <w:spacing w:val="-6"/>
        </w:rPr>
        <w:t>名接受了门诊治疗，其中两名患者因为症状管理入院一到两天。</w:t>
      </w:r>
      <w:r>
        <w:rPr>
          <w:spacing w:val="-2"/>
        </w:rPr>
        <w:t>有效性方面，在 </w:t>
      </w:r>
      <w:r>
        <w:rPr>
          <w:rFonts w:ascii="Arial" w:eastAsia="Arial"/>
        </w:rPr>
        <w:t>11 </w:t>
      </w:r>
      <w:r>
        <w:rPr>
          <w:spacing w:val="-2"/>
        </w:rPr>
        <w:t>名至少 </w:t>
      </w:r>
      <w:r>
        <w:rPr>
          <w:rFonts w:ascii="Arial" w:eastAsia="Arial"/>
        </w:rPr>
        <w:t>8 </w:t>
      </w:r>
      <w:r>
        <w:rPr>
          <w:spacing w:val="-5"/>
        </w:rPr>
        <w:t>周随访的可评估的患者中，</w:t>
      </w:r>
      <w:r>
        <w:rPr>
          <w:rFonts w:ascii="Arial" w:eastAsia="Arial"/>
        </w:rPr>
        <w:t>ORR </w:t>
      </w:r>
      <w:r>
        <w:rPr/>
        <w:t>为 </w:t>
      </w:r>
      <w:r>
        <w:rPr>
          <w:rFonts w:ascii="Arial" w:eastAsia="Arial"/>
        </w:rPr>
        <w:t>100%</w:t>
      </w:r>
      <w:r>
        <w:rPr>
          <w:spacing w:val="-3"/>
        </w:rPr>
        <w:t>，并在更长时间的随访</w:t>
      </w:r>
      <w:r>
        <w:rPr>
          <w:spacing w:val="-1"/>
        </w:rPr>
        <w:t>观察到更深的缓解，目前</w:t>
      </w:r>
      <w:r>
        <w:rPr>
          <w:rFonts w:ascii="Arial" w:eastAsia="Arial"/>
        </w:rPr>
        <w:t>mPFS/ mDOR/ mOS </w:t>
      </w:r>
      <w:r>
        <w:rPr>
          <w:spacing w:val="-3"/>
        </w:rPr>
        <w:t>均未达到，</w:t>
      </w:r>
      <w:r>
        <w:rPr>
          <w:rFonts w:ascii="Arial" w:eastAsia="Arial"/>
        </w:rPr>
        <w:t>CR/ </w:t>
      </w:r>
      <w:r>
        <w:rPr>
          <w:rFonts w:ascii="Arial" w:eastAsia="Arial"/>
          <w:spacing w:val="-3"/>
        </w:rPr>
        <w:t>sCR </w:t>
      </w:r>
      <w:r>
        <w:rPr>
          <w:spacing w:val="-3"/>
        </w:rPr>
        <w:t>尚未成熟。所有的在第四</w:t>
      </w:r>
      <w:r>
        <w:rPr>
          <w:spacing w:val="8"/>
        </w:rPr>
        <w:t>周有 </w:t>
      </w:r>
      <w:r>
        <w:rPr>
          <w:rFonts w:ascii="Arial" w:eastAsia="Arial"/>
          <w:spacing w:val="-3"/>
        </w:rPr>
        <w:t>MRD </w:t>
      </w:r>
      <w:r>
        <w:rPr>
          <w:spacing w:val="-4"/>
        </w:rPr>
        <w:t>结果的患者，通过二代测序均为阴性。安全性方面，目前 </w:t>
      </w:r>
      <w:r>
        <w:rPr>
          <w:rFonts w:ascii="Arial" w:eastAsia="Arial"/>
        </w:rPr>
        <w:t>17 </w:t>
      </w:r>
      <w:r>
        <w:rPr>
          <w:spacing w:val="-2"/>
        </w:rPr>
        <w:t>名接受输注的患者中，</w:t>
      </w:r>
      <w:r>
        <w:rPr>
          <w:rFonts w:ascii="Arial" w:eastAsia="Arial"/>
          <w:spacing w:val="-2"/>
        </w:rPr>
        <w:t>59%</w:t>
      </w:r>
      <w:r>
        <w:rPr>
          <w:spacing w:val="7"/>
        </w:rPr>
        <w:t>观察到 </w:t>
      </w:r>
      <w:r>
        <w:rPr>
          <w:rFonts w:ascii="Arial" w:eastAsia="Arial"/>
          <w:spacing w:val="-3"/>
        </w:rPr>
        <w:t>CRS</w:t>
      </w:r>
      <w:r>
        <w:rPr>
          <w:spacing w:val="-1"/>
        </w:rPr>
        <w:t>，没有出现三级以上 </w:t>
      </w:r>
      <w:r>
        <w:rPr>
          <w:rFonts w:ascii="Arial" w:eastAsia="Arial"/>
          <w:spacing w:val="-3"/>
        </w:rPr>
        <w:t>CRS</w:t>
      </w:r>
      <w:r>
        <w:rPr>
          <w:spacing w:val="3"/>
        </w:rPr>
        <w:t>，没有出现 </w:t>
      </w:r>
      <w:r>
        <w:rPr>
          <w:rFonts w:ascii="Arial" w:eastAsia="Arial"/>
        </w:rPr>
        <w:t>ICANS</w:t>
      </w:r>
      <w:r>
        <w:rPr>
          <w:spacing w:val="11"/>
        </w:rPr>
        <w:t>，仅 </w:t>
      </w:r>
      <w:r>
        <w:rPr>
          <w:rFonts w:ascii="Arial" w:eastAsia="Arial"/>
          <w:spacing w:val="-2"/>
        </w:rPr>
        <w:t>29%</w:t>
      </w:r>
      <w:r>
        <w:rPr>
          <w:spacing w:val="-3"/>
        </w:rPr>
        <w:t>的患者接受托珠单抗治疗，仅 </w:t>
      </w:r>
      <w:r>
        <w:rPr>
          <w:rFonts w:ascii="Arial" w:eastAsia="Arial"/>
        </w:rPr>
        <w:t>5.9%</w:t>
      </w:r>
      <w:r>
        <w:rPr>
          <w:spacing w:val="-4"/>
        </w:rPr>
        <w:t>接受糖皮质激素治疗。</w:t>
      </w:r>
    </w:p>
    <w:p>
      <w:pPr>
        <w:spacing w:line="280" w:lineRule="auto" w:before="59"/>
        <w:ind w:left="210" w:right="2814" w:firstLine="0"/>
        <w:jc w:val="both"/>
        <w:rPr>
          <w:sz w:val="20"/>
        </w:rPr>
      </w:pPr>
      <w:r>
        <w:rPr>
          <w:rFonts w:ascii="Arial" w:eastAsia="Arial"/>
          <w:b/>
          <w:sz w:val="20"/>
        </w:rPr>
        <w:t>Cilta-cel </w:t>
      </w:r>
      <w:r>
        <w:rPr>
          <w:rFonts w:ascii="Microsoft JhengHei UI" w:eastAsia="Microsoft JhengHei UI" w:hint="eastAsia"/>
          <w:b/>
          <w:sz w:val="20"/>
        </w:rPr>
        <w:t>已经于美国上市，采用双靶点</w:t>
      </w:r>
      <w:r>
        <w:rPr>
          <w:rFonts w:ascii="Arial" w:eastAsia="Arial"/>
          <w:b/>
          <w:sz w:val="20"/>
        </w:rPr>
        <w:t>VHH </w:t>
      </w:r>
      <w:r>
        <w:rPr>
          <w:rFonts w:ascii="Microsoft JhengHei UI" w:eastAsia="Microsoft JhengHei UI" w:hint="eastAsia"/>
          <w:b/>
          <w:sz w:val="20"/>
        </w:rPr>
        <w:t>设计，目前正在国内推进 </w:t>
      </w:r>
      <w:r>
        <w:rPr>
          <w:rFonts w:ascii="Arial" w:eastAsia="Arial"/>
          <w:b/>
          <w:sz w:val="20"/>
        </w:rPr>
        <w:t>II </w:t>
      </w:r>
      <w:r>
        <w:rPr>
          <w:rFonts w:ascii="Microsoft JhengHei UI" w:eastAsia="Microsoft JhengHei UI" w:hint="eastAsia"/>
          <w:b/>
          <w:sz w:val="20"/>
        </w:rPr>
        <w:t>期研究</w:t>
      </w:r>
      <w:r>
        <w:rPr>
          <w:sz w:val="20"/>
        </w:rPr>
        <w:t>。目前，传奇生物正在国内就 </w:t>
      </w:r>
      <w:r>
        <w:rPr>
          <w:rFonts w:ascii="Arial" w:eastAsia="Arial"/>
          <w:sz w:val="20"/>
        </w:rPr>
        <w:t>cilta-cel </w:t>
      </w:r>
      <w:r>
        <w:rPr>
          <w:sz w:val="20"/>
        </w:rPr>
        <w:t>开展一项 </w:t>
      </w:r>
      <w:r>
        <w:rPr>
          <w:rFonts w:ascii="Arial" w:eastAsia="Arial"/>
          <w:sz w:val="20"/>
        </w:rPr>
        <w:t>II </w:t>
      </w:r>
      <w:r>
        <w:rPr>
          <w:sz w:val="20"/>
        </w:rPr>
        <w:t>期临床 </w:t>
      </w:r>
      <w:r>
        <w:rPr>
          <w:rFonts w:ascii="Arial" w:eastAsia="Arial"/>
          <w:sz w:val="20"/>
        </w:rPr>
        <w:t>(CARTIFAN-1)</w:t>
      </w:r>
      <w:r>
        <w:rPr>
          <w:sz w:val="20"/>
        </w:rPr>
        <w:t>，该项临床于 </w:t>
      </w:r>
      <w:r>
        <w:rPr>
          <w:rFonts w:ascii="Arial" w:eastAsia="Arial"/>
          <w:sz w:val="20"/>
        </w:rPr>
        <w:t>2018 </w:t>
      </w:r>
      <w:r>
        <w:rPr>
          <w:sz w:val="20"/>
        </w:rPr>
        <w:t>年 </w:t>
      </w:r>
      <w:r>
        <w:rPr>
          <w:rFonts w:ascii="Arial" w:eastAsia="Arial"/>
          <w:sz w:val="20"/>
        </w:rPr>
        <w:t>11 </w:t>
      </w:r>
      <w:r>
        <w:rPr>
          <w:sz w:val="20"/>
        </w:rPr>
        <w:t>月首次在 </w:t>
      </w:r>
      <w:r>
        <w:rPr>
          <w:rFonts w:ascii="Arial" w:eastAsia="Arial"/>
          <w:sz w:val="20"/>
        </w:rPr>
        <w:t>clinicaltrials.com </w:t>
      </w:r>
      <w:r>
        <w:rPr>
          <w:sz w:val="20"/>
        </w:rPr>
        <w:t>登记，计划入组 </w:t>
      </w:r>
      <w:r>
        <w:rPr>
          <w:rFonts w:ascii="Arial" w:eastAsia="Arial"/>
          <w:sz w:val="20"/>
        </w:rPr>
        <w:t>130 </w:t>
      </w:r>
      <w:r>
        <w:rPr>
          <w:sz w:val="20"/>
        </w:rPr>
        <w:t>名患者，预估完成时间为 </w:t>
      </w:r>
      <w:r>
        <w:rPr>
          <w:rFonts w:ascii="Arial" w:eastAsia="Arial"/>
          <w:sz w:val="20"/>
        </w:rPr>
        <w:t>22 </w:t>
      </w:r>
      <w:r>
        <w:rPr>
          <w:sz w:val="20"/>
        </w:rPr>
        <w:t>年 </w:t>
      </w:r>
      <w:r>
        <w:rPr>
          <w:rFonts w:ascii="Arial" w:eastAsia="Arial"/>
          <w:sz w:val="20"/>
        </w:rPr>
        <w:t>11 </w:t>
      </w:r>
      <w:r>
        <w:rPr>
          <w:sz w:val="20"/>
        </w:rPr>
        <w:t>月。此前传奇生物也就 </w:t>
      </w:r>
      <w:r>
        <w:rPr>
          <w:rFonts w:ascii="Arial" w:eastAsia="Arial"/>
          <w:sz w:val="20"/>
        </w:rPr>
        <w:t>cilta-cel </w:t>
      </w:r>
      <w:r>
        <w:rPr>
          <w:sz w:val="20"/>
        </w:rPr>
        <w:t>在国内开展过 </w:t>
      </w:r>
      <w:r>
        <w:rPr>
          <w:rFonts w:ascii="Arial" w:eastAsia="Arial"/>
          <w:sz w:val="20"/>
        </w:rPr>
        <w:t>I </w:t>
      </w:r>
      <w:r>
        <w:rPr>
          <w:sz w:val="20"/>
        </w:rPr>
        <w:t>期 </w:t>
      </w:r>
      <w:r>
        <w:rPr>
          <w:rFonts w:ascii="Arial" w:eastAsia="Arial"/>
          <w:sz w:val="20"/>
        </w:rPr>
        <w:t>LEGEND-2 </w:t>
      </w:r>
      <w:r>
        <w:rPr>
          <w:sz w:val="20"/>
        </w:rPr>
        <w:t>研究，其四年随访结果近期发表在</w:t>
      </w:r>
    </w:p>
    <w:p>
      <w:pPr>
        <w:pStyle w:val="BodyText"/>
        <w:spacing w:before="1"/>
        <w:jc w:val="both"/>
      </w:pPr>
      <w:r>
        <w:rPr/>
        <w:t>《</w:t>
      </w:r>
      <w:r>
        <w:rPr>
          <w:rFonts w:ascii="Arial" w:eastAsia="Arial"/>
        </w:rPr>
        <w:t>Journal of Hematology &amp; Oncology</w:t>
      </w:r>
      <w:r>
        <w:rPr/>
        <w:t>》杂志。</w:t>
      </w:r>
    </w:p>
    <w:p>
      <w:pPr>
        <w:spacing w:after="0"/>
        <w:jc w:val="both"/>
        <w:sectPr>
          <w:pgSz w:w="11910" w:h="16840"/>
          <w:pgMar w:header="682" w:footer="358" w:top="1380" w:bottom="540" w:left="640" w:right="300"/>
        </w:sectPr>
      </w:pPr>
    </w:p>
    <w:p>
      <w:pPr>
        <w:pStyle w:val="BodyText"/>
        <w:spacing w:before="3"/>
        <w:ind w:left="0"/>
        <w:rPr>
          <w:sz w:val="12"/>
        </w:rPr>
      </w:pPr>
    </w:p>
    <w:p>
      <w:pPr>
        <w:pStyle w:val="BodyText"/>
        <w:spacing w:before="99"/>
      </w:pPr>
      <w:r>
        <w:rPr>
          <w:rFonts w:ascii="Arial" w:eastAsia="Arial"/>
        </w:rPr>
        <w:t>LEGEND-2 </w:t>
      </w:r>
      <w:r>
        <w:rPr/>
        <w:t>研究 </w:t>
      </w:r>
      <w:r>
        <w:rPr>
          <w:rFonts w:ascii="Arial" w:eastAsia="Arial"/>
        </w:rPr>
        <w:t>(NCT03090659</w:t>
      </w:r>
      <w:r>
        <w:rPr/>
        <w:t>；</w:t>
      </w:r>
      <w:r>
        <w:rPr>
          <w:rFonts w:ascii="Arial" w:eastAsia="Arial"/>
        </w:rPr>
        <w:t>ChiCTR-ONH-17012285) </w:t>
      </w:r>
      <w:r>
        <w:rPr/>
        <w:t>共入组 </w:t>
      </w:r>
      <w:r>
        <w:rPr>
          <w:rFonts w:ascii="Arial" w:eastAsia="Arial"/>
        </w:rPr>
        <w:t>74 </w:t>
      </w:r>
      <w:r>
        <w:rPr/>
        <w:t>例 </w:t>
      </w:r>
      <w:r>
        <w:rPr>
          <w:rFonts w:ascii="Arial" w:eastAsia="Arial"/>
        </w:rPr>
        <w:t>r/r MM </w:t>
      </w:r>
      <w:r>
        <w:rPr/>
        <w:t>患者，既</w:t>
      </w:r>
    </w:p>
    <w:p>
      <w:pPr>
        <w:pStyle w:val="BodyText"/>
        <w:spacing w:line="288" w:lineRule="auto" w:before="57"/>
        <w:ind w:right="2544"/>
      </w:pPr>
      <w:r>
        <w:rPr/>
        <w:t>往治疗的中位数为 </w:t>
      </w:r>
      <w:r>
        <w:rPr>
          <w:rFonts w:ascii="Arial" w:eastAsia="Arial"/>
        </w:rPr>
        <w:t>3</w:t>
      </w:r>
      <w:r>
        <w:rPr/>
        <w:t>。四年随访结果显示，有效性方面，使用 </w:t>
      </w:r>
      <w:r>
        <w:rPr>
          <w:rFonts w:ascii="Arial" w:eastAsia="Arial"/>
        </w:rPr>
        <w:t>cilta-cel </w:t>
      </w:r>
      <w:r>
        <w:rPr/>
        <w:t>可带来患者长期获益， </w:t>
      </w:r>
      <w:r>
        <w:rPr>
          <w:rFonts w:ascii="Arial" w:eastAsia="Arial"/>
        </w:rPr>
        <w:t>ORR </w:t>
      </w:r>
      <w:r>
        <w:rPr/>
        <w:t>为 </w:t>
      </w:r>
      <w:r>
        <w:rPr>
          <w:rFonts w:ascii="Arial" w:eastAsia="Arial"/>
        </w:rPr>
        <w:t>87.8%</w:t>
      </w:r>
      <w:r>
        <w:rPr/>
        <w:t>，</w:t>
      </w:r>
      <w:r>
        <w:rPr>
          <w:rFonts w:ascii="Arial" w:eastAsia="Arial"/>
        </w:rPr>
        <w:t>CR </w:t>
      </w:r>
      <w:r>
        <w:rPr/>
        <w:t>率达 </w:t>
      </w:r>
      <w:r>
        <w:rPr>
          <w:rFonts w:ascii="Arial" w:eastAsia="Arial"/>
        </w:rPr>
        <w:t>73%</w:t>
      </w:r>
      <w:r>
        <w:rPr/>
        <w:t>，</w:t>
      </w:r>
      <w:r>
        <w:rPr>
          <w:rFonts w:ascii="Arial" w:eastAsia="Arial"/>
        </w:rPr>
        <w:t>mPFS </w:t>
      </w:r>
      <w:r>
        <w:rPr/>
        <w:t>达到了 </w:t>
      </w:r>
      <w:r>
        <w:rPr>
          <w:rFonts w:ascii="Arial" w:eastAsia="Arial"/>
        </w:rPr>
        <w:t>18 </w:t>
      </w:r>
      <w:r>
        <w:rPr/>
        <w:t>个月，</w:t>
      </w:r>
      <w:r>
        <w:rPr>
          <w:rFonts w:ascii="Arial" w:eastAsia="Arial"/>
        </w:rPr>
        <w:t>mDOR </w:t>
      </w:r>
      <w:r>
        <w:rPr/>
        <w:t>为 </w:t>
      </w:r>
      <w:r>
        <w:rPr>
          <w:rFonts w:ascii="Arial" w:eastAsia="Arial"/>
        </w:rPr>
        <w:t>23.3 </w:t>
      </w:r>
      <w:r>
        <w:rPr/>
        <w:t>个月，</w:t>
      </w:r>
      <w:r>
        <w:rPr>
          <w:rFonts w:ascii="Arial" w:eastAsia="Arial"/>
        </w:rPr>
        <w:t>mOS </w:t>
      </w:r>
      <w:r>
        <w:rPr/>
        <w:t>尚未达到，</w:t>
      </w:r>
      <w:r>
        <w:rPr>
          <w:rFonts w:ascii="Arial" w:eastAsia="Arial"/>
        </w:rPr>
        <w:t>24 </w:t>
      </w:r>
      <w:r>
        <w:rPr/>
        <w:t>个月 </w:t>
      </w:r>
      <w:r>
        <w:rPr>
          <w:rFonts w:ascii="Arial" w:eastAsia="Arial"/>
        </w:rPr>
        <w:t>OS </w:t>
      </w:r>
      <w:r>
        <w:rPr/>
        <w:t>率为 </w:t>
      </w:r>
      <w:r>
        <w:rPr>
          <w:rFonts w:ascii="Arial" w:eastAsia="Arial"/>
        </w:rPr>
        <w:t>63.4%</w:t>
      </w:r>
      <w:r>
        <w:rPr/>
        <w:t>，</w:t>
      </w:r>
      <w:r>
        <w:rPr>
          <w:rFonts w:ascii="Arial" w:eastAsia="Arial"/>
        </w:rPr>
        <w:t>MRD </w:t>
      </w:r>
      <w:r>
        <w:rPr/>
        <w:t>阴性率为 </w:t>
      </w:r>
      <w:r>
        <w:rPr>
          <w:rFonts w:ascii="Arial" w:eastAsia="Arial"/>
        </w:rPr>
        <w:t>67.6%</w:t>
      </w:r>
      <w:r>
        <w:rPr/>
        <w:t>。截至本次随访截止时间，</w:t>
      </w:r>
      <w:r>
        <w:rPr>
          <w:rFonts w:ascii="Arial" w:eastAsia="Arial"/>
        </w:rPr>
        <w:t>39 </w:t>
      </w:r>
      <w:r>
        <w:rPr/>
        <w:t>名患者仍存活，其中</w:t>
      </w:r>
      <w:r>
        <w:rPr>
          <w:rFonts w:ascii="Arial" w:eastAsia="Arial"/>
        </w:rPr>
        <w:t>16 </w:t>
      </w:r>
      <w:r>
        <w:rPr/>
        <w:t>人持续完全缓解并没有进展。安全性方面， </w:t>
      </w:r>
      <w:r>
        <w:rPr>
          <w:rFonts w:ascii="Arial" w:eastAsia="Arial"/>
        </w:rPr>
        <w:t>91.9%</w:t>
      </w:r>
      <w:r>
        <w:rPr/>
        <w:t>的患者发生了</w:t>
      </w:r>
      <w:r>
        <w:rPr>
          <w:rFonts w:ascii="Arial" w:eastAsia="Arial"/>
        </w:rPr>
        <w:t>CRS</w:t>
      </w:r>
      <w:r>
        <w:rPr/>
        <w:t>， 其中三级以上 </w:t>
      </w:r>
      <w:r>
        <w:rPr>
          <w:rFonts w:ascii="Arial" w:eastAsia="Arial"/>
        </w:rPr>
        <w:t>CRS </w:t>
      </w:r>
      <w:r>
        <w:rPr/>
        <w:t>发生率为 </w:t>
      </w:r>
      <w:r>
        <w:rPr>
          <w:rFonts w:ascii="Arial" w:eastAsia="Arial"/>
        </w:rPr>
        <w:t>9.5%</w:t>
      </w:r>
      <w:r>
        <w:rPr/>
        <w:t>，</w:t>
      </w:r>
      <w:r>
        <w:rPr>
          <w:rFonts w:ascii="Arial" w:eastAsia="Arial"/>
        </w:rPr>
        <w:t>1 </w:t>
      </w:r>
      <w:r>
        <w:rPr/>
        <w:t>例患者发生了一级的中枢神经系统不良反应，没有三级以上神经毒性发生。</w:t>
      </w:r>
    </w:p>
    <w:p>
      <w:pPr>
        <w:pStyle w:val="Heading3"/>
        <w:spacing w:before="64" w:after="9"/>
        <w:jc w:val="left"/>
      </w:pPr>
      <w:r>
        <w:rPr/>
        <w:t>图 </w:t>
      </w:r>
      <w:r>
        <w:rPr>
          <w:rFonts w:ascii="Arial" w:eastAsia="Arial"/>
        </w:rPr>
        <w:t>37: </w:t>
      </w:r>
      <w:r>
        <w:rPr/>
        <w:t>国内部分</w:t>
      </w:r>
      <w:r>
        <w:rPr>
          <w:rFonts w:ascii="Arial" w:eastAsia="Arial"/>
        </w:rPr>
        <w:t>BCMA CAR-T </w:t>
      </w:r>
      <w:r>
        <w:rPr/>
        <w:t>产品核心临床数据对比</w:t>
      </w:r>
    </w:p>
    <w:tbl>
      <w:tblPr>
        <w:tblW w:w="0" w:type="auto"/>
        <w:jc w:val="left"/>
        <w:tblInd w:w="2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285"/>
        <w:gridCol w:w="1563"/>
        <w:gridCol w:w="1703"/>
        <w:gridCol w:w="1518"/>
        <w:gridCol w:w="1905"/>
      </w:tblGrid>
      <w:tr>
        <w:trPr>
          <w:trHeight w:val="239" w:hRule="atLeast"/>
        </w:trPr>
        <w:tc>
          <w:tcPr>
            <w:tcW w:w="1285" w:type="dxa"/>
            <w:tcBorders>
              <w:left w:val="nil"/>
              <w:bottom w:val="single" w:sz="6" w:space="0" w:color="000000"/>
              <w:right w:val="single" w:sz="6" w:space="0" w:color="000000"/>
            </w:tcBorders>
            <w:shd w:val="clear" w:color="auto" w:fill="C00000"/>
          </w:tcPr>
          <w:p>
            <w:pPr>
              <w:pStyle w:val="TableParagraph"/>
              <w:spacing w:line="219" w:lineRule="exact"/>
              <w:ind w:left="110"/>
              <w:rPr>
                <w:rFonts w:ascii="Microsoft JhengHei UI" w:eastAsia="Microsoft JhengHei UI" w:hint="eastAsia"/>
                <w:b/>
                <w:sz w:val="14"/>
              </w:rPr>
            </w:pPr>
            <w:r>
              <w:rPr>
                <w:rFonts w:ascii="Microsoft JhengHei UI" w:eastAsia="Microsoft JhengHei UI" w:hint="eastAsia"/>
                <w:b/>
                <w:color w:val="FFFFFF"/>
                <w:sz w:val="14"/>
              </w:rPr>
              <w:t>产品</w:t>
            </w:r>
          </w:p>
        </w:tc>
        <w:tc>
          <w:tcPr>
            <w:tcW w:w="3266" w:type="dxa"/>
            <w:gridSpan w:val="2"/>
            <w:tcBorders>
              <w:left w:val="single" w:sz="6" w:space="0" w:color="000000"/>
              <w:bottom w:val="single" w:sz="6" w:space="0" w:color="000000"/>
              <w:right w:val="single" w:sz="6" w:space="0" w:color="000000"/>
            </w:tcBorders>
            <w:shd w:val="clear" w:color="auto" w:fill="C00000"/>
          </w:tcPr>
          <w:p>
            <w:pPr>
              <w:pStyle w:val="TableParagraph"/>
              <w:spacing w:before="31"/>
              <w:ind w:left="104"/>
              <w:rPr>
                <w:b/>
                <w:sz w:val="14"/>
              </w:rPr>
            </w:pPr>
            <w:r>
              <w:rPr>
                <w:b/>
                <w:color w:val="FFFFFF"/>
                <w:sz w:val="14"/>
              </w:rPr>
              <w:t>CT053</w:t>
            </w:r>
          </w:p>
        </w:tc>
        <w:tc>
          <w:tcPr>
            <w:tcW w:w="1518" w:type="dxa"/>
            <w:tcBorders>
              <w:left w:val="single" w:sz="6" w:space="0" w:color="000000"/>
              <w:bottom w:val="single" w:sz="6" w:space="0" w:color="000000"/>
              <w:right w:val="single" w:sz="6" w:space="0" w:color="000000"/>
            </w:tcBorders>
            <w:shd w:val="clear" w:color="auto" w:fill="C00000"/>
          </w:tcPr>
          <w:p>
            <w:pPr>
              <w:pStyle w:val="TableParagraph"/>
              <w:spacing w:before="31"/>
              <w:ind w:left="104"/>
              <w:rPr>
                <w:b/>
                <w:sz w:val="14"/>
              </w:rPr>
            </w:pPr>
            <w:r>
              <w:rPr>
                <w:b/>
                <w:color w:val="FFFFFF"/>
                <w:sz w:val="14"/>
              </w:rPr>
              <w:t>IBI326/ CT103A</w:t>
            </w:r>
          </w:p>
        </w:tc>
        <w:tc>
          <w:tcPr>
            <w:tcW w:w="1905" w:type="dxa"/>
            <w:tcBorders>
              <w:left w:val="single" w:sz="6" w:space="0" w:color="000000"/>
              <w:bottom w:val="single" w:sz="6" w:space="0" w:color="000000"/>
              <w:right w:val="nil"/>
            </w:tcBorders>
            <w:shd w:val="clear" w:color="auto" w:fill="C00000"/>
          </w:tcPr>
          <w:p>
            <w:pPr>
              <w:pStyle w:val="TableParagraph"/>
              <w:spacing w:before="31"/>
              <w:ind w:left="103"/>
              <w:rPr>
                <w:b/>
                <w:sz w:val="14"/>
              </w:rPr>
            </w:pPr>
            <w:r>
              <w:rPr>
                <w:b/>
                <w:color w:val="FFFFFF"/>
                <w:sz w:val="14"/>
              </w:rPr>
              <w:t>GC012F</w:t>
            </w:r>
          </w:p>
        </w:tc>
      </w:tr>
      <w:tr>
        <w:trPr>
          <w:trHeight w:val="244" w:hRule="atLeast"/>
        </w:trPr>
        <w:tc>
          <w:tcPr>
            <w:tcW w:w="1285" w:type="dxa"/>
            <w:tcBorders>
              <w:top w:val="single" w:sz="6" w:space="0" w:color="000000"/>
              <w:left w:val="nil"/>
              <w:bottom w:val="single" w:sz="6" w:space="0" w:color="000000"/>
              <w:right w:val="single" w:sz="6" w:space="0" w:color="000000"/>
            </w:tcBorders>
          </w:tcPr>
          <w:p>
            <w:pPr>
              <w:pStyle w:val="TableParagraph"/>
              <w:spacing w:before="18"/>
              <w:ind w:left="110"/>
              <w:rPr>
                <w:rFonts w:ascii="PMingLiU" w:eastAsia="PMingLiU" w:hint="eastAsia"/>
                <w:sz w:val="14"/>
              </w:rPr>
            </w:pPr>
            <w:r>
              <w:rPr>
                <w:rFonts w:ascii="PMingLiU" w:eastAsia="PMingLiU" w:hint="eastAsia"/>
                <w:sz w:val="14"/>
              </w:rPr>
              <w:t>公司</w:t>
            </w:r>
          </w:p>
        </w:tc>
        <w:tc>
          <w:tcPr>
            <w:tcW w:w="3266" w:type="dxa"/>
            <w:gridSpan w:val="2"/>
            <w:tcBorders>
              <w:top w:val="single" w:sz="6" w:space="0" w:color="000000"/>
              <w:left w:val="single" w:sz="6" w:space="0" w:color="000000"/>
              <w:bottom w:val="single" w:sz="6" w:space="0" w:color="000000"/>
              <w:right w:val="single" w:sz="6" w:space="0" w:color="000000"/>
            </w:tcBorders>
          </w:tcPr>
          <w:p>
            <w:pPr>
              <w:pStyle w:val="TableParagraph"/>
              <w:spacing w:before="18"/>
              <w:ind w:left="104"/>
              <w:rPr>
                <w:sz w:val="14"/>
              </w:rPr>
            </w:pPr>
            <w:r>
              <w:rPr>
                <w:rFonts w:ascii="PMingLiU" w:eastAsia="PMingLiU" w:hint="eastAsia"/>
                <w:sz w:val="14"/>
              </w:rPr>
              <w:t>科济</w:t>
            </w:r>
            <w:r>
              <w:rPr>
                <w:sz w:val="14"/>
              </w:rPr>
              <w:t>/ inno.N</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before="18"/>
              <w:ind w:left="104"/>
              <w:rPr>
                <w:rFonts w:ascii="PMingLiU" w:eastAsia="PMingLiU" w:hint="eastAsia"/>
                <w:sz w:val="14"/>
              </w:rPr>
            </w:pPr>
            <w:r>
              <w:rPr>
                <w:rFonts w:ascii="PMingLiU" w:eastAsia="PMingLiU" w:hint="eastAsia"/>
                <w:sz w:val="14"/>
              </w:rPr>
              <w:t>信达</w:t>
            </w:r>
            <w:r>
              <w:rPr>
                <w:sz w:val="14"/>
              </w:rPr>
              <w:t>/ </w:t>
            </w:r>
            <w:r>
              <w:rPr>
                <w:rFonts w:ascii="PMingLiU" w:eastAsia="PMingLiU" w:hint="eastAsia"/>
                <w:sz w:val="14"/>
              </w:rPr>
              <w:t>驯鹿</w:t>
            </w:r>
          </w:p>
        </w:tc>
        <w:tc>
          <w:tcPr>
            <w:tcW w:w="1905" w:type="dxa"/>
            <w:tcBorders>
              <w:top w:val="single" w:sz="6" w:space="0" w:color="000000"/>
              <w:left w:val="single" w:sz="6" w:space="0" w:color="000000"/>
              <w:bottom w:val="single" w:sz="6" w:space="0" w:color="000000"/>
              <w:right w:val="nil"/>
            </w:tcBorders>
          </w:tcPr>
          <w:p>
            <w:pPr>
              <w:pStyle w:val="TableParagraph"/>
              <w:spacing w:before="18"/>
              <w:ind w:left="103"/>
              <w:rPr>
                <w:rFonts w:ascii="PMingLiU" w:eastAsia="PMingLiU" w:hint="eastAsia"/>
                <w:sz w:val="14"/>
              </w:rPr>
            </w:pPr>
            <w:r>
              <w:rPr>
                <w:rFonts w:ascii="PMingLiU" w:eastAsia="PMingLiU" w:hint="eastAsia"/>
                <w:sz w:val="14"/>
              </w:rPr>
              <w:t>亘喜生物</w:t>
            </w:r>
          </w:p>
        </w:tc>
      </w:tr>
      <w:tr>
        <w:trPr>
          <w:trHeight w:val="720" w:hRule="atLeast"/>
        </w:trPr>
        <w:tc>
          <w:tcPr>
            <w:tcW w:w="1285" w:type="dxa"/>
            <w:tcBorders>
              <w:top w:val="single" w:sz="6" w:space="0" w:color="000000"/>
              <w:left w:val="nil"/>
              <w:bottom w:val="single" w:sz="6" w:space="0" w:color="000000"/>
              <w:right w:val="single" w:sz="6" w:space="0" w:color="000000"/>
            </w:tcBorders>
          </w:tcPr>
          <w:p>
            <w:pPr>
              <w:pStyle w:val="TableParagraph"/>
              <w:spacing w:before="9"/>
              <w:rPr>
                <w:rFonts w:ascii="Microsoft JhengHei UI"/>
                <w:b/>
                <w:sz w:val="14"/>
              </w:rPr>
            </w:pPr>
          </w:p>
          <w:p>
            <w:pPr>
              <w:pStyle w:val="TableParagraph"/>
              <w:ind w:left="110"/>
              <w:rPr>
                <w:rFonts w:ascii="PMingLiU" w:eastAsia="PMingLiU" w:hint="eastAsia"/>
                <w:sz w:val="14"/>
              </w:rPr>
            </w:pPr>
            <w:r>
              <w:rPr>
                <w:rFonts w:ascii="PMingLiU" w:eastAsia="PMingLiU" w:hint="eastAsia"/>
                <w:sz w:val="14"/>
              </w:rPr>
              <w:t>元件搭配</w:t>
            </w:r>
          </w:p>
        </w:tc>
        <w:tc>
          <w:tcPr>
            <w:tcW w:w="3266" w:type="dxa"/>
            <w:gridSpan w:val="2"/>
            <w:tcBorders>
              <w:top w:val="single" w:sz="6" w:space="0" w:color="000000"/>
              <w:left w:val="single" w:sz="6" w:space="0" w:color="000000"/>
              <w:bottom w:val="single" w:sz="6" w:space="0" w:color="000000"/>
              <w:right w:val="single" w:sz="6" w:space="0" w:color="000000"/>
            </w:tcBorders>
          </w:tcPr>
          <w:p>
            <w:pPr>
              <w:pStyle w:val="TableParagraph"/>
              <w:spacing w:before="9"/>
              <w:rPr>
                <w:rFonts w:ascii="Microsoft JhengHei UI"/>
                <w:b/>
                <w:sz w:val="14"/>
              </w:rPr>
            </w:pPr>
          </w:p>
          <w:p>
            <w:pPr>
              <w:pStyle w:val="TableParagraph"/>
              <w:ind w:left="104"/>
              <w:rPr>
                <w:sz w:val="14"/>
              </w:rPr>
            </w:pPr>
            <w:r>
              <w:rPr>
                <w:rFonts w:ascii="PMingLiU" w:hAnsi="PMingLiU" w:eastAsia="PMingLiU" w:hint="eastAsia"/>
                <w:sz w:val="14"/>
              </w:rPr>
              <w:t>慢病毒</w:t>
            </w:r>
            <w:r>
              <w:rPr>
                <w:sz w:val="14"/>
              </w:rPr>
              <w:t>/ </w:t>
            </w:r>
            <w:r>
              <w:rPr>
                <w:rFonts w:ascii="PMingLiU" w:hAnsi="PMingLiU" w:eastAsia="PMingLiU" w:hint="eastAsia"/>
                <w:sz w:val="14"/>
              </w:rPr>
              <w:t>人源</w:t>
            </w:r>
            <w:r>
              <w:rPr>
                <w:sz w:val="14"/>
              </w:rPr>
              <w:t>scFv/ 4-1BB/CD3ζ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before="16"/>
              <w:rPr>
                <w:rFonts w:ascii="Microsoft JhengHei UI"/>
                <w:b/>
                <w:sz w:val="9"/>
              </w:rPr>
            </w:pPr>
          </w:p>
          <w:p>
            <w:pPr>
              <w:pStyle w:val="TableParagraph"/>
              <w:spacing w:line="252" w:lineRule="auto"/>
              <w:ind w:left="104"/>
              <w:rPr>
                <w:sz w:val="14"/>
              </w:rPr>
            </w:pPr>
            <w:r>
              <w:rPr>
                <w:rFonts w:ascii="PMingLiU" w:hAnsi="PMingLiU" w:eastAsia="PMingLiU" w:hint="eastAsia"/>
                <w:w w:val="95"/>
                <w:sz w:val="14"/>
              </w:rPr>
              <w:t>慢病毒</w:t>
            </w:r>
            <w:r>
              <w:rPr>
                <w:w w:val="95"/>
                <w:sz w:val="14"/>
              </w:rPr>
              <w:t>/</w:t>
            </w:r>
            <w:r>
              <w:rPr>
                <w:rFonts w:ascii="PMingLiU" w:hAnsi="PMingLiU" w:eastAsia="PMingLiU" w:hint="eastAsia"/>
                <w:w w:val="95"/>
                <w:sz w:val="14"/>
              </w:rPr>
              <w:t>人源</w:t>
            </w:r>
            <w:r>
              <w:rPr>
                <w:w w:val="95"/>
                <w:sz w:val="14"/>
              </w:rPr>
              <w:t>scFv/4- </w:t>
            </w:r>
            <w:r>
              <w:rPr>
                <w:sz w:val="14"/>
              </w:rPr>
              <w:t>1BB/CD3ζ</w:t>
            </w:r>
          </w:p>
        </w:tc>
        <w:tc>
          <w:tcPr>
            <w:tcW w:w="1905" w:type="dxa"/>
            <w:tcBorders>
              <w:top w:val="single" w:sz="6" w:space="0" w:color="000000"/>
              <w:left w:val="single" w:sz="6" w:space="0" w:color="000000"/>
              <w:bottom w:val="single" w:sz="6" w:space="0" w:color="000000"/>
              <w:right w:val="nil"/>
            </w:tcBorders>
          </w:tcPr>
          <w:p>
            <w:pPr>
              <w:pStyle w:val="TableParagraph"/>
              <w:spacing w:line="235" w:lineRule="auto" w:before="101"/>
              <w:ind w:left="103" w:right="214"/>
              <w:rPr>
                <w:sz w:val="14"/>
              </w:rPr>
            </w:pPr>
            <w:r>
              <w:rPr>
                <w:sz w:val="14"/>
              </w:rPr>
              <w:t>FasTCAR/ BCMA-CD19/ 4-1BB/CD3ζ</w:t>
            </w:r>
          </w:p>
          <w:p>
            <w:pPr>
              <w:pStyle w:val="TableParagraph"/>
              <w:spacing w:before="4"/>
              <w:ind w:left="103"/>
              <w:rPr>
                <w:sz w:val="14"/>
              </w:rPr>
            </w:pPr>
            <w:r>
              <w:rPr>
                <w:sz w:val="14"/>
              </w:rPr>
              <w:t>(</w:t>
            </w:r>
            <w:r>
              <w:rPr>
                <w:rFonts w:ascii="PMingLiU" w:eastAsia="PMingLiU" w:hint="eastAsia"/>
                <w:sz w:val="14"/>
              </w:rPr>
              <w:t>显著缩短生产周期</w:t>
            </w:r>
            <w:r>
              <w:rPr>
                <w:sz w:val="14"/>
              </w:rPr>
              <w:t>)</w:t>
            </w:r>
          </w:p>
        </w:tc>
      </w:tr>
      <w:tr>
        <w:trPr>
          <w:trHeight w:val="244" w:hRule="atLeast"/>
        </w:trPr>
        <w:tc>
          <w:tcPr>
            <w:tcW w:w="1285" w:type="dxa"/>
            <w:tcBorders>
              <w:top w:val="single" w:sz="6" w:space="0" w:color="000000"/>
              <w:left w:val="nil"/>
              <w:bottom w:val="single" w:sz="6" w:space="0" w:color="000000"/>
              <w:right w:val="single" w:sz="6" w:space="0" w:color="000000"/>
            </w:tcBorders>
          </w:tcPr>
          <w:p>
            <w:pPr>
              <w:pStyle w:val="TableParagraph"/>
              <w:spacing w:before="23"/>
              <w:ind w:left="110"/>
              <w:rPr>
                <w:rFonts w:ascii="PMingLiU" w:eastAsia="PMingLiU" w:hint="eastAsia"/>
                <w:sz w:val="14"/>
              </w:rPr>
            </w:pPr>
            <w:r>
              <w:rPr>
                <w:rFonts w:ascii="PMingLiU" w:eastAsia="PMingLiU" w:hint="eastAsia"/>
                <w:sz w:val="14"/>
              </w:rPr>
              <w:t>当前进展</w:t>
            </w:r>
          </w:p>
        </w:tc>
        <w:tc>
          <w:tcPr>
            <w:tcW w:w="3266" w:type="dxa"/>
            <w:gridSpan w:val="2"/>
            <w:tcBorders>
              <w:top w:val="single" w:sz="6" w:space="0" w:color="000000"/>
              <w:left w:val="single" w:sz="6" w:space="0" w:color="000000"/>
              <w:bottom w:val="single" w:sz="6" w:space="0" w:color="000000"/>
              <w:right w:val="single" w:sz="6" w:space="0" w:color="000000"/>
            </w:tcBorders>
          </w:tcPr>
          <w:p>
            <w:pPr>
              <w:pStyle w:val="TableParagraph"/>
              <w:spacing w:before="23"/>
              <w:ind w:left="104"/>
              <w:rPr>
                <w:rFonts w:ascii="PMingLiU" w:eastAsia="PMingLiU" w:hint="eastAsia"/>
                <w:sz w:val="14"/>
              </w:rPr>
            </w:pPr>
            <w:r>
              <w:rPr>
                <w:sz w:val="14"/>
              </w:rPr>
              <w:t>II </w:t>
            </w:r>
            <w:r>
              <w:rPr>
                <w:rFonts w:ascii="PMingLiU" w:eastAsia="PMingLiU" w:hint="eastAsia"/>
                <w:sz w:val="14"/>
              </w:rPr>
              <w:t>期</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before="23"/>
              <w:ind w:left="104"/>
              <w:rPr>
                <w:rFonts w:ascii="PMingLiU" w:eastAsia="PMingLiU" w:hint="eastAsia"/>
                <w:sz w:val="14"/>
              </w:rPr>
            </w:pPr>
            <w:r>
              <w:rPr>
                <w:sz w:val="14"/>
              </w:rPr>
              <w:t>II </w:t>
            </w:r>
            <w:r>
              <w:rPr>
                <w:rFonts w:ascii="PMingLiU" w:eastAsia="PMingLiU" w:hint="eastAsia"/>
                <w:sz w:val="14"/>
              </w:rPr>
              <w:t>期</w:t>
            </w:r>
          </w:p>
        </w:tc>
        <w:tc>
          <w:tcPr>
            <w:tcW w:w="1905" w:type="dxa"/>
            <w:tcBorders>
              <w:top w:val="single" w:sz="6" w:space="0" w:color="000000"/>
              <w:left w:val="single" w:sz="6" w:space="0" w:color="000000"/>
              <w:bottom w:val="single" w:sz="6" w:space="0" w:color="000000"/>
              <w:right w:val="nil"/>
            </w:tcBorders>
          </w:tcPr>
          <w:p>
            <w:pPr>
              <w:pStyle w:val="TableParagraph"/>
              <w:spacing w:before="41"/>
              <w:ind w:left="103"/>
              <w:rPr>
                <w:sz w:val="14"/>
              </w:rPr>
            </w:pPr>
            <w:r>
              <w:rPr>
                <w:sz w:val="14"/>
              </w:rPr>
              <w:t>IIT</w:t>
            </w:r>
          </w:p>
        </w:tc>
      </w:tr>
      <w:tr>
        <w:trPr>
          <w:trHeight w:val="320" w:hRule="atLeast"/>
        </w:trPr>
        <w:tc>
          <w:tcPr>
            <w:tcW w:w="1285" w:type="dxa"/>
            <w:tcBorders>
              <w:top w:val="single" w:sz="6" w:space="0" w:color="000000"/>
              <w:left w:val="nil"/>
              <w:bottom w:val="single" w:sz="6" w:space="0" w:color="000000"/>
              <w:right w:val="single" w:sz="6" w:space="0" w:color="000000"/>
            </w:tcBorders>
          </w:tcPr>
          <w:p>
            <w:pPr>
              <w:pStyle w:val="TableParagraph"/>
              <w:spacing w:before="61"/>
              <w:ind w:left="110"/>
              <w:rPr>
                <w:rFonts w:ascii="PMingLiU" w:eastAsia="PMingLiU" w:hint="eastAsia"/>
                <w:sz w:val="14"/>
              </w:rPr>
            </w:pPr>
            <w:r>
              <w:rPr>
                <w:rFonts w:ascii="PMingLiU" w:eastAsia="PMingLiU" w:hint="eastAsia"/>
                <w:sz w:val="14"/>
              </w:rPr>
              <w:t>主要研究</w:t>
            </w:r>
          </w:p>
        </w:tc>
        <w:tc>
          <w:tcPr>
            <w:tcW w:w="1563" w:type="dxa"/>
            <w:tcBorders>
              <w:top w:val="single" w:sz="6" w:space="0" w:color="000000"/>
              <w:left w:val="single" w:sz="6" w:space="0" w:color="000000"/>
              <w:bottom w:val="single" w:sz="6" w:space="0" w:color="000000"/>
              <w:right w:val="dashSmallGap" w:sz="4" w:space="0" w:color="000000"/>
            </w:tcBorders>
          </w:tcPr>
          <w:p>
            <w:pPr>
              <w:pStyle w:val="TableParagraph"/>
              <w:spacing w:before="79"/>
              <w:ind w:left="104"/>
              <w:rPr>
                <w:sz w:val="14"/>
              </w:rPr>
            </w:pPr>
            <w:r>
              <w:rPr>
                <w:sz w:val="14"/>
              </w:rPr>
              <w:t>LUMMICAR-2</w:t>
            </w:r>
          </w:p>
        </w:tc>
        <w:tc>
          <w:tcPr>
            <w:tcW w:w="1703" w:type="dxa"/>
            <w:tcBorders>
              <w:top w:val="single" w:sz="6" w:space="0" w:color="000000"/>
              <w:left w:val="dashSmallGap" w:sz="4" w:space="0" w:color="000000"/>
              <w:bottom w:val="single" w:sz="6" w:space="0" w:color="000000"/>
              <w:right w:val="single" w:sz="6" w:space="0" w:color="000000"/>
            </w:tcBorders>
          </w:tcPr>
          <w:p>
            <w:pPr>
              <w:pStyle w:val="TableParagraph"/>
              <w:spacing w:before="79"/>
              <w:ind w:left="104"/>
              <w:rPr>
                <w:sz w:val="14"/>
              </w:rPr>
            </w:pPr>
            <w:r>
              <w:rPr>
                <w:sz w:val="14"/>
              </w:rPr>
              <w:t>LUMMICAR-1</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159" w:lineRule="exact"/>
              <w:ind w:left="104"/>
              <w:rPr>
                <w:sz w:val="14"/>
              </w:rPr>
            </w:pPr>
            <w:r>
              <w:rPr>
                <w:sz w:val="14"/>
              </w:rPr>
              <w:t>ChiCTR1800018137</w:t>
            </w:r>
          </w:p>
          <w:p>
            <w:pPr>
              <w:pStyle w:val="TableParagraph"/>
              <w:spacing w:line="140" w:lineRule="exact" w:before="2"/>
              <w:ind w:left="104"/>
              <w:rPr>
                <w:sz w:val="14"/>
              </w:rPr>
            </w:pPr>
            <w:r>
              <w:rPr>
                <w:sz w:val="14"/>
              </w:rPr>
              <w:t>/ NCT05066646</w:t>
            </w:r>
          </w:p>
        </w:tc>
        <w:tc>
          <w:tcPr>
            <w:tcW w:w="1905" w:type="dxa"/>
            <w:tcBorders>
              <w:top w:val="single" w:sz="6" w:space="0" w:color="000000"/>
              <w:left w:val="single" w:sz="6" w:space="0" w:color="000000"/>
              <w:bottom w:val="single" w:sz="6" w:space="0" w:color="000000"/>
              <w:right w:val="nil"/>
            </w:tcBorders>
          </w:tcPr>
          <w:p>
            <w:pPr>
              <w:pStyle w:val="TableParagraph"/>
              <w:spacing w:before="79"/>
              <w:ind w:left="103"/>
              <w:rPr>
                <w:sz w:val="14"/>
              </w:rPr>
            </w:pPr>
            <w:r>
              <w:rPr>
                <w:sz w:val="14"/>
              </w:rPr>
              <w:t>NCT04236011</w:t>
            </w:r>
          </w:p>
        </w:tc>
      </w:tr>
      <w:tr>
        <w:trPr>
          <w:trHeight w:val="244" w:hRule="atLeast"/>
        </w:trPr>
        <w:tc>
          <w:tcPr>
            <w:tcW w:w="1285" w:type="dxa"/>
            <w:tcBorders>
              <w:top w:val="single" w:sz="6" w:space="0" w:color="000000"/>
              <w:left w:val="nil"/>
              <w:bottom w:val="single" w:sz="6" w:space="0" w:color="000000"/>
              <w:right w:val="single" w:sz="6" w:space="0" w:color="000000"/>
            </w:tcBorders>
          </w:tcPr>
          <w:p>
            <w:pPr>
              <w:pStyle w:val="TableParagraph"/>
              <w:spacing w:before="23"/>
              <w:ind w:left="110"/>
              <w:rPr>
                <w:rFonts w:ascii="PMingLiU" w:eastAsia="PMingLiU" w:hint="eastAsia"/>
                <w:sz w:val="14"/>
              </w:rPr>
            </w:pPr>
            <w:r>
              <w:rPr>
                <w:rFonts w:ascii="PMingLiU" w:eastAsia="PMingLiU" w:hint="eastAsia"/>
                <w:sz w:val="14"/>
              </w:rPr>
              <w:t>入组人数</w:t>
            </w:r>
          </w:p>
        </w:tc>
        <w:tc>
          <w:tcPr>
            <w:tcW w:w="1563" w:type="dxa"/>
            <w:tcBorders>
              <w:top w:val="single" w:sz="6" w:space="0" w:color="000000"/>
              <w:left w:val="single" w:sz="6" w:space="0" w:color="000000"/>
              <w:bottom w:val="single" w:sz="6" w:space="0" w:color="000000"/>
              <w:right w:val="dashSmallGap" w:sz="4" w:space="0" w:color="000000"/>
            </w:tcBorders>
          </w:tcPr>
          <w:p>
            <w:pPr>
              <w:pStyle w:val="TableParagraph"/>
              <w:spacing w:before="41"/>
              <w:ind w:left="104"/>
              <w:rPr>
                <w:sz w:val="14"/>
              </w:rPr>
            </w:pPr>
            <w:r>
              <w:rPr>
                <w:sz w:val="14"/>
              </w:rPr>
              <w:t>27</w:t>
            </w:r>
          </w:p>
        </w:tc>
        <w:tc>
          <w:tcPr>
            <w:tcW w:w="1703" w:type="dxa"/>
            <w:tcBorders>
              <w:top w:val="single" w:sz="6" w:space="0" w:color="000000"/>
              <w:left w:val="dashSmallGap" w:sz="4" w:space="0" w:color="000000"/>
              <w:bottom w:val="single" w:sz="6" w:space="0" w:color="000000"/>
              <w:right w:val="single" w:sz="6" w:space="0" w:color="000000"/>
            </w:tcBorders>
          </w:tcPr>
          <w:p>
            <w:pPr>
              <w:pStyle w:val="TableParagraph"/>
              <w:spacing w:before="41"/>
              <w:ind w:left="104"/>
              <w:rPr>
                <w:sz w:val="14"/>
              </w:rPr>
            </w:pPr>
            <w:r>
              <w:rPr>
                <w:sz w:val="14"/>
              </w:rPr>
              <w:t>14</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before="41"/>
              <w:ind w:left="104"/>
              <w:rPr>
                <w:sz w:val="14"/>
              </w:rPr>
            </w:pPr>
            <w:r>
              <w:rPr>
                <w:sz w:val="14"/>
              </w:rPr>
              <w:t>79</w:t>
            </w:r>
          </w:p>
        </w:tc>
        <w:tc>
          <w:tcPr>
            <w:tcW w:w="1905" w:type="dxa"/>
            <w:tcBorders>
              <w:top w:val="single" w:sz="6" w:space="0" w:color="000000"/>
              <w:left w:val="single" w:sz="6" w:space="0" w:color="000000"/>
              <w:bottom w:val="single" w:sz="6" w:space="0" w:color="000000"/>
              <w:right w:val="nil"/>
            </w:tcBorders>
          </w:tcPr>
          <w:p>
            <w:pPr>
              <w:pStyle w:val="TableParagraph"/>
              <w:spacing w:before="41"/>
              <w:ind w:left="103"/>
              <w:rPr>
                <w:sz w:val="14"/>
              </w:rPr>
            </w:pPr>
            <w:r>
              <w:rPr>
                <w:sz w:val="14"/>
              </w:rPr>
              <w:t>29</w:t>
            </w:r>
          </w:p>
        </w:tc>
      </w:tr>
      <w:tr>
        <w:trPr>
          <w:trHeight w:val="244" w:hRule="atLeast"/>
        </w:trPr>
        <w:tc>
          <w:tcPr>
            <w:tcW w:w="1285" w:type="dxa"/>
            <w:tcBorders>
              <w:top w:val="single" w:sz="6" w:space="0" w:color="000000"/>
              <w:left w:val="nil"/>
              <w:bottom w:val="single" w:sz="6" w:space="0" w:color="000000"/>
              <w:right w:val="single" w:sz="6" w:space="0" w:color="000000"/>
            </w:tcBorders>
          </w:tcPr>
          <w:p>
            <w:pPr>
              <w:pStyle w:val="TableParagraph"/>
              <w:spacing w:before="18"/>
              <w:ind w:left="110"/>
              <w:rPr>
                <w:rFonts w:ascii="PMingLiU" w:eastAsia="PMingLiU" w:hint="eastAsia"/>
                <w:sz w:val="14"/>
              </w:rPr>
            </w:pPr>
            <w:r>
              <w:rPr>
                <w:rFonts w:ascii="PMingLiU" w:eastAsia="PMingLiU" w:hint="eastAsia"/>
                <w:sz w:val="14"/>
              </w:rPr>
              <w:t>既往治疗数</w:t>
            </w:r>
            <w:r>
              <w:rPr>
                <w:sz w:val="14"/>
              </w:rPr>
              <w:t>/ </w:t>
            </w:r>
            <w:r>
              <w:rPr>
                <w:rFonts w:ascii="PMingLiU" w:eastAsia="PMingLiU" w:hint="eastAsia"/>
                <w:sz w:val="14"/>
              </w:rPr>
              <w:t>线</w:t>
            </w:r>
          </w:p>
        </w:tc>
        <w:tc>
          <w:tcPr>
            <w:tcW w:w="1563" w:type="dxa"/>
            <w:tcBorders>
              <w:top w:val="single" w:sz="6" w:space="0" w:color="000000"/>
              <w:left w:val="single" w:sz="6" w:space="0" w:color="000000"/>
              <w:bottom w:val="single" w:sz="6" w:space="0" w:color="000000"/>
              <w:right w:val="dashSmallGap" w:sz="4" w:space="0" w:color="000000"/>
            </w:tcBorders>
          </w:tcPr>
          <w:p>
            <w:pPr>
              <w:pStyle w:val="TableParagraph"/>
              <w:spacing w:before="41"/>
              <w:ind w:left="104"/>
              <w:rPr>
                <w:sz w:val="14"/>
              </w:rPr>
            </w:pPr>
            <w:r>
              <w:rPr>
                <w:sz w:val="14"/>
              </w:rPr>
              <w:t>N/A</w:t>
            </w:r>
          </w:p>
        </w:tc>
        <w:tc>
          <w:tcPr>
            <w:tcW w:w="1703" w:type="dxa"/>
            <w:tcBorders>
              <w:top w:val="single" w:sz="6" w:space="0" w:color="000000"/>
              <w:left w:val="dashSmallGap" w:sz="4" w:space="0" w:color="000000"/>
              <w:bottom w:val="single" w:sz="6" w:space="0" w:color="000000"/>
              <w:right w:val="single" w:sz="6" w:space="0" w:color="000000"/>
            </w:tcBorders>
          </w:tcPr>
          <w:p>
            <w:pPr>
              <w:pStyle w:val="TableParagraph"/>
              <w:spacing w:before="41"/>
              <w:ind w:left="104"/>
              <w:rPr>
                <w:sz w:val="14"/>
              </w:rPr>
            </w:pPr>
            <w:r>
              <w:rPr>
                <w:w w:val="99"/>
                <w:sz w:val="14"/>
              </w:rPr>
              <w:t>6</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before="41"/>
              <w:ind w:left="104"/>
              <w:rPr>
                <w:sz w:val="14"/>
              </w:rPr>
            </w:pPr>
            <w:r>
              <w:rPr>
                <w:w w:val="99"/>
                <w:sz w:val="14"/>
              </w:rPr>
              <w:t>5</w:t>
            </w:r>
          </w:p>
        </w:tc>
        <w:tc>
          <w:tcPr>
            <w:tcW w:w="1905" w:type="dxa"/>
            <w:tcBorders>
              <w:top w:val="single" w:sz="6" w:space="0" w:color="000000"/>
              <w:left w:val="single" w:sz="6" w:space="0" w:color="000000"/>
              <w:bottom w:val="single" w:sz="6" w:space="0" w:color="000000"/>
              <w:right w:val="nil"/>
            </w:tcBorders>
          </w:tcPr>
          <w:p>
            <w:pPr>
              <w:pStyle w:val="TableParagraph"/>
              <w:spacing w:before="41"/>
              <w:ind w:left="103"/>
              <w:rPr>
                <w:sz w:val="14"/>
              </w:rPr>
            </w:pPr>
            <w:r>
              <w:rPr>
                <w:w w:val="99"/>
                <w:sz w:val="14"/>
              </w:rPr>
              <w:t>5</w:t>
            </w:r>
          </w:p>
        </w:tc>
      </w:tr>
      <w:tr>
        <w:trPr>
          <w:trHeight w:val="609" w:hRule="atLeast"/>
        </w:trPr>
        <w:tc>
          <w:tcPr>
            <w:tcW w:w="1285" w:type="dxa"/>
            <w:tcBorders>
              <w:top w:val="single" w:sz="6" w:space="0" w:color="000000"/>
              <w:left w:val="nil"/>
              <w:bottom w:val="single" w:sz="6" w:space="0" w:color="000000"/>
              <w:right w:val="single" w:sz="6" w:space="0" w:color="000000"/>
            </w:tcBorders>
          </w:tcPr>
          <w:p>
            <w:pPr>
              <w:pStyle w:val="TableParagraph"/>
              <w:spacing w:before="10"/>
              <w:rPr>
                <w:rFonts w:ascii="Microsoft JhengHei UI"/>
                <w:b/>
                <w:sz w:val="12"/>
              </w:rPr>
            </w:pPr>
          </w:p>
          <w:p>
            <w:pPr>
              <w:pStyle w:val="TableParagraph"/>
              <w:ind w:left="110"/>
              <w:rPr>
                <w:sz w:val="14"/>
              </w:rPr>
            </w:pPr>
            <w:r>
              <w:rPr>
                <w:sz w:val="14"/>
              </w:rPr>
              <w:t>CAR-T cell dose</w:t>
            </w:r>
          </w:p>
        </w:tc>
        <w:tc>
          <w:tcPr>
            <w:tcW w:w="1563" w:type="dxa"/>
            <w:tcBorders>
              <w:top w:val="single" w:sz="6" w:space="0" w:color="000000"/>
              <w:left w:val="single" w:sz="6" w:space="0" w:color="000000"/>
              <w:bottom w:val="single" w:sz="6" w:space="0" w:color="000000"/>
              <w:right w:val="dashSmallGap" w:sz="4" w:space="0" w:color="000000"/>
            </w:tcBorders>
          </w:tcPr>
          <w:p>
            <w:pPr>
              <w:pStyle w:val="TableParagraph"/>
              <w:spacing w:before="9"/>
              <w:rPr>
                <w:rFonts w:ascii="Microsoft JhengHei UI"/>
                <w:b/>
                <w:sz w:val="11"/>
              </w:rPr>
            </w:pPr>
          </w:p>
          <w:p>
            <w:pPr>
              <w:pStyle w:val="TableParagraph"/>
              <w:ind w:left="104"/>
              <w:rPr>
                <w:rFonts w:ascii="PMingLiU" w:eastAsia="PMingLiU" w:hint="eastAsia"/>
                <w:sz w:val="14"/>
              </w:rPr>
            </w:pPr>
            <w:r>
              <w:rPr>
                <w:sz w:val="14"/>
              </w:rPr>
              <w:t>1.5~3*10^8 </w:t>
            </w:r>
            <w:r>
              <w:rPr>
                <w:rFonts w:ascii="PMingLiU" w:eastAsia="PMingLiU" w:hint="eastAsia"/>
                <w:sz w:val="14"/>
              </w:rPr>
              <w:t>个</w:t>
            </w:r>
          </w:p>
        </w:tc>
        <w:tc>
          <w:tcPr>
            <w:tcW w:w="1703" w:type="dxa"/>
            <w:tcBorders>
              <w:top w:val="single" w:sz="6" w:space="0" w:color="000000"/>
              <w:left w:val="dashSmallGap" w:sz="4" w:space="0" w:color="000000"/>
              <w:bottom w:val="single" w:sz="6" w:space="0" w:color="000000"/>
              <w:right w:val="single" w:sz="6" w:space="0" w:color="000000"/>
            </w:tcBorders>
          </w:tcPr>
          <w:p>
            <w:pPr>
              <w:pStyle w:val="TableParagraph"/>
              <w:spacing w:before="9"/>
              <w:rPr>
                <w:rFonts w:ascii="Microsoft JhengHei UI"/>
                <w:b/>
                <w:sz w:val="11"/>
              </w:rPr>
            </w:pPr>
          </w:p>
          <w:p>
            <w:pPr>
              <w:pStyle w:val="TableParagraph"/>
              <w:ind w:left="104"/>
              <w:rPr>
                <w:rFonts w:ascii="PMingLiU" w:eastAsia="PMingLiU" w:hint="eastAsia"/>
                <w:sz w:val="14"/>
              </w:rPr>
            </w:pPr>
            <w:r>
              <w:rPr>
                <w:sz w:val="14"/>
              </w:rPr>
              <w:t>1~1.5*10^8 </w:t>
            </w:r>
            <w:r>
              <w:rPr>
                <w:rFonts w:ascii="PMingLiU" w:eastAsia="PMingLiU" w:hint="eastAsia"/>
                <w:sz w:val="14"/>
              </w:rPr>
              <w:t>个</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before="9"/>
              <w:rPr>
                <w:rFonts w:ascii="Microsoft JhengHei UI"/>
                <w:b/>
                <w:sz w:val="11"/>
              </w:rPr>
            </w:pPr>
          </w:p>
          <w:p>
            <w:pPr>
              <w:pStyle w:val="TableParagraph"/>
              <w:ind w:left="104"/>
              <w:rPr>
                <w:sz w:val="14"/>
              </w:rPr>
            </w:pPr>
            <w:r>
              <w:rPr>
                <w:sz w:val="14"/>
              </w:rPr>
              <w:t>1*10^6 </w:t>
            </w:r>
            <w:r>
              <w:rPr>
                <w:rFonts w:ascii="PMingLiU" w:eastAsia="PMingLiU" w:hint="eastAsia"/>
                <w:sz w:val="14"/>
              </w:rPr>
              <w:t>个</w:t>
            </w:r>
            <w:r>
              <w:rPr>
                <w:sz w:val="14"/>
              </w:rPr>
              <w:t>/kg</w:t>
            </w:r>
          </w:p>
        </w:tc>
        <w:tc>
          <w:tcPr>
            <w:tcW w:w="1905" w:type="dxa"/>
            <w:tcBorders>
              <w:top w:val="single" w:sz="6" w:space="0" w:color="000000"/>
              <w:left w:val="single" w:sz="6" w:space="0" w:color="000000"/>
              <w:bottom w:val="single" w:sz="6" w:space="0" w:color="000000"/>
              <w:right w:val="nil"/>
            </w:tcBorders>
          </w:tcPr>
          <w:p>
            <w:pPr>
              <w:pStyle w:val="TableParagraph"/>
              <w:spacing w:line="195" w:lineRule="exact"/>
              <w:ind w:left="103"/>
              <w:rPr>
                <w:sz w:val="14"/>
              </w:rPr>
            </w:pPr>
            <w:r>
              <w:rPr>
                <w:sz w:val="14"/>
              </w:rPr>
              <w:t>DL1</w:t>
            </w:r>
            <w:r>
              <w:rPr>
                <w:spacing w:val="-2"/>
                <w:sz w:val="14"/>
              </w:rPr>
              <w:t>: </w:t>
            </w:r>
            <w:r>
              <w:rPr>
                <w:sz w:val="14"/>
              </w:rPr>
              <w:t>1*10^5</w:t>
            </w:r>
            <w:r>
              <w:rPr>
                <w:spacing w:val="-13"/>
                <w:sz w:val="14"/>
              </w:rPr>
              <w:t> </w:t>
            </w:r>
            <w:r>
              <w:rPr>
                <w:rFonts w:ascii="PMingLiU" w:eastAsia="PMingLiU" w:hint="eastAsia"/>
                <w:sz w:val="14"/>
              </w:rPr>
              <w:t>个</w:t>
            </w:r>
            <w:r>
              <w:rPr>
                <w:sz w:val="14"/>
              </w:rPr>
              <w:t>/kg</w:t>
            </w:r>
          </w:p>
          <w:p>
            <w:pPr>
              <w:pStyle w:val="TableParagraph"/>
              <w:spacing w:line="200" w:lineRule="atLeast"/>
              <w:ind w:left="103" w:right="418"/>
              <w:rPr>
                <w:sz w:val="14"/>
              </w:rPr>
            </w:pPr>
            <w:r>
              <w:rPr>
                <w:sz w:val="14"/>
              </w:rPr>
              <w:t>DL2</w:t>
            </w:r>
            <w:r>
              <w:rPr>
                <w:spacing w:val="-2"/>
                <w:sz w:val="14"/>
              </w:rPr>
              <w:t>: </w:t>
            </w:r>
            <w:r>
              <w:rPr>
                <w:sz w:val="14"/>
              </w:rPr>
              <w:t>2*10^5</w:t>
            </w:r>
            <w:r>
              <w:rPr>
                <w:spacing w:val="-11"/>
                <w:sz w:val="14"/>
              </w:rPr>
              <w:t> </w:t>
            </w:r>
            <w:r>
              <w:rPr>
                <w:rFonts w:ascii="PMingLiU" w:eastAsia="PMingLiU" w:hint="eastAsia"/>
                <w:sz w:val="14"/>
              </w:rPr>
              <w:t>个</w:t>
            </w:r>
            <w:r>
              <w:rPr>
                <w:spacing w:val="-5"/>
                <w:sz w:val="14"/>
              </w:rPr>
              <w:t>/kg </w:t>
            </w:r>
            <w:r>
              <w:rPr>
                <w:sz w:val="14"/>
              </w:rPr>
              <w:t>DL3</w:t>
            </w:r>
            <w:r>
              <w:rPr>
                <w:spacing w:val="-2"/>
                <w:sz w:val="14"/>
              </w:rPr>
              <w:t>: </w:t>
            </w:r>
            <w:r>
              <w:rPr>
                <w:sz w:val="14"/>
              </w:rPr>
              <w:t>3*10^5</w:t>
            </w:r>
            <w:r>
              <w:rPr>
                <w:spacing w:val="-12"/>
                <w:sz w:val="14"/>
              </w:rPr>
              <w:t> </w:t>
            </w:r>
            <w:r>
              <w:rPr>
                <w:rFonts w:ascii="PMingLiU" w:eastAsia="PMingLiU" w:hint="eastAsia"/>
                <w:sz w:val="14"/>
              </w:rPr>
              <w:t>个</w:t>
            </w:r>
            <w:r>
              <w:rPr>
                <w:spacing w:val="-5"/>
                <w:sz w:val="14"/>
              </w:rPr>
              <w:t>/kg</w:t>
            </w:r>
          </w:p>
        </w:tc>
      </w:tr>
      <w:tr>
        <w:trPr>
          <w:trHeight w:val="412" w:hRule="atLeast"/>
        </w:trPr>
        <w:tc>
          <w:tcPr>
            <w:tcW w:w="1285" w:type="dxa"/>
            <w:tcBorders>
              <w:top w:val="single" w:sz="6" w:space="0" w:color="000000"/>
              <w:left w:val="nil"/>
              <w:bottom w:val="single" w:sz="6" w:space="0" w:color="000000"/>
              <w:right w:val="single" w:sz="6" w:space="0" w:color="000000"/>
            </w:tcBorders>
          </w:tcPr>
          <w:p>
            <w:pPr>
              <w:pStyle w:val="TableParagraph"/>
              <w:spacing w:before="104"/>
              <w:ind w:left="110"/>
              <w:rPr>
                <w:rFonts w:ascii="PMingLiU" w:eastAsia="PMingLiU" w:hint="eastAsia"/>
                <w:sz w:val="14"/>
              </w:rPr>
            </w:pPr>
            <w:r>
              <w:rPr>
                <w:rFonts w:ascii="PMingLiU" w:eastAsia="PMingLiU" w:hint="eastAsia"/>
                <w:sz w:val="14"/>
              </w:rPr>
              <w:t>清淋方案</w:t>
            </w:r>
          </w:p>
        </w:tc>
        <w:tc>
          <w:tcPr>
            <w:tcW w:w="1563" w:type="dxa"/>
            <w:tcBorders>
              <w:top w:val="single" w:sz="6" w:space="0" w:color="000000"/>
              <w:left w:val="single" w:sz="6" w:space="0" w:color="000000"/>
              <w:bottom w:val="single" w:sz="6" w:space="0" w:color="000000"/>
              <w:right w:val="dashSmallGap" w:sz="4" w:space="0" w:color="000000"/>
            </w:tcBorders>
          </w:tcPr>
          <w:p>
            <w:pPr>
              <w:pStyle w:val="TableParagraph"/>
              <w:spacing w:before="3"/>
              <w:ind w:left="104"/>
              <w:rPr>
                <w:sz w:val="14"/>
              </w:rPr>
            </w:pPr>
            <w:r>
              <w:rPr>
                <w:rFonts w:ascii="PMingLiU" w:eastAsia="PMingLiU" w:hint="eastAsia"/>
                <w:sz w:val="14"/>
              </w:rPr>
              <w:t>氟达拉宾</w:t>
            </w:r>
            <w:r>
              <w:rPr>
                <w:sz w:val="14"/>
              </w:rPr>
              <w:t>+</w:t>
            </w:r>
          </w:p>
          <w:p>
            <w:pPr>
              <w:pStyle w:val="TableParagraph"/>
              <w:spacing w:line="187" w:lineRule="exact" w:before="6"/>
              <w:ind w:left="104"/>
              <w:rPr>
                <w:rFonts w:ascii="PMingLiU" w:eastAsia="PMingLiU" w:hint="eastAsia"/>
                <w:sz w:val="14"/>
              </w:rPr>
            </w:pPr>
            <w:r>
              <w:rPr>
                <w:rFonts w:ascii="PMingLiU" w:eastAsia="PMingLiU" w:hint="eastAsia"/>
                <w:sz w:val="14"/>
              </w:rPr>
              <w:t>环磷酰胺</w:t>
            </w:r>
          </w:p>
        </w:tc>
        <w:tc>
          <w:tcPr>
            <w:tcW w:w="1703" w:type="dxa"/>
            <w:tcBorders>
              <w:top w:val="single" w:sz="6" w:space="0" w:color="000000"/>
              <w:left w:val="dashSmallGap" w:sz="4" w:space="0" w:color="000000"/>
              <w:bottom w:val="single" w:sz="6" w:space="0" w:color="000000"/>
              <w:right w:val="single" w:sz="6" w:space="0" w:color="000000"/>
            </w:tcBorders>
          </w:tcPr>
          <w:p>
            <w:pPr>
              <w:pStyle w:val="TableParagraph"/>
              <w:spacing w:before="3"/>
              <w:ind w:left="104"/>
              <w:rPr>
                <w:sz w:val="14"/>
              </w:rPr>
            </w:pPr>
            <w:r>
              <w:rPr>
                <w:rFonts w:ascii="PMingLiU" w:eastAsia="PMingLiU" w:hint="eastAsia"/>
                <w:sz w:val="14"/>
              </w:rPr>
              <w:t>氟达拉宾</w:t>
            </w:r>
            <w:r>
              <w:rPr>
                <w:sz w:val="14"/>
              </w:rPr>
              <w:t>+</w:t>
            </w:r>
          </w:p>
          <w:p>
            <w:pPr>
              <w:pStyle w:val="TableParagraph"/>
              <w:spacing w:line="187" w:lineRule="exact" w:before="6"/>
              <w:ind w:left="104"/>
              <w:rPr>
                <w:rFonts w:ascii="PMingLiU" w:eastAsia="PMingLiU" w:hint="eastAsia"/>
                <w:sz w:val="14"/>
              </w:rPr>
            </w:pPr>
            <w:r>
              <w:rPr>
                <w:rFonts w:ascii="PMingLiU" w:eastAsia="PMingLiU" w:hint="eastAsia"/>
                <w:sz w:val="14"/>
              </w:rPr>
              <w:t>环磷酰胺</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before="3"/>
              <w:ind w:left="104"/>
              <w:rPr>
                <w:sz w:val="14"/>
              </w:rPr>
            </w:pPr>
            <w:r>
              <w:rPr>
                <w:rFonts w:ascii="PMingLiU" w:eastAsia="PMingLiU" w:hint="eastAsia"/>
                <w:sz w:val="14"/>
              </w:rPr>
              <w:t>氟达拉宾</w:t>
            </w:r>
            <w:r>
              <w:rPr>
                <w:sz w:val="14"/>
              </w:rPr>
              <w:t>+</w:t>
            </w:r>
          </w:p>
          <w:p>
            <w:pPr>
              <w:pStyle w:val="TableParagraph"/>
              <w:spacing w:line="187" w:lineRule="exact" w:before="6"/>
              <w:ind w:left="104"/>
              <w:rPr>
                <w:rFonts w:ascii="PMingLiU" w:eastAsia="PMingLiU" w:hint="eastAsia"/>
                <w:sz w:val="14"/>
              </w:rPr>
            </w:pPr>
            <w:r>
              <w:rPr>
                <w:rFonts w:ascii="PMingLiU" w:eastAsia="PMingLiU" w:hint="eastAsia"/>
                <w:sz w:val="14"/>
              </w:rPr>
              <w:t>环磷酰胺</w:t>
            </w:r>
          </w:p>
        </w:tc>
        <w:tc>
          <w:tcPr>
            <w:tcW w:w="1905" w:type="dxa"/>
            <w:tcBorders>
              <w:top w:val="single" w:sz="6" w:space="0" w:color="000000"/>
              <w:left w:val="single" w:sz="6" w:space="0" w:color="000000"/>
              <w:bottom w:val="single" w:sz="6" w:space="0" w:color="000000"/>
              <w:right w:val="nil"/>
            </w:tcBorders>
          </w:tcPr>
          <w:p>
            <w:pPr>
              <w:pStyle w:val="TableParagraph"/>
              <w:spacing w:before="3"/>
              <w:ind w:left="103"/>
              <w:rPr>
                <w:sz w:val="14"/>
              </w:rPr>
            </w:pPr>
            <w:r>
              <w:rPr>
                <w:rFonts w:ascii="PMingLiU" w:eastAsia="PMingLiU" w:hint="eastAsia"/>
                <w:sz w:val="14"/>
              </w:rPr>
              <w:t>氟达拉宾</w:t>
            </w:r>
            <w:r>
              <w:rPr>
                <w:sz w:val="14"/>
              </w:rPr>
              <w:t>+</w:t>
            </w:r>
          </w:p>
          <w:p>
            <w:pPr>
              <w:pStyle w:val="TableParagraph"/>
              <w:spacing w:line="187" w:lineRule="exact" w:before="6"/>
              <w:ind w:left="103"/>
              <w:rPr>
                <w:rFonts w:ascii="PMingLiU" w:eastAsia="PMingLiU" w:hint="eastAsia"/>
                <w:sz w:val="14"/>
              </w:rPr>
            </w:pPr>
            <w:r>
              <w:rPr>
                <w:rFonts w:ascii="PMingLiU" w:eastAsia="PMingLiU" w:hint="eastAsia"/>
                <w:sz w:val="14"/>
              </w:rPr>
              <w:t>环磷酰胺</w:t>
            </w:r>
          </w:p>
        </w:tc>
      </w:tr>
      <w:tr>
        <w:trPr>
          <w:trHeight w:val="642" w:hRule="atLeast"/>
        </w:trPr>
        <w:tc>
          <w:tcPr>
            <w:tcW w:w="1285" w:type="dxa"/>
            <w:tcBorders>
              <w:top w:val="single" w:sz="6" w:space="0" w:color="000000"/>
              <w:left w:val="nil"/>
              <w:bottom w:val="single" w:sz="6" w:space="0" w:color="000000"/>
              <w:right w:val="single" w:sz="6" w:space="0" w:color="000000"/>
            </w:tcBorders>
          </w:tcPr>
          <w:p>
            <w:pPr>
              <w:pStyle w:val="TableParagraph"/>
              <w:spacing w:before="6"/>
              <w:rPr>
                <w:rFonts w:ascii="Microsoft JhengHei UI"/>
                <w:b/>
                <w:sz w:val="13"/>
              </w:rPr>
            </w:pPr>
          </w:p>
          <w:p>
            <w:pPr>
              <w:pStyle w:val="TableParagraph"/>
              <w:ind w:left="110"/>
              <w:rPr>
                <w:sz w:val="14"/>
              </w:rPr>
            </w:pPr>
            <w:r>
              <w:rPr>
                <w:sz w:val="14"/>
              </w:rPr>
              <w:t>ORR</w:t>
            </w:r>
          </w:p>
        </w:tc>
        <w:tc>
          <w:tcPr>
            <w:tcW w:w="1563" w:type="dxa"/>
            <w:tcBorders>
              <w:top w:val="single" w:sz="6" w:space="0" w:color="000000"/>
              <w:left w:val="single" w:sz="6" w:space="0" w:color="000000"/>
              <w:bottom w:val="single" w:sz="6" w:space="0" w:color="000000"/>
              <w:right w:val="dashSmallGap" w:sz="4" w:space="0" w:color="000000"/>
            </w:tcBorders>
          </w:tcPr>
          <w:p>
            <w:pPr>
              <w:pStyle w:val="TableParagraph"/>
              <w:spacing w:before="6"/>
              <w:rPr>
                <w:rFonts w:ascii="Microsoft JhengHei UI"/>
                <w:b/>
                <w:sz w:val="13"/>
              </w:rPr>
            </w:pPr>
          </w:p>
          <w:p>
            <w:pPr>
              <w:pStyle w:val="TableParagraph"/>
              <w:ind w:left="104"/>
              <w:rPr>
                <w:sz w:val="14"/>
              </w:rPr>
            </w:pPr>
            <w:r>
              <w:rPr>
                <w:sz w:val="14"/>
              </w:rPr>
              <w:t>ORR 96.3%;</w:t>
            </w:r>
          </w:p>
        </w:tc>
        <w:tc>
          <w:tcPr>
            <w:tcW w:w="1703" w:type="dxa"/>
            <w:tcBorders>
              <w:top w:val="single" w:sz="6" w:space="0" w:color="000000"/>
              <w:left w:val="dashSmallGap" w:sz="4" w:space="0" w:color="000000"/>
              <w:bottom w:val="single" w:sz="6" w:space="0" w:color="000000"/>
              <w:right w:val="single" w:sz="6" w:space="0" w:color="000000"/>
            </w:tcBorders>
          </w:tcPr>
          <w:p>
            <w:pPr>
              <w:pStyle w:val="TableParagraph"/>
              <w:spacing w:before="14"/>
              <w:rPr>
                <w:rFonts w:ascii="Microsoft JhengHei UI"/>
                <w:b/>
                <w:sz w:val="8"/>
              </w:rPr>
            </w:pPr>
          </w:p>
          <w:p>
            <w:pPr>
              <w:pStyle w:val="TableParagraph"/>
              <w:ind w:left="104"/>
              <w:rPr>
                <w:sz w:val="14"/>
              </w:rPr>
            </w:pPr>
            <w:r>
              <w:rPr>
                <w:sz w:val="14"/>
              </w:rPr>
              <w:t>ORR: 100%;</w:t>
            </w:r>
          </w:p>
          <w:p>
            <w:pPr>
              <w:pStyle w:val="TableParagraph"/>
              <w:spacing w:before="2"/>
              <w:ind w:left="104"/>
              <w:rPr>
                <w:sz w:val="14"/>
              </w:rPr>
            </w:pPr>
            <w:r>
              <w:rPr>
                <w:sz w:val="14"/>
              </w:rPr>
              <w:t>CR/sCR: 78.6%</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before="74"/>
              <w:ind w:left="104"/>
              <w:rPr>
                <w:sz w:val="14"/>
              </w:rPr>
            </w:pPr>
            <w:r>
              <w:rPr>
                <w:sz w:val="14"/>
              </w:rPr>
              <w:t>ORR: 94.4%;</w:t>
            </w:r>
          </w:p>
          <w:p>
            <w:pPr>
              <w:pStyle w:val="TableParagraph"/>
              <w:spacing w:line="160" w:lineRule="exact" w:before="3"/>
              <w:ind w:left="104"/>
              <w:rPr>
                <w:sz w:val="14"/>
              </w:rPr>
            </w:pPr>
            <w:r>
              <w:rPr>
                <w:sz w:val="14"/>
              </w:rPr>
              <w:t>≥VGPR: 89.9%</w:t>
            </w:r>
          </w:p>
          <w:p>
            <w:pPr>
              <w:pStyle w:val="TableParagraph"/>
              <w:spacing w:line="160" w:lineRule="exact"/>
              <w:ind w:left="104"/>
              <w:rPr>
                <w:sz w:val="14"/>
              </w:rPr>
            </w:pPr>
            <w:r>
              <w:rPr>
                <w:sz w:val="14"/>
              </w:rPr>
              <w:t>CR/sCR: 68.4%</w:t>
            </w:r>
          </w:p>
        </w:tc>
        <w:tc>
          <w:tcPr>
            <w:tcW w:w="1905" w:type="dxa"/>
            <w:tcBorders>
              <w:top w:val="single" w:sz="6" w:space="0" w:color="000000"/>
              <w:left w:val="single" w:sz="6" w:space="0" w:color="000000"/>
              <w:bottom w:val="single" w:sz="6" w:space="0" w:color="000000"/>
              <w:right w:val="nil"/>
            </w:tcBorders>
          </w:tcPr>
          <w:p>
            <w:pPr>
              <w:pStyle w:val="TableParagraph"/>
              <w:spacing w:line="158" w:lineRule="exact"/>
              <w:ind w:left="103"/>
              <w:rPr>
                <w:sz w:val="14"/>
              </w:rPr>
            </w:pPr>
            <w:r>
              <w:rPr>
                <w:sz w:val="14"/>
              </w:rPr>
              <w:t>ORR:</w:t>
            </w:r>
          </w:p>
          <w:p>
            <w:pPr>
              <w:pStyle w:val="TableParagraph"/>
              <w:spacing w:line="160" w:lineRule="exact"/>
              <w:ind w:left="103"/>
              <w:rPr>
                <w:sz w:val="14"/>
              </w:rPr>
            </w:pPr>
            <w:r>
              <w:rPr>
                <w:sz w:val="14"/>
              </w:rPr>
              <w:t>DL1: 100%</w:t>
            </w:r>
          </w:p>
          <w:p>
            <w:pPr>
              <w:pStyle w:val="TableParagraph"/>
              <w:spacing w:line="160" w:lineRule="exact" w:before="2"/>
              <w:ind w:left="103"/>
              <w:rPr>
                <w:sz w:val="14"/>
              </w:rPr>
            </w:pPr>
            <w:r>
              <w:rPr>
                <w:sz w:val="14"/>
              </w:rPr>
              <w:t>DL2: 80%</w:t>
            </w:r>
          </w:p>
          <w:p>
            <w:pPr>
              <w:pStyle w:val="TableParagraph"/>
              <w:spacing w:line="143" w:lineRule="exact"/>
              <w:ind w:left="103"/>
              <w:rPr>
                <w:sz w:val="14"/>
              </w:rPr>
            </w:pPr>
            <w:r>
              <w:rPr>
                <w:sz w:val="14"/>
              </w:rPr>
              <w:t>DL3: 100%</w:t>
            </w:r>
          </w:p>
        </w:tc>
      </w:tr>
      <w:tr>
        <w:trPr>
          <w:trHeight w:val="244" w:hRule="atLeast"/>
        </w:trPr>
        <w:tc>
          <w:tcPr>
            <w:tcW w:w="1285" w:type="dxa"/>
            <w:tcBorders>
              <w:top w:val="single" w:sz="6" w:space="0" w:color="000000"/>
              <w:left w:val="nil"/>
              <w:bottom w:val="single" w:sz="6" w:space="0" w:color="000000"/>
              <w:right w:val="single" w:sz="6" w:space="0" w:color="000000"/>
            </w:tcBorders>
          </w:tcPr>
          <w:p>
            <w:pPr>
              <w:pStyle w:val="TableParagraph"/>
              <w:spacing w:before="36"/>
              <w:ind w:left="110"/>
              <w:rPr>
                <w:sz w:val="14"/>
              </w:rPr>
            </w:pPr>
            <w:r>
              <w:rPr>
                <w:sz w:val="14"/>
              </w:rPr>
              <w:t>mPFS</w:t>
            </w:r>
          </w:p>
        </w:tc>
        <w:tc>
          <w:tcPr>
            <w:tcW w:w="1563" w:type="dxa"/>
            <w:tcBorders>
              <w:top w:val="single" w:sz="6" w:space="0" w:color="000000"/>
              <w:left w:val="single" w:sz="6" w:space="0" w:color="000000"/>
              <w:bottom w:val="single" w:sz="6" w:space="0" w:color="000000"/>
              <w:right w:val="dashSmallGap" w:sz="4" w:space="0" w:color="000000"/>
            </w:tcBorders>
          </w:tcPr>
          <w:p>
            <w:pPr>
              <w:pStyle w:val="TableParagraph"/>
              <w:spacing w:before="36"/>
              <w:ind w:left="104"/>
              <w:rPr>
                <w:sz w:val="14"/>
              </w:rPr>
            </w:pPr>
            <w:r>
              <w:rPr>
                <w:sz w:val="14"/>
              </w:rPr>
              <w:t>NR</w:t>
            </w:r>
          </w:p>
        </w:tc>
        <w:tc>
          <w:tcPr>
            <w:tcW w:w="1703" w:type="dxa"/>
            <w:tcBorders>
              <w:top w:val="single" w:sz="6" w:space="0" w:color="000000"/>
              <w:left w:val="dashSmallGap" w:sz="4" w:space="0" w:color="000000"/>
              <w:bottom w:val="single" w:sz="6" w:space="0" w:color="000000"/>
              <w:right w:val="single" w:sz="6" w:space="0" w:color="000000"/>
            </w:tcBorders>
          </w:tcPr>
          <w:p>
            <w:pPr>
              <w:pStyle w:val="TableParagraph"/>
              <w:spacing w:before="36"/>
              <w:ind w:left="104"/>
              <w:rPr>
                <w:sz w:val="14"/>
              </w:rPr>
            </w:pPr>
            <w:r>
              <w:rPr>
                <w:sz w:val="14"/>
              </w:rPr>
              <w:t>NR</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before="36"/>
              <w:ind w:left="104"/>
              <w:rPr>
                <w:sz w:val="14"/>
              </w:rPr>
            </w:pPr>
            <w:r>
              <w:rPr>
                <w:sz w:val="14"/>
              </w:rPr>
              <w:t>NR</w:t>
            </w:r>
          </w:p>
        </w:tc>
        <w:tc>
          <w:tcPr>
            <w:tcW w:w="1905" w:type="dxa"/>
            <w:tcBorders>
              <w:top w:val="single" w:sz="6" w:space="0" w:color="000000"/>
              <w:left w:val="single" w:sz="6" w:space="0" w:color="000000"/>
              <w:bottom w:val="single" w:sz="6" w:space="0" w:color="000000"/>
              <w:right w:val="nil"/>
            </w:tcBorders>
          </w:tcPr>
          <w:p>
            <w:pPr>
              <w:pStyle w:val="TableParagraph"/>
              <w:spacing w:before="36"/>
              <w:ind w:left="103"/>
              <w:rPr>
                <w:sz w:val="14"/>
              </w:rPr>
            </w:pPr>
            <w:r>
              <w:rPr>
                <w:sz w:val="14"/>
              </w:rPr>
              <w:t>NR</w:t>
            </w:r>
          </w:p>
        </w:tc>
      </w:tr>
      <w:tr>
        <w:trPr>
          <w:trHeight w:val="364" w:hRule="atLeast"/>
        </w:trPr>
        <w:tc>
          <w:tcPr>
            <w:tcW w:w="1285" w:type="dxa"/>
            <w:tcBorders>
              <w:top w:val="single" w:sz="6" w:space="0" w:color="000000"/>
              <w:left w:val="nil"/>
              <w:bottom w:val="single" w:sz="6" w:space="0" w:color="000000"/>
              <w:right w:val="single" w:sz="6" w:space="0" w:color="000000"/>
            </w:tcBorders>
          </w:tcPr>
          <w:p>
            <w:pPr>
              <w:pStyle w:val="TableParagraph"/>
              <w:spacing w:line="195" w:lineRule="exact"/>
              <w:ind w:left="110"/>
              <w:rPr>
                <w:sz w:val="14"/>
              </w:rPr>
            </w:pPr>
            <w:r>
              <w:rPr>
                <w:rFonts w:ascii="PMingLiU" w:eastAsia="PMingLiU" w:hint="eastAsia"/>
                <w:sz w:val="14"/>
              </w:rPr>
              <w:t>全部 </w:t>
            </w:r>
            <w:r>
              <w:rPr>
                <w:sz w:val="14"/>
              </w:rPr>
              <w:t>CRS/</w:t>
            </w:r>
          </w:p>
          <w:p>
            <w:pPr>
              <w:pStyle w:val="TableParagraph"/>
              <w:spacing w:line="145" w:lineRule="exact" w:before="5"/>
              <w:ind w:left="110"/>
              <w:rPr>
                <w:sz w:val="14"/>
              </w:rPr>
            </w:pPr>
            <w:r>
              <w:rPr>
                <w:sz w:val="14"/>
              </w:rPr>
              <w:t>≥G3 CRS</w:t>
            </w:r>
          </w:p>
        </w:tc>
        <w:tc>
          <w:tcPr>
            <w:tcW w:w="1563" w:type="dxa"/>
            <w:tcBorders>
              <w:top w:val="single" w:sz="6" w:space="0" w:color="000000"/>
              <w:left w:val="single" w:sz="6" w:space="0" w:color="000000"/>
              <w:bottom w:val="single" w:sz="6" w:space="0" w:color="000000"/>
              <w:right w:val="dashSmallGap" w:sz="4" w:space="0" w:color="000000"/>
            </w:tcBorders>
          </w:tcPr>
          <w:p>
            <w:pPr>
              <w:pStyle w:val="TableParagraph"/>
              <w:spacing w:before="99"/>
              <w:ind w:left="104"/>
              <w:rPr>
                <w:sz w:val="14"/>
              </w:rPr>
            </w:pPr>
            <w:r>
              <w:rPr>
                <w:sz w:val="14"/>
              </w:rPr>
              <w:t>78.9%/ 0%</w:t>
            </w:r>
          </w:p>
        </w:tc>
        <w:tc>
          <w:tcPr>
            <w:tcW w:w="1703" w:type="dxa"/>
            <w:tcBorders>
              <w:top w:val="single" w:sz="6" w:space="0" w:color="000000"/>
              <w:left w:val="dashSmallGap" w:sz="4" w:space="0" w:color="000000"/>
              <w:bottom w:val="single" w:sz="6" w:space="0" w:color="000000"/>
              <w:right w:val="single" w:sz="6" w:space="0" w:color="000000"/>
            </w:tcBorders>
          </w:tcPr>
          <w:p>
            <w:pPr>
              <w:pStyle w:val="TableParagraph"/>
              <w:spacing w:before="99"/>
              <w:ind w:left="104"/>
              <w:rPr>
                <w:sz w:val="14"/>
              </w:rPr>
            </w:pPr>
            <w:r>
              <w:rPr>
                <w:sz w:val="14"/>
              </w:rPr>
              <w:t>92.9%/ 0%</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before="99"/>
              <w:ind w:left="104"/>
              <w:rPr>
                <w:sz w:val="14"/>
              </w:rPr>
            </w:pPr>
            <w:r>
              <w:rPr>
                <w:sz w:val="14"/>
              </w:rPr>
              <w:t>94.9%/ 0%</w:t>
            </w:r>
          </w:p>
        </w:tc>
        <w:tc>
          <w:tcPr>
            <w:tcW w:w="1905" w:type="dxa"/>
            <w:tcBorders>
              <w:top w:val="single" w:sz="6" w:space="0" w:color="000000"/>
              <w:left w:val="single" w:sz="6" w:space="0" w:color="000000"/>
              <w:bottom w:val="single" w:sz="6" w:space="0" w:color="000000"/>
              <w:right w:val="nil"/>
            </w:tcBorders>
          </w:tcPr>
          <w:p>
            <w:pPr>
              <w:pStyle w:val="TableParagraph"/>
              <w:spacing w:before="99"/>
              <w:ind w:left="103"/>
              <w:rPr>
                <w:sz w:val="14"/>
              </w:rPr>
            </w:pPr>
            <w:r>
              <w:rPr>
                <w:sz w:val="14"/>
              </w:rPr>
              <w:t>100%/ 7%</w:t>
            </w:r>
          </w:p>
        </w:tc>
      </w:tr>
      <w:tr>
        <w:trPr>
          <w:trHeight w:val="363" w:hRule="atLeast"/>
        </w:trPr>
        <w:tc>
          <w:tcPr>
            <w:tcW w:w="1285" w:type="dxa"/>
            <w:tcBorders>
              <w:top w:val="single" w:sz="6" w:space="0" w:color="000000"/>
              <w:left w:val="nil"/>
              <w:right w:val="single" w:sz="6" w:space="0" w:color="000000"/>
            </w:tcBorders>
          </w:tcPr>
          <w:p>
            <w:pPr>
              <w:pStyle w:val="TableParagraph"/>
              <w:spacing w:line="195" w:lineRule="exact"/>
              <w:ind w:left="110"/>
              <w:rPr>
                <w:sz w:val="14"/>
              </w:rPr>
            </w:pPr>
            <w:r>
              <w:rPr>
                <w:rFonts w:ascii="PMingLiU" w:eastAsia="PMingLiU" w:hint="eastAsia"/>
                <w:sz w:val="14"/>
              </w:rPr>
              <w:t>全部 </w:t>
            </w:r>
            <w:r>
              <w:rPr>
                <w:sz w:val="14"/>
              </w:rPr>
              <w:t>ICANS/</w:t>
            </w:r>
          </w:p>
          <w:p>
            <w:pPr>
              <w:pStyle w:val="TableParagraph"/>
              <w:spacing w:line="144" w:lineRule="exact" w:before="5"/>
              <w:ind w:left="110"/>
              <w:rPr>
                <w:sz w:val="14"/>
              </w:rPr>
            </w:pPr>
            <w:r>
              <w:rPr>
                <w:sz w:val="14"/>
              </w:rPr>
              <w:t>≥G3 ICANS</w:t>
            </w:r>
          </w:p>
        </w:tc>
        <w:tc>
          <w:tcPr>
            <w:tcW w:w="1563" w:type="dxa"/>
            <w:tcBorders>
              <w:top w:val="single" w:sz="6" w:space="0" w:color="000000"/>
              <w:left w:val="single" w:sz="6" w:space="0" w:color="000000"/>
              <w:right w:val="dashSmallGap" w:sz="4" w:space="0" w:color="000000"/>
            </w:tcBorders>
          </w:tcPr>
          <w:p>
            <w:pPr>
              <w:pStyle w:val="TableParagraph"/>
              <w:spacing w:before="98"/>
              <w:ind w:left="104"/>
              <w:rPr>
                <w:sz w:val="14"/>
              </w:rPr>
            </w:pPr>
            <w:r>
              <w:rPr>
                <w:sz w:val="14"/>
              </w:rPr>
              <w:t>15.8%/ 3.7%</w:t>
            </w:r>
          </w:p>
        </w:tc>
        <w:tc>
          <w:tcPr>
            <w:tcW w:w="1703" w:type="dxa"/>
            <w:tcBorders>
              <w:top w:val="single" w:sz="6" w:space="0" w:color="000000"/>
              <w:left w:val="dashSmallGap" w:sz="4" w:space="0" w:color="000000"/>
              <w:right w:val="single" w:sz="6" w:space="0" w:color="000000"/>
            </w:tcBorders>
          </w:tcPr>
          <w:p>
            <w:pPr>
              <w:pStyle w:val="TableParagraph"/>
              <w:spacing w:before="98"/>
              <w:ind w:left="104"/>
              <w:rPr>
                <w:sz w:val="14"/>
              </w:rPr>
            </w:pPr>
            <w:r>
              <w:rPr>
                <w:sz w:val="14"/>
              </w:rPr>
              <w:t>≥G3: 0%</w:t>
            </w:r>
          </w:p>
        </w:tc>
        <w:tc>
          <w:tcPr>
            <w:tcW w:w="1518" w:type="dxa"/>
            <w:tcBorders>
              <w:top w:val="single" w:sz="6" w:space="0" w:color="000000"/>
              <w:left w:val="single" w:sz="6" w:space="0" w:color="000000"/>
              <w:right w:val="single" w:sz="6" w:space="0" w:color="000000"/>
            </w:tcBorders>
          </w:tcPr>
          <w:p>
            <w:pPr>
              <w:pStyle w:val="TableParagraph"/>
              <w:spacing w:before="98"/>
              <w:ind w:left="104"/>
              <w:rPr>
                <w:sz w:val="14"/>
              </w:rPr>
            </w:pPr>
            <w:r>
              <w:rPr>
                <w:sz w:val="14"/>
              </w:rPr>
              <w:t>2.5%/ 0%</w:t>
            </w:r>
          </w:p>
        </w:tc>
        <w:tc>
          <w:tcPr>
            <w:tcW w:w="1905" w:type="dxa"/>
            <w:tcBorders>
              <w:top w:val="single" w:sz="6" w:space="0" w:color="000000"/>
              <w:left w:val="single" w:sz="6" w:space="0" w:color="000000"/>
              <w:right w:val="nil"/>
            </w:tcBorders>
          </w:tcPr>
          <w:p>
            <w:pPr>
              <w:pStyle w:val="TableParagraph"/>
              <w:spacing w:before="98"/>
              <w:ind w:left="103"/>
              <w:rPr>
                <w:sz w:val="14"/>
              </w:rPr>
            </w:pPr>
            <w:r>
              <w:rPr>
                <w:sz w:val="14"/>
              </w:rPr>
              <w:t>≥G4: 0%</w:t>
            </w:r>
          </w:p>
        </w:tc>
      </w:tr>
    </w:tbl>
    <w:p>
      <w:pPr>
        <w:spacing w:before="17"/>
        <w:ind w:left="210" w:right="0" w:firstLine="0"/>
        <w:jc w:val="left"/>
        <w:rPr>
          <w:sz w:val="16"/>
        </w:rPr>
      </w:pPr>
      <w:r>
        <w:rPr>
          <w:sz w:val="16"/>
        </w:rPr>
        <w:t>资料来源</w:t>
      </w:r>
      <w:r>
        <w:rPr>
          <w:rFonts w:ascii="Arial" w:eastAsia="Arial"/>
          <w:sz w:val="16"/>
        </w:rPr>
        <w:t>:</w:t>
      </w:r>
      <w:r>
        <w:rPr>
          <w:sz w:val="16"/>
        </w:rPr>
        <w:t>各公司官网，</w:t>
      </w:r>
      <w:r>
        <w:rPr>
          <w:rFonts w:ascii="Arial" w:eastAsia="Arial"/>
          <w:sz w:val="16"/>
        </w:rPr>
        <w:t>EHA, ASH, </w:t>
      </w:r>
      <w:r>
        <w:rPr>
          <w:sz w:val="16"/>
        </w:rPr>
        <w:t>招银国际证券</w:t>
      </w:r>
    </w:p>
    <w:p>
      <w:pPr>
        <w:spacing w:after="0"/>
        <w:jc w:val="left"/>
        <w:rPr>
          <w:sz w:val="16"/>
        </w:rPr>
        <w:sectPr>
          <w:pgSz w:w="11910" w:h="16840"/>
          <w:pgMar w:header="682" w:footer="358" w:top="1380" w:bottom="540" w:left="640" w:right="300"/>
        </w:sectPr>
      </w:pPr>
    </w:p>
    <w:p>
      <w:pPr>
        <w:pStyle w:val="BodyText"/>
        <w:spacing w:before="9"/>
        <w:ind w:left="0"/>
        <w:rPr>
          <w:sz w:val="12"/>
        </w:rPr>
      </w:pPr>
    </w:p>
    <w:p>
      <w:pPr>
        <w:pStyle w:val="Heading1"/>
      </w:pPr>
      <w:bookmarkStart w:name="_bookmark15" w:id="16"/>
      <w:bookmarkEnd w:id="16"/>
      <w:r>
        <w:rPr>
          <w:b w:val="0"/>
        </w:rPr>
      </w:r>
      <w:r>
        <w:rPr>
          <w:color w:val="C00000"/>
        </w:rPr>
        <w:t>实体瘤篇：寻找理想靶抗原，</w:t>
      </w:r>
      <w:r>
        <w:rPr>
          <w:rFonts w:ascii="Arial" w:eastAsia="Arial"/>
          <w:color w:val="C00000"/>
        </w:rPr>
        <w:t>CAR-T </w:t>
      </w:r>
      <w:r>
        <w:rPr>
          <w:color w:val="C00000"/>
        </w:rPr>
        <w:t>积极探索实体瘤适应症</w:t>
      </w:r>
    </w:p>
    <w:p>
      <w:pPr>
        <w:pStyle w:val="Heading2"/>
        <w:spacing w:before="106"/>
      </w:pPr>
      <w:bookmarkStart w:name="_bookmark16" w:id="17"/>
      <w:bookmarkEnd w:id="17"/>
      <w:r>
        <w:rPr>
          <w:b w:val="0"/>
        </w:rPr>
      </w:r>
      <w:r>
        <w:rPr>
          <w:color w:val="585858"/>
        </w:rPr>
        <w:t>道阻且难，</w:t>
      </w:r>
      <w:r>
        <w:rPr>
          <w:rFonts w:ascii="Arial" w:eastAsia="Arial"/>
          <w:color w:val="585858"/>
        </w:rPr>
        <w:t>CAR-T </w:t>
      </w:r>
      <w:r>
        <w:rPr>
          <w:color w:val="585858"/>
        </w:rPr>
        <w:t>用于实体瘤治疗需要克服若干难题</w:t>
      </w:r>
    </w:p>
    <w:p>
      <w:pPr>
        <w:pStyle w:val="BodyText"/>
        <w:spacing w:line="288" w:lineRule="auto" w:before="119"/>
        <w:ind w:right="2812"/>
        <w:jc w:val="both"/>
      </w:pPr>
      <w:r>
        <w:rPr/>
        <w:t>虽然 </w:t>
      </w:r>
      <w:r>
        <w:rPr>
          <w:rFonts w:ascii="Arial" w:eastAsia="Arial"/>
        </w:rPr>
        <w:t>CAR-T </w:t>
      </w:r>
      <w:r>
        <w:rPr/>
        <w:t>已经在血液瘤治疗中大放异彩，但在实体瘤领域的应用却进展缓慢，原因主要是实体瘤与血液瘤本身存在诸多差异。首先，血液瘤中已经发现了相对理想的高同质化靶抗原；其次，血液瘤细胞分散于血液中，几乎不存在肿瘤微环境，</w:t>
      </w:r>
      <w:r>
        <w:rPr>
          <w:rFonts w:ascii="Arial" w:eastAsia="Arial"/>
        </w:rPr>
        <w:t>CAR-T </w:t>
      </w:r>
      <w:r>
        <w:rPr/>
        <w:t>可直接对肿瘤细胞进行定位杀伤。相比之下，</w:t>
      </w:r>
      <w:r>
        <w:rPr>
          <w:rFonts w:ascii="Arial" w:eastAsia="Arial"/>
        </w:rPr>
        <w:t>CAR-T </w:t>
      </w:r>
      <w:r>
        <w:rPr/>
        <w:t>若想要在实体瘤中发挥作用，需要突破实体瘤微环境实现浸润，对高异性的靶点完成识别，并在苛刻的肿瘤微环境中长期存活并增殖。</w:t>
      </w:r>
    </w:p>
    <w:p>
      <w:pPr>
        <w:pStyle w:val="BodyText"/>
        <w:spacing w:line="280" w:lineRule="auto" w:before="64"/>
        <w:ind w:right="2810"/>
        <w:jc w:val="both"/>
      </w:pPr>
      <w:r>
        <w:rPr>
          <w:rFonts w:ascii="Microsoft JhengHei UI" w:eastAsia="Microsoft JhengHei UI" w:hint="eastAsia"/>
          <w:b/>
        </w:rPr>
        <w:t>实体瘤的异质抗原表达及抗原逃逸影响 </w:t>
      </w:r>
      <w:r>
        <w:rPr>
          <w:rFonts w:ascii="Arial" w:eastAsia="Arial"/>
          <w:b/>
        </w:rPr>
        <w:t>CAR-T </w:t>
      </w:r>
      <w:r>
        <w:rPr>
          <w:rFonts w:ascii="Microsoft JhengHei UI" w:eastAsia="Microsoft JhengHei UI" w:hint="eastAsia"/>
          <w:b/>
        </w:rPr>
        <w:t>疗效。</w:t>
      </w:r>
      <w:r>
        <w:rPr/>
        <w:t>血液瘤的靶抗原通常是同质的，而实体瘤的靶抗原具有异质性。实体瘤的同一病灶上没有一种抗原可以覆盖全部的肿瘤细胞， 原发和转移灶的抗原也可能不同。因此如果仅靶向单一抗原，只能清除部分肿瘤细胞。另外，治疗中可能出现的抗原逃逸也会影响到 </w:t>
      </w:r>
      <w:r>
        <w:rPr>
          <w:rFonts w:ascii="Arial" w:eastAsia="Arial"/>
        </w:rPr>
        <w:t>CAR-T </w:t>
      </w:r>
      <w:r>
        <w:rPr/>
        <w:t>疗效。如果靶向抗原仅是肿瘤发生的副产物，肿瘤可以在 </w:t>
      </w:r>
      <w:r>
        <w:rPr>
          <w:rFonts w:ascii="Arial" w:eastAsia="Arial"/>
        </w:rPr>
        <w:t>DNA </w:t>
      </w:r>
      <w:r>
        <w:rPr/>
        <w:t>水平下调抗原表达，甚至丢失抗原。</w:t>
      </w:r>
    </w:p>
    <w:p>
      <w:pPr>
        <w:pStyle w:val="BodyText"/>
        <w:spacing w:line="280" w:lineRule="auto" w:before="70"/>
        <w:ind w:right="2811"/>
        <w:jc w:val="both"/>
      </w:pPr>
      <w:r>
        <w:rPr>
          <w:rFonts w:ascii="Microsoft JhengHei UI" w:eastAsia="Microsoft JhengHei UI" w:hint="eastAsia"/>
          <w:b/>
          <w:spacing w:val="1"/>
        </w:rPr>
        <w:t>缺乏合适的肿瘤特异性抗原导致 </w:t>
      </w:r>
      <w:r>
        <w:rPr>
          <w:rFonts w:ascii="Arial" w:eastAsia="Arial"/>
          <w:b/>
        </w:rPr>
        <w:t>CAR-T </w:t>
      </w:r>
      <w:r>
        <w:rPr>
          <w:rFonts w:ascii="Microsoft JhengHei UI" w:eastAsia="Microsoft JhengHei UI" w:hint="eastAsia"/>
          <w:b/>
        </w:rPr>
        <w:t>治疗副作用。</w:t>
      </w:r>
      <w:r>
        <w:rPr/>
        <w:t>肿瘤抗原主要分为肿瘤特异性抗原</w:t>
      </w:r>
      <w:r>
        <w:rPr>
          <w:rFonts w:ascii="Arial" w:eastAsia="Arial"/>
        </w:rPr>
        <w:t>(TSA) </w:t>
      </w:r>
      <w:r>
        <w:rPr>
          <w:spacing w:val="3"/>
        </w:rPr>
        <w:t>和肿瘤相关抗原 </w:t>
      </w:r>
      <w:r>
        <w:rPr>
          <w:rFonts w:ascii="Arial" w:eastAsia="Arial"/>
        </w:rPr>
        <w:t>(TAA) </w:t>
      </w:r>
      <w:r>
        <w:rPr>
          <w:spacing w:val="-5"/>
        </w:rPr>
        <w:t>。</w:t>
      </w:r>
      <w:r>
        <w:rPr>
          <w:rFonts w:ascii="Arial" w:eastAsia="Arial"/>
        </w:rPr>
        <w:t>TSA </w:t>
      </w:r>
      <w:r>
        <w:rPr>
          <w:spacing w:val="-6"/>
        </w:rPr>
        <w:t>只存在于肿瘤组织，是最理想的肿瘤抗原，然而其很</w:t>
      </w:r>
      <w:r>
        <w:rPr/>
        <w:t>少分布于实体瘤表面。</w:t>
      </w:r>
      <w:r>
        <w:rPr>
          <w:rFonts w:ascii="Arial" w:eastAsia="Arial"/>
        </w:rPr>
        <w:t>TAA </w:t>
      </w:r>
      <w:r>
        <w:rPr>
          <w:spacing w:val="-1"/>
        </w:rPr>
        <w:t>在一类肿瘤细胞中过度表达，具有泛癌种潜力，然而其同时也在正常组织中表达。因此靶向</w:t>
      </w:r>
      <w:r>
        <w:rPr>
          <w:rFonts w:ascii="Arial" w:eastAsia="Arial"/>
        </w:rPr>
        <w:t>TAA </w:t>
      </w:r>
      <w:r>
        <w:rPr>
          <w:spacing w:val="-3"/>
        </w:rPr>
        <w:t>的免疫疗法粗在脱靶风险 </w:t>
      </w:r>
      <w:r>
        <w:rPr>
          <w:rFonts w:ascii="Arial" w:eastAsia="Arial"/>
        </w:rPr>
        <w:t>(on-target off-tumor)</w:t>
      </w:r>
      <w:r>
        <w:rPr>
          <w:spacing w:val="-2"/>
        </w:rPr>
        <w:t>，例如抗</w:t>
      </w:r>
      <w:r>
        <w:rPr>
          <w:rFonts w:ascii="Arial" w:eastAsia="Arial"/>
          <w:spacing w:val="-2"/>
        </w:rPr>
        <w:t>CD19 </w:t>
      </w:r>
      <w:r>
        <w:rPr>
          <w:spacing w:val="48"/>
        </w:rPr>
        <w:t>的</w:t>
      </w:r>
      <w:r>
        <w:rPr>
          <w:rFonts w:ascii="Arial" w:eastAsia="Arial"/>
        </w:rPr>
        <w:t>CAR-T </w:t>
      </w:r>
      <w:r>
        <w:rPr>
          <w:spacing w:val="9"/>
        </w:rPr>
        <w:t>细胞可导致</w:t>
      </w:r>
      <w:r>
        <w:rPr>
          <w:rFonts w:ascii="Arial" w:eastAsia="Arial"/>
        </w:rPr>
        <w:t>B </w:t>
      </w:r>
      <w:r>
        <w:rPr>
          <w:spacing w:val="-3"/>
        </w:rPr>
        <w:t>细胞发育不全。</w:t>
      </w:r>
    </w:p>
    <w:p>
      <w:pPr>
        <w:pStyle w:val="Heading3"/>
        <w:spacing w:before="75" w:after="5"/>
        <w:jc w:val="left"/>
      </w:pPr>
      <w:r>
        <w:rPr/>
        <w:t>图 </w:t>
      </w:r>
      <w:r>
        <w:rPr>
          <w:rFonts w:ascii="Arial" w:eastAsia="Arial"/>
        </w:rPr>
        <w:t>38: </w:t>
      </w:r>
      <w:r>
        <w:rPr/>
        <w:t>肿瘤细胞抗原逃逸及</w:t>
      </w:r>
      <w:r>
        <w:rPr>
          <w:rFonts w:ascii="Arial" w:eastAsia="Arial"/>
        </w:rPr>
        <w:t>CAR-T </w:t>
      </w:r>
      <w:r>
        <w:rPr/>
        <w:t>细胞脱靶效应</w:t>
      </w:r>
    </w:p>
    <w:p>
      <w:pPr>
        <w:pStyle w:val="BodyText"/>
        <w:ind w:left="181"/>
        <w:rPr>
          <w:rFonts w:ascii="Microsoft JhengHei UI"/>
        </w:rPr>
      </w:pPr>
      <w:r>
        <w:rPr>
          <w:rFonts w:ascii="Microsoft JhengHei UI"/>
        </w:rPr>
        <w:pict>
          <v:group style="width:400.05pt;height:145.5pt;mso-position-horizontal-relative:char;mso-position-vertical-relative:line" coordorigin="0,0" coordsize="8001,2910">
            <v:shape style="position:absolute;left:0;top:0;width:8001;height:2910" coordorigin="0,0" coordsize="8001,2910" path="m8000,2881l0,2881,0,2910,8000,2910,8000,2881xm8000,0l0,0,0,29,8000,29,8000,0xe" filled="true" fillcolor="#000000" stroked="false">
              <v:path arrowok="t"/>
              <v:fill type="solid"/>
            </v:shape>
            <v:shape style="position:absolute;left:671;top:26;width:6689;height:2830" type="#_x0000_t75" stroked="false">
              <v:imagedata r:id="rId46" o:title=""/>
            </v:shape>
          </v:group>
        </w:pict>
      </w:r>
      <w:r>
        <w:rPr>
          <w:rFonts w:ascii="Microsoft JhengHei UI"/>
        </w:rPr>
      </w:r>
    </w:p>
    <w:p>
      <w:pPr>
        <w:spacing w:line="216" w:lineRule="exact" w:before="0"/>
        <w:ind w:left="210" w:right="0" w:firstLine="0"/>
        <w:jc w:val="left"/>
        <w:rPr>
          <w:sz w:val="16"/>
        </w:rPr>
      </w:pPr>
      <w:r>
        <w:rPr>
          <w:sz w:val="16"/>
        </w:rPr>
        <w:t>资料来源</w:t>
      </w:r>
      <w:r>
        <w:rPr>
          <w:rFonts w:ascii="Arial" w:eastAsia="Arial"/>
          <w:sz w:val="16"/>
        </w:rPr>
        <w:t>: Sterner, R.C. et al. Blood Cancer Journal 2021, </w:t>
      </w:r>
      <w:r>
        <w:rPr>
          <w:sz w:val="16"/>
        </w:rPr>
        <w:t>招银国际证券</w:t>
      </w:r>
    </w:p>
    <w:p>
      <w:pPr>
        <w:pStyle w:val="BodyText"/>
        <w:spacing w:before="6"/>
        <w:ind w:left="0"/>
        <w:rPr>
          <w:sz w:val="21"/>
        </w:rPr>
      </w:pPr>
    </w:p>
    <w:p>
      <w:pPr>
        <w:pStyle w:val="BodyText"/>
        <w:spacing w:line="280" w:lineRule="auto" w:before="45"/>
        <w:ind w:right="2809"/>
        <w:jc w:val="both"/>
      </w:pPr>
      <w:r>
        <w:rPr>
          <w:rFonts w:ascii="Microsoft JhengHei UI" w:eastAsia="Microsoft JhengHei UI" w:hint="eastAsia"/>
          <w:b/>
          <w:spacing w:val="1"/>
        </w:rPr>
        <w:t>实体瘤物理屏障限制 </w:t>
      </w:r>
      <w:r>
        <w:rPr>
          <w:rFonts w:ascii="Arial" w:eastAsia="Arial"/>
          <w:b/>
        </w:rPr>
        <w:t>CAR-T </w:t>
      </w:r>
      <w:r>
        <w:rPr>
          <w:rFonts w:ascii="Microsoft JhengHei UI" w:eastAsia="Microsoft JhengHei UI" w:hint="eastAsia"/>
          <w:b/>
          <w:spacing w:val="-2"/>
        </w:rPr>
        <w:t>细胞对肿瘤的浸润。</w:t>
      </w:r>
      <w:r>
        <w:rPr>
          <w:spacing w:val="-6"/>
        </w:rPr>
        <w:t>为满足异常增殖下的充分供血，癌细胞会</w:t>
      </w:r>
      <w:r>
        <w:rPr>
          <w:spacing w:val="-2"/>
        </w:rPr>
        <w:t>产生成纤维细胞生长因子 </w:t>
      </w:r>
      <w:r>
        <w:rPr>
          <w:rFonts w:ascii="Arial" w:eastAsia="Arial"/>
        </w:rPr>
        <w:t>(FGF)</w:t>
      </w:r>
      <w:r>
        <w:rPr>
          <w:spacing w:val="-1"/>
        </w:rPr>
        <w:t>及血管内皮生长因子 </w:t>
      </w:r>
      <w:r>
        <w:rPr>
          <w:rFonts w:ascii="Arial" w:eastAsia="Arial"/>
        </w:rPr>
        <w:t>(VEGF)</w:t>
      </w:r>
      <w:r>
        <w:rPr>
          <w:spacing w:val="-5"/>
        </w:rPr>
        <w:t>。组织内表现为肿瘤相关成纤</w:t>
      </w:r>
      <w:r>
        <w:rPr>
          <w:spacing w:val="11"/>
        </w:rPr>
        <w:t>维细胞 </w:t>
      </w:r>
      <w:r>
        <w:rPr>
          <w:rFonts w:ascii="Arial" w:eastAsia="Arial"/>
        </w:rPr>
        <w:t>(CAF) </w:t>
      </w:r>
      <w:r>
        <w:rPr>
          <w:spacing w:val="8"/>
        </w:rPr>
        <w:t>增多，其通过分泌趋化因子募集各类成分细胞，形成致密的细胞外基质</w:t>
      </w:r>
      <w:r>
        <w:rPr>
          <w:rFonts w:ascii="Arial" w:eastAsia="Arial"/>
          <w:spacing w:val="8"/>
        </w:rPr>
        <w:t>(ECM)</w:t>
      </w:r>
      <w:r>
        <w:rPr>
          <w:spacing w:val="8"/>
        </w:rPr>
        <w:t>，限制</w:t>
      </w:r>
      <w:r>
        <w:rPr>
          <w:rFonts w:ascii="Arial" w:eastAsia="Arial"/>
        </w:rPr>
        <w:t>T </w:t>
      </w:r>
      <w:r>
        <w:rPr>
          <w:spacing w:val="-3"/>
        </w:rPr>
        <w:t>细胞渗透和迁移；及肿瘤内血管缺少表皮细胞</w:t>
      </w:r>
      <w:r>
        <w:rPr>
          <w:rFonts w:ascii="Arial" w:eastAsia="Arial"/>
          <w:spacing w:val="-5"/>
        </w:rPr>
        <w:t>(</w:t>
      </w:r>
      <w:r>
        <w:rPr>
          <w:spacing w:val="-4"/>
        </w:rPr>
        <w:t>肿瘤高内皮小静脉，</w:t>
      </w:r>
      <w:r>
        <w:rPr>
          <w:rFonts w:ascii="Arial" w:eastAsia="Arial"/>
          <w:spacing w:val="-4"/>
        </w:rPr>
        <w:t>HEV)</w:t>
      </w:r>
      <w:r>
        <w:rPr>
          <w:spacing w:val="-4"/>
        </w:rPr>
        <w:t>， </w:t>
      </w:r>
      <w:r>
        <w:rPr>
          <w:spacing w:val="48"/>
        </w:rPr>
        <w:t>使</w:t>
      </w:r>
      <w:r>
        <w:rPr>
          <w:rFonts w:ascii="Arial" w:eastAsia="Arial"/>
        </w:rPr>
        <w:t>CAR-T </w:t>
      </w:r>
      <w:r>
        <w:rPr>
          <w:spacing w:val="-4"/>
        </w:rPr>
        <w:t>难以定位及浸润组织。</w:t>
      </w:r>
    </w:p>
    <w:p>
      <w:pPr>
        <w:pStyle w:val="BodyText"/>
        <w:spacing w:line="280" w:lineRule="auto" w:before="71"/>
        <w:ind w:right="2811"/>
        <w:jc w:val="both"/>
      </w:pPr>
      <w:r>
        <w:rPr>
          <w:rFonts w:ascii="Microsoft JhengHei UI" w:hAnsi="Microsoft JhengHei UI" w:eastAsia="Microsoft JhengHei UI" w:hint="eastAsia"/>
          <w:b/>
          <w:spacing w:val="-2"/>
        </w:rPr>
        <w:t>肿瘤微环境的免疫抑制不利于 </w:t>
      </w:r>
      <w:r>
        <w:rPr>
          <w:rFonts w:ascii="Arial" w:hAnsi="Arial" w:eastAsia="Arial"/>
          <w:b/>
          <w:spacing w:val="-3"/>
        </w:rPr>
        <w:t>CAR-T</w:t>
      </w:r>
      <w:r>
        <w:rPr>
          <w:rFonts w:ascii="Arial" w:hAnsi="Arial" w:eastAsia="Arial"/>
          <w:b/>
        </w:rPr>
        <w:t> </w:t>
      </w:r>
      <w:r>
        <w:rPr>
          <w:rFonts w:ascii="Microsoft JhengHei UI" w:hAnsi="Microsoft JhengHei UI" w:eastAsia="Microsoft JhengHei UI" w:hint="eastAsia"/>
          <w:b/>
          <w:spacing w:val="-2"/>
        </w:rPr>
        <w:t>存活和发挥效力。</w:t>
      </w:r>
      <w:r>
        <w:rPr>
          <w:spacing w:val="5"/>
        </w:rPr>
        <w:t>肿瘤微环境 </w:t>
      </w:r>
      <w:r>
        <w:rPr>
          <w:rFonts w:ascii="Arial" w:hAnsi="Arial" w:eastAsia="Arial"/>
        </w:rPr>
        <w:t>(TME)</w:t>
      </w:r>
      <w:r>
        <w:rPr>
          <w:rFonts w:ascii="Arial" w:hAnsi="Arial" w:eastAsia="Arial"/>
          <w:spacing w:val="40"/>
        </w:rPr>
        <w:t> </w:t>
      </w:r>
      <w:r>
        <w:rPr>
          <w:spacing w:val="-3"/>
        </w:rPr>
        <w:t>是一种缺氧、</w:t>
      </w:r>
      <w:r>
        <w:rPr/>
        <w:t>低 </w:t>
      </w:r>
      <w:r>
        <w:rPr>
          <w:rFonts w:ascii="Arial" w:hAnsi="Arial" w:eastAsia="Arial"/>
        </w:rPr>
        <w:t>PH</w:t>
      </w:r>
      <w:r>
        <w:rPr>
          <w:spacing w:val="-5"/>
        </w:rPr>
        <w:t>、低营养、高渗透压的环境。</w:t>
      </w:r>
      <w:r>
        <w:rPr>
          <w:rFonts w:ascii="Arial" w:hAnsi="Arial" w:eastAsia="Arial"/>
        </w:rPr>
        <w:t>TME</w:t>
      </w:r>
      <w:r>
        <w:rPr>
          <w:rFonts w:ascii="Arial" w:hAnsi="Arial" w:eastAsia="Arial"/>
          <w:spacing w:val="36"/>
        </w:rPr>
        <w:t> </w:t>
      </w:r>
      <w:r>
        <w:rPr>
          <w:spacing w:val="-1"/>
        </w:rPr>
        <w:t>中存在包括肿瘤相关巨噬细胞 </w:t>
      </w:r>
      <w:r>
        <w:rPr>
          <w:rFonts w:ascii="Arial" w:hAnsi="Arial" w:eastAsia="Arial"/>
        </w:rPr>
        <w:t>(TAM)</w:t>
      </w:r>
      <w:r>
        <w:rPr>
          <w:spacing w:val="-1"/>
        </w:rPr>
        <w:t>、调节性 </w:t>
      </w:r>
      <w:r>
        <w:rPr>
          <w:rFonts w:ascii="Arial" w:hAnsi="Arial" w:eastAsia="Arial"/>
          <w:spacing w:val="-11"/>
        </w:rPr>
        <w:t>T </w:t>
      </w:r>
      <w:r>
        <w:rPr>
          <w:spacing w:val="8"/>
        </w:rPr>
        <w:t>细胞 </w:t>
      </w:r>
      <w:r>
        <w:rPr>
          <w:rFonts w:ascii="Arial" w:hAnsi="Arial" w:eastAsia="Arial"/>
        </w:rPr>
        <w:t>(Treg</w:t>
      </w:r>
      <w:r>
        <w:rPr>
          <w:rFonts w:ascii="Arial" w:hAnsi="Arial" w:eastAsia="Arial"/>
          <w:spacing w:val="11"/>
        </w:rPr>
        <w:t>) </w:t>
      </w:r>
      <w:r>
        <w:rPr>
          <w:spacing w:val="-1"/>
        </w:rPr>
        <w:t>和骨髓源异质性细胞 </w:t>
      </w:r>
      <w:r>
        <w:rPr>
          <w:rFonts w:ascii="Arial" w:hAnsi="Arial" w:eastAsia="Arial"/>
        </w:rPr>
        <w:t>(MDSC</w:t>
      </w:r>
      <w:r>
        <w:rPr>
          <w:rFonts w:ascii="Arial" w:hAnsi="Arial" w:eastAsia="Arial"/>
          <w:spacing w:val="11"/>
        </w:rPr>
        <w:t>) </w:t>
      </w:r>
      <w:r>
        <w:rPr>
          <w:spacing w:val="-6"/>
        </w:rPr>
        <w:t>在内的免疫抑制细胞。这些细胞在实体瘤内释放</w:t>
      </w:r>
      <w:r>
        <w:rPr>
          <w:spacing w:val="6"/>
        </w:rPr>
        <w:t>转化生长因子</w:t>
      </w:r>
      <w:r>
        <w:rPr>
          <w:rFonts w:ascii="Arial" w:hAnsi="Arial" w:eastAsia="Arial"/>
        </w:rPr>
        <w:t>β</w:t>
      </w:r>
      <w:r>
        <w:rPr>
          <w:rFonts w:ascii="Arial" w:hAnsi="Arial" w:eastAsia="Arial"/>
          <w:spacing w:val="16"/>
        </w:rPr>
        <w:t> (</w:t>
      </w:r>
      <w:r>
        <w:rPr>
          <w:rFonts w:ascii="Arial" w:hAnsi="Arial" w:eastAsia="Arial"/>
        </w:rPr>
        <w:t>TGFβ</w:t>
      </w:r>
      <w:r>
        <w:rPr>
          <w:rFonts w:ascii="Arial" w:hAnsi="Arial" w:eastAsia="Arial"/>
          <w:spacing w:val="17"/>
        </w:rPr>
        <w:t>) </w:t>
      </w:r>
      <w:r>
        <w:rPr>
          <w:spacing w:val="2"/>
        </w:rPr>
        <w:t>和局部信号分子 </w:t>
      </w:r>
      <w:r>
        <w:rPr>
          <w:rFonts w:ascii="Arial" w:hAnsi="Arial" w:eastAsia="Arial"/>
        </w:rPr>
        <w:t>(</w:t>
      </w:r>
      <w:r>
        <w:rPr>
          <w:spacing w:val="48"/>
        </w:rPr>
        <w:t>如</w:t>
      </w:r>
      <w:r>
        <w:rPr>
          <w:rFonts w:ascii="Arial" w:hAnsi="Arial" w:eastAsia="Arial"/>
        </w:rPr>
        <w:t>IL-10</w:t>
      </w:r>
      <w:r>
        <w:rPr>
          <w:spacing w:val="-5"/>
        </w:rPr>
        <w:t>、</w:t>
      </w:r>
      <w:r>
        <w:rPr>
          <w:rFonts w:ascii="Arial" w:hAnsi="Arial" w:eastAsia="Arial"/>
        </w:rPr>
        <w:t>IL-4</w:t>
      </w:r>
      <w:r>
        <w:rPr/>
        <w:t>、</w:t>
      </w:r>
      <w:r>
        <w:rPr>
          <w:rFonts w:ascii="Arial" w:hAnsi="Arial" w:eastAsia="Arial"/>
        </w:rPr>
        <w:t>IL-6</w:t>
      </w:r>
      <w:r>
        <w:rPr>
          <w:rFonts w:ascii="Arial" w:hAnsi="Arial" w:eastAsia="Arial"/>
          <w:spacing w:val="-10"/>
        </w:rPr>
        <w:t> </w:t>
      </w:r>
      <w:r>
        <w:rPr/>
        <w:t>等</w:t>
      </w:r>
      <w:r>
        <w:rPr>
          <w:rFonts w:ascii="Arial" w:hAnsi="Arial" w:eastAsia="Arial"/>
        </w:rPr>
        <w:t>)</w:t>
      </w:r>
      <w:r>
        <w:rPr>
          <w:spacing w:val="10"/>
        </w:rPr>
        <w:t>，降低了</w:t>
      </w:r>
      <w:r>
        <w:rPr>
          <w:rFonts w:ascii="Arial" w:hAnsi="Arial" w:eastAsia="Arial"/>
        </w:rPr>
        <w:t>CAR-T</w:t>
      </w:r>
      <w:r>
        <w:rPr>
          <w:rFonts w:ascii="Arial" w:hAnsi="Arial" w:eastAsia="Arial"/>
          <w:spacing w:val="-7"/>
        </w:rPr>
        <w:t> </w:t>
      </w:r>
      <w:r>
        <w:rPr>
          <w:spacing w:val="-2"/>
        </w:rPr>
        <w:t>的抗肿</w:t>
      </w:r>
      <w:r>
        <w:rPr>
          <w:spacing w:val="-5"/>
        </w:rPr>
        <w:t>瘤效果，且不利于其长期存活和增殖。</w:t>
      </w:r>
    </w:p>
    <w:p>
      <w:pPr>
        <w:spacing w:after="0" w:line="280" w:lineRule="auto"/>
        <w:jc w:val="both"/>
        <w:sectPr>
          <w:pgSz w:w="11910" w:h="16840"/>
          <w:pgMar w:header="682" w:footer="358" w:top="1380" w:bottom="540" w:left="640" w:right="300"/>
        </w:sectPr>
      </w:pPr>
    </w:p>
    <w:p>
      <w:pPr>
        <w:pStyle w:val="BodyText"/>
        <w:spacing w:before="8"/>
        <w:ind w:left="0"/>
        <w:rPr>
          <w:sz w:val="12"/>
        </w:rPr>
      </w:pPr>
    </w:p>
    <w:p>
      <w:pPr>
        <w:pStyle w:val="Heading3"/>
        <w:spacing w:before="45" w:after="4"/>
        <w:jc w:val="left"/>
      </w:pPr>
      <w:r>
        <w:rPr/>
        <w:t>图 </w:t>
      </w:r>
      <w:r>
        <w:rPr>
          <w:rFonts w:ascii="Arial" w:eastAsia="Arial"/>
        </w:rPr>
        <w:t>39: </w:t>
      </w:r>
      <w:r>
        <w:rPr/>
        <w:t>实体瘤内物理屏障及微环境</w:t>
      </w:r>
    </w:p>
    <w:p>
      <w:pPr>
        <w:pStyle w:val="BodyText"/>
        <w:spacing w:line="28" w:lineRule="exact"/>
        <w:ind w:left="181"/>
        <w:rPr>
          <w:rFonts w:ascii="Microsoft JhengHei UI"/>
          <w:sz w:val="2"/>
        </w:rPr>
      </w:pPr>
      <w:r>
        <w:rPr>
          <w:rFonts w:ascii="Microsoft JhengHei UI"/>
          <w:position w:val="0"/>
          <w:sz w:val="2"/>
        </w:rPr>
        <w:pict>
          <v:group style="width:400.05pt;height:1.45pt;mso-position-horizontal-relative:char;mso-position-vertical-relative:line" coordorigin="0,0" coordsize="8001,29">
            <v:rect style="position:absolute;left:0;top:0;width:8001;height:29" filled="true" fillcolor="#000000" stroked="false">
              <v:fill type="solid"/>
            </v:rect>
          </v:group>
        </w:pict>
      </w:r>
      <w:r>
        <w:rPr>
          <w:rFonts w:ascii="Microsoft JhengHei UI"/>
          <w:position w:val="0"/>
          <w:sz w:val="2"/>
        </w:rPr>
      </w:r>
    </w:p>
    <w:p>
      <w:pPr>
        <w:pStyle w:val="BodyText"/>
        <w:spacing w:before="8"/>
        <w:ind w:left="0"/>
        <w:rPr>
          <w:rFonts w:ascii="Microsoft JhengHei UI"/>
          <w:b/>
          <w:sz w:val="4"/>
        </w:rPr>
      </w:pPr>
      <w:r>
        <w:rPr/>
        <w:drawing>
          <wp:anchor distT="0" distB="0" distL="0" distR="0" allowOverlap="1" layoutInCell="1" locked="0" behindDoc="0" simplePos="0" relativeHeight="37">
            <wp:simplePos x="0" y="0"/>
            <wp:positionH relativeFrom="page">
              <wp:posOffset>1485952</wp:posOffset>
            </wp:positionH>
            <wp:positionV relativeFrom="paragraph">
              <wp:posOffset>75462</wp:posOffset>
            </wp:positionV>
            <wp:extent cx="3196206" cy="2433256"/>
            <wp:effectExtent l="0" t="0" r="0" b="0"/>
            <wp:wrapTopAndBottom/>
            <wp:docPr id="37" name="image29.jpeg"/>
            <wp:cNvGraphicFramePr>
              <a:graphicFrameLocks noChangeAspect="1"/>
            </wp:cNvGraphicFramePr>
            <a:graphic>
              <a:graphicData uri="http://schemas.openxmlformats.org/drawingml/2006/picture">
                <pic:pic>
                  <pic:nvPicPr>
                    <pic:cNvPr id="38" name="image29.jpeg"/>
                    <pic:cNvPicPr/>
                  </pic:nvPicPr>
                  <pic:blipFill>
                    <a:blip r:embed="rId47" cstate="print"/>
                    <a:stretch>
                      <a:fillRect/>
                    </a:stretch>
                  </pic:blipFill>
                  <pic:spPr>
                    <a:xfrm>
                      <a:off x="0" y="0"/>
                      <a:ext cx="3196206" cy="2433256"/>
                    </a:xfrm>
                    <a:prstGeom prst="rect">
                      <a:avLst/>
                    </a:prstGeom>
                  </pic:spPr>
                </pic:pic>
              </a:graphicData>
            </a:graphic>
          </wp:anchor>
        </w:drawing>
      </w:r>
    </w:p>
    <w:p>
      <w:pPr>
        <w:pStyle w:val="BodyText"/>
        <w:ind w:left="0"/>
        <w:rPr>
          <w:rFonts w:ascii="Microsoft JhengHei UI"/>
          <w:b/>
          <w:sz w:val="2"/>
        </w:rPr>
      </w:pPr>
    </w:p>
    <w:p>
      <w:pPr>
        <w:pStyle w:val="BodyText"/>
        <w:spacing w:line="28" w:lineRule="exact"/>
        <w:ind w:left="181"/>
        <w:rPr>
          <w:rFonts w:ascii="Microsoft JhengHei UI"/>
          <w:sz w:val="2"/>
        </w:rPr>
      </w:pPr>
      <w:r>
        <w:rPr>
          <w:rFonts w:ascii="Microsoft JhengHei UI"/>
          <w:position w:val="0"/>
          <w:sz w:val="2"/>
        </w:rPr>
        <w:pict>
          <v:group style="width:400.05pt;height:1.45pt;mso-position-horizontal-relative:char;mso-position-vertical-relative:line" coordorigin="0,0" coordsize="8001,29">
            <v:rect style="position:absolute;left:0;top:0;width:8001;height:29" filled="true" fillcolor="#000000" stroked="false">
              <v:fill type="solid"/>
            </v:rect>
          </v:group>
        </w:pict>
      </w:r>
      <w:r>
        <w:rPr>
          <w:rFonts w:ascii="Microsoft JhengHei UI"/>
          <w:position w:val="0"/>
          <w:sz w:val="2"/>
        </w:rPr>
      </w:r>
    </w:p>
    <w:p>
      <w:pPr>
        <w:spacing w:before="13"/>
        <w:ind w:left="210" w:right="0" w:firstLine="0"/>
        <w:jc w:val="left"/>
        <w:rPr>
          <w:sz w:val="16"/>
        </w:rPr>
      </w:pPr>
      <w:r>
        <w:rPr>
          <w:sz w:val="16"/>
        </w:rPr>
        <w:t>资料来源</w:t>
      </w:r>
      <w:r>
        <w:rPr>
          <w:rFonts w:ascii="Arial" w:eastAsia="Arial"/>
          <w:sz w:val="16"/>
        </w:rPr>
        <w:t>: Hou AJ et al. Nature Reviews Drug Discovery 2021, </w:t>
      </w:r>
      <w:r>
        <w:rPr>
          <w:sz w:val="16"/>
        </w:rPr>
        <w:t>招银国际证券</w:t>
      </w:r>
    </w:p>
    <w:p>
      <w:pPr>
        <w:pStyle w:val="BodyText"/>
        <w:spacing w:before="12"/>
        <w:ind w:left="0"/>
        <w:rPr>
          <w:sz w:val="21"/>
        </w:rPr>
      </w:pPr>
    </w:p>
    <w:p>
      <w:pPr>
        <w:pStyle w:val="Heading2"/>
      </w:pPr>
      <w:bookmarkStart w:name="_bookmark17" w:id="18"/>
      <w:bookmarkEnd w:id="18"/>
      <w:r>
        <w:rPr>
          <w:b w:val="0"/>
        </w:rPr>
      </w:r>
      <w:r>
        <w:rPr>
          <w:color w:val="585858"/>
        </w:rPr>
        <w:t>高潜力实体瘤靶点浮出水面</w:t>
      </w:r>
    </w:p>
    <w:p>
      <w:pPr>
        <w:pStyle w:val="BodyText"/>
        <w:spacing w:line="288" w:lineRule="auto" w:before="119"/>
        <w:ind w:right="2812"/>
        <w:jc w:val="both"/>
      </w:pPr>
      <w:r>
        <w:rPr>
          <w:spacing w:val="-4"/>
        </w:rPr>
        <w:t>基于实体瘤的诸多特点，我们认为用于实体瘤的 </w:t>
      </w:r>
      <w:r>
        <w:rPr>
          <w:rFonts w:ascii="Arial" w:hAnsi="Arial" w:eastAsia="Arial"/>
        </w:rPr>
        <w:t>CAR-T</w:t>
      </w:r>
      <w:r>
        <w:rPr>
          <w:rFonts w:ascii="Arial" w:hAnsi="Arial" w:eastAsia="Arial"/>
          <w:spacing w:val="55"/>
        </w:rPr>
        <w:t> </w:t>
      </w:r>
      <w:r>
        <w:rPr>
          <w:spacing w:val="-3"/>
        </w:rPr>
        <w:t>靶点需尽可能同时具备</w:t>
      </w:r>
      <w:r>
        <w:rPr>
          <w:rFonts w:ascii="Arial" w:hAnsi="Arial" w:eastAsia="Arial"/>
          <w:spacing w:val="-5"/>
        </w:rPr>
        <w:t>“</w:t>
      </w:r>
      <w:r>
        <w:rPr/>
        <w:t>三高</w:t>
      </w:r>
      <w:r>
        <w:rPr>
          <w:rFonts w:ascii="Arial" w:hAnsi="Arial" w:eastAsia="Arial"/>
          <w:spacing w:val="-3"/>
        </w:rPr>
        <w:t>”</w:t>
      </w:r>
      <w:r>
        <w:rPr>
          <w:spacing w:val="-4"/>
        </w:rPr>
        <w:t>，即</w:t>
      </w:r>
      <w:r>
        <w:rPr>
          <w:rFonts w:ascii="Arial" w:hAnsi="Arial" w:eastAsia="Arial"/>
        </w:rPr>
        <w:t>1)</w:t>
      </w:r>
      <w:r>
        <w:rPr/>
        <w:t>高覆盖范围，以实现对于绝大多数肿瘤细胞的靶向性、</w:t>
      </w:r>
      <w:r>
        <w:rPr>
          <w:rFonts w:ascii="Arial" w:hAnsi="Arial" w:eastAsia="Arial"/>
        </w:rPr>
        <w:t>2)</w:t>
      </w:r>
      <w:r>
        <w:rPr/>
        <w:t>高特异性，以尽可能避免</w:t>
      </w:r>
      <w:r>
        <w:rPr>
          <w:rFonts w:ascii="Arial" w:hAnsi="Arial" w:eastAsia="Arial"/>
          <w:spacing w:val="4"/>
        </w:rPr>
        <w:t>”</w:t>
      </w:r>
      <w:r>
        <w:rPr/>
        <w:t>脱靶效应</w:t>
      </w:r>
      <w:r>
        <w:rPr>
          <w:rFonts w:ascii="Arial" w:hAnsi="Arial" w:eastAsia="Arial"/>
        </w:rPr>
        <w:t>”</w:t>
      </w:r>
      <w:r>
        <w:rPr/>
        <w:t>，从而增加安全性和 </w:t>
      </w:r>
      <w:r>
        <w:rPr>
          <w:rFonts w:ascii="Arial" w:hAnsi="Arial" w:eastAsia="Arial"/>
        </w:rPr>
        <w:t>3)</w:t>
      </w:r>
      <w:r>
        <w:rPr>
          <w:spacing w:val="-6"/>
        </w:rPr>
        <w:t>高稳定性，以防止肿瘤发生抗原逃逸。目前全球有多个实体瘤</w:t>
      </w:r>
      <w:r>
        <w:rPr>
          <w:rFonts w:ascii="Arial" w:hAnsi="Arial" w:eastAsia="Arial"/>
        </w:rPr>
        <w:t>CAR-T </w:t>
      </w:r>
      <w:r>
        <w:rPr>
          <w:spacing w:val="-5"/>
        </w:rPr>
        <w:t>靶点在探索开发中，但是多处于早期临床阶段。</w:t>
      </w:r>
    </w:p>
    <w:p>
      <w:pPr>
        <w:pStyle w:val="BodyText"/>
        <w:spacing w:line="288" w:lineRule="auto" w:before="117"/>
        <w:ind w:right="2554"/>
      </w:pPr>
      <w:r>
        <w:rPr/>
        <w:t>根据美国</w:t>
      </w:r>
      <w:r>
        <w:rPr>
          <w:rFonts w:ascii="Arial" w:eastAsia="Arial"/>
        </w:rPr>
        <w:t>Cancer Research Institute</w:t>
      </w:r>
      <w:r>
        <w:rPr/>
        <w:t>统计，目前细胞治疗中最常见的实体瘤靶点包括 </w:t>
      </w:r>
      <w:r>
        <w:rPr>
          <w:rFonts w:ascii="Arial" w:eastAsia="Arial"/>
        </w:rPr>
        <w:t>MSLN, HER2, MUC1, GPC2/3, EGFR/ EGFRvIII, GD2, PSMA, CLDN18.2 </w:t>
      </w:r>
      <w:r>
        <w:rPr/>
        <w:t>等</w:t>
      </w:r>
      <w:r>
        <w:rPr>
          <w:rFonts w:ascii="Arial" w:eastAsia="Arial"/>
        </w:rPr>
        <w:t>, </w:t>
      </w:r>
      <w:r>
        <w:rPr/>
        <w:t>其中 </w:t>
      </w:r>
      <w:r>
        <w:rPr>
          <w:rFonts w:ascii="Arial" w:eastAsia="Arial"/>
        </w:rPr>
        <w:t>MSLN</w:t>
      </w:r>
      <w:r>
        <w:rPr/>
        <w:t>、</w:t>
      </w:r>
      <w:r>
        <w:rPr>
          <w:rFonts w:ascii="Arial" w:eastAsia="Arial"/>
        </w:rPr>
        <w:t>HER2</w:t>
      </w:r>
      <w:r>
        <w:rPr/>
        <w:t>、</w:t>
      </w:r>
    </w:p>
    <w:p>
      <w:pPr>
        <w:pStyle w:val="BodyText"/>
        <w:spacing w:line="288" w:lineRule="auto"/>
        <w:ind w:right="2814"/>
        <w:jc w:val="both"/>
      </w:pPr>
      <w:r>
        <w:rPr>
          <w:rFonts w:ascii="Arial" w:eastAsia="Arial"/>
        </w:rPr>
        <w:t>GD2 </w:t>
      </w:r>
      <w:r>
        <w:rPr/>
        <w:t>等具有广谱潜力的靶点早期受到更多青睐。根据医药魔方数据，全球开展临床最多的</w:t>
      </w:r>
      <w:r>
        <w:rPr>
          <w:rFonts w:ascii="Arial" w:eastAsia="Arial"/>
        </w:rPr>
        <w:t>CAR-T </w:t>
      </w:r>
      <w:r>
        <w:rPr/>
        <w:t>靶点依次为 </w:t>
      </w:r>
      <w:r>
        <w:rPr>
          <w:rFonts w:ascii="Arial" w:eastAsia="Arial"/>
        </w:rPr>
        <w:t>MSLN</w:t>
      </w:r>
      <w:r>
        <w:rPr/>
        <w:t>、</w:t>
      </w:r>
      <w:r>
        <w:rPr>
          <w:rFonts w:ascii="Arial" w:eastAsia="Arial"/>
        </w:rPr>
        <w:t>GPC3</w:t>
      </w:r>
      <w:r>
        <w:rPr/>
        <w:t>、</w:t>
      </w:r>
      <w:r>
        <w:rPr>
          <w:rFonts w:ascii="Arial" w:eastAsia="Arial"/>
        </w:rPr>
        <w:t>EGFR</w:t>
      </w:r>
      <w:r>
        <w:rPr/>
        <w:t>、</w:t>
      </w:r>
      <w:r>
        <w:rPr>
          <w:rFonts w:ascii="Arial" w:eastAsia="Arial"/>
        </w:rPr>
        <w:t>Claudin18.2 </w:t>
      </w:r>
      <w:r>
        <w:rPr/>
        <w:t>和 </w:t>
      </w:r>
      <w:r>
        <w:rPr>
          <w:rFonts w:ascii="Arial" w:eastAsia="Arial"/>
        </w:rPr>
        <w:t>NKG2D</w:t>
      </w:r>
      <w:r>
        <w:rPr/>
        <w:t>。目前实体瘤 </w:t>
      </w:r>
      <w:r>
        <w:rPr>
          <w:rFonts w:ascii="Arial" w:eastAsia="Arial"/>
        </w:rPr>
        <w:t>CAR-T </w:t>
      </w:r>
      <w:r>
        <w:rPr/>
        <w:t>的靶点选择多以肿瘤相关抗原 </w:t>
      </w:r>
      <w:r>
        <w:rPr>
          <w:rFonts w:ascii="Arial" w:eastAsia="Arial"/>
        </w:rPr>
        <w:t>(TAA)</w:t>
      </w:r>
      <w:r>
        <w:rPr/>
        <w:t>为主。</w:t>
      </w:r>
      <w:r>
        <w:rPr>
          <w:rFonts w:ascii="Arial" w:eastAsia="Arial"/>
        </w:rPr>
        <w:t>EGFRvIII </w:t>
      </w:r>
      <w:r>
        <w:rPr/>
        <w:t>虽然是肿瘤特异性抗原 </w:t>
      </w:r>
      <w:r>
        <w:rPr>
          <w:rFonts w:ascii="Arial" w:eastAsia="Arial"/>
        </w:rPr>
        <w:t>(TSA)</w:t>
      </w:r>
      <w:r>
        <w:rPr/>
        <w:t>，但其在针对 </w:t>
      </w:r>
      <w:r>
        <w:rPr>
          <w:rFonts w:ascii="Arial" w:eastAsia="Arial"/>
        </w:rPr>
        <w:t>GBM </w:t>
      </w:r>
      <w:r>
        <w:rPr/>
        <w:t>的研究中表现出了免疫逃逸。中国实体瘤 </w:t>
      </w:r>
      <w:r>
        <w:rPr>
          <w:rFonts w:ascii="Arial" w:eastAsia="Arial"/>
        </w:rPr>
        <w:t>CAR-T </w:t>
      </w:r>
      <w:r>
        <w:rPr/>
        <w:t>目前仍处于早期研发阶段， 仅一款产品进入确证性 </w:t>
      </w:r>
      <w:r>
        <w:rPr>
          <w:rFonts w:ascii="Arial" w:eastAsia="Arial"/>
        </w:rPr>
        <w:t>II </w:t>
      </w:r>
      <w:r>
        <w:rPr/>
        <w:t>期临床阶段。</w:t>
      </w:r>
    </w:p>
    <w:p>
      <w:pPr>
        <w:pStyle w:val="BodyText"/>
        <w:spacing w:before="8"/>
        <w:ind w:left="0"/>
        <w:rPr>
          <w:sz w:val="8"/>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62"/>
        <w:gridCol w:w="5303"/>
      </w:tblGrid>
      <w:tr>
        <w:trPr>
          <w:trHeight w:val="4247" w:hRule="atLeast"/>
        </w:trPr>
        <w:tc>
          <w:tcPr>
            <w:tcW w:w="5362" w:type="dxa"/>
          </w:tcPr>
          <w:p>
            <w:pPr>
              <w:pStyle w:val="TableParagraph"/>
              <w:spacing w:line="301" w:lineRule="exact" w:after="4"/>
              <w:ind w:left="214"/>
              <w:rPr>
                <w:rFonts w:ascii="Microsoft JhengHei UI" w:eastAsia="Microsoft JhengHei UI" w:hint="eastAsia"/>
                <w:b/>
                <w:sz w:val="20"/>
              </w:rPr>
            </w:pPr>
            <w:r>
              <w:rPr>
                <w:rFonts w:ascii="Microsoft JhengHei UI" w:eastAsia="Microsoft JhengHei UI" w:hint="eastAsia"/>
                <w:b/>
                <w:sz w:val="20"/>
              </w:rPr>
              <w:t>图 </w:t>
            </w:r>
            <w:r>
              <w:rPr>
                <w:b/>
                <w:sz w:val="20"/>
              </w:rPr>
              <w:t>40: </w:t>
            </w:r>
            <w:r>
              <w:rPr>
                <w:rFonts w:ascii="Microsoft JhengHei UI" w:eastAsia="Microsoft JhengHei UI" w:hint="eastAsia"/>
                <w:b/>
                <w:sz w:val="20"/>
              </w:rPr>
              <w:t>全球临床阶段实体瘤</w:t>
            </w:r>
            <w:r>
              <w:rPr>
                <w:b/>
                <w:sz w:val="20"/>
              </w:rPr>
              <w:t>CAR-T </w:t>
            </w:r>
            <w:r>
              <w:rPr>
                <w:rFonts w:ascii="Microsoft JhengHei UI" w:eastAsia="Microsoft JhengHei UI" w:hint="eastAsia"/>
                <w:b/>
                <w:sz w:val="20"/>
              </w:rPr>
              <w:t>相关靶点分布</w:t>
            </w:r>
          </w:p>
          <w:p>
            <w:pPr>
              <w:pStyle w:val="TableParagraph"/>
              <w:spacing w:line="28" w:lineRule="exact"/>
              <w:ind w:left="185" w:right="-44"/>
              <w:rPr>
                <w:rFonts w:ascii="PMingLiU"/>
                <w:sz w:val="2"/>
              </w:rPr>
            </w:pPr>
            <w:r>
              <w:rPr>
                <w:rFonts w:ascii="PMingLiU"/>
                <w:position w:val="0"/>
                <w:sz w:val="2"/>
              </w:rPr>
              <w:pict>
                <v:group style="width:257.6500pt;height:1.45pt;mso-position-horizontal-relative:char;mso-position-vertical-relative:line" coordorigin="0,0" coordsize="5153,29">
                  <v:rect style="position:absolute;left:0;top:0;width:5153;height:29" filled="true" fillcolor="#000000" stroked="false">
                    <v:fill type="solid"/>
                  </v:rect>
                </v:group>
              </w:pict>
            </w:r>
            <w:r>
              <w:rPr>
                <w:rFonts w:ascii="PMingLiU"/>
                <w:position w:val="0"/>
                <w:sz w:val="2"/>
              </w:rPr>
            </w:r>
          </w:p>
          <w:p>
            <w:pPr>
              <w:pStyle w:val="TableParagraph"/>
              <w:spacing w:before="3"/>
              <w:rPr>
                <w:rFonts w:ascii="PMingLiU"/>
                <w:sz w:val="14"/>
              </w:rPr>
            </w:pPr>
          </w:p>
          <w:p>
            <w:pPr>
              <w:pStyle w:val="TableParagraph"/>
              <w:ind w:left="355"/>
              <w:rPr>
                <w:rFonts w:ascii="PMingLiU"/>
                <w:sz w:val="20"/>
              </w:rPr>
            </w:pPr>
            <w:r>
              <w:rPr>
                <w:rFonts w:ascii="PMingLiU"/>
                <w:sz w:val="20"/>
              </w:rPr>
              <w:drawing>
                <wp:inline distT="0" distB="0" distL="0" distR="0">
                  <wp:extent cx="2656492" cy="1943100"/>
                  <wp:effectExtent l="0" t="0" r="0" b="0"/>
                  <wp:docPr id="39" name="image30.png"/>
                  <wp:cNvGraphicFramePr>
                    <a:graphicFrameLocks noChangeAspect="1"/>
                  </wp:cNvGraphicFramePr>
                  <a:graphic>
                    <a:graphicData uri="http://schemas.openxmlformats.org/drawingml/2006/picture">
                      <pic:pic>
                        <pic:nvPicPr>
                          <pic:cNvPr id="40" name="image30.png"/>
                          <pic:cNvPicPr/>
                        </pic:nvPicPr>
                        <pic:blipFill>
                          <a:blip r:embed="rId48" cstate="print"/>
                          <a:stretch>
                            <a:fillRect/>
                          </a:stretch>
                        </pic:blipFill>
                        <pic:spPr>
                          <a:xfrm>
                            <a:off x="0" y="0"/>
                            <a:ext cx="2656492" cy="1943100"/>
                          </a:xfrm>
                          <a:prstGeom prst="rect">
                            <a:avLst/>
                          </a:prstGeom>
                        </pic:spPr>
                      </pic:pic>
                    </a:graphicData>
                  </a:graphic>
                </wp:inline>
              </w:drawing>
            </w:r>
            <w:r>
              <w:rPr>
                <w:rFonts w:ascii="PMingLiU"/>
                <w:sz w:val="20"/>
              </w:rPr>
            </w:r>
          </w:p>
          <w:p>
            <w:pPr>
              <w:pStyle w:val="TableParagraph"/>
              <w:spacing w:before="10"/>
              <w:rPr>
                <w:rFonts w:ascii="PMingLiU"/>
                <w:sz w:val="9"/>
              </w:rPr>
            </w:pPr>
          </w:p>
          <w:p>
            <w:pPr>
              <w:pStyle w:val="TableParagraph"/>
              <w:spacing w:line="28" w:lineRule="exact"/>
              <w:ind w:left="185" w:right="-44"/>
              <w:rPr>
                <w:rFonts w:ascii="PMingLiU"/>
                <w:sz w:val="2"/>
              </w:rPr>
            </w:pPr>
            <w:r>
              <w:rPr>
                <w:rFonts w:ascii="PMingLiU"/>
                <w:position w:val="0"/>
                <w:sz w:val="2"/>
              </w:rPr>
              <w:pict>
                <v:group style="width:257.6500pt;height:1.45pt;mso-position-horizontal-relative:char;mso-position-vertical-relative:line" coordorigin="0,0" coordsize="5153,29">
                  <v:rect style="position:absolute;left:0;top:0;width:5153;height:29" filled="true" fillcolor="#000000" stroked="false">
                    <v:fill type="solid"/>
                  </v:rect>
                </v:group>
              </w:pict>
            </w:r>
            <w:r>
              <w:rPr>
                <w:rFonts w:ascii="PMingLiU"/>
                <w:position w:val="0"/>
                <w:sz w:val="2"/>
              </w:rPr>
            </w:r>
          </w:p>
          <w:p>
            <w:pPr>
              <w:pStyle w:val="TableParagraph"/>
              <w:spacing w:line="230" w:lineRule="atLeast" w:before="12"/>
              <w:ind w:left="214" w:right="2591"/>
              <w:rPr>
                <w:rFonts w:ascii="PMingLiU" w:eastAsia="PMingLiU" w:hint="eastAsia"/>
                <w:sz w:val="16"/>
              </w:rPr>
            </w:pPr>
            <w:r>
              <w:rPr>
                <w:rFonts w:ascii="PMingLiU" w:eastAsia="PMingLiU" w:hint="eastAsia"/>
                <w:w w:val="95"/>
                <w:sz w:val="16"/>
              </w:rPr>
              <w:t>资料来源：医药魔方，招银国际证券</w:t>
            </w:r>
            <w:r>
              <w:rPr>
                <w:rFonts w:ascii="PMingLiU" w:eastAsia="PMingLiU" w:hint="eastAsia"/>
                <w:sz w:val="16"/>
              </w:rPr>
              <w:t>注：截至 </w:t>
            </w:r>
            <w:r>
              <w:rPr>
                <w:sz w:val="16"/>
              </w:rPr>
              <w:t>2022 </w:t>
            </w:r>
            <w:r>
              <w:rPr>
                <w:rFonts w:ascii="PMingLiU" w:eastAsia="PMingLiU" w:hint="eastAsia"/>
                <w:sz w:val="16"/>
              </w:rPr>
              <w:t>年 </w:t>
            </w:r>
            <w:r>
              <w:rPr>
                <w:sz w:val="16"/>
              </w:rPr>
              <w:t>5 </w:t>
            </w:r>
            <w:r>
              <w:rPr>
                <w:rFonts w:ascii="PMingLiU" w:eastAsia="PMingLiU" w:hint="eastAsia"/>
                <w:sz w:val="16"/>
              </w:rPr>
              <w:t>月 </w:t>
            </w:r>
            <w:r>
              <w:rPr>
                <w:sz w:val="16"/>
              </w:rPr>
              <w:t>10 </w:t>
            </w:r>
            <w:r>
              <w:rPr>
                <w:rFonts w:ascii="PMingLiU" w:eastAsia="PMingLiU" w:hint="eastAsia"/>
                <w:sz w:val="16"/>
              </w:rPr>
              <w:t>日</w:t>
            </w:r>
          </w:p>
        </w:tc>
        <w:tc>
          <w:tcPr>
            <w:tcW w:w="5303" w:type="dxa"/>
          </w:tcPr>
          <w:p>
            <w:pPr>
              <w:pStyle w:val="TableParagraph"/>
              <w:spacing w:line="301" w:lineRule="exact" w:after="4"/>
              <w:ind w:left="163"/>
              <w:rPr>
                <w:rFonts w:ascii="Microsoft JhengHei UI" w:eastAsia="Microsoft JhengHei UI" w:hint="eastAsia"/>
                <w:b/>
                <w:sz w:val="20"/>
              </w:rPr>
            </w:pPr>
            <w:r>
              <w:rPr>
                <w:rFonts w:ascii="Microsoft JhengHei UI" w:eastAsia="Microsoft JhengHei UI" w:hint="eastAsia"/>
                <w:b/>
                <w:sz w:val="20"/>
              </w:rPr>
              <w:t>图 </w:t>
            </w:r>
            <w:r>
              <w:rPr>
                <w:b/>
                <w:sz w:val="20"/>
              </w:rPr>
              <w:t>41: </w:t>
            </w:r>
            <w:r>
              <w:rPr>
                <w:rFonts w:ascii="Microsoft JhengHei UI" w:eastAsia="Microsoft JhengHei UI" w:hint="eastAsia"/>
                <w:b/>
                <w:sz w:val="20"/>
              </w:rPr>
              <w:t>国内临床</w:t>
            </w:r>
            <w:r>
              <w:rPr>
                <w:b/>
                <w:sz w:val="20"/>
              </w:rPr>
              <w:t>/</w:t>
            </w:r>
            <w:r>
              <w:rPr>
                <w:rFonts w:ascii="Microsoft JhengHei UI" w:eastAsia="Microsoft JhengHei UI" w:hint="eastAsia"/>
                <w:b/>
                <w:sz w:val="20"/>
              </w:rPr>
              <w:t>临床前阶段实体瘤</w:t>
            </w:r>
            <w:r>
              <w:rPr>
                <w:b/>
                <w:sz w:val="20"/>
              </w:rPr>
              <w:t>CAR-T </w:t>
            </w:r>
            <w:r>
              <w:rPr>
                <w:rFonts w:ascii="Microsoft JhengHei UI" w:eastAsia="Microsoft JhengHei UI" w:hint="eastAsia"/>
                <w:b/>
                <w:sz w:val="20"/>
              </w:rPr>
              <w:t>靶点分布</w:t>
            </w:r>
          </w:p>
          <w:p>
            <w:pPr>
              <w:pStyle w:val="TableParagraph"/>
              <w:ind w:left="134"/>
              <w:rPr>
                <w:rFonts w:ascii="PMingLiU"/>
                <w:sz w:val="20"/>
              </w:rPr>
            </w:pPr>
            <w:r>
              <w:rPr>
                <w:rFonts w:ascii="PMingLiU"/>
                <w:sz w:val="20"/>
              </w:rPr>
              <w:drawing>
                <wp:inline distT="0" distB="0" distL="0" distR="0">
                  <wp:extent cx="3153937" cy="2209800"/>
                  <wp:effectExtent l="0" t="0" r="0" b="0"/>
                  <wp:docPr id="41" name="image31.png"/>
                  <wp:cNvGraphicFramePr>
                    <a:graphicFrameLocks noChangeAspect="1"/>
                  </wp:cNvGraphicFramePr>
                  <a:graphic>
                    <a:graphicData uri="http://schemas.openxmlformats.org/drawingml/2006/picture">
                      <pic:pic>
                        <pic:nvPicPr>
                          <pic:cNvPr id="42" name="image31.png"/>
                          <pic:cNvPicPr/>
                        </pic:nvPicPr>
                        <pic:blipFill>
                          <a:blip r:embed="rId49" cstate="print"/>
                          <a:stretch>
                            <a:fillRect/>
                          </a:stretch>
                        </pic:blipFill>
                        <pic:spPr>
                          <a:xfrm>
                            <a:off x="0" y="0"/>
                            <a:ext cx="3153937" cy="2209800"/>
                          </a:xfrm>
                          <a:prstGeom prst="rect">
                            <a:avLst/>
                          </a:prstGeom>
                        </pic:spPr>
                      </pic:pic>
                    </a:graphicData>
                  </a:graphic>
                </wp:inline>
              </w:drawing>
            </w:r>
            <w:r>
              <w:rPr>
                <w:rFonts w:ascii="PMingLiU"/>
                <w:sz w:val="20"/>
              </w:rPr>
            </w:r>
          </w:p>
          <w:p>
            <w:pPr>
              <w:pStyle w:val="TableParagraph"/>
              <w:spacing w:line="230" w:lineRule="atLeast"/>
              <w:ind w:left="163" w:right="2584"/>
              <w:rPr>
                <w:rFonts w:ascii="PMingLiU" w:eastAsia="PMingLiU" w:hint="eastAsia"/>
                <w:sz w:val="16"/>
              </w:rPr>
            </w:pPr>
            <w:r>
              <w:rPr>
                <w:rFonts w:ascii="PMingLiU" w:eastAsia="PMingLiU" w:hint="eastAsia"/>
                <w:w w:val="95"/>
                <w:sz w:val="16"/>
              </w:rPr>
              <w:t>资料来源：医药魔方，招银国际证券</w:t>
            </w:r>
            <w:r>
              <w:rPr>
                <w:rFonts w:ascii="PMingLiU" w:eastAsia="PMingLiU" w:hint="eastAsia"/>
                <w:sz w:val="16"/>
              </w:rPr>
              <w:t>注：截至 </w:t>
            </w:r>
            <w:r>
              <w:rPr>
                <w:sz w:val="16"/>
              </w:rPr>
              <w:t>2022 </w:t>
            </w:r>
            <w:r>
              <w:rPr>
                <w:rFonts w:ascii="PMingLiU" w:eastAsia="PMingLiU" w:hint="eastAsia"/>
                <w:sz w:val="16"/>
              </w:rPr>
              <w:t>年 </w:t>
            </w:r>
            <w:r>
              <w:rPr>
                <w:sz w:val="16"/>
              </w:rPr>
              <w:t>5 </w:t>
            </w:r>
            <w:r>
              <w:rPr>
                <w:rFonts w:ascii="PMingLiU" w:eastAsia="PMingLiU" w:hint="eastAsia"/>
                <w:sz w:val="16"/>
              </w:rPr>
              <w:t>月 </w:t>
            </w:r>
            <w:r>
              <w:rPr>
                <w:sz w:val="16"/>
              </w:rPr>
              <w:t>10 </w:t>
            </w:r>
            <w:r>
              <w:rPr>
                <w:rFonts w:ascii="PMingLiU" w:eastAsia="PMingLiU" w:hint="eastAsia"/>
                <w:sz w:val="16"/>
              </w:rPr>
              <w:t>日</w:t>
            </w:r>
          </w:p>
        </w:tc>
      </w:tr>
    </w:tbl>
    <w:p>
      <w:pPr>
        <w:spacing w:after="0" w:line="230" w:lineRule="atLeast"/>
        <w:rPr>
          <w:rFonts w:ascii="PMingLiU" w:eastAsia="PMingLiU" w:hint="eastAsia"/>
          <w:sz w:val="16"/>
        </w:rPr>
        <w:sectPr>
          <w:pgSz w:w="11910" w:h="16840"/>
          <w:pgMar w:header="682" w:footer="358" w:top="1380" w:bottom="540" w:left="640" w:right="300"/>
        </w:sectPr>
      </w:pPr>
    </w:p>
    <w:p>
      <w:pPr>
        <w:pStyle w:val="BodyText"/>
        <w:spacing w:before="4"/>
        <w:ind w:left="0"/>
        <w:rPr>
          <w:sz w:val="9"/>
        </w:rPr>
      </w:pPr>
    </w:p>
    <w:p>
      <w:pPr>
        <w:pStyle w:val="BodyText"/>
        <w:spacing w:line="20" w:lineRule="exact"/>
        <w:ind w:left="160"/>
        <w:rPr>
          <w:sz w:val="2"/>
        </w:rPr>
      </w:pPr>
      <w:r>
        <w:rPr>
          <w:sz w:val="2"/>
        </w:rPr>
        <w:pict>
          <v:group style="width:3.8pt;height:.5pt;mso-position-horizontal-relative:char;mso-position-vertical-relative:line" coordorigin="0,0" coordsize="76,10">
            <v:line style="position:absolute" from="0,5" to="75,5" stroked="true" strokeweight=".48pt" strokecolor="#000000">
              <v:stroke dashstyle="shortdot"/>
            </v:line>
          </v:group>
        </w:pict>
      </w:r>
      <w:r>
        <w:rPr>
          <w:sz w:val="2"/>
        </w:rPr>
      </w:r>
    </w:p>
    <w:p>
      <w:pPr>
        <w:pStyle w:val="Heading2"/>
        <w:spacing w:before="58"/>
      </w:pPr>
      <w:bookmarkStart w:name="_bookmark18" w:id="19"/>
      <w:bookmarkEnd w:id="19"/>
      <w:r>
        <w:rPr>
          <w:b w:val="0"/>
        </w:rPr>
      </w:r>
      <w:r>
        <w:rPr>
          <w:rFonts w:ascii="Arial" w:eastAsia="Arial"/>
          <w:color w:val="585858"/>
        </w:rPr>
        <w:t>CLDN 18.2 </w:t>
      </w:r>
      <w:r>
        <w:rPr>
          <w:color w:val="585858"/>
        </w:rPr>
        <w:t>靶点极具潜力，有望率先突破胃癌适应症</w:t>
      </w:r>
    </w:p>
    <w:p>
      <w:pPr>
        <w:pStyle w:val="Heading3"/>
        <w:spacing w:before="66"/>
        <w:jc w:val="left"/>
      </w:pPr>
      <w:r>
        <w:rPr/>
        <w:t>胃癌是中国发病率第二高的癌种，缺乏后线治疗药物</w:t>
      </w:r>
    </w:p>
    <w:p>
      <w:pPr>
        <w:pStyle w:val="BodyText"/>
        <w:spacing w:line="288" w:lineRule="auto" w:before="155"/>
        <w:ind w:right="2575"/>
      </w:pPr>
      <w:r>
        <w:rPr/>
        <w:t>根据</w:t>
      </w:r>
      <w:r>
        <w:rPr>
          <w:rFonts w:ascii="Arial" w:eastAsia="Arial"/>
        </w:rPr>
        <w:t>Globocan 2020 </w:t>
      </w:r>
      <w:r>
        <w:rPr/>
        <w:t>的数据，</w:t>
      </w:r>
      <w:r>
        <w:rPr>
          <w:rFonts w:ascii="Arial" w:eastAsia="Arial"/>
        </w:rPr>
        <w:t>2020 </w:t>
      </w:r>
      <w:r>
        <w:rPr/>
        <w:t>年全球胃癌发病率居恶性肿瘤第 </w:t>
      </w:r>
      <w:r>
        <w:rPr>
          <w:rFonts w:ascii="Arial" w:eastAsia="Arial"/>
        </w:rPr>
        <w:t>5 </w:t>
      </w:r>
      <w:r>
        <w:rPr/>
        <w:t>位，死亡率居第 </w:t>
      </w:r>
      <w:r>
        <w:rPr>
          <w:rFonts w:ascii="Arial" w:eastAsia="Arial"/>
        </w:rPr>
        <w:t>4 </w:t>
      </w:r>
      <w:r>
        <w:rPr/>
        <w:t>位， 近 </w:t>
      </w:r>
      <w:r>
        <w:rPr>
          <w:rFonts w:ascii="Arial" w:eastAsia="Arial"/>
        </w:rPr>
        <w:t>5 </w:t>
      </w:r>
      <w:r>
        <w:rPr/>
        <w:t>年全球胃癌平均年发病例数为 </w:t>
      </w:r>
      <w:r>
        <w:rPr>
          <w:rFonts w:ascii="Arial" w:eastAsia="Arial"/>
        </w:rPr>
        <w:t>180.6 </w:t>
      </w:r>
      <w:r>
        <w:rPr/>
        <w:t>万例，其中亚洲发病 </w:t>
      </w:r>
      <w:r>
        <w:rPr>
          <w:rFonts w:ascii="Arial" w:eastAsia="Arial"/>
        </w:rPr>
        <w:t>139.7 </w:t>
      </w:r>
      <w:r>
        <w:rPr/>
        <w:t>万例 </w:t>
      </w:r>
      <w:r>
        <w:rPr>
          <w:rFonts w:ascii="Arial" w:eastAsia="Arial"/>
        </w:rPr>
        <w:t>(</w:t>
      </w:r>
      <w:r>
        <w:rPr/>
        <w:t>占比 </w:t>
      </w:r>
      <w:r>
        <w:rPr>
          <w:rFonts w:ascii="Arial" w:eastAsia="Arial"/>
        </w:rPr>
        <w:t>77%)</w:t>
      </w:r>
      <w:r>
        <w:rPr/>
        <w:t>，中国发病 </w:t>
      </w:r>
      <w:r>
        <w:rPr>
          <w:rFonts w:ascii="Arial" w:eastAsia="Arial"/>
        </w:rPr>
        <w:t>68.9 </w:t>
      </w:r>
      <w:r>
        <w:rPr/>
        <w:t>万例 </w:t>
      </w:r>
      <w:r>
        <w:rPr>
          <w:rFonts w:ascii="Arial" w:eastAsia="Arial"/>
        </w:rPr>
        <w:t>(</w:t>
      </w:r>
      <w:r>
        <w:rPr/>
        <w:t>占比 </w:t>
      </w:r>
      <w:r>
        <w:rPr>
          <w:rFonts w:ascii="Arial" w:eastAsia="Arial"/>
        </w:rPr>
        <w:t>38%)</w:t>
      </w:r>
      <w:r>
        <w:rPr/>
        <w:t>。</w:t>
      </w:r>
    </w:p>
    <w:p>
      <w:pPr>
        <w:pStyle w:val="BodyText"/>
        <w:spacing w:before="116"/>
      </w:pPr>
      <w:r>
        <w:rPr>
          <w:rFonts w:ascii="Arial" w:eastAsia="Arial"/>
        </w:rPr>
        <w:t>2020 </w:t>
      </w:r>
      <w:r>
        <w:rPr/>
        <w:t>年，中国新发胃癌患者约 </w:t>
      </w:r>
      <w:r>
        <w:rPr>
          <w:rFonts w:ascii="Arial" w:eastAsia="Arial"/>
        </w:rPr>
        <w:t>47.9 </w:t>
      </w:r>
      <w:r>
        <w:rPr/>
        <w:t>万例，发病率仅次于肺癌，死亡 </w:t>
      </w:r>
      <w:r>
        <w:rPr>
          <w:rFonts w:ascii="Arial" w:eastAsia="Arial"/>
        </w:rPr>
        <w:t>37.4 </w:t>
      </w:r>
      <w:r>
        <w:rPr/>
        <w:t>万例，死亡率居</w:t>
      </w:r>
    </w:p>
    <w:p>
      <w:pPr>
        <w:pStyle w:val="BodyText"/>
        <w:spacing w:line="288" w:lineRule="auto" w:before="57"/>
        <w:ind w:right="2815"/>
        <w:jc w:val="both"/>
      </w:pPr>
      <w:r>
        <w:rPr>
          <w:spacing w:val="13"/>
        </w:rPr>
        <w:t>第 </w:t>
      </w:r>
      <w:r>
        <w:rPr>
          <w:rFonts w:ascii="Arial" w:eastAsia="Arial"/>
        </w:rPr>
        <w:t>3</w:t>
      </w:r>
      <w:r>
        <w:rPr>
          <w:rFonts w:ascii="Arial" w:eastAsia="Arial"/>
          <w:spacing w:val="54"/>
        </w:rPr>
        <w:t> </w:t>
      </w:r>
      <w:r>
        <w:rPr>
          <w:spacing w:val="-5"/>
        </w:rPr>
        <w:t>位。目前手术被认为是唯一的根治性治疗办法。随着手术技术的改进和传统放疗、化</w:t>
      </w:r>
      <w:r>
        <w:rPr>
          <w:spacing w:val="-1"/>
        </w:rPr>
        <w:t>疗的进步，以及新辅助治疗的实施，早期胃癌生存率可达 </w:t>
      </w:r>
      <w:r>
        <w:rPr>
          <w:rFonts w:ascii="Arial" w:eastAsia="Arial"/>
          <w:spacing w:val="-2"/>
        </w:rPr>
        <w:t>95%</w:t>
      </w:r>
      <w:r>
        <w:rPr>
          <w:spacing w:val="-3"/>
        </w:rPr>
        <w:t>。然而，由于早期诊断率较</w:t>
      </w:r>
      <w:r>
        <w:rPr>
          <w:spacing w:val="3"/>
        </w:rPr>
        <w:t>低 </w:t>
      </w:r>
      <w:r>
        <w:rPr>
          <w:rFonts w:ascii="Arial" w:eastAsia="Arial"/>
        </w:rPr>
        <w:t>(</w:t>
      </w:r>
      <w:r>
        <w:rPr>
          <w:spacing w:val="-1"/>
        </w:rPr>
        <w:t>仅约 </w:t>
      </w:r>
      <w:r>
        <w:rPr>
          <w:rFonts w:ascii="Arial" w:eastAsia="Arial"/>
          <w:spacing w:val="-3"/>
        </w:rPr>
        <w:t>20%)</w:t>
      </w:r>
      <w:r>
        <w:rPr>
          <w:spacing w:val="-5"/>
        </w:rPr>
        <w:t>，多数患者在确诊时已为晚期，错过了最佳的手术时机。</w:t>
      </w:r>
    </w:p>
    <w:p>
      <w:pPr>
        <w:pStyle w:val="BodyText"/>
        <w:spacing w:line="288" w:lineRule="auto" w:before="116"/>
        <w:ind w:right="2809"/>
        <w:jc w:val="both"/>
      </w:pPr>
      <w:r>
        <w:rPr>
          <w:spacing w:val="-3"/>
        </w:rPr>
        <w:t>中国及美国对胃癌的标准治疗相似。手术为治疗 </w:t>
      </w:r>
      <w:r>
        <w:rPr>
          <w:rFonts w:ascii="Arial" w:eastAsia="Arial"/>
        </w:rPr>
        <w:t>I</w:t>
      </w:r>
      <w:r>
        <w:rPr>
          <w:rFonts w:ascii="Arial" w:eastAsia="Arial"/>
          <w:spacing w:val="32"/>
        </w:rPr>
        <w:t> </w:t>
      </w:r>
      <w:r>
        <w:rPr>
          <w:spacing w:val="13"/>
        </w:rPr>
        <w:t>期至 </w:t>
      </w:r>
      <w:r>
        <w:rPr>
          <w:rFonts w:ascii="Arial" w:eastAsia="Arial"/>
        </w:rPr>
        <w:t>III</w:t>
      </w:r>
      <w:r>
        <w:rPr>
          <w:rFonts w:ascii="Arial" w:eastAsia="Arial"/>
          <w:spacing w:val="32"/>
        </w:rPr>
        <w:t> </w:t>
      </w:r>
      <w:r>
        <w:rPr>
          <w:spacing w:val="-5"/>
        </w:rPr>
        <w:t>期胃癌的主要方法，而化疗和靶</w:t>
      </w:r>
      <w:r>
        <w:rPr/>
        <w:t>向治疗则主要用于不可切除胃癌和晚期转移性胃癌。根据弗若斯特沙利文数据，一线化疗</w:t>
      </w:r>
      <w:r>
        <w:rPr>
          <w:spacing w:val="-4"/>
        </w:rPr>
        <w:t>对胃癌的疗效仍然不理想，</w:t>
      </w:r>
      <w:r>
        <w:rPr>
          <w:rFonts w:ascii="Arial" w:eastAsia="Arial"/>
        </w:rPr>
        <w:t>ORR</w:t>
      </w:r>
      <w:r>
        <w:rPr>
          <w:rFonts w:ascii="Arial" w:eastAsia="Arial"/>
          <w:spacing w:val="-15"/>
        </w:rPr>
        <w:t> </w:t>
      </w:r>
      <w:r>
        <w:rPr>
          <w:spacing w:val="-2"/>
        </w:rPr>
        <w:t>约为 </w:t>
      </w:r>
      <w:r>
        <w:rPr>
          <w:rFonts w:ascii="Arial" w:eastAsia="Arial"/>
        </w:rPr>
        <w:t>25%</w:t>
      </w:r>
      <w:r>
        <w:rPr/>
        <w:t>，</w:t>
      </w:r>
      <w:r>
        <w:rPr>
          <w:rFonts w:ascii="Arial" w:eastAsia="Arial"/>
        </w:rPr>
        <w:t>mPFS</w:t>
      </w:r>
      <w:r>
        <w:rPr>
          <w:rFonts w:ascii="Arial" w:eastAsia="Arial"/>
          <w:spacing w:val="-12"/>
        </w:rPr>
        <w:t> </w:t>
      </w:r>
      <w:r>
        <w:rPr>
          <w:spacing w:val="-4"/>
        </w:rPr>
        <w:t>约为 </w:t>
      </w:r>
      <w:r>
        <w:rPr>
          <w:rFonts w:ascii="Arial" w:eastAsia="Arial"/>
        </w:rPr>
        <w:t>2.2</w:t>
      </w:r>
      <w:r>
        <w:rPr>
          <w:rFonts w:ascii="Arial" w:eastAsia="Arial"/>
          <w:spacing w:val="-15"/>
        </w:rPr>
        <w:t> </w:t>
      </w:r>
      <w:r>
        <w:rPr/>
        <w:t>个月，</w:t>
      </w:r>
      <w:r>
        <w:rPr>
          <w:rFonts w:ascii="Arial" w:eastAsia="Arial"/>
        </w:rPr>
        <w:t>mOS</w:t>
      </w:r>
      <w:r>
        <w:rPr>
          <w:rFonts w:ascii="Arial" w:eastAsia="Arial"/>
          <w:spacing w:val="-18"/>
        </w:rPr>
        <w:t> </w:t>
      </w:r>
      <w:r>
        <w:rPr>
          <w:spacing w:val="-2"/>
        </w:rPr>
        <w:t>约为 </w:t>
      </w:r>
      <w:r>
        <w:rPr>
          <w:rFonts w:ascii="Arial" w:eastAsia="Arial"/>
        </w:rPr>
        <w:t>5.6</w:t>
      </w:r>
      <w:r>
        <w:rPr>
          <w:rFonts w:ascii="Arial" w:eastAsia="Arial"/>
          <w:spacing w:val="-14"/>
        </w:rPr>
        <w:t> </w:t>
      </w:r>
      <w:r>
        <w:rPr>
          <w:spacing w:val="-2"/>
        </w:rPr>
        <w:t>个月。目</w:t>
      </w:r>
      <w:r>
        <w:rPr>
          <w:spacing w:val="-4"/>
        </w:rPr>
        <w:t>前国内指南对于 </w:t>
      </w:r>
      <w:r>
        <w:rPr>
          <w:rFonts w:ascii="Arial" w:eastAsia="Arial"/>
        </w:rPr>
        <w:t>HER-2</w:t>
      </w:r>
      <w:r>
        <w:rPr>
          <w:rFonts w:ascii="Arial" w:eastAsia="Arial"/>
          <w:spacing w:val="31"/>
        </w:rPr>
        <w:t> </w:t>
      </w:r>
      <w:r>
        <w:rPr>
          <w:spacing w:val="-5"/>
        </w:rPr>
        <w:t>阳性患者，推荐一线使用曲妥珠联合化疗方案；对于 </w:t>
      </w:r>
      <w:r>
        <w:rPr>
          <w:rFonts w:ascii="Arial" w:eastAsia="Arial"/>
        </w:rPr>
        <w:t>HER-2</w:t>
      </w:r>
      <w:r>
        <w:rPr>
          <w:rFonts w:ascii="Arial" w:eastAsia="Arial"/>
          <w:spacing w:val="30"/>
        </w:rPr>
        <w:t> </w:t>
      </w:r>
      <w:r>
        <w:rPr/>
        <w:t>阴性</w:t>
      </w:r>
      <w:r>
        <w:rPr>
          <w:spacing w:val="-4"/>
        </w:rPr>
        <w:t>患者，推荐纳武利尤单抗</w:t>
      </w:r>
      <w:r>
        <w:rPr>
          <w:rFonts w:ascii="Arial" w:eastAsia="Arial"/>
          <w:spacing w:val="-3"/>
        </w:rPr>
        <w:t>+</w:t>
      </w:r>
      <w:r>
        <w:rPr>
          <w:spacing w:val="-3"/>
        </w:rPr>
        <w:t>化疗的联合方案。</w:t>
      </w:r>
    </w:p>
    <w:p>
      <w:pPr>
        <w:pStyle w:val="BodyText"/>
        <w:spacing w:line="288" w:lineRule="auto" w:before="118"/>
        <w:ind w:right="2613"/>
      </w:pPr>
      <w:r>
        <w:rPr>
          <w:rFonts w:ascii="Arial" w:eastAsia="Arial"/>
        </w:rPr>
        <w:t>HER2 </w:t>
      </w:r>
      <w:r>
        <w:rPr>
          <w:spacing w:val="-5"/>
        </w:rPr>
        <w:t>阳性胃癌的占比较小，仅占所有胃癌的约 </w:t>
      </w:r>
      <w:r>
        <w:rPr>
          <w:rFonts w:ascii="Arial" w:eastAsia="Arial"/>
          <w:spacing w:val="-3"/>
        </w:rPr>
        <w:t>7.3%</w:t>
      </w:r>
      <w:r>
        <w:rPr>
          <w:spacing w:val="5"/>
        </w:rPr>
        <w:t>至 </w:t>
      </w:r>
      <w:r>
        <w:rPr>
          <w:rFonts w:ascii="Arial" w:eastAsia="Arial"/>
        </w:rPr>
        <w:t>20.2%</w:t>
      </w:r>
      <w:r>
        <w:rPr>
          <w:spacing w:val="1"/>
        </w:rPr>
        <w:t>。对于 </w:t>
      </w:r>
      <w:r>
        <w:rPr>
          <w:rFonts w:ascii="Arial" w:eastAsia="Arial"/>
        </w:rPr>
        <w:t>HER2 </w:t>
      </w:r>
      <w:r>
        <w:rPr>
          <w:spacing w:val="-3"/>
        </w:rPr>
        <w:t>阴性胃癌患者， </w:t>
      </w:r>
      <w:r>
        <w:rPr>
          <w:rFonts w:ascii="Arial" w:eastAsia="Arial"/>
          <w:spacing w:val="-3"/>
        </w:rPr>
        <w:t>PD-1/PD-L1 </w:t>
      </w:r>
      <w:r>
        <w:rPr>
          <w:spacing w:val="-5"/>
        </w:rPr>
        <w:t>单抗仅带来有限的生存获益。</w:t>
      </w:r>
      <w:r>
        <w:rPr>
          <w:rFonts w:ascii="Arial" w:eastAsia="Arial"/>
        </w:rPr>
        <w:t>2020 </w:t>
      </w:r>
      <w:r>
        <w:rPr/>
        <w:t>年，</w:t>
      </w:r>
      <w:r>
        <w:rPr>
          <w:rFonts w:ascii="Arial" w:eastAsia="Arial"/>
        </w:rPr>
        <w:t>NMPA </w:t>
      </w:r>
      <w:r>
        <w:rPr>
          <w:spacing w:val="-2"/>
        </w:rPr>
        <w:t>基于 </w:t>
      </w:r>
      <w:r>
        <w:rPr>
          <w:rFonts w:ascii="Arial" w:eastAsia="Arial"/>
        </w:rPr>
        <w:t>ATTRACTION-2 </w:t>
      </w:r>
      <w:r>
        <w:rPr>
          <w:spacing w:val="-2"/>
        </w:rPr>
        <w:t>研究，批准</w:t>
      </w:r>
      <w:r>
        <w:rPr>
          <w:spacing w:val="-5"/>
        </w:rPr>
        <w:t>纳武利尤单抗用于三线治疗胃癌，</w:t>
      </w:r>
      <w:r>
        <w:rPr>
          <w:rFonts w:ascii="Arial" w:eastAsia="Arial"/>
        </w:rPr>
        <w:t>ATTRACTION-2</w:t>
      </w:r>
      <w:r>
        <w:rPr>
          <w:rFonts w:ascii="Arial" w:eastAsia="Arial"/>
          <w:spacing w:val="10"/>
        </w:rPr>
        <w:t>  </w:t>
      </w:r>
      <w:r>
        <w:rPr>
          <w:spacing w:val="-5"/>
        </w:rPr>
        <w:t>主要入组亚洲人群，纳武利尤单抗单药</w:t>
      </w:r>
      <w:r>
        <w:rPr>
          <w:spacing w:val="48"/>
        </w:rPr>
        <w:t>的</w:t>
      </w:r>
      <w:r>
        <w:rPr>
          <w:rFonts w:ascii="Arial" w:eastAsia="Arial"/>
        </w:rPr>
        <w:t>ORR </w:t>
      </w:r>
      <w:r>
        <w:rPr/>
        <w:t>为 </w:t>
      </w:r>
      <w:r>
        <w:rPr>
          <w:rFonts w:ascii="Arial" w:eastAsia="Arial"/>
        </w:rPr>
        <w:t>11.2%</w:t>
      </w:r>
      <w:r>
        <w:rPr/>
        <w:t>，</w:t>
      </w:r>
      <w:r>
        <w:rPr>
          <w:rFonts w:ascii="Arial" w:eastAsia="Arial"/>
        </w:rPr>
        <w:t>mOS </w:t>
      </w:r>
      <w:r>
        <w:rPr/>
        <w:t>为 </w:t>
      </w:r>
      <w:r>
        <w:rPr>
          <w:rFonts w:ascii="Arial" w:eastAsia="Arial"/>
        </w:rPr>
        <w:t>5.3 </w:t>
      </w:r>
      <w:r>
        <w:rPr>
          <w:spacing w:val="19"/>
        </w:rPr>
        <w:t>个月</w:t>
      </w:r>
      <w:r>
        <w:rPr>
          <w:rFonts w:ascii="Arial" w:eastAsia="Arial"/>
        </w:rPr>
        <w:t>(</w:t>
      </w:r>
      <w:r>
        <w:rPr>
          <w:spacing w:val="-2"/>
        </w:rPr>
        <w:t>安慰剂组 </w:t>
      </w:r>
      <w:r>
        <w:rPr>
          <w:rFonts w:ascii="Arial" w:eastAsia="Arial"/>
        </w:rPr>
        <w:t>4.1 </w:t>
      </w:r>
      <w:r>
        <w:rPr>
          <w:spacing w:val="-3"/>
        </w:rPr>
        <w:t>个月</w:t>
      </w:r>
      <w:r>
        <w:rPr>
          <w:rFonts w:ascii="Arial" w:eastAsia="Arial"/>
        </w:rPr>
        <w:t>)</w:t>
      </w:r>
      <w:r>
        <w:rPr/>
        <w:t>，</w:t>
      </w:r>
      <w:r>
        <w:rPr>
          <w:rFonts w:ascii="Arial" w:eastAsia="Arial"/>
        </w:rPr>
        <w:t>12 </w:t>
      </w:r>
      <w:r>
        <w:rPr>
          <w:spacing w:val="14"/>
        </w:rPr>
        <w:t>个月的</w:t>
      </w:r>
      <w:r>
        <w:rPr>
          <w:rFonts w:ascii="Arial" w:eastAsia="Arial"/>
        </w:rPr>
        <w:t>OS </w:t>
      </w:r>
      <w:r>
        <w:rPr>
          <w:spacing w:val="-2"/>
        </w:rPr>
        <w:t>率为 </w:t>
      </w:r>
      <w:r>
        <w:rPr>
          <w:rFonts w:ascii="Arial" w:eastAsia="Arial"/>
        </w:rPr>
        <w:t>26.2</w:t>
      </w:r>
      <w:r>
        <w:rPr>
          <w:rFonts w:ascii="Arial" w:eastAsia="Arial"/>
          <w:spacing w:val="-4"/>
        </w:rPr>
        <w:t>% (</w:t>
      </w:r>
      <w:r>
        <w:rPr/>
        <w:t>安慰剂</w:t>
      </w:r>
      <w:r>
        <w:rPr>
          <w:spacing w:val="-2"/>
        </w:rPr>
        <w:t>组 </w:t>
      </w:r>
      <w:r>
        <w:rPr>
          <w:rFonts w:ascii="Arial" w:eastAsia="Arial"/>
        </w:rPr>
        <w:t>10.9%)</w:t>
      </w:r>
      <w:r>
        <w:rPr/>
        <w:t>。</w:t>
      </w:r>
    </w:p>
    <w:p>
      <w:pPr>
        <w:pStyle w:val="Heading3"/>
        <w:spacing w:before="64"/>
        <w:jc w:val="left"/>
      </w:pPr>
      <w:r>
        <w:rPr>
          <w:rFonts w:ascii="Arial" w:eastAsia="Arial"/>
        </w:rPr>
        <w:t>CLDN18.2 </w:t>
      </w:r>
      <w:r>
        <w:rPr/>
        <w:t>特异性强，在多种消化道肿瘤高表达</w:t>
      </w:r>
    </w:p>
    <w:p>
      <w:pPr>
        <w:pStyle w:val="BodyText"/>
        <w:spacing w:line="288" w:lineRule="auto" w:before="154"/>
        <w:ind w:right="2613"/>
      </w:pPr>
      <w:r>
        <w:rPr>
          <w:rFonts w:ascii="Arial" w:eastAsia="Arial"/>
        </w:rPr>
        <w:t>Claudin </w:t>
      </w:r>
      <w:r>
        <w:rPr/>
        <w:t>蛋白是一类存在于上皮和内皮紧密连接中的整合素膜蛋白，</w:t>
      </w:r>
      <w:r>
        <w:rPr>
          <w:rFonts w:ascii="Arial" w:eastAsia="Arial"/>
        </w:rPr>
        <w:t>CLDN18 </w:t>
      </w:r>
      <w:r>
        <w:rPr>
          <w:spacing w:val="3"/>
        </w:rPr>
        <w:t>是 </w:t>
      </w:r>
      <w:r>
        <w:rPr>
          <w:rFonts w:ascii="Arial" w:eastAsia="Arial"/>
        </w:rPr>
        <w:t>Claudin (CLDN</w:t>
      </w:r>
      <w:r>
        <w:rPr>
          <w:rFonts w:ascii="Arial" w:eastAsia="Arial"/>
          <w:spacing w:val="-3"/>
        </w:rPr>
        <w:t>) </w:t>
      </w:r>
      <w:r>
        <w:rPr>
          <w:spacing w:val="1"/>
        </w:rPr>
        <w:t>蛋白家族的成员，其有</w:t>
      </w:r>
      <w:r>
        <w:rPr>
          <w:rFonts w:ascii="Arial" w:eastAsia="Arial"/>
        </w:rPr>
        <w:t>Claudin18.1 </w:t>
      </w:r>
      <w:r>
        <w:rPr>
          <w:spacing w:val="48"/>
        </w:rPr>
        <w:t>和</w:t>
      </w:r>
      <w:r>
        <w:rPr>
          <w:rFonts w:ascii="Arial" w:eastAsia="Arial"/>
        </w:rPr>
        <w:t>Claudin18.2 </w:t>
      </w:r>
      <w:r>
        <w:rPr>
          <w:spacing w:val="-3"/>
        </w:rPr>
        <w:t>两种异构体。</w:t>
      </w:r>
      <w:r>
        <w:rPr>
          <w:rFonts w:ascii="Arial" w:eastAsia="Arial"/>
        </w:rPr>
        <w:t>Claudin18.2 </w:t>
      </w:r>
      <w:r>
        <w:rPr>
          <w:spacing w:val="1"/>
        </w:rPr>
        <w:t>蛋白的</w:t>
      </w:r>
      <w:r>
        <w:rPr/>
        <w:t>表达在正常生理状态下仅在胃黏膜上已分化的上皮细胞中表达，且埋藏在组织细胞中，  在</w:t>
      </w:r>
      <w:r>
        <w:rPr>
          <w:spacing w:val="19"/>
        </w:rPr>
        <w:t>胃干细胞区完全不表达。恶性肿瘤会导致紧密连接的破坏， 使肿瘤细胞表面的</w:t>
      </w:r>
      <w:r>
        <w:rPr>
          <w:rFonts w:ascii="Arial" w:eastAsia="Arial"/>
          <w:spacing w:val="19"/>
        </w:rPr>
        <w:t>Claudin18.2 </w:t>
      </w:r>
      <w:r>
        <w:rPr>
          <w:spacing w:val="-2"/>
        </w:rPr>
        <w:t>表位暴露出来，成为特定的靶点。因此，</w:t>
      </w:r>
      <w:r>
        <w:rPr>
          <w:rFonts w:ascii="Arial" w:eastAsia="Arial"/>
        </w:rPr>
        <w:t>Claudin18.2</w:t>
      </w:r>
      <w:r>
        <w:rPr>
          <w:rFonts w:ascii="Arial" w:eastAsia="Arial"/>
          <w:spacing w:val="51"/>
        </w:rPr>
        <w:t> </w:t>
      </w:r>
      <w:r>
        <w:rPr>
          <w:spacing w:val="-1"/>
        </w:rPr>
        <w:t>具备靶向治疗的特异性。</w:t>
      </w:r>
      <w:r>
        <w:rPr>
          <w:rFonts w:ascii="Arial" w:eastAsia="Arial"/>
          <w:spacing w:val="-1"/>
        </w:rPr>
        <w:t>Claudin18.2 </w:t>
      </w:r>
      <w:r>
        <w:rPr>
          <w:spacing w:val="-3"/>
        </w:rPr>
        <w:t>在不同的肿瘤表达具有差异性，在胃癌和食管癌中约为 </w:t>
      </w:r>
      <w:r>
        <w:rPr>
          <w:rFonts w:ascii="Arial" w:eastAsia="Arial"/>
        </w:rPr>
        <w:t>70~80%</w:t>
      </w:r>
      <w:r>
        <w:rPr>
          <w:spacing w:val="-3"/>
        </w:rPr>
        <w:t>，胰腺癌中约为 </w:t>
      </w:r>
      <w:r>
        <w:rPr>
          <w:rFonts w:ascii="Arial" w:eastAsia="Arial"/>
        </w:rPr>
        <w:t>60%</w:t>
      </w:r>
      <w:r>
        <w:rPr>
          <w:spacing w:val="-3"/>
        </w:rPr>
        <w:t>，卵巢癌和肺癌中约为 </w:t>
      </w:r>
      <w:r>
        <w:rPr>
          <w:rFonts w:ascii="Arial" w:eastAsia="Arial"/>
        </w:rPr>
        <w:t>10%~25%</w:t>
      </w:r>
      <w:r>
        <w:rPr/>
        <w:t>。</w:t>
      </w:r>
    </w:p>
    <w:p>
      <w:pPr>
        <w:pStyle w:val="BodyText"/>
        <w:spacing w:line="288" w:lineRule="auto" w:before="114"/>
        <w:ind w:right="2813"/>
        <w:jc w:val="both"/>
      </w:pPr>
      <w:r>
        <w:rPr/>
        <w:t>目前靶向 </w:t>
      </w:r>
      <w:r>
        <w:rPr>
          <w:rFonts w:ascii="Arial" w:eastAsia="Arial"/>
        </w:rPr>
        <w:t>CLDN18.2 </w:t>
      </w:r>
      <w:r>
        <w:rPr>
          <w:spacing w:val="-5"/>
        </w:rPr>
        <w:t>在研药物类型包括单抗、双抗、</w:t>
      </w:r>
      <w:r>
        <w:rPr>
          <w:rFonts w:ascii="Arial" w:eastAsia="Arial"/>
        </w:rPr>
        <w:t>CAR-T </w:t>
      </w:r>
      <w:r>
        <w:rPr>
          <w:spacing w:val="3"/>
        </w:rPr>
        <w:t>和 </w:t>
      </w:r>
      <w:r>
        <w:rPr>
          <w:rFonts w:ascii="Arial" w:eastAsia="Arial"/>
        </w:rPr>
        <w:t>ADC </w:t>
      </w:r>
      <w:r>
        <w:rPr>
          <w:spacing w:val="-1"/>
        </w:rPr>
        <w:t>等，其中 </w:t>
      </w:r>
      <w:r>
        <w:rPr>
          <w:rFonts w:ascii="Arial" w:eastAsia="Arial"/>
        </w:rPr>
        <w:t>CAR-T </w:t>
      </w:r>
      <w:r>
        <w:rPr>
          <w:spacing w:val="-5"/>
        </w:rPr>
        <w:t>和单</w:t>
      </w:r>
      <w:r>
        <w:rPr>
          <w:spacing w:val="-2"/>
        </w:rPr>
        <w:t>抗药物进展领先，安斯泰来的</w:t>
      </w:r>
      <w:r>
        <w:rPr>
          <w:rFonts w:ascii="Arial" w:eastAsia="Arial"/>
        </w:rPr>
        <w:t>Zolbetuximab</w:t>
      </w:r>
      <w:r>
        <w:rPr>
          <w:rFonts w:ascii="Arial" w:eastAsia="Arial"/>
          <w:spacing w:val="-3"/>
        </w:rPr>
        <w:t> (</w:t>
      </w:r>
      <w:r>
        <w:rPr>
          <w:rFonts w:ascii="Arial" w:eastAsia="Arial"/>
        </w:rPr>
        <w:t>IMAB-362</w:t>
      </w:r>
      <w:r>
        <w:rPr/>
        <w:t>，单抗</w:t>
      </w:r>
      <w:r>
        <w:rPr>
          <w:rFonts w:ascii="Arial" w:eastAsia="Arial"/>
        </w:rPr>
        <w:t>)</w:t>
      </w:r>
      <w:r>
        <w:rPr>
          <w:spacing w:val="-4"/>
        </w:rPr>
        <w:t>已经在全球进入 </w:t>
      </w:r>
      <w:r>
        <w:rPr>
          <w:rFonts w:ascii="Arial" w:eastAsia="Arial"/>
        </w:rPr>
        <w:t>III </w:t>
      </w:r>
      <w:r>
        <w:rPr>
          <w:spacing w:val="-2"/>
        </w:rPr>
        <w:t>期临床， </w:t>
      </w:r>
      <w:r>
        <w:rPr>
          <w:spacing w:val="1"/>
        </w:rPr>
        <w:t>主要入组 </w:t>
      </w:r>
      <w:r>
        <w:rPr>
          <w:rFonts w:ascii="Arial" w:eastAsia="Arial"/>
        </w:rPr>
        <w:t>Claudin18.2 </w:t>
      </w:r>
      <w:r>
        <w:rPr>
          <w:spacing w:val="-4"/>
        </w:rPr>
        <w:t>高表达患者；创胜集团研发的 </w:t>
      </w:r>
      <w:r>
        <w:rPr>
          <w:rFonts w:ascii="Arial" w:eastAsia="Arial"/>
        </w:rPr>
        <w:t>TST001</w:t>
      </w:r>
      <w:r>
        <w:rPr>
          <w:rFonts w:ascii="Arial" w:eastAsia="Arial"/>
          <w:spacing w:val="18"/>
        </w:rPr>
        <w:t> (</w:t>
      </w:r>
      <w:r>
        <w:rPr>
          <w:spacing w:val="-3"/>
        </w:rPr>
        <w:t>单抗</w:t>
      </w:r>
      <w:r>
        <w:rPr>
          <w:rFonts w:ascii="Arial" w:eastAsia="Arial"/>
          <w:spacing w:val="16"/>
        </w:rPr>
        <w:t>) </w:t>
      </w:r>
      <w:r>
        <w:rPr/>
        <w:t>及科济药业的 </w:t>
      </w:r>
      <w:r>
        <w:rPr>
          <w:rFonts w:ascii="Arial" w:eastAsia="Arial"/>
        </w:rPr>
        <w:t>CT041 (CAR-T</w:t>
      </w:r>
      <w:r>
        <w:rPr>
          <w:rFonts w:ascii="Arial" w:eastAsia="Arial"/>
          <w:spacing w:val="1"/>
        </w:rPr>
        <w:t>) </w:t>
      </w:r>
      <w:r>
        <w:rPr>
          <w:spacing w:val="19"/>
        </w:rPr>
        <w:t>分别处于 </w:t>
      </w:r>
      <w:r>
        <w:rPr>
          <w:rFonts w:ascii="Arial" w:eastAsia="Arial"/>
        </w:rPr>
        <w:t>II </w:t>
      </w:r>
      <w:r>
        <w:rPr>
          <w:spacing w:val="15"/>
        </w:rPr>
        <w:t>期临床阶段， 其入组患者的 </w:t>
      </w:r>
      <w:r>
        <w:rPr>
          <w:rFonts w:ascii="Arial" w:eastAsia="Arial"/>
        </w:rPr>
        <w:t>Claudin18.2 </w:t>
      </w:r>
      <w:r>
        <w:rPr>
          <w:spacing w:val="17"/>
        </w:rPr>
        <w:t>表达 </w:t>
      </w:r>
      <w:r>
        <w:rPr>
          <w:rFonts w:ascii="Arial" w:eastAsia="Arial"/>
        </w:rPr>
        <w:t>cutoff </w:t>
      </w:r>
      <w:r>
        <w:rPr>
          <w:spacing w:val="16"/>
        </w:rPr>
        <w:t>值低于</w:t>
      </w:r>
      <w:r>
        <w:rPr>
          <w:rFonts w:ascii="Arial" w:eastAsia="Arial"/>
          <w:spacing w:val="16"/>
        </w:rPr>
        <w:t>Zolbetuximab</w:t>
      </w:r>
      <w:r>
        <w:rPr>
          <w:spacing w:val="16"/>
        </w:rPr>
        <w:t>。</w:t>
      </w:r>
    </w:p>
    <w:p>
      <w:pPr>
        <w:pStyle w:val="Heading3"/>
        <w:spacing w:after="5"/>
        <w:jc w:val="left"/>
      </w:pPr>
      <w:r>
        <w:rPr/>
        <w:t>图 </w:t>
      </w:r>
      <w:r>
        <w:rPr>
          <w:rFonts w:ascii="Arial" w:eastAsia="Arial"/>
        </w:rPr>
        <w:t>42: CLDN18.2 </w:t>
      </w:r>
      <w:r>
        <w:rPr/>
        <w:t>靶向药物的全球研发格局</w:t>
      </w:r>
    </w:p>
    <w:tbl>
      <w:tblPr>
        <w:tblW w:w="0" w:type="auto"/>
        <w:jc w:val="left"/>
        <w:tblInd w:w="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1"/>
        <w:gridCol w:w="964"/>
        <w:gridCol w:w="531"/>
        <w:gridCol w:w="700"/>
        <w:gridCol w:w="1023"/>
        <w:gridCol w:w="811"/>
        <w:gridCol w:w="931"/>
        <w:gridCol w:w="623"/>
        <w:gridCol w:w="744"/>
        <w:gridCol w:w="749"/>
      </w:tblGrid>
      <w:tr>
        <w:trPr>
          <w:trHeight w:val="407" w:hRule="atLeast"/>
        </w:trPr>
        <w:tc>
          <w:tcPr>
            <w:tcW w:w="881" w:type="dxa"/>
            <w:tcBorders>
              <w:top w:val="single" w:sz="12" w:space="0" w:color="000000"/>
            </w:tcBorders>
            <w:shd w:val="clear" w:color="auto" w:fill="C00000"/>
          </w:tcPr>
          <w:p>
            <w:pPr>
              <w:pStyle w:val="TableParagraph"/>
              <w:spacing w:line="189" w:lineRule="exact"/>
              <w:ind w:left="110"/>
              <w:rPr>
                <w:rFonts w:ascii="Microsoft JhengHei UI" w:eastAsia="Microsoft JhengHei UI" w:hint="eastAsia"/>
                <w:b/>
                <w:sz w:val="14"/>
              </w:rPr>
            </w:pPr>
            <w:r>
              <w:rPr>
                <w:rFonts w:ascii="Microsoft JhengHei UI" w:eastAsia="Microsoft JhengHei UI" w:hint="eastAsia"/>
                <w:b/>
                <w:color w:val="FFFFFF"/>
                <w:w w:val="95"/>
                <w:sz w:val="14"/>
              </w:rPr>
              <w:t>研发</w:t>
            </w:r>
          </w:p>
          <w:p>
            <w:pPr>
              <w:pStyle w:val="TableParagraph"/>
              <w:spacing w:line="199" w:lineRule="exact"/>
              <w:ind w:left="110"/>
              <w:rPr>
                <w:rFonts w:ascii="Microsoft JhengHei UI" w:eastAsia="Microsoft JhengHei UI" w:hint="eastAsia"/>
                <w:b/>
                <w:sz w:val="14"/>
              </w:rPr>
            </w:pPr>
            <w:r>
              <w:rPr>
                <w:rFonts w:ascii="Microsoft JhengHei UI" w:eastAsia="Microsoft JhengHei UI" w:hint="eastAsia"/>
                <w:b/>
                <w:color w:val="FFFFFF"/>
                <w:w w:val="95"/>
                <w:sz w:val="14"/>
              </w:rPr>
              <w:t>机构</w:t>
            </w:r>
          </w:p>
        </w:tc>
        <w:tc>
          <w:tcPr>
            <w:tcW w:w="964" w:type="dxa"/>
            <w:tcBorders>
              <w:top w:val="single" w:sz="12" w:space="0" w:color="000000"/>
            </w:tcBorders>
            <w:shd w:val="clear" w:color="auto" w:fill="C00000"/>
          </w:tcPr>
          <w:p>
            <w:pPr>
              <w:pStyle w:val="TableParagraph"/>
              <w:spacing w:line="189" w:lineRule="exact"/>
              <w:ind w:left="127"/>
              <w:rPr>
                <w:rFonts w:ascii="Microsoft JhengHei UI" w:eastAsia="Microsoft JhengHei UI" w:hint="eastAsia"/>
                <w:b/>
                <w:sz w:val="14"/>
              </w:rPr>
            </w:pPr>
            <w:r>
              <w:rPr>
                <w:rFonts w:ascii="Microsoft JhengHei UI" w:eastAsia="Microsoft JhengHei UI" w:hint="eastAsia"/>
                <w:b/>
                <w:color w:val="FFFFFF"/>
                <w:w w:val="95"/>
                <w:sz w:val="14"/>
              </w:rPr>
              <w:t>药品</w:t>
            </w:r>
          </w:p>
          <w:p>
            <w:pPr>
              <w:pStyle w:val="TableParagraph"/>
              <w:spacing w:line="199" w:lineRule="exact"/>
              <w:ind w:left="127"/>
              <w:rPr>
                <w:rFonts w:ascii="Microsoft JhengHei UI" w:eastAsia="Microsoft JhengHei UI" w:hint="eastAsia"/>
                <w:b/>
                <w:sz w:val="14"/>
              </w:rPr>
            </w:pPr>
            <w:r>
              <w:rPr>
                <w:rFonts w:ascii="Microsoft JhengHei UI" w:eastAsia="Microsoft JhengHei UI" w:hint="eastAsia"/>
                <w:b/>
                <w:color w:val="FFFFFF"/>
                <w:w w:val="95"/>
                <w:sz w:val="14"/>
              </w:rPr>
              <w:t>名称</w:t>
            </w:r>
          </w:p>
        </w:tc>
        <w:tc>
          <w:tcPr>
            <w:tcW w:w="531" w:type="dxa"/>
            <w:tcBorders>
              <w:top w:val="single" w:sz="12" w:space="0" w:color="000000"/>
            </w:tcBorders>
            <w:shd w:val="clear" w:color="auto" w:fill="C00000"/>
          </w:tcPr>
          <w:p>
            <w:pPr>
              <w:pStyle w:val="TableParagraph"/>
              <w:spacing w:line="189" w:lineRule="exact"/>
              <w:ind w:left="113"/>
              <w:rPr>
                <w:rFonts w:ascii="Microsoft JhengHei UI" w:eastAsia="Microsoft JhengHei UI" w:hint="eastAsia"/>
                <w:b/>
                <w:sz w:val="14"/>
              </w:rPr>
            </w:pPr>
            <w:r>
              <w:rPr>
                <w:rFonts w:ascii="Microsoft JhengHei UI" w:eastAsia="Microsoft JhengHei UI" w:hint="eastAsia"/>
                <w:b/>
                <w:color w:val="FFFFFF"/>
                <w:w w:val="95"/>
                <w:sz w:val="14"/>
              </w:rPr>
              <w:t>最高</w:t>
            </w:r>
          </w:p>
          <w:p>
            <w:pPr>
              <w:pStyle w:val="TableParagraph"/>
              <w:spacing w:line="199" w:lineRule="exact"/>
              <w:ind w:left="113"/>
              <w:rPr>
                <w:rFonts w:ascii="Microsoft JhengHei UI" w:eastAsia="Microsoft JhengHei UI" w:hint="eastAsia"/>
                <w:b/>
                <w:sz w:val="14"/>
              </w:rPr>
            </w:pPr>
            <w:r>
              <w:rPr>
                <w:rFonts w:ascii="Microsoft JhengHei UI" w:eastAsia="Microsoft JhengHei UI" w:hint="eastAsia"/>
                <w:b/>
                <w:color w:val="FFFFFF"/>
                <w:w w:val="95"/>
                <w:sz w:val="14"/>
              </w:rPr>
              <w:t>阶段</w:t>
            </w:r>
          </w:p>
        </w:tc>
        <w:tc>
          <w:tcPr>
            <w:tcW w:w="700" w:type="dxa"/>
            <w:tcBorders>
              <w:top w:val="single" w:sz="12" w:space="0" w:color="000000"/>
            </w:tcBorders>
            <w:shd w:val="clear" w:color="auto" w:fill="C00000"/>
          </w:tcPr>
          <w:p>
            <w:pPr>
              <w:pStyle w:val="TableParagraph"/>
              <w:spacing w:line="189" w:lineRule="exact"/>
              <w:ind w:left="135"/>
              <w:rPr>
                <w:rFonts w:ascii="Microsoft JhengHei UI" w:eastAsia="Microsoft JhengHei UI" w:hint="eastAsia"/>
                <w:b/>
                <w:sz w:val="14"/>
              </w:rPr>
            </w:pPr>
            <w:r>
              <w:rPr>
                <w:rFonts w:ascii="Microsoft JhengHei UI" w:eastAsia="Microsoft JhengHei UI" w:hint="eastAsia"/>
                <w:b/>
                <w:color w:val="FFFFFF"/>
                <w:w w:val="95"/>
                <w:sz w:val="14"/>
              </w:rPr>
              <w:t>作用</w:t>
            </w:r>
          </w:p>
          <w:p>
            <w:pPr>
              <w:pStyle w:val="TableParagraph"/>
              <w:spacing w:line="199" w:lineRule="exact"/>
              <w:ind w:left="135"/>
              <w:rPr>
                <w:rFonts w:ascii="Microsoft JhengHei UI" w:eastAsia="Microsoft JhengHei UI" w:hint="eastAsia"/>
                <w:b/>
                <w:sz w:val="14"/>
              </w:rPr>
            </w:pPr>
            <w:r>
              <w:rPr>
                <w:rFonts w:ascii="Microsoft JhengHei UI" w:eastAsia="Microsoft JhengHei UI" w:hint="eastAsia"/>
                <w:b/>
                <w:color w:val="FFFFFF"/>
                <w:w w:val="95"/>
                <w:sz w:val="14"/>
              </w:rPr>
              <w:t>机制</w:t>
            </w:r>
          </w:p>
        </w:tc>
        <w:tc>
          <w:tcPr>
            <w:tcW w:w="1023" w:type="dxa"/>
            <w:tcBorders>
              <w:top w:val="single" w:sz="12" w:space="0" w:color="000000"/>
              <w:right w:val="single" w:sz="4" w:space="0" w:color="000000"/>
            </w:tcBorders>
            <w:shd w:val="clear" w:color="auto" w:fill="C00000"/>
          </w:tcPr>
          <w:p>
            <w:pPr>
              <w:pStyle w:val="TableParagraph"/>
              <w:spacing w:line="189" w:lineRule="exact"/>
              <w:ind w:left="141"/>
              <w:rPr>
                <w:rFonts w:ascii="Microsoft JhengHei UI" w:eastAsia="Microsoft JhengHei UI" w:hint="eastAsia"/>
                <w:b/>
                <w:sz w:val="14"/>
              </w:rPr>
            </w:pPr>
            <w:r>
              <w:rPr>
                <w:rFonts w:ascii="Microsoft JhengHei UI" w:eastAsia="Microsoft JhengHei UI" w:hint="eastAsia"/>
                <w:b/>
                <w:color w:val="FFFFFF"/>
                <w:spacing w:val="1"/>
                <w:w w:val="95"/>
                <w:sz w:val="14"/>
              </w:rPr>
              <w:t>已开展</w:t>
            </w:r>
          </w:p>
          <w:p>
            <w:pPr>
              <w:pStyle w:val="TableParagraph"/>
              <w:spacing w:line="199" w:lineRule="exact"/>
              <w:ind w:left="141"/>
              <w:rPr>
                <w:rFonts w:ascii="Microsoft JhengHei UI" w:eastAsia="Microsoft JhengHei UI" w:hint="eastAsia"/>
                <w:b/>
                <w:sz w:val="14"/>
              </w:rPr>
            </w:pPr>
            <w:r>
              <w:rPr>
                <w:rFonts w:ascii="Microsoft JhengHei UI" w:eastAsia="Microsoft JhengHei UI" w:hint="eastAsia"/>
                <w:b/>
                <w:color w:val="FFFFFF"/>
                <w:spacing w:val="1"/>
                <w:w w:val="95"/>
                <w:sz w:val="14"/>
              </w:rPr>
              <w:t>适应症</w:t>
            </w:r>
          </w:p>
        </w:tc>
        <w:tc>
          <w:tcPr>
            <w:tcW w:w="811" w:type="dxa"/>
            <w:tcBorders>
              <w:top w:val="single" w:sz="12" w:space="0" w:color="000000"/>
              <w:left w:val="single" w:sz="4" w:space="0" w:color="000000"/>
            </w:tcBorders>
            <w:shd w:val="clear" w:color="auto" w:fill="C00000"/>
          </w:tcPr>
          <w:p>
            <w:pPr>
              <w:pStyle w:val="TableParagraph"/>
              <w:spacing w:line="189" w:lineRule="exact"/>
              <w:ind w:left="107"/>
              <w:rPr>
                <w:rFonts w:ascii="Microsoft JhengHei UI" w:eastAsia="Microsoft JhengHei UI" w:hint="eastAsia"/>
                <w:b/>
                <w:sz w:val="14"/>
              </w:rPr>
            </w:pPr>
            <w:r>
              <w:rPr>
                <w:rFonts w:ascii="Microsoft JhengHei UI" w:eastAsia="Microsoft JhengHei UI" w:hint="eastAsia"/>
                <w:b/>
                <w:color w:val="FFFFFF"/>
                <w:w w:val="95"/>
                <w:sz w:val="14"/>
              </w:rPr>
              <w:t>研发</w:t>
            </w:r>
          </w:p>
          <w:p>
            <w:pPr>
              <w:pStyle w:val="TableParagraph"/>
              <w:spacing w:line="199" w:lineRule="exact"/>
              <w:ind w:left="107"/>
              <w:rPr>
                <w:rFonts w:ascii="Microsoft JhengHei UI" w:eastAsia="Microsoft JhengHei UI" w:hint="eastAsia"/>
                <w:b/>
                <w:sz w:val="14"/>
              </w:rPr>
            </w:pPr>
            <w:r>
              <w:rPr>
                <w:rFonts w:ascii="Microsoft JhengHei UI" w:eastAsia="Microsoft JhengHei UI" w:hint="eastAsia"/>
                <w:b/>
                <w:color w:val="FFFFFF"/>
                <w:w w:val="95"/>
                <w:sz w:val="14"/>
              </w:rPr>
              <w:t>机构</w:t>
            </w:r>
          </w:p>
        </w:tc>
        <w:tc>
          <w:tcPr>
            <w:tcW w:w="931" w:type="dxa"/>
            <w:tcBorders>
              <w:top w:val="single" w:sz="12" w:space="0" w:color="000000"/>
            </w:tcBorders>
            <w:shd w:val="clear" w:color="auto" w:fill="C00000"/>
          </w:tcPr>
          <w:p>
            <w:pPr>
              <w:pStyle w:val="TableParagraph"/>
              <w:spacing w:line="189" w:lineRule="exact"/>
              <w:ind w:left="146"/>
              <w:rPr>
                <w:rFonts w:ascii="Microsoft JhengHei UI" w:eastAsia="Microsoft JhengHei UI" w:hint="eastAsia"/>
                <w:b/>
                <w:sz w:val="14"/>
              </w:rPr>
            </w:pPr>
            <w:r>
              <w:rPr>
                <w:rFonts w:ascii="Microsoft JhengHei UI" w:eastAsia="Microsoft JhengHei UI" w:hint="eastAsia"/>
                <w:b/>
                <w:color w:val="FFFFFF"/>
                <w:w w:val="95"/>
                <w:sz w:val="14"/>
              </w:rPr>
              <w:t>药品</w:t>
            </w:r>
          </w:p>
          <w:p>
            <w:pPr>
              <w:pStyle w:val="TableParagraph"/>
              <w:spacing w:line="199" w:lineRule="exact"/>
              <w:ind w:left="146"/>
              <w:rPr>
                <w:rFonts w:ascii="Microsoft JhengHei UI" w:eastAsia="Microsoft JhengHei UI" w:hint="eastAsia"/>
                <w:b/>
                <w:sz w:val="14"/>
              </w:rPr>
            </w:pPr>
            <w:r>
              <w:rPr>
                <w:rFonts w:ascii="Microsoft JhengHei UI" w:eastAsia="Microsoft JhengHei UI" w:hint="eastAsia"/>
                <w:b/>
                <w:color w:val="FFFFFF"/>
                <w:w w:val="95"/>
                <w:sz w:val="14"/>
              </w:rPr>
              <w:t>名称</w:t>
            </w:r>
          </w:p>
        </w:tc>
        <w:tc>
          <w:tcPr>
            <w:tcW w:w="623" w:type="dxa"/>
            <w:tcBorders>
              <w:top w:val="single" w:sz="12" w:space="0" w:color="000000"/>
            </w:tcBorders>
            <w:shd w:val="clear" w:color="auto" w:fill="C00000"/>
          </w:tcPr>
          <w:p>
            <w:pPr>
              <w:pStyle w:val="TableParagraph"/>
              <w:spacing w:line="189" w:lineRule="exact"/>
              <w:ind w:left="204"/>
              <w:rPr>
                <w:rFonts w:ascii="Microsoft JhengHei UI" w:eastAsia="Microsoft JhengHei UI" w:hint="eastAsia"/>
                <w:b/>
                <w:sz w:val="14"/>
              </w:rPr>
            </w:pPr>
            <w:r>
              <w:rPr>
                <w:rFonts w:ascii="Microsoft JhengHei UI" w:eastAsia="Microsoft JhengHei UI" w:hint="eastAsia"/>
                <w:b/>
                <w:color w:val="FFFFFF"/>
                <w:w w:val="95"/>
                <w:sz w:val="14"/>
              </w:rPr>
              <w:t>最高</w:t>
            </w:r>
          </w:p>
          <w:p>
            <w:pPr>
              <w:pStyle w:val="TableParagraph"/>
              <w:spacing w:line="199" w:lineRule="exact"/>
              <w:ind w:left="204"/>
              <w:rPr>
                <w:rFonts w:ascii="Microsoft JhengHei UI" w:eastAsia="Microsoft JhengHei UI" w:hint="eastAsia"/>
                <w:b/>
                <w:sz w:val="14"/>
              </w:rPr>
            </w:pPr>
            <w:r>
              <w:rPr>
                <w:rFonts w:ascii="Microsoft JhengHei UI" w:eastAsia="Microsoft JhengHei UI" w:hint="eastAsia"/>
                <w:b/>
                <w:color w:val="FFFFFF"/>
                <w:w w:val="95"/>
                <w:sz w:val="14"/>
              </w:rPr>
              <w:t>阶段</w:t>
            </w:r>
          </w:p>
        </w:tc>
        <w:tc>
          <w:tcPr>
            <w:tcW w:w="744" w:type="dxa"/>
            <w:tcBorders>
              <w:top w:val="single" w:sz="12" w:space="0" w:color="000000"/>
            </w:tcBorders>
            <w:shd w:val="clear" w:color="auto" w:fill="C00000"/>
          </w:tcPr>
          <w:p>
            <w:pPr>
              <w:pStyle w:val="TableParagraph"/>
              <w:spacing w:line="189" w:lineRule="exact"/>
              <w:ind w:left="147"/>
              <w:rPr>
                <w:rFonts w:ascii="Microsoft JhengHei UI" w:eastAsia="Microsoft JhengHei UI" w:hint="eastAsia"/>
                <w:b/>
                <w:sz w:val="14"/>
              </w:rPr>
            </w:pPr>
            <w:r>
              <w:rPr>
                <w:rFonts w:ascii="Microsoft JhengHei UI" w:eastAsia="Microsoft JhengHei UI" w:hint="eastAsia"/>
                <w:b/>
                <w:color w:val="FFFFFF"/>
                <w:w w:val="95"/>
                <w:sz w:val="14"/>
              </w:rPr>
              <w:t>作用</w:t>
            </w:r>
          </w:p>
          <w:p>
            <w:pPr>
              <w:pStyle w:val="TableParagraph"/>
              <w:spacing w:line="199" w:lineRule="exact"/>
              <w:ind w:left="147"/>
              <w:rPr>
                <w:rFonts w:ascii="Microsoft JhengHei UI" w:eastAsia="Microsoft JhengHei UI" w:hint="eastAsia"/>
                <w:b/>
                <w:sz w:val="14"/>
              </w:rPr>
            </w:pPr>
            <w:r>
              <w:rPr>
                <w:rFonts w:ascii="Microsoft JhengHei UI" w:eastAsia="Microsoft JhengHei UI" w:hint="eastAsia"/>
                <w:b/>
                <w:color w:val="FFFFFF"/>
                <w:w w:val="95"/>
                <w:sz w:val="14"/>
              </w:rPr>
              <w:t>机制</w:t>
            </w:r>
          </w:p>
        </w:tc>
        <w:tc>
          <w:tcPr>
            <w:tcW w:w="749" w:type="dxa"/>
            <w:tcBorders>
              <w:top w:val="single" w:sz="12" w:space="0" w:color="000000"/>
            </w:tcBorders>
            <w:shd w:val="clear" w:color="auto" w:fill="C00000"/>
          </w:tcPr>
          <w:p>
            <w:pPr>
              <w:pStyle w:val="TableParagraph"/>
              <w:spacing w:line="189" w:lineRule="exact"/>
              <w:ind w:left="110"/>
              <w:rPr>
                <w:rFonts w:ascii="Microsoft JhengHei UI" w:eastAsia="Microsoft JhengHei UI" w:hint="eastAsia"/>
                <w:b/>
                <w:sz w:val="14"/>
              </w:rPr>
            </w:pPr>
            <w:r>
              <w:rPr>
                <w:rFonts w:ascii="Microsoft JhengHei UI" w:eastAsia="Microsoft JhengHei UI" w:hint="eastAsia"/>
                <w:b/>
                <w:color w:val="FFFFFF"/>
                <w:spacing w:val="1"/>
                <w:w w:val="95"/>
                <w:sz w:val="14"/>
              </w:rPr>
              <w:t>已开展</w:t>
            </w:r>
          </w:p>
          <w:p>
            <w:pPr>
              <w:pStyle w:val="TableParagraph"/>
              <w:spacing w:line="199" w:lineRule="exact"/>
              <w:ind w:left="110"/>
              <w:rPr>
                <w:rFonts w:ascii="Microsoft JhengHei UI" w:eastAsia="Microsoft JhengHei UI" w:hint="eastAsia"/>
                <w:b/>
                <w:sz w:val="14"/>
              </w:rPr>
            </w:pPr>
            <w:r>
              <w:rPr>
                <w:rFonts w:ascii="Microsoft JhengHei UI" w:eastAsia="Microsoft JhengHei UI" w:hint="eastAsia"/>
                <w:b/>
                <w:color w:val="FFFFFF"/>
                <w:spacing w:val="1"/>
                <w:w w:val="95"/>
                <w:sz w:val="14"/>
              </w:rPr>
              <w:t>适应症</w:t>
            </w:r>
          </w:p>
        </w:tc>
      </w:tr>
      <w:tr>
        <w:trPr>
          <w:trHeight w:val="321" w:hRule="atLeast"/>
        </w:trPr>
        <w:tc>
          <w:tcPr>
            <w:tcW w:w="881" w:type="dxa"/>
            <w:tcBorders>
              <w:bottom w:val="dotted" w:sz="4" w:space="0" w:color="000000"/>
            </w:tcBorders>
          </w:tcPr>
          <w:p>
            <w:pPr>
              <w:pStyle w:val="TableParagraph"/>
              <w:spacing w:line="159" w:lineRule="exact"/>
              <w:ind w:left="110"/>
              <w:rPr>
                <w:sz w:val="14"/>
              </w:rPr>
            </w:pPr>
            <w:r>
              <w:rPr>
                <w:sz w:val="14"/>
              </w:rPr>
              <w:t>Ganymed/</w:t>
            </w:r>
          </w:p>
          <w:p>
            <w:pPr>
              <w:pStyle w:val="TableParagraph"/>
              <w:spacing w:line="140" w:lineRule="exact" w:before="2"/>
              <w:ind w:left="110"/>
              <w:rPr>
                <w:sz w:val="14"/>
              </w:rPr>
            </w:pPr>
            <w:r>
              <w:rPr>
                <w:sz w:val="14"/>
              </w:rPr>
              <w:t>Astellas</w:t>
            </w:r>
          </w:p>
        </w:tc>
        <w:tc>
          <w:tcPr>
            <w:tcW w:w="964" w:type="dxa"/>
            <w:tcBorders>
              <w:bottom w:val="dotted" w:sz="4" w:space="0" w:color="000000"/>
            </w:tcBorders>
          </w:tcPr>
          <w:p>
            <w:pPr>
              <w:pStyle w:val="TableParagraph"/>
              <w:spacing w:before="89"/>
              <w:ind w:left="127"/>
              <w:rPr>
                <w:sz w:val="12"/>
              </w:rPr>
            </w:pPr>
            <w:r>
              <w:rPr>
                <w:sz w:val="12"/>
              </w:rPr>
              <w:t>Zolbetuximab</w:t>
            </w:r>
          </w:p>
        </w:tc>
        <w:tc>
          <w:tcPr>
            <w:tcW w:w="531" w:type="dxa"/>
            <w:tcBorders>
              <w:bottom w:val="dotted" w:sz="4" w:space="0" w:color="000000"/>
            </w:tcBorders>
          </w:tcPr>
          <w:p>
            <w:pPr>
              <w:pStyle w:val="TableParagraph"/>
              <w:spacing w:before="56"/>
              <w:ind w:left="113"/>
              <w:rPr>
                <w:rFonts w:ascii="PMingLiU" w:eastAsia="PMingLiU" w:hint="eastAsia"/>
                <w:sz w:val="14"/>
              </w:rPr>
            </w:pPr>
            <w:r>
              <w:rPr>
                <w:sz w:val="14"/>
              </w:rPr>
              <w:t>III </w:t>
            </w:r>
            <w:r>
              <w:rPr>
                <w:rFonts w:ascii="PMingLiU" w:eastAsia="PMingLiU" w:hint="eastAsia"/>
                <w:sz w:val="14"/>
              </w:rPr>
              <w:t>期</w:t>
            </w:r>
          </w:p>
        </w:tc>
        <w:tc>
          <w:tcPr>
            <w:tcW w:w="700" w:type="dxa"/>
            <w:tcBorders>
              <w:bottom w:val="dotted" w:sz="4" w:space="0" w:color="000000"/>
            </w:tcBorders>
          </w:tcPr>
          <w:p>
            <w:pPr>
              <w:pStyle w:val="TableParagraph"/>
              <w:spacing w:before="56"/>
              <w:ind w:left="135"/>
              <w:rPr>
                <w:rFonts w:ascii="PMingLiU" w:eastAsia="PMingLiU" w:hint="eastAsia"/>
                <w:sz w:val="14"/>
              </w:rPr>
            </w:pPr>
            <w:r>
              <w:rPr>
                <w:rFonts w:ascii="PMingLiU" w:eastAsia="PMingLiU" w:hint="eastAsia"/>
                <w:sz w:val="14"/>
              </w:rPr>
              <w:t>单抗</w:t>
            </w:r>
          </w:p>
        </w:tc>
        <w:tc>
          <w:tcPr>
            <w:tcW w:w="1023" w:type="dxa"/>
            <w:tcBorders>
              <w:bottom w:val="dotted" w:sz="4" w:space="0" w:color="000000"/>
              <w:right w:val="single" w:sz="4" w:space="0" w:color="000000"/>
            </w:tcBorders>
          </w:tcPr>
          <w:p>
            <w:pPr>
              <w:pStyle w:val="TableParagraph"/>
              <w:spacing w:line="159" w:lineRule="exact"/>
              <w:ind w:left="141"/>
              <w:rPr>
                <w:sz w:val="14"/>
              </w:rPr>
            </w:pPr>
            <w:r>
              <w:rPr>
                <w:sz w:val="14"/>
              </w:rPr>
              <w:t>GC/GEJ,</w:t>
            </w:r>
          </w:p>
          <w:p>
            <w:pPr>
              <w:pStyle w:val="TableParagraph"/>
              <w:spacing w:line="140" w:lineRule="exact" w:before="2"/>
              <w:ind w:left="141"/>
              <w:rPr>
                <w:sz w:val="14"/>
              </w:rPr>
            </w:pPr>
            <w:r>
              <w:rPr>
                <w:sz w:val="14"/>
              </w:rPr>
              <w:t>PC, EC</w:t>
            </w:r>
          </w:p>
        </w:tc>
        <w:tc>
          <w:tcPr>
            <w:tcW w:w="811" w:type="dxa"/>
            <w:tcBorders>
              <w:left w:val="single" w:sz="4" w:space="0" w:color="000000"/>
              <w:bottom w:val="dotted" w:sz="4" w:space="0" w:color="000000"/>
            </w:tcBorders>
          </w:tcPr>
          <w:p>
            <w:pPr>
              <w:pStyle w:val="TableParagraph"/>
              <w:spacing w:before="56"/>
              <w:ind w:left="107"/>
              <w:rPr>
                <w:rFonts w:ascii="PMingLiU" w:eastAsia="PMingLiU" w:hint="eastAsia"/>
                <w:sz w:val="14"/>
              </w:rPr>
            </w:pPr>
            <w:r>
              <w:rPr>
                <w:rFonts w:ascii="PMingLiU" w:eastAsia="PMingLiU" w:hint="eastAsia"/>
                <w:sz w:val="14"/>
              </w:rPr>
              <w:t>道尔生物</w:t>
            </w:r>
          </w:p>
        </w:tc>
        <w:tc>
          <w:tcPr>
            <w:tcW w:w="931" w:type="dxa"/>
            <w:tcBorders>
              <w:bottom w:val="dotted" w:sz="4" w:space="0" w:color="000000"/>
            </w:tcBorders>
          </w:tcPr>
          <w:p>
            <w:pPr>
              <w:pStyle w:val="TableParagraph"/>
              <w:spacing w:before="80"/>
              <w:ind w:left="146"/>
              <w:rPr>
                <w:sz w:val="14"/>
              </w:rPr>
            </w:pPr>
            <w:r>
              <w:rPr>
                <w:sz w:val="14"/>
              </w:rPr>
              <w:t>DR30303</w:t>
            </w:r>
          </w:p>
        </w:tc>
        <w:tc>
          <w:tcPr>
            <w:tcW w:w="623" w:type="dxa"/>
            <w:tcBorders>
              <w:bottom w:val="dotted" w:sz="4" w:space="0" w:color="000000"/>
            </w:tcBorders>
          </w:tcPr>
          <w:p>
            <w:pPr>
              <w:pStyle w:val="TableParagraph"/>
              <w:spacing w:before="56"/>
              <w:ind w:left="180" w:right="185"/>
              <w:jc w:val="center"/>
              <w:rPr>
                <w:rFonts w:ascii="PMingLiU" w:eastAsia="PMingLiU" w:hint="eastAsia"/>
                <w:sz w:val="14"/>
              </w:rPr>
            </w:pPr>
            <w:r>
              <w:rPr>
                <w:sz w:val="14"/>
              </w:rPr>
              <w:t>I </w:t>
            </w:r>
            <w:r>
              <w:rPr>
                <w:rFonts w:ascii="PMingLiU" w:eastAsia="PMingLiU" w:hint="eastAsia"/>
                <w:sz w:val="14"/>
              </w:rPr>
              <w:t>期</w:t>
            </w:r>
          </w:p>
        </w:tc>
        <w:tc>
          <w:tcPr>
            <w:tcW w:w="744" w:type="dxa"/>
            <w:tcBorders>
              <w:bottom w:val="dotted" w:sz="4" w:space="0" w:color="000000"/>
            </w:tcBorders>
          </w:tcPr>
          <w:p>
            <w:pPr>
              <w:pStyle w:val="TableParagraph"/>
              <w:spacing w:before="56"/>
              <w:ind w:left="113" w:right="280"/>
              <w:jc w:val="center"/>
              <w:rPr>
                <w:rFonts w:ascii="PMingLiU" w:eastAsia="PMingLiU" w:hint="eastAsia"/>
                <w:sz w:val="14"/>
              </w:rPr>
            </w:pPr>
            <w:r>
              <w:rPr>
                <w:rFonts w:ascii="PMingLiU" w:eastAsia="PMingLiU" w:hint="eastAsia"/>
                <w:sz w:val="14"/>
              </w:rPr>
              <w:t>单抗</w:t>
            </w:r>
          </w:p>
        </w:tc>
        <w:tc>
          <w:tcPr>
            <w:tcW w:w="749" w:type="dxa"/>
            <w:tcBorders>
              <w:bottom w:val="dotted" w:sz="4" w:space="0" w:color="000000"/>
            </w:tcBorders>
          </w:tcPr>
          <w:p>
            <w:pPr>
              <w:pStyle w:val="TableParagraph"/>
              <w:spacing w:before="56"/>
              <w:ind w:left="110"/>
              <w:rPr>
                <w:rFonts w:ascii="PMingLiU" w:eastAsia="PMingLiU" w:hint="eastAsia"/>
                <w:sz w:val="14"/>
              </w:rPr>
            </w:pPr>
            <w:r>
              <w:rPr>
                <w:rFonts w:ascii="PMingLiU" w:eastAsia="PMingLiU" w:hint="eastAsia"/>
                <w:sz w:val="14"/>
              </w:rPr>
              <w:t>实体瘤</w:t>
            </w:r>
          </w:p>
        </w:tc>
      </w:tr>
      <w:tr>
        <w:trPr>
          <w:trHeight w:val="321" w:hRule="atLeast"/>
        </w:trPr>
        <w:tc>
          <w:tcPr>
            <w:tcW w:w="881" w:type="dxa"/>
            <w:tcBorders>
              <w:top w:val="dotted" w:sz="4" w:space="0" w:color="000000"/>
              <w:bottom w:val="dotted" w:sz="4" w:space="0" w:color="000000"/>
            </w:tcBorders>
          </w:tcPr>
          <w:p>
            <w:pPr>
              <w:pStyle w:val="TableParagraph"/>
              <w:spacing w:before="61"/>
              <w:ind w:left="110"/>
              <w:rPr>
                <w:rFonts w:ascii="PMingLiU" w:eastAsia="PMingLiU" w:hint="eastAsia"/>
                <w:sz w:val="14"/>
              </w:rPr>
            </w:pPr>
            <w:r>
              <w:rPr>
                <w:rFonts w:ascii="PMingLiU" w:eastAsia="PMingLiU" w:hint="eastAsia"/>
                <w:sz w:val="14"/>
              </w:rPr>
              <w:t>科济药业</w:t>
            </w:r>
          </w:p>
        </w:tc>
        <w:tc>
          <w:tcPr>
            <w:tcW w:w="964" w:type="dxa"/>
            <w:tcBorders>
              <w:top w:val="dotted" w:sz="4" w:space="0" w:color="000000"/>
              <w:bottom w:val="dotted" w:sz="4" w:space="0" w:color="000000"/>
            </w:tcBorders>
          </w:tcPr>
          <w:p>
            <w:pPr>
              <w:pStyle w:val="TableParagraph"/>
              <w:spacing w:before="79"/>
              <w:ind w:left="127"/>
              <w:rPr>
                <w:sz w:val="14"/>
              </w:rPr>
            </w:pPr>
            <w:r>
              <w:rPr>
                <w:sz w:val="14"/>
              </w:rPr>
              <w:t>CT041</w:t>
            </w:r>
          </w:p>
        </w:tc>
        <w:tc>
          <w:tcPr>
            <w:tcW w:w="531" w:type="dxa"/>
            <w:tcBorders>
              <w:top w:val="dotted" w:sz="4" w:space="0" w:color="000000"/>
              <w:bottom w:val="dotted" w:sz="4" w:space="0" w:color="000000"/>
            </w:tcBorders>
          </w:tcPr>
          <w:p>
            <w:pPr>
              <w:pStyle w:val="TableParagraph"/>
              <w:spacing w:before="61"/>
              <w:ind w:left="113"/>
              <w:rPr>
                <w:rFonts w:ascii="PMingLiU" w:eastAsia="PMingLiU" w:hint="eastAsia"/>
                <w:sz w:val="14"/>
              </w:rPr>
            </w:pPr>
            <w:r>
              <w:rPr>
                <w:sz w:val="14"/>
              </w:rPr>
              <w:t>II </w:t>
            </w:r>
            <w:r>
              <w:rPr>
                <w:rFonts w:ascii="PMingLiU" w:eastAsia="PMingLiU" w:hint="eastAsia"/>
                <w:sz w:val="14"/>
              </w:rPr>
              <w:t>期</w:t>
            </w:r>
          </w:p>
        </w:tc>
        <w:tc>
          <w:tcPr>
            <w:tcW w:w="700" w:type="dxa"/>
            <w:tcBorders>
              <w:top w:val="dotted" w:sz="4" w:space="0" w:color="000000"/>
              <w:bottom w:val="dotted" w:sz="4" w:space="0" w:color="000000"/>
            </w:tcBorders>
          </w:tcPr>
          <w:p>
            <w:pPr>
              <w:pStyle w:val="TableParagraph"/>
              <w:spacing w:before="79"/>
              <w:ind w:left="135"/>
              <w:rPr>
                <w:sz w:val="14"/>
              </w:rPr>
            </w:pPr>
            <w:r>
              <w:rPr>
                <w:sz w:val="14"/>
              </w:rPr>
              <w:t>CAR-T</w:t>
            </w:r>
          </w:p>
        </w:tc>
        <w:tc>
          <w:tcPr>
            <w:tcW w:w="1023" w:type="dxa"/>
            <w:tcBorders>
              <w:top w:val="dotted" w:sz="4" w:space="0" w:color="000000"/>
              <w:bottom w:val="dotted" w:sz="4" w:space="0" w:color="000000"/>
              <w:right w:val="single" w:sz="4" w:space="0" w:color="000000"/>
            </w:tcBorders>
          </w:tcPr>
          <w:p>
            <w:pPr>
              <w:pStyle w:val="TableParagraph"/>
              <w:spacing w:line="159" w:lineRule="exact"/>
              <w:ind w:left="141"/>
              <w:rPr>
                <w:sz w:val="14"/>
              </w:rPr>
            </w:pPr>
            <w:r>
              <w:rPr>
                <w:sz w:val="14"/>
              </w:rPr>
              <w:t>GC/GEJ,</w:t>
            </w:r>
          </w:p>
          <w:p>
            <w:pPr>
              <w:pStyle w:val="TableParagraph"/>
              <w:spacing w:line="140" w:lineRule="exact" w:before="2"/>
              <w:ind w:left="141"/>
              <w:rPr>
                <w:sz w:val="14"/>
              </w:rPr>
            </w:pPr>
            <w:r>
              <w:rPr>
                <w:sz w:val="14"/>
              </w:rPr>
              <w:t>PC, EC</w:t>
            </w:r>
          </w:p>
        </w:tc>
        <w:tc>
          <w:tcPr>
            <w:tcW w:w="811" w:type="dxa"/>
            <w:tcBorders>
              <w:top w:val="dotted" w:sz="4" w:space="0" w:color="000000"/>
              <w:left w:val="single" w:sz="4" w:space="0" w:color="000000"/>
              <w:bottom w:val="dotted" w:sz="4" w:space="0" w:color="000000"/>
            </w:tcBorders>
          </w:tcPr>
          <w:p>
            <w:pPr>
              <w:pStyle w:val="TableParagraph"/>
              <w:spacing w:before="61"/>
              <w:ind w:left="107"/>
              <w:rPr>
                <w:rFonts w:ascii="PMingLiU" w:eastAsia="PMingLiU" w:hint="eastAsia"/>
                <w:sz w:val="14"/>
              </w:rPr>
            </w:pPr>
            <w:r>
              <w:rPr>
                <w:rFonts w:ascii="PMingLiU" w:eastAsia="PMingLiU" w:hint="eastAsia"/>
                <w:sz w:val="14"/>
              </w:rPr>
              <w:t>信达生物</w:t>
            </w:r>
          </w:p>
        </w:tc>
        <w:tc>
          <w:tcPr>
            <w:tcW w:w="931" w:type="dxa"/>
            <w:tcBorders>
              <w:top w:val="dotted" w:sz="4" w:space="0" w:color="000000"/>
              <w:bottom w:val="dotted" w:sz="4" w:space="0" w:color="000000"/>
            </w:tcBorders>
          </w:tcPr>
          <w:p>
            <w:pPr>
              <w:pStyle w:val="TableParagraph"/>
              <w:spacing w:before="79"/>
              <w:ind w:left="146"/>
              <w:rPr>
                <w:sz w:val="14"/>
              </w:rPr>
            </w:pPr>
            <w:r>
              <w:rPr>
                <w:sz w:val="14"/>
              </w:rPr>
              <w:t>IBI343</w:t>
            </w:r>
          </w:p>
        </w:tc>
        <w:tc>
          <w:tcPr>
            <w:tcW w:w="623" w:type="dxa"/>
            <w:tcBorders>
              <w:top w:val="dotted" w:sz="4" w:space="0" w:color="000000"/>
              <w:bottom w:val="dotted" w:sz="4" w:space="0" w:color="000000"/>
            </w:tcBorders>
          </w:tcPr>
          <w:p>
            <w:pPr>
              <w:pStyle w:val="TableParagraph"/>
              <w:spacing w:before="61"/>
              <w:ind w:left="180" w:right="185"/>
              <w:jc w:val="center"/>
              <w:rPr>
                <w:rFonts w:ascii="PMingLiU" w:eastAsia="PMingLiU" w:hint="eastAsia"/>
                <w:sz w:val="14"/>
              </w:rPr>
            </w:pPr>
            <w:r>
              <w:rPr>
                <w:sz w:val="14"/>
              </w:rPr>
              <w:t>I </w:t>
            </w:r>
            <w:r>
              <w:rPr>
                <w:rFonts w:ascii="PMingLiU" w:eastAsia="PMingLiU" w:hint="eastAsia"/>
                <w:sz w:val="14"/>
              </w:rPr>
              <w:t>期</w:t>
            </w:r>
          </w:p>
        </w:tc>
        <w:tc>
          <w:tcPr>
            <w:tcW w:w="744" w:type="dxa"/>
            <w:tcBorders>
              <w:top w:val="dotted" w:sz="4" w:space="0" w:color="000000"/>
              <w:bottom w:val="dotted" w:sz="4" w:space="0" w:color="000000"/>
            </w:tcBorders>
          </w:tcPr>
          <w:p>
            <w:pPr>
              <w:pStyle w:val="TableParagraph"/>
              <w:spacing w:before="79"/>
              <w:ind w:left="127" w:right="280"/>
              <w:jc w:val="center"/>
              <w:rPr>
                <w:sz w:val="14"/>
              </w:rPr>
            </w:pPr>
            <w:r>
              <w:rPr>
                <w:sz w:val="14"/>
              </w:rPr>
              <w:t>ADC</w:t>
            </w:r>
          </w:p>
        </w:tc>
        <w:tc>
          <w:tcPr>
            <w:tcW w:w="749" w:type="dxa"/>
            <w:tcBorders>
              <w:top w:val="dotted" w:sz="4" w:space="0" w:color="000000"/>
              <w:bottom w:val="dotted" w:sz="4" w:space="0" w:color="000000"/>
            </w:tcBorders>
          </w:tcPr>
          <w:p>
            <w:pPr>
              <w:pStyle w:val="TableParagraph"/>
              <w:spacing w:before="61"/>
              <w:ind w:left="110"/>
              <w:rPr>
                <w:rFonts w:ascii="PMingLiU" w:eastAsia="PMingLiU" w:hint="eastAsia"/>
                <w:sz w:val="14"/>
              </w:rPr>
            </w:pPr>
            <w:r>
              <w:rPr>
                <w:rFonts w:ascii="PMingLiU" w:eastAsia="PMingLiU" w:hint="eastAsia"/>
                <w:sz w:val="14"/>
              </w:rPr>
              <w:t>实体瘤</w:t>
            </w:r>
          </w:p>
        </w:tc>
      </w:tr>
      <w:tr>
        <w:trPr>
          <w:trHeight w:val="325" w:hRule="atLeast"/>
        </w:trPr>
        <w:tc>
          <w:tcPr>
            <w:tcW w:w="881" w:type="dxa"/>
            <w:tcBorders>
              <w:top w:val="dotted" w:sz="4" w:space="0" w:color="000000"/>
              <w:bottom w:val="dotted" w:sz="4" w:space="0" w:color="000000"/>
            </w:tcBorders>
          </w:tcPr>
          <w:p>
            <w:pPr>
              <w:pStyle w:val="TableParagraph"/>
              <w:spacing w:before="61"/>
              <w:ind w:left="110"/>
              <w:rPr>
                <w:rFonts w:ascii="PMingLiU" w:eastAsia="PMingLiU" w:hint="eastAsia"/>
                <w:sz w:val="14"/>
              </w:rPr>
            </w:pPr>
            <w:r>
              <w:rPr>
                <w:rFonts w:ascii="PMingLiU" w:eastAsia="PMingLiU" w:hint="eastAsia"/>
                <w:sz w:val="14"/>
              </w:rPr>
              <w:t>创胜集团</w:t>
            </w:r>
          </w:p>
        </w:tc>
        <w:tc>
          <w:tcPr>
            <w:tcW w:w="964" w:type="dxa"/>
            <w:tcBorders>
              <w:top w:val="dotted" w:sz="4" w:space="0" w:color="000000"/>
              <w:bottom w:val="dotted" w:sz="4" w:space="0" w:color="000000"/>
            </w:tcBorders>
          </w:tcPr>
          <w:p>
            <w:pPr>
              <w:pStyle w:val="TableParagraph"/>
              <w:spacing w:before="79"/>
              <w:ind w:left="127"/>
              <w:rPr>
                <w:sz w:val="14"/>
              </w:rPr>
            </w:pPr>
            <w:r>
              <w:rPr>
                <w:sz w:val="14"/>
              </w:rPr>
              <w:t>TST001</w:t>
            </w:r>
          </w:p>
        </w:tc>
        <w:tc>
          <w:tcPr>
            <w:tcW w:w="531" w:type="dxa"/>
            <w:tcBorders>
              <w:top w:val="dotted" w:sz="4" w:space="0" w:color="000000"/>
              <w:bottom w:val="dotted" w:sz="4" w:space="0" w:color="000000"/>
            </w:tcBorders>
          </w:tcPr>
          <w:p>
            <w:pPr>
              <w:pStyle w:val="TableParagraph"/>
              <w:spacing w:before="61"/>
              <w:ind w:left="113"/>
              <w:rPr>
                <w:rFonts w:ascii="PMingLiU" w:eastAsia="PMingLiU" w:hint="eastAsia"/>
                <w:sz w:val="14"/>
              </w:rPr>
            </w:pPr>
            <w:r>
              <w:rPr>
                <w:sz w:val="14"/>
              </w:rPr>
              <w:t>II </w:t>
            </w:r>
            <w:r>
              <w:rPr>
                <w:rFonts w:ascii="PMingLiU" w:eastAsia="PMingLiU" w:hint="eastAsia"/>
                <w:sz w:val="14"/>
              </w:rPr>
              <w:t>期</w:t>
            </w:r>
          </w:p>
        </w:tc>
        <w:tc>
          <w:tcPr>
            <w:tcW w:w="700" w:type="dxa"/>
            <w:tcBorders>
              <w:top w:val="dotted" w:sz="4" w:space="0" w:color="000000"/>
              <w:bottom w:val="dotted" w:sz="4" w:space="0" w:color="000000"/>
            </w:tcBorders>
          </w:tcPr>
          <w:p>
            <w:pPr>
              <w:pStyle w:val="TableParagraph"/>
              <w:spacing w:before="61"/>
              <w:ind w:left="135"/>
              <w:rPr>
                <w:rFonts w:ascii="PMingLiU" w:eastAsia="PMingLiU" w:hint="eastAsia"/>
                <w:sz w:val="14"/>
              </w:rPr>
            </w:pPr>
            <w:r>
              <w:rPr>
                <w:rFonts w:ascii="PMingLiU" w:eastAsia="PMingLiU" w:hint="eastAsia"/>
                <w:sz w:val="14"/>
              </w:rPr>
              <w:t>单抗</w:t>
            </w:r>
          </w:p>
        </w:tc>
        <w:tc>
          <w:tcPr>
            <w:tcW w:w="1023" w:type="dxa"/>
            <w:tcBorders>
              <w:top w:val="dotted" w:sz="4" w:space="0" w:color="000000"/>
              <w:bottom w:val="dotted" w:sz="4" w:space="0" w:color="000000"/>
              <w:right w:val="single" w:sz="4" w:space="0" w:color="000000"/>
            </w:tcBorders>
          </w:tcPr>
          <w:p>
            <w:pPr>
              <w:pStyle w:val="TableParagraph"/>
              <w:spacing w:line="159" w:lineRule="exact"/>
              <w:ind w:left="141"/>
              <w:rPr>
                <w:sz w:val="14"/>
              </w:rPr>
            </w:pPr>
            <w:r>
              <w:rPr>
                <w:sz w:val="14"/>
              </w:rPr>
              <w:t>GC, PC,</w:t>
            </w:r>
          </w:p>
          <w:p>
            <w:pPr>
              <w:pStyle w:val="TableParagraph"/>
              <w:spacing w:line="145" w:lineRule="exact" w:before="2"/>
              <w:ind w:left="141"/>
              <w:rPr>
                <w:sz w:val="14"/>
              </w:rPr>
            </w:pPr>
            <w:r>
              <w:rPr>
                <w:sz w:val="14"/>
              </w:rPr>
              <w:t>CCC</w:t>
            </w:r>
          </w:p>
        </w:tc>
        <w:tc>
          <w:tcPr>
            <w:tcW w:w="811" w:type="dxa"/>
            <w:tcBorders>
              <w:top w:val="dotted" w:sz="4" w:space="0" w:color="000000"/>
              <w:left w:val="single" w:sz="4" w:space="0" w:color="000000"/>
              <w:bottom w:val="dotted" w:sz="4" w:space="0" w:color="000000"/>
            </w:tcBorders>
          </w:tcPr>
          <w:p>
            <w:pPr>
              <w:pStyle w:val="TableParagraph"/>
              <w:spacing w:before="61"/>
              <w:ind w:left="107"/>
              <w:rPr>
                <w:rFonts w:ascii="PMingLiU" w:eastAsia="PMingLiU" w:hint="eastAsia"/>
                <w:sz w:val="14"/>
              </w:rPr>
            </w:pPr>
            <w:r>
              <w:rPr>
                <w:rFonts w:ascii="PMingLiU" w:eastAsia="PMingLiU" w:hint="eastAsia"/>
                <w:sz w:val="14"/>
              </w:rPr>
              <w:t>信达生物</w:t>
            </w:r>
          </w:p>
        </w:tc>
        <w:tc>
          <w:tcPr>
            <w:tcW w:w="931" w:type="dxa"/>
            <w:tcBorders>
              <w:top w:val="dotted" w:sz="4" w:space="0" w:color="000000"/>
              <w:bottom w:val="dotted" w:sz="4" w:space="0" w:color="000000"/>
            </w:tcBorders>
          </w:tcPr>
          <w:p>
            <w:pPr>
              <w:pStyle w:val="TableParagraph"/>
              <w:spacing w:before="79"/>
              <w:ind w:left="146"/>
              <w:rPr>
                <w:sz w:val="14"/>
              </w:rPr>
            </w:pPr>
            <w:r>
              <w:rPr>
                <w:sz w:val="14"/>
              </w:rPr>
              <w:t>IBI345</w:t>
            </w:r>
          </w:p>
        </w:tc>
        <w:tc>
          <w:tcPr>
            <w:tcW w:w="623" w:type="dxa"/>
            <w:tcBorders>
              <w:top w:val="dotted" w:sz="4" w:space="0" w:color="000000"/>
              <w:bottom w:val="dotted" w:sz="4" w:space="0" w:color="000000"/>
            </w:tcBorders>
          </w:tcPr>
          <w:p>
            <w:pPr>
              <w:pStyle w:val="TableParagraph"/>
              <w:spacing w:before="61"/>
              <w:ind w:left="180" w:right="185"/>
              <w:jc w:val="center"/>
              <w:rPr>
                <w:rFonts w:ascii="PMingLiU" w:eastAsia="PMingLiU" w:hint="eastAsia"/>
                <w:sz w:val="14"/>
              </w:rPr>
            </w:pPr>
            <w:r>
              <w:rPr>
                <w:sz w:val="14"/>
              </w:rPr>
              <w:t>I </w:t>
            </w:r>
            <w:r>
              <w:rPr>
                <w:rFonts w:ascii="PMingLiU" w:eastAsia="PMingLiU" w:hint="eastAsia"/>
                <w:sz w:val="14"/>
              </w:rPr>
              <w:t>期</w:t>
            </w:r>
          </w:p>
        </w:tc>
        <w:tc>
          <w:tcPr>
            <w:tcW w:w="744" w:type="dxa"/>
            <w:tcBorders>
              <w:top w:val="dotted" w:sz="4" w:space="0" w:color="000000"/>
              <w:bottom w:val="dotted" w:sz="4" w:space="0" w:color="000000"/>
            </w:tcBorders>
          </w:tcPr>
          <w:p>
            <w:pPr>
              <w:pStyle w:val="TableParagraph"/>
              <w:spacing w:before="79"/>
              <w:ind w:left="127" w:right="146"/>
              <w:jc w:val="center"/>
              <w:rPr>
                <w:sz w:val="14"/>
              </w:rPr>
            </w:pPr>
            <w:r>
              <w:rPr>
                <w:sz w:val="14"/>
              </w:rPr>
              <w:t>CAR-T</w:t>
            </w:r>
          </w:p>
        </w:tc>
        <w:tc>
          <w:tcPr>
            <w:tcW w:w="749" w:type="dxa"/>
            <w:tcBorders>
              <w:top w:val="dotted" w:sz="4" w:space="0" w:color="000000"/>
            </w:tcBorders>
          </w:tcPr>
          <w:p>
            <w:pPr>
              <w:pStyle w:val="TableParagraph"/>
              <w:spacing w:before="61"/>
              <w:ind w:left="110"/>
              <w:rPr>
                <w:rFonts w:ascii="PMingLiU" w:eastAsia="PMingLiU" w:hint="eastAsia"/>
                <w:sz w:val="14"/>
              </w:rPr>
            </w:pPr>
            <w:r>
              <w:rPr>
                <w:rFonts w:ascii="PMingLiU" w:eastAsia="PMingLiU" w:hint="eastAsia"/>
                <w:sz w:val="14"/>
              </w:rPr>
              <w:t>实体瘤</w:t>
            </w:r>
          </w:p>
        </w:tc>
      </w:tr>
    </w:tbl>
    <w:p>
      <w:pPr>
        <w:spacing w:after="0"/>
        <w:rPr>
          <w:rFonts w:ascii="PMingLiU" w:eastAsia="PMingLiU" w:hint="eastAsia"/>
          <w:sz w:val="14"/>
        </w:rPr>
        <w:sectPr>
          <w:pgSz w:w="11910" w:h="16840"/>
          <w:pgMar w:header="682" w:footer="358" w:top="1380" w:bottom="540" w:left="640" w:right="300"/>
        </w:sectPr>
      </w:pPr>
    </w:p>
    <w:p>
      <w:pPr>
        <w:pStyle w:val="BodyText"/>
        <w:spacing w:before="1" w:after="1"/>
        <w:ind w:left="0"/>
        <w:rPr>
          <w:rFonts w:ascii="Microsoft JhengHei UI"/>
          <w:b/>
          <w:sz w:val="15"/>
        </w:rPr>
      </w:pPr>
    </w:p>
    <w:tbl>
      <w:tblPr>
        <w:tblW w:w="0" w:type="auto"/>
        <w:jc w:val="left"/>
        <w:tblInd w:w="18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top w:w="0" w:type="dxa"/>
          <w:left w:w="0" w:type="dxa"/>
          <w:bottom w:w="0" w:type="dxa"/>
          <w:right w:w="0" w:type="dxa"/>
        </w:tblCellMar>
        <w:tblLook w:val="01E0"/>
      </w:tblPr>
      <w:tblGrid>
        <w:gridCol w:w="918"/>
        <w:gridCol w:w="919"/>
        <w:gridCol w:w="588"/>
        <w:gridCol w:w="681"/>
        <w:gridCol w:w="1023"/>
        <w:gridCol w:w="831"/>
        <w:gridCol w:w="997"/>
        <w:gridCol w:w="503"/>
        <w:gridCol w:w="746"/>
        <w:gridCol w:w="793"/>
      </w:tblGrid>
      <w:tr>
        <w:trPr>
          <w:trHeight w:val="206" w:hRule="atLeast"/>
        </w:trPr>
        <w:tc>
          <w:tcPr>
            <w:tcW w:w="918" w:type="dxa"/>
            <w:tcBorders>
              <w:top w:val="nil"/>
              <w:left w:val="nil"/>
              <w:right w:val="nil"/>
            </w:tcBorders>
          </w:tcPr>
          <w:p>
            <w:pPr>
              <w:pStyle w:val="TableParagraph"/>
              <w:spacing w:line="186" w:lineRule="exact"/>
              <w:ind w:left="139"/>
              <w:rPr>
                <w:rFonts w:ascii="PMingLiU" w:eastAsia="PMingLiU" w:hint="eastAsia"/>
                <w:sz w:val="14"/>
              </w:rPr>
            </w:pPr>
            <w:r>
              <w:rPr>
                <w:rFonts w:ascii="PMingLiU" w:eastAsia="PMingLiU" w:hint="eastAsia"/>
                <w:sz w:val="14"/>
              </w:rPr>
              <w:t>奥赛康</w:t>
            </w:r>
          </w:p>
        </w:tc>
        <w:tc>
          <w:tcPr>
            <w:tcW w:w="919" w:type="dxa"/>
            <w:tcBorders>
              <w:top w:val="nil"/>
              <w:left w:val="nil"/>
              <w:right w:val="nil"/>
            </w:tcBorders>
          </w:tcPr>
          <w:p>
            <w:pPr>
              <w:pStyle w:val="TableParagraph"/>
              <w:spacing w:before="22"/>
              <w:ind w:left="119"/>
              <w:rPr>
                <w:sz w:val="14"/>
              </w:rPr>
            </w:pPr>
            <w:r>
              <w:rPr>
                <w:sz w:val="14"/>
              </w:rPr>
              <w:t>ASKB589</w:t>
            </w:r>
          </w:p>
        </w:tc>
        <w:tc>
          <w:tcPr>
            <w:tcW w:w="588" w:type="dxa"/>
            <w:tcBorders>
              <w:top w:val="nil"/>
              <w:left w:val="nil"/>
              <w:right w:val="nil"/>
            </w:tcBorders>
          </w:tcPr>
          <w:p>
            <w:pPr>
              <w:pStyle w:val="TableParagraph"/>
              <w:spacing w:line="186" w:lineRule="exact"/>
              <w:ind w:left="150"/>
              <w:rPr>
                <w:rFonts w:ascii="PMingLiU" w:eastAsia="PMingLiU" w:hint="eastAsia"/>
                <w:sz w:val="14"/>
              </w:rPr>
            </w:pPr>
            <w:r>
              <w:rPr>
                <w:sz w:val="14"/>
              </w:rPr>
              <w:t>I/II </w:t>
            </w:r>
            <w:r>
              <w:rPr>
                <w:rFonts w:ascii="PMingLiU" w:eastAsia="PMingLiU" w:hint="eastAsia"/>
                <w:sz w:val="14"/>
              </w:rPr>
              <w:t>期</w:t>
            </w:r>
          </w:p>
        </w:tc>
        <w:tc>
          <w:tcPr>
            <w:tcW w:w="681" w:type="dxa"/>
            <w:tcBorders>
              <w:top w:val="nil"/>
              <w:left w:val="nil"/>
              <w:right w:val="nil"/>
            </w:tcBorders>
          </w:tcPr>
          <w:p>
            <w:pPr>
              <w:pStyle w:val="TableParagraph"/>
              <w:spacing w:line="186" w:lineRule="exact"/>
              <w:ind w:left="115"/>
              <w:rPr>
                <w:rFonts w:ascii="PMingLiU" w:eastAsia="PMingLiU" w:hint="eastAsia"/>
                <w:sz w:val="14"/>
              </w:rPr>
            </w:pPr>
            <w:r>
              <w:rPr>
                <w:rFonts w:ascii="PMingLiU" w:eastAsia="PMingLiU" w:hint="eastAsia"/>
                <w:sz w:val="14"/>
              </w:rPr>
              <w:t>单抗</w:t>
            </w:r>
          </w:p>
        </w:tc>
        <w:tc>
          <w:tcPr>
            <w:tcW w:w="1023" w:type="dxa"/>
            <w:tcBorders>
              <w:top w:val="nil"/>
              <w:left w:val="nil"/>
              <w:right w:val="single" w:sz="4" w:space="0" w:color="000000"/>
            </w:tcBorders>
          </w:tcPr>
          <w:p>
            <w:pPr>
              <w:pStyle w:val="TableParagraph"/>
              <w:spacing w:line="186" w:lineRule="exact"/>
              <w:ind w:left="140"/>
              <w:rPr>
                <w:rFonts w:ascii="PMingLiU" w:eastAsia="PMingLiU" w:hint="eastAsia"/>
                <w:sz w:val="14"/>
              </w:rPr>
            </w:pPr>
            <w:r>
              <w:rPr>
                <w:rFonts w:ascii="PMingLiU" w:eastAsia="PMingLiU" w:hint="eastAsia"/>
                <w:sz w:val="14"/>
              </w:rPr>
              <w:t>实体瘤</w:t>
            </w:r>
          </w:p>
        </w:tc>
        <w:tc>
          <w:tcPr>
            <w:tcW w:w="831" w:type="dxa"/>
            <w:tcBorders>
              <w:top w:val="nil"/>
              <w:left w:val="single" w:sz="4" w:space="0" w:color="000000"/>
              <w:right w:val="nil"/>
            </w:tcBorders>
          </w:tcPr>
          <w:p>
            <w:pPr>
              <w:pStyle w:val="TableParagraph"/>
              <w:spacing w:line="186" w:lineRule="exact"/>
              <w:ind w:left="105"/>
              <w:rPr>
                <w:rFonts w:ascii="PMingLiU" w:eastAsia="PMingLiU" w:hint="eastAsia"/>
                <w:sz w:val="14"/>
              </w:rPr>
            </w:pPr>
            <w:r>
              <w:rPr>
                <w:rFonts w:ascii="PMingLiU" w:eastAsia="PMingLiU" w:hint="eastAsia"/>
                <w:sz w:val="14"/>
              </w:rPr>
              <w:t>信达生物</w:t>
            </w:r>
          </w:p>
        </w:tc>
        <w:tc>
          <w:tcPr>
            <w:tcW w:w="997" w:type="dxa"/>
            <w:tcBorders>
              <w:top w:val="nil"/>
              <w:left w:val="nil"/>
              <w:right w:val="nil"/>
            </w:tcBorders>
          </w:tcPr>
          <w:p>
            <w:pPr>
              <w:pStyle w:val="TableParagraph"/>
              <w:spacing w:before="22"/>
              <w:ind w:left="125"/>
              <w:rPr>
                <w:sz w:val="14"/>
              </w:rPr>
            </w:pPr>
            <w:r>
              <w:rPr>
                <w:sz w:val="14"/>
              </w:rPr>
              <w:t>IBI360</w:t>
            </w:r>
          </w:p>
        </w:tc>
        <w:tc>
          <w:tcPr>
            <w:tcW w:w="503" w:type="dxa"/>
            <w:tcBorders>
              <w:top w:val="nil"/>
              <w:left w:val="nil"/>
              <w:right w:val="nil"/>
            </w:tcBorders>
          </w:tcPr>
          <w:p>
            <w:pPr>
              <w:pStyle w:val="TableParagraph"/>
              <w:spacing w:line="186" w:lineRule="exact"/>
              <w:ind w:left="117"/>
              <w:rPr>
                <w:rFonts w:ascii="PMingLiU" w:eastAsia="PMingLiU" w:hint="eastAsia"/>
                <w:sz w:val="14"/>
              </w:rPr>
            </w:pPr>
            <w:r>
              <w:rPr>
                <w:sz w:val="14"/>
              </w:rPr>
              <w:t>I </w:t>
            </w:r>
            <w:r>
              <w:rPr>
                <w:rFonts w:ascii="PMingLiU" w:eastAsia="PMingLiU" w:hint="eastAsia"/>
                <w:sz w:val="14"/>
              </w:rPr>
              <w:t>期</w:t>
            </w:r>
          </w:p>
        </w:tc>
        <w:tc>
          <w:tcPr>
            <w:tcW w:w="746" w:type="dxa"/>
            <w:tcBorders>
              <w:top w:val="nil"/>
              <w:left w:val="nil"/>
              <w:right w:val="nil"/>
            </w:tcBorders>
          </w:tcPr>
          <w:p>
            <w:pPr>
              <w:pStyle w:val="TableParagraph"/>
              <w:spacing w:line="186" w:lineRule="exact"/>
              <w:ind w:left="180"/>
              <w:rPr>
                <w:rFonts w:ascii="PMingLiU" w:eastAsia="PMingLiU" w:hint="eastAsia"/>
                <w:sz w:val="14"/>
              </w:rPr>
            </w:pPr>
            <w:r>
              <w:rPr>
                <w:rFonts w:ascii="PMingLiU" w:eastAsia="PMingLiU" w:hint="eastAsia"/>
                <w:sz w:val="14"/>
              </w:rPr>
              <w:t>单抗</w:t>
            </w:r>
          </w:p>
        </w:tc>
        <w:tc>
          <w:tcPr>
            <w:tcW w:w="793" w:type="dxa"/>
            <w:tcBorders>
              <w:top w:val="nil"/>
              <w:left w:val="nil"/>
              <w:right w:val="nil"/>
            </w:tcBorders>
          </w:tcPr>
          <w:p>
            <w:pPr>
              <w:pStyle w:val="TableParagraph"/>
              <w:spacing w:line="186" w:lineRule="exact"/>
              <w:ind w:left="140"/>
              <w:rPr>
                <w:rFonts w:ascii="PMingLiU" w:eastAsia="PMingLiU" w:hint="eastAsia"/>
                <w:sz w:val="14"/>
              </w:rPr>
            </w:pPr>
            <w:r>
              <w:rPr>
                <w:rFonts w:ascii="PMingLiU" w:eastAsia="PMingLiU" w:hint="eastAsia"/>
                <w:sz w:val="14"/>
              </w:rPr>
              <w:t>实体瘤</w:t>
            </w:r>
          </w:p>
        </w:tc>
      </w:tr>
      <w:tr>
        <w:trPr>
          <w:trHeight w:val="201" w:hRule="atLeast"/>
        </w:trPr>
        <w:tc>
          <w:tcPr>
            <w:tcW w:w="918" w:type="dxa"/>
            <w:tcBorders>
              <w:left w:val="nil"/>
              <w:right w:val="nil"/>
            </w:tcBorders>
          </w:tcPr>
          <w:p>
            <w:pPr>
              <w:pStyle w:val="TableParagraph"/>
              <w:spacing w:line="181" w:lineRule="exact"/>
              <w:ind w:left="139"/>
              <w:rPr>
                <w:rFonts w:ascii="PMingLiU" w:eastAsia="PMingLiU" w:hint="eastAsia"/>
                <w:sz w:val="14"/>
              </w:rPr>
            </w:pPr>
            <w:r>
              <w:rPr>
                <w:rFonts w:ascii="PMingLiU" w:eastAsia="PMingLiU" w:hint="eastAsia"/>
                <w:sz w:val="14"/>
              </w:rPr>
              <w:t>礼新医药</w:t>
            </w:r>
          </w:p>
        </w:tc>
        <w:tc>
          <w:tcPr>
            <w:tcW w:w="919" w:type="dxa"/>
            <w:tcBorders>
              <w:left w:val="nil"/>
              <w:right w:val="nil"/>
            </w:tcBorders>
          </w:tcPr>
          <w:p>
            <w:pPr>
              <w:pStyle w:val="TableParagraph"/>
              <w:spacing w:before="17"/>
              <w:ind w:left="119"/>
              <w:rPr>
                <w:sz w:val="14"/>
              </w:rPr>
            </w:pPr>
            <w:r>
              <w:rPr>
                <w:sz w:val="14"/>
              </w:rPr>
              <w:t>LM-102</w:t>
            </w:r>
          </w:p>
        </w:tc>
        <w:tc>
          <w:tcPr>
            <w:tcW w:w="588" w:type="dxa"/>
            <w:tcBorders>
              <w:left w:val="nil"/>
              <w:right w:val="nil"/>
            </w:tcBorders>
          </w:tcPr>
          <w:p>
            <w:pPr>
              <w:pStyle w:val="TableParagraph"/>
              <w:spacing w:line="181" w:lineRule="exact"/>
              <w:ind w:left="150"/>
              <w:rPr>
                <w:rFonts w:ascii="PMingLiU" w:eastAsia="PMingLiU" w:hint="eastAsia"/>
                <w:sz w:val="14"/>
              </w:rPr>
            </w:pPr>
            <w:r>
              <w:rPr>
                <w:sz w:val="14"/>
              </w:rPr>
              <w:t>I/II </w:t>
            </w:r>
            <w:r>
              <w:rPr>
                <w:rFonts w:ascii="PMingLiU" w:eastAsia="PMingLiU" w:hint="eastAsia"/>
                <w:sz w:val="14"/>
              </w:rPr>
              <w:t>期</w:t>
            </w:r>
          </w:p>
        </w:tc>
        <w:tc>
          <w:tcPr>
            <w:tcW w:w="681" w:type="dxa"/>
            <w:tcBorders>
              <w:left w:val="nil"/>
              <w:right w:val="nil"/>
            </w:tcBorders>
          </w:tcPr>
          <w:p>
            <w:pPr>
              <w:pStyle w:val="TableParagraph"/>
              <w:spacing w:line="181" w:lineRule="exact"/>
              <w:ind w:left="115"/>
              <w:rPr>
                <w:rFonts w:ascii="PMingLiU" w:eastAsia="PMingLiU" w:hint="eastAsia"/>
                <w:sz w:val="14"/>
              </w:rPr>
            </w:pPr>
            <w:r>
              <w:rPr>
                <w:rFonts w:ascii="PMingLiU" w:eastAsia="PMingLiU" w:hint="eastAsia"/>
                <w:sz w:val="14"/>
              </w:rPr>
              <w:t>单抗</w:t>
            </w:r>
          </w:p>
        </w:tc>
        <w:tc>
          <w:tcPr>
            <w:tcW w:w="1023" w:type="dxa"/>
            <w:tcBorders>
              <w:left w:val="nil"/>
              <w:right w:val="single" w:sz="4" w:space="0" w:color="000000"/>
            </w:tcBorders>
          </w:tcPr>
          <w:p>
            <w:pPr>
              <w:pStyle w:val="TableParagraph"/>
              <w:spacing w:line="181" w:lineRule="exact"/>
              <w:ind w:left="140"/>
              <w:rPr>
                <w:rFonts w:ascii="PMingLiU" w:eastAsia="PMingLiU" w:hint="eastAsia"/>
                <w:sz w:val="14"/>
              </w:rPr>
            </w:pPr>
            <w:r>
              <w:rPr>
                <w:rFonts w:ascii="PMingLiU" w:eastAsia="PMingLiU" w:hint="eastAsia"/>
                <w:sz w:val="14"/>
              </w:rPr>
              <w:t>实体瘤</w:t>
            </w:r>
          </w:p>
        </w:tc>
        <w:tc>
          <w:tcPr>
            <w:tcW w:w="831" w:type="dxa"/>
            <w:tcBorders>
              <w:left w:val="single" w:sz="4" w:space="0" w:color="000000"/>
              <w:right w:val="nil"/>
            </w:tcBorders>
          </w:tcPr>
          <w:p>
            <w:pPr>
              <w:pStyle w:val="TableParagraph"/>
              <w:spacing w:line="181" w:lineRule="exact"/>
              <w:ind w:left="105"/>
              <w:rPr>
                <w:rFonts w:ascii="PMingLiU" w:eastAsia="PMingLiU" w:hint="eastAsia"/>
                <w:sz w:val="14"/>
              </w:rPr>
            </w:pPr>
            <w:r>
              <w:rPr>
                <w:rFonts w:ascii="PMingLiU" w:eastAsia="PMingLiU" w:hint="eastAsia"/>
                <w:sz w:val="14"/>
              </w:rPr>
              <w:t>信达生物</w:t>
            </w:r>
          </w:p>
        </w:tc>
        <w:tc>
          <w:tcPr>
            <w:tcW w:w="997" w:type="dxa"/>
            <w:tcBorders>
              <w:left w:val="nil"/>
              <w:right w:val="nil"/>
            </w:tcBorders>
          </w:tcPr>
          <w:p>
            <w:pPr>
              <w:pStyle w:val="TableParagraph"/>
              <w:spacing w:before="17"/>
              <w:ind w:left="125"/>
              <w:rPr>
                <w:sz w:val="14"/>
              </w:rPr>
            </w:pPr>
            <w:r>
              <w:rPr>
                <w:sz w:val="14"/>
              </w:rPr>
              <w:t>IBI389</w:t>
            </w:r>
          </w:p>
        </w:tc>
        <w:tc>
          <w:tcPr>
            <w:tcW w:w="503" w:type="dxa"/>
            <w:tcBorders>
              <w:left w:val="nil"/>
              <w:right w:val="nil"/>
            </w:tcBorders>
          </w:tcPr>
          <w:p>
            <w:pPr>
              <w:pStyle w:val="TableParagraph"/>
              <w:spacing w:line="181" w:lineRule="exact"/>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line="181" w:lineRule="exact"/>
              <w:ind w:left="180"/>
              <w:rPr>
                <w:rFonts w:ascii="PMingLiU" w:eastAsia="PMingLiU" w:hint="eastAsia"/>
                <w:sz w:val="14"/>
              </w:rPr>
            </w:pPr>
            <w:r>
              <w:rPr>
                <w:rFonts w:ascii="PMingLiU" w:eastAsia="PMingLiU" w:hint="eastAsia"/>
                <w:sz w:val="14"/>
              </w:rPr>
              <w:t>双抗</w:t>
            </w:r>
          </w:p>
        </w:tc>
        <w:tc>
          <w:tcPr>
            <w:tcW w:w="793" w:type="dxa"/>
            <w:tcBorders>
              <w:left w:val="nil"/>
              <w:right w:val="nil"/>
            </w:tcBorders>
          </w:tcPr>
          <w:p>
            <w:pPr>
              <w:pStyle w:val="TableParagraph"/>
              <w:spacing w:line="181" w:lineRule="exact"/>
              <w:ind w:left="140"/>
              <w:rPr>
                <w:rFonts w:ascii="PMingLiU" w:eastAsia="PMingLiU" w:hint="eastAsia"/>
                <w:sz w:val="14"/>
              </w:rPr>
            </w:pPr>
            <w:r>
              <w:rPr>
                <w:rFonts w:ascii="PMingLiU" w:eastAsia="PMingLiU" w:hint="eastAsia"/>
                <w:sz w:val="14"/>
              </w:rPr>
              <w:t>癌症</w:t>
            </w:r>
          </w:p>
        </w:tc>
      </w:tr>
      <w:tr>
        <w:trPr>
          <w:trHeight w:val="321" w:hRule="atLeast"/>
        </w:trPr>
        <w:tc>
          <w:tcPr>
            <w:tcW w:w="918" w:type="dxa"/>
            <w:tcBorders>
              <w:left w:val="nil"/>
              <w:right w:val="nil"/>
            </w:tcBorders>
          </w:tcPr>
          <w:p>
            <w:pPr>
              <w:pStyle w:val="TableParagraph"/>
              <w:spacing w:before="61"/>
              <w:ind w:left="139"/>
              <w:rPr>
                <w:sz w:val="14"/>
              </w:rPr>
            </w:pPr>
            <w:r>
              <w:rPr>
                <w:rFonts w:ascii="PMingLiU" w:eastAsia="PMingLiU" w:hint="eastAsia"/>
                <w:sz w:val="14"/>
              </w:rPr>
              <w:t>礼新</w:t>
            </w:r>
            <w:r>
              <w:rPr>
                <w:sz w:val="14"/>
              </w:rPr>
              <w:t>/ BMS</w:t>
            </w:r>
          </w:p>
        </w:tc>
        <w:tc>
          <w:tcPr>
            <w:tcW w:w="919" w:type="dxa"/>
            <w:tcBorders>
              <w:left w:val="nil"/>
              <w:right w:val="nil"/>
            </w:tcBorders>
          </w:tcPr>
          <w:p>
            <w:pPr>
              <w:pStyle w:val="TableParagraph"/>
              <w:spacing w:before="79"/>
              <w:ind w:left="119"/>
              <w:rPr>
                <w:sz w:val="14"/>
              </w:rPr>
            </w:pPr>
            <w:r>
              <w:rPr>
                <w:sz w:val="14"/>
              </w:rPr>
              <w:t>LM-302</w:t>
            </w:r>
          </w:p>
        </w:tc>
        <w:tc>
          <w:tcPr>
            <w:tcW w:w="588" w:type="dxa"/>
            <w:tcBorders>
              <w:left w:val="nil"/>
              <w:right w:val="nil"/>
            </w:tcBorders>
          </w:tcPr>
          <w:p>
            <w:pPr>
              <w:pStyle w:val="TableParagraph"/>
              <w:spacing w:before="61"/>
              <w:ind w:left="150"/>
              <w:rPr>
                <w:rFonts w:ascii="PMingLiU" w:eastAsia="PMingLiU" w:hint="eastAsia"/>
                <w:sz w:val="14"/>
              </w:rPr>
            </w:pPr>
            <w:r>
              <w:rPr>
                <w:sz w:val="14"/>
              </w:rPr>
              <w:t>I/II </w:t>
            </w:r>
            <w:r>
              <w:rPr>
                <w:rFonts w:ascii="PMingLiU" w:eastAsia="PMingLiU" w:hint="eastAsia"/>
                <w:sz w:val="14"/>
              </w:rPr>
              <w:t>期</w:t>
            </w:r>
          </w:p>
        </w:tc>
        <w:tc>
          <w:tcPr>
            <w:tcW w:w="681" w:type="dxa"/>
            <w:tcBorders>
              <w:left w:val="nil"/>
              <w:right w:val="nil"/>
            </w:tcBorders>
          </w:tcPr>
          <w:p>
            <w:pPr>
              <w:pStyle w:val="TableParagraph"/>
              <w:spacing w:before="79"/>
              <w:ind w:left="115"/>
              <w:rPr>
                <w:sz w:val="14"/>
              </w:rPr>
            </w:pPr>
            <w:r>
              <w:rPr>
                <w:sz w:val="14"/>
              </w:rPr>
              <w:t>ADC</w:t>
            </w:r>
          </w:p>
        </w:tc>
        <w:tc>
          <w:tcPr>
            <w:tcW w:w="1023" w:type="dxa"/>
            <w:tcBorders>
              <w:left w:val="nil"/>
              <w:right w:val="single" w:sz="4" w:space="0" w:color="000000"/>
            </w:tcBorders>
          </w:tcPr>
          <w:p>
            <w:pPr>
              <w:pStyle w:val="TableParagraph"/>
              <w:spacing w:before="61"/>
              <w:ind w:left="140"/>
              <w:rPr>
                <w:rFonts w:ascii="PMingLiU" w:eastAsia="PMingLiU" w:hint="eastAsia"/>
                <w:sz w:val="14"/>
              </w:rPr>
            </w:pPr>
            <w:r>
              <w:rPr>
                <w:rFonts w:ascii="PMingLiU" w:eastAsia="PMingLiU" w:hint="eastAsia"/>
                <w:sz w:val="14"/>
              </w:rPr>
              <w:t>实体瘤</w:t>
            </w:r>
          </w:p>
        </w:tc>
        <w:tc>
          <w:tcPr>
            <w:tcW w:w="831" w:type="dxa"/>
            <w:tcBorders>
              <w:left w:val="single" w:sz="4" w:space="0" w:color="000000"/>
              <w:right w:val="nil"/>
            </w:tcBorders>
          </w:tcPr>
          <w:p>
            <w:pPr>
              <w:pStyle w:val="TableParagraph"/>
              <w:spacing w:before="61"/>
              <w:ind w:left="105"/>
              <w:rPr>
                <w:rFonts w:ascii="PMingLiU" w:eastAsia="PMingLiU" w:hint="eastAsia"/>
                <w:sz w:val="14"/>
              </w:rPr>
            </w:pPr>
            <w:r>
              <w:rPr>
                <w:rFonts w:ascii="PMingLiU" w:eastAsia="PMingLiU" w:hint="eastAsia"/>
                <w:sz w:val="14"/>
              </w:rPr>
              <w:t>艺妙神州</w:t>
            </w:r>
          </w:p>
        </w:tc>
        <w:tc>
          <w:tcPr>
            <w:tcW w:w="997" w:type="dxa"/>
            <w:tcBorders>
              <w:left w:val="nil"/>
              <w:right w:val="nil"/>
            </w:tcBorders>
          </w:tcPr>
          <w:p>
            <w:pPr>
              <w:pStyle w:val="TableParagraph"/>
              <w:spacing w:before="79"/>
              <w:ind w:left="125"/>
              <w:rPr>
                <w:sz w:val="14"/>
              </w:rPr>
            </w:pPr>
            <w:r>
              <w:rPr>
                <w:sz w:val="14"/>
              </w:rPr>
              <w:t>IM92</w:t>
            </w:r>
          </w:p>
        </w:tc>
        <w:tc>
          <w:tcPr>
            <w:tcW w:w="503" w:type="dxa"/>
            <w:tcBorders>
              <w:left w:val="nil"/>
              <w:right w:val="nil"/>
            </w:tcBorders>
          </w:tcPr>
          <w:p>
            <w:pPr>
              <w:pStyle w:val="TableParagraph"/>
              <w:spacing w:before="61"/>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79"/>
              <w:ind w:left="180"/>
              <w:rPr>
                <w:sz w:val="14"/>
              </w:rPr>
            </w:pPr>
            <w:r>
              <w:rPr>
                <w:sz w:val="14"/>
              </w:rPr>
              <w:t>CAR-T</w:t>
            </w:r>
          </w:p>
        </w:tc>
        <w:tc>
          <w:tcPr>
            <w:tcW w:w="793" w:type="dxa"/>
            <w:tcBorders>
              <w:left w:val="nil"/>
              <w:right w:val="nil"/>
            </w:tcBorders>
          </w:tcPr>
          <w:p>
            <w:pPr>
              <w:pStyle w:val="TableParagraph"/>
              <w:spacing w:line="159" w:lineRule="exact"/>
              <w:ind w:left="140"/>
              <w:rPr>
                <w:sz w:val="14"/>
              </w:rPr>
            </w:pPr>
            <w:r>
              <w:rPr>
                <w:sz w:val="14"/>
              </w:rPr>
              <w:t>GC/GEJ</w:t>
            </w:r>
          </w:p>
          <w:p>
            <w:pPr>
              <w:pStyle w:val="TableParagraph"/>
              <w:spacing w:line="140" w:lineRule="exact" w:before="2"/>
              <w:ind w:left="140"/>
              <w:rPr>
                <w:sz w:val="14"/>
              </w:rPr>
            </w:pPr>
            <w:r>
              <w:rPr>
                <w:sz w:val="14"/>
              </w:rPr>
              <w:t>, PC</w:t>
            </w:r>
          </w:p>
        </w:tc>
      </w:tr>
      <w:tr>
        <w:trPr>
          <w:trHeight w:val="648" w:hRule="atLeast"/>
        </w:trPr>
        <w:tc>
          <w:tcPr>
            <w:tcW w:w="918" w:type="dxa"/>
            <w:tcBorders>
              <w:left w:val="nil"/>
              <w:right w:val="nil"/>
            </w:tcBorders>
          </w:tcPr>
          <w:p>
            <w:pPr>
              <w:pStyle w:val="TableParagraph"/>
              <w:spacing w:before="80"/>
              <w:ind w:left="139"/>
              <w:rPr>
                <w:sz w:val="14"/>
              </w:rPr>
            </w:pPr>
            <w:r>
              <w:rPr>
                <w:sz w:val="14"/>
              </w:rPr>
              <w:t>NovaRock</w:t>
            </w:r>
          </w:p>
          <w:p>
            <w:pPr>
              <w:pStyle w:val="TableParagraph"/>
              <w:spacing w:line="235" w:lineRule="auto" w:before="5"/>
              <w:ind w:left="139" w:right="370"/>
              <w:rPr>
                <w:sz w:val="14"/>
              </w:rPr>
            </w:pPr>
            <w:r>
              <w:rPr>
                <w:sz w:val="14"/>
              </w:rPr>
              <w:t>/ Flame</w:t>
            </w:r>
          </w:p>
        </w:tc>
        <w:tc>
          <w:tcPr>
            <w:tcW w:w="919" w:type="dxa"/>
            <w:tcBorders>
              <w:left w:val="nil"/>
              <w:right w:val="nil"/>
            </w:tcBorders>
          </w:tcPr>
          <w:p>
            <w:pPr>
              <w:pStyle w:val="TableParagraph"/>
              <w:spacing w:before="12"/>
              <w:rPr>
                <w:rFonts w:ascii="Microsoft JhengHei UI"/>
                <w:b/>
                <w:sz w:val="13"/>
              </w:rPr>
            </w:pPr>
          </w:p>
          <w:p>
            <w:pPr>
              <w:pStyle w:val="TableParagraph"/>
              <w:ind w:left="119"/>
              <w:rPr>
                <w:sz w:val="14"/>
              </w:rPr>
            </w:pPr>
            <w:r>
              <w:rPr>
                <w:sz w:val="14"/>
              </w:rPr>
              <w:t>NBL-015</w:t>
            </w:r>
          </w:p>
        </w:tc>
        <w:tc>
          <w:tcPr>
            <w:tcW w:w="588" w:type="dxa"/>
            <w:tcBorders>
              <w:left w:val="nil"/>
              <w:right w:val="nil"/>
            </w:tcBorders>
          </w:tcPr>
          <w:p>
            <w:pPr>
              <w:pStyle w:val="TableParagraph"/>
              <w:spacing w:before="6"/>
              <w:rPr>
                <w:rFonts w:ascii="Microsoft JhengHei UI"/>
                <w:b/>
                <w:sz w:val="12"/>
              </w:rPr>
            </w:pPr>
          </w:p>
          <w:p>
            <w:pPr>
              <w:pStyle w:val="TableParagraph"/>
              <w:spacing w:before="1"/>
              <w:ind w:left="150"/>
              <w:rPr>
                <w:rFonts w:ascii="PMingLiU" w:eastAsia="PMingLiU" w:hint="eastAsia"/>
                <w:sz w:val="14"/>
              </w:rPr>
            </w:pPr>
            <w:r>
              <w:rPr>
                <w:sz w:val="14"/>
              </w:rPr>
              <w:t>I/II </w:t>
            </w:r>
            <w:r>
              <w:rPr>
                <w:rFonts w:ascii="PMingLiU" w:eastAsia="PMingLiU" w:hint="eastAsia"/>
                <w:sz w:val="14"/>
              </w:rPr>
              <w:t>期</w:t>
            </w:r>
          </w:p>
        </w:tc>
        <w:tc>
          <w:tcPr>
            <w:tcW w:w="681" w:type="dxa"/>
            <w:tcBorders>
              <w:left w:val="nil"/>
              <w:right w:val="nil"/>
            </w:tcBorders>
          </w:tcPr>
          <w:p>
            <w:pPr>
              <w:pStyle w:val="TableParagraph"/>
              <w:spacing w:before="6"/>
              <w:rPr>
                <w:rFonts w:ascii="Microsoft JhengHei UI"/>
                <w:b/>
                <w:sz w:val="12"/>
              </w:rPr>
            </w:pPr>
          </w:p>
          <w:p>
            <w:pPr>
              <w:pStyle w:val="TableParagraph"/>
              <w:spacing w:before="1"/>
              <w:ind w:left="115"/>
              <w:rPr>
                <w:rFonts w:ascii="PMingLiU" w:eastAsia="PMingLiU" w:hint="eastAsia"/>
                <w:sz w:val="14"/>
              </w:rPr>
            </w:pPr>
            <w:r>
              <w:rPr>
                <w:rFonts w:ascii="PMingLiU" w:eastAsia="PMingLiU" w:hint="eastAsia"/>
                <w:sz w:val="14"/>
              </w:rPr>
              <w:t>单抗</w:t>
            </w:r>
          </w:p>
        </w:tc>
        <w:tc>
          <w:tcPr>
            <w:tcW w:w="1023" w:type="dxa"/>
            <w:tcBorders>
              <w:left w:val="nil"/>
              <w:right w:val="single" w:sz="4" w:space="0" w:color="000000"/>
            </w:tcBorders>
          </w:tcPr>
          <w:p>
            <w:pPr>
              <w:pStyle w:val="TableParagraph"/>
              <w:ind w:left="140" w:right="297"/>
              <w:rPr>
                <w:sz w:val="14"/>
              </w:rPr>
            </w:pPr>
            <w:r>
              <w:rPr>
                <w:sz w:val="14"/>
              </w:rPr>
              <w:t>GC/GEJ, PC, EC, NSCLC,</w:t>
            </w:r>
          </w:p>
          <w:p>
            <w:pPr>
              <w:pStyle w:val="TableParagraph"/>
              <w:spacing w:line="145" w:lineRule="exact"/>
              <w:ind w:left="140"/>
              <w:rPr>
                <w:sz w:val="14"/>
              </w:rPr>
            </w:pPr>
            <w:r>
              <w:rPr>
                <w:sz w:val="14"/>
              </w:rPr>
              <w:t>CCC, OC</w:t>
            </w:r>
          </w:p>
        </w:tc>
        <w:tc>
          <w:tcPr>
            <w:tcW w:w="831" w:type="dxa"/>
            <w:tcBorders>
              <w:left w:val="single" w:sz="4" w:space="0" w:color="000000"/>
              <w:right w:val="nil"/>
            </w:tcBorders>
          </w:tcPr>
          <w:p>
            <w:pPr>
              <w:pStyle w:val="TableParagraph"/>
              <w:spacing w:before="6"/>
              <w:rPr>
                <w:rFonts w:ascii="Microsoft JhengHei UI"/>
                <w:b/>
                <w:sz w:val="12"/>
              </w:rPr>
            </w:pPr>
          </w:p>
          <w:p>
            <w:pPr>
              <w:pStyle w:val="TableParagraph"/>
              <w:spacing w:before="1"/>
              <w:ind w:left="105"/>
              <w:rPr>
                <w:rFonts w:ascii="PMingLiU" w:eastAsia="PMingLiU" w:hint="eastAsia"/>
                <w:sz w:val="14"/>
              </w:rPr>
            </w:pPr>
            <w:r>
              <w:rPr>
                <w:rFonts w:ascii="PMingLiU" w:eastAsia="PMingLiU" w:hint="eastAsia"/>
                <w:sz w:val="14"/>
              </w:rPr>
              <w:t>易慕峰</w:t>
            </w:r>
          </w:p>
        </w:tc>
        <w:tc>
          <w:tcPr>
            <w:tcW w:w="997" w:type="dxa"/>
            <w:tcBorders>
              <w:left w:val="nil"/>
              <w:right w:val="nil"/>
            </w:tcBorders>
          </w:tcPr>
          <w:p>
            <w:pPr>
              <w:pStyle w:val="TableParagraph"/>
              <w:spacing w:before="12"/>
              <w:rPr>
                <w:rFonts w:ascii="Microsoft JhengHei UI"/>
                <w:b/>
                <w:sz w:val="13"/>
              </w:rPr>
            </w:pPr>
          </w:p>
          <w:p>
            <w:pPr>
              <w:pStyle w:val="TableParagraph"/>
              <w:ind w:left="125"/>
              <w:rPr>
                <w:sz w:val="14"/>
              </w:rPr>
            </w:pPr>
            <w:r>
              <w:rPr>
                <w:sz w:val="14"/>
              </w:rPr>
              <w:t>IMC002</w:t>
            </w:r>
          </w:p>
        </w:tc>
        <w:tc>
          <w:tcPr>
            <w:tcW w:w="503" w:type="dxa"/>
            <w:tcBorders>
              <w:left w:val="nil"/>
              <w:right w:val="nil"/>
            </w:tcBorders>
          </w:tcPr>
          <w:p>
            <w:pPr>
              <w:pStyle w:val="TableParagraph"/>
              <w:spacing w:before="6"/>
              <w:rPr>
                <w:rFonts w:ascii="Microsoft JhengHei UI"/>
                <w:b/>
                <w:sz w:val="12"/>
              </w:rPr>
            </w:pPr>
          </w:p>
          <w:p>
            <w:pPr>
              <w:pStyle w:val="TableParagraph"/>
              <w:spacing w:before="1"/>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12"/>
              <w:rPr>
                <w:rFonts w:ascii="Microsoft JhengHei UI"/>
                <w:b/>
                <w:sz w:val="13"/>
              </w:rPr>
            </w:pPr>
          </w:p>
          <w:p>
            <w:pPr>
              <w:pStyle w:val="TableParagraph"/>
              <w:ind w:left="180"/>
              <w:rPr>
                <w:sz w:val="14"/>
              </w:rPr>
            </w:pPr>
            <w:r>
              <w:rPr>
                <w:sz w:val="14"/>
              </w:rPr>
              <w:t>CAR-T</w:t>
            </w:r>
          </w:p>
        </w:tc>
        <w:tc>
          <w:tcPr>
            <w:tcW w:w="793" w:type="dxa"/>
            <w:tcBorders>
              <w:left w:val="nil"/>
              <w:right w:val="nil"/>
            </w:tcBorders>
          </w:tcPr>
          <w:p>
            <w:pPr>
              <w:pStyle w:val="TableParagraph"/>
              <w:spacing w:before="80"/>
              <w:ind w:left="140"/>
              <w:rPr>
                <w:sz w:val="14"/>
              </w:rPr>
            </w:pPr>
            <w:r>
              <w:rPr>
                <w:sz w:val="14"/>
              </w:rPr>
              <w:t>GC/GEJ</w:t>
            </w:r>
          </w:p>
          <w:p>
            <w:pPr>
              <w:pStyle w:val="TableParagraph"/>
              <w:spacing w:line="235" w:lineRule="auto" w:before="5"/>
              <w:ind w:left="140" w:right="151"/>
              <w:rPr>
                <w:sz w:val="14"/>
              </w:rPr>
            </w:pPr>
            <w:r>
              <w:rPr>
                <w:sz w:val="14"/>
              </w:rPr>
              <w:t>, PC, OC</w:t>
            </w:r>
          </w:p>
        </w:tc>
      </w:tr>
      <w:tr>
        <w:trPr>
          <w:trHeight w:val="407" w:hRule="atLeast"/>
        </w:trPr>
        <w:tc>
          <w:tcPr>
            <w:tcW w:w="918" w:type="dxa"/>
            <w:tcBorders>
              <w:left w:val="nil"/>
              <w:right w:val="nil"/>
            </w:tcBorders>
          </w:tcPr>
          <w:p>
            <w:pPr>
              <w:pStyle w:val="TableParagraph"/>
              <w:spacing w:line="195" w:lineRule="exact"/>
              <w:ind w:left="139"/>
              <w:rPr>
                <w:sz w:val="14"/>
              </w:rPr>
            </w:pPr>
            <w:r>
              <w:rPr>
                <w:rFonts w:ascii="PMingLiU" w:eastAsia="PMingLiU" w:hint="eastAsia"/>
                <w:sz w:val="14"/>
              </w:rPr>
              <w:t>普米斯</w:t>
            </w:r>
            <w:r>
              <w:rPr>
                <w:sz w:val="14"/>
              </w:rPr>
              <w:t>/</w:t>
            </w:r>
          </w:p>
          <w:p>
            <w:pPr>
              <w:pStyle w:val="TableParagraph"/>
              <w:spacing w:line="187" w:lineRule="exact" w:before="6"/>
              <w:ind w:left="139"/>
              <w:rPr>
                <w:rFonts w:ascii="PMingLiU" w:eastAsia="PMingLiU" w:hint="eastAsia"/>
                <w:sz w:val="14"/>
              </w:rPr>
            </w:pPr>
            <w:r>
              <w:rPr>
                <w:rFonts w:ascii="PMingLiU" w:eastAsia="PMingLiU" w:hint="eastAsia"/>
                <w:sz w:val="14"/>
              </w:rPr>
              <w:t>吉凯基因</w:t>
            </w:r>
          </w:p>
        </w:tc>
        <w:tc>
          <w:tcPr>
            <w:tcW w:w="919" w:type="dxa"/>
            <w:tcBorders>
              <w:left w:val="nil"/>
              <w:right w:val="nil"/>
            </w:tcBorders>
          </w:tcPr>
          <w:p>
            <w:pPr>
              <w:pStyle w:val="TableParagraph"/>
              <w:spacing w:before="118"/>
              <w:ind w:left="119"/>
              <w:rPr>
                <w:sz w:val="14"/>
              </w:rPr>
            </w:pPr>
            <w:r>
              <w:rPr>
                <w:sz w:val="14"/>
              </w:rPr>
              <w:t>PM1032</w:t>
            </w:r>
          </w:p>
        </w:tc>
        <w:tc>
          <w:tcPr>
            <w:tcW w:w="588" w:type="dxa"/>
            <w:tcBorders>
              <w:left w:val="nil"/>
              <w:right w:val="nil"/>
            </w:tcBorders>
          </w:tcPr>
          <w:p>
            <w:pPr>
              <w:pStyle w:val="TableParagraph"/>
              <w:spacing w:before="99"/>
              <w:ind w:left="150"/>
              <w:rPr>
                <w:rFonts w:ascii="PMingLiU" w:eastAsia="PMingLiU" w:hint="eastAsia"/>
                <w:sz w:val="14"/>
              </w:rPr>
            </w:pPr>
            <w:r>
              <w:rPr>
                <w:sz w:val="14"/>
              </w:rPr>
              <w:t>I/II </w:t>
            </w:r>
            <w:r>
              <w:rPr>
                <w:rFonts w:ascii="PMingLiU" w:eastAsia="PMingLiU" w:hint="eastAsia"/>
                <w:sz w:val="14"/>
              </w:rPr>
              <w:t>期</w:t>
            </w:r>
          </w:p>
        </w:tc>
        <w:tc>
          <w:tcPr>
            <w:tcW w:w="681" w:type="dxa"/>
            <w:tcBorders>
              <w:left w:val="nil"/>
              <w:right w:val="nil"/>
            </w:tcBorders>
          </w:tcPr>
          <w:p>
            <w:pPr>
              <w:pStyle w:val="TableParagraph"/>
              <w:spacing w:before="99"/>
              <w:ind w:left="115"/>
              <w:rPr>
                <w:rFonts w:ascii="PMingLiU" w:eastAsia="PMingLiU" w:hint="eastAsia"/>
                <w:sz w:val="14"/>
              </w:rPr>
            </w:pPr>
            <w:r>
              <w:rPr>
                <w:rFonts w:ascii="PMingLiU" w:eastAsia="PMingLiU" w:hint="eastAsia"/>
                <w:sz w:val="14"/>
              </w:rPr>
              <w:t>双抗</w:t>
            </w:r>
          </w:p>
        </w:tc>
        <w:tc>
          <w:tcPr>
            <w:tcW w:w="1023" w:type="dxa"/>
            <w:tcBorders>
              <w:left w:val="nil"/>
              <w:right w:val="single" w:sz="4" w:space="0" w:color="000000"/>
            </w:tcBorders>
          </w:tcPr>
          <w:p>
            <w:pPr>
              <w:pStyle w:val="TableParagraph"/>
              <w:spacing w:before="99"/>
              <w:ind w:left="140"/>
              <w:rPr>
                <w:rFonts w:ascii="PMingLiU" w:eastAsia="PMingLiU" w:hint="eastAsia"/>
                <w:sz w:val="14"/>
              </w:rPr>
            </w:pPr>
            <w:r>
              <w:rPr>
                <w:sz w:val="14"/>
              </w:rPr>
              <w:t>GC; </w:t>
            </w:r>
            <w:r>
              <w:rPr>
                <w:rFonts w:ascii="PMingLiU" w:eastAsia="PMingLiU" w:hint="eastAsia"/>
                <w:sz w:val="14"/>
              </w:rPr>
              <w:t>实体瘤</w:t>
            </w:r>
          </w:p>
        </w:tc>
        <w:tc>
          <w:tcPr>
            <w:tcW w:w="831" w:type="dxa"/>
            <w:tcBorders>
              <w:left w:val="single" w:sz="4" w:space="0" w:color="000000"/>
              <w:right w:val="nil"/>
            </w:tcBorders>
          </w:tcPr>
          <w:p>
            <w:pPr>
              <w:pStyle w:val="TableParagraph"/>
              <w:spacing w:before="99"/>
              <w:ind w:left="105"/>
              <w:rPr>
                <w:rFonts w:ascii="PMingLiU" w:eastAsia="PMingLiU" w:hint="eastAsia"/>
                <w:sz w:val="14"/>
              </w:rPr>
            </w:pPr>
            <w:r>
              <w:rPr>
                <w:rFonts w:ascii="PMingLiU" w:eastAsia="PMingLiU" w:hint="eastAsia"/>
                <w:sz w:val="14"/>
              </w:rPr>
              <w:t>君实生物</w:t>
            </w:r>
          </w:p>
        </w:tc>
        <w:tc>
          <w:tcPr>
            <w:tcW w:w="997" w:type="dxa"/>
            <w:tcBorders>
              <w:left w:val="nil"/>
              <w:right w:val="nil"/>
            </w:tcBorders>
          </w:tcPr>
          <w:p>
            <w:pPr>
              <w:pStyle w:val="TableParagraph"/>
              <w:spacing w:before="118"/>
              <w:ind w:left="125"/>
              <w:rPr>
                <w:sz w:val="14"/>
              </w:rPr>
            </w:pPr>
            <w:r>
              <w:rPr>
                <w:sz w:val="14"/>
              </w:rPr>
              <w:t>JS012</w:t>
            </w:r>
          </w:p>
        </w:tc>
        <w:tc>
          <w:tcPr>
            <w:tcW w:w="503" w:type="dxa"/>
            <w:tcBorders>
              <w:left w:val="nil"/>
              <w:right w:val="nil"/>
            </w:tcBorders>
          </w:tcPr>
          <w:p>
            <w:pPr>
              <w:pStyle w:val="TableParagraph"/>
              <w:spacing w:before="99"/>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99"/>
              <w:ind w:left="180"/>
              <w:rPr>
                <w:rFonts w:ascii="PMingLiU" w:eastAsia="PMingLiU" w:hint="eastAsia"/>
                <w:sz w:val="14"/>
              </w:rPr>
            </w:pPr>
            <w:r>
              <w:rPr>
                <w:rFonts w:ascii="PMingLiU" w:eastAsia="PMingLiU" w:hint="eastAsia"/>
                <w:sz w:val="14"/>
              </w:rPr>
              <w:t>单抗</w:t>
            </w:r>
          </w:p>
        </w:tc>
        <w:tc>
          <w:tcPr>
            <w:tcW w:w="793" w:type="dxa"/>
            <w:tcBorders>
              <w:left w:val="nil"/>
              <w:right w:val="nil"/>
            </w:tcBorders>
          </w:tcPr>
          <w:p>
            <w:pPr>
              <w:pStyle w:val="TableParagraph"/>
              <w:spacing w:before="99"/>
              <w:ind w:left="140"/>
              <w:rPr>
                <w:rFonts w:ascii="PMingLiU" w:eastAsia="PMingLiU" w:hint="eastAsia"/>
                <w:sz w:val="14"/>
              </w:rPr>
            </w:pPr>
            <w:r>
              <w:rPr>
                <w:rFonts w:ascii="PMingLiU" w:eastAsia="PMingLiU" w:hint="eastAsia"/>
                <w:sz w:val="14"/>
              </w:rPr>
              <w:t>实体瘤</w:t>
            </w:r>
          </w:p>
        </w:tc>
      </w:tr>
      <w:tr>
        <w:trPr>
          <w:trHeight w:val="201" w:hRule="atLeast"/>
        </w:trPr>
        <w:tc>
          <w:tcPr>
            <w:tcW w:w="918" w:type="dxa"/>
            <w:tcBorders>
              <w:left w:val="nil"/>
              <w:right w:val="nil"/>
            </w:tcBorders>
          </w:tcPr>
          <w:p>
            <w:pPr>
              <w:pStyle w:val="TableParagraph"/>
              <w:spacing w:line="181" w:lineRule="exact"/>
              <w:ind w:left="139"/>
              <w:rPr>
                <w:rFonts w:ascii="PMingLiU" w:eastAsia="PMingLiU" w:hint="eastAsia"/>
                <w:sz w:val="14"/>
              </w:rPr>
            </w:pPr>
            <w:r>
              <w:rPr>
                <w:rFonts w:ascii="PMingLiU" w:eastAsia="PMingLiU" w:hint="eastAsia"/>
                <w:sz w:val="14"/>
              </w:rPr>
              <w:t>荣昌生物</w:t>
            </w:r>
          </w:p>
        </w:tc>
        <w:tc>
          <w:tcPr>
            <w:tcW w:w="919" w:type="dxa"/>
            <w:tcBorders>
              <w:left w:val="nil"/>
              <w:right w:val="nil"/>
            </w:tcBorders>
          </w:tcPr>
          <w:p>
            <w:pPr>
              <w:pStyle w:val="TableParagraph"/>
              <w:spacing w:before="17"/>
              <w:ind w:left="119"/>
              <w:rPr>
                <w:sz w:val="14"/>
              </w:rPr>
            </w:pPr>
            <w:r>
              <w:rPr>
                <w:sz w:val="14"/>
              </w:rPr>
              <w:t>RC118</w:t>
            </w:r>
          </w:p>
        </w:tc>
        <w:tc>
          <w:tcPr>
            <w:tcW w:w="588" w:type="dxa"/>
            <w:tcBorders>
              <w:left w:val="nil"/>
              <w:right w:val="nil"/>
            </w:tcBorders>
          </w:tcPr>
          <w:p>
            <w:pPr>
              <w:pStyle w:val="TableParagraph"/>
              <w:spacing w:line="181" w:lineRule="exact"/>
              <w:ind w:left="150"/>
              <w:rPr>
                <w:rFonts w:ascii="PMingLiU" w:eastAsia="PMingLiU" w:hint="eastAsia"/>
                <w:sz w:val="14"/>
              </w:rPr>
            </w:pPr>
            <w:r>
              <w:rPr>
                <w:sz w:val="14"/>
              </w:rPr>
              <w:t>I/II </w:t>
            </w:r>
            <w:r>
              <w:rPr>
                <w:rFonts w:ascii="PMingLiU" w:eastAsia="PMingLiU" w:hint="eastAsia"/>
                <w:sz w:val="14"/>
              </w:rPr>
              <w:t>期</w:t>
            </w:r>
          </w:p>
        </w:tc>
        <w:tc>
          <w:tcPr>
            <w:tcW w:w="681" w:type="dxa"/>
            <w:tcBorders>
              <w:left w:val="nil"/>
              <w:right w:val="nil"/>
            </w:tcBorders>
          </w:tcPr>
          <w:p>
            <w:pPr>
              <w:pStyle w:val="TableParagraph"/>
              <w:spacing w:before="17"/>
              <w:ind w:left="115"/>
              <w:rPr>
                <w:sz w:val="14"/>
              </w:rPr>
            </w:pPr>
            <w:r>
              <w:rPr>
                <w:sz w:val="14"/>
              </w:rPr>
              <w:t>ADC</w:t>
            </w:r>
          </w:p>
        </w:tc>
        <w:tc>
          <w:tcPr>
            <w:tcW w:w="1023" w:type="dxa"/>
            <w:tcBorders>
              <w:left w:val="nil"/>
              <w:right w:val="single" w:sz="4" w:space="0" w:color="000000"/>
            </w:tcBorders>
          </w:tcPr>
          <w:p>
            <w:pPr>
              <w:pStyle w:val="TableParagraph"/>
              <w:spacing w:line="181" w:lineRule="exact"/>
              <w:ind w:left="140"/>
              <w:rPr>
                <w:rFonts w:ascii="PMingLiU" w:eastAsia="PMingLiU" w:hint="eastAsia"/>
                <w:sz w:val="14"/>
              </w:rPr>
            </w:pPr>
            <w:r>
              <w:rPr>
                <w:rFonts w:ascii="PMingLiU" w:eastAsia="PMingLiU" w:hint="eastAsia"/>
                <w:sz w:val="14"/>
              </w:rPr>
              <w:t>实体瘤</w:t>
            </w:r>
          </w:p>
        </w:tc>
        <w:tc>
          <w:tcPr>
            <w:tcW w:w="831" w:type="dxa"/>
            <w:tcBorders>
              <w:left w:val="single" w:sz="4" w:space="0" w:color="000000"/>
              <w:right w:val="nil"/>
            </w:tcBorders>
          </w:tcPr>
          <w:p>
            <w:pPr>
              <w:pStyle w:val="TableParagraph"/>
              <w:spacing w:line="181" w:lineRule="exact"/>
              <w:ind w:left="105"/>
              <w:rPr>
                <w:rFonts w:ascii="PMingLiU" w:eastAsia="PMingLiU" w:hint="eastAsia"/>
                <w:sz w:val="14"/>
              </w:rPr>
            </w:pPr>
            <w:r>
              <w:rPr>
                <w:rFonts w:ascii="PMingLiU" w:eastAsia="PMingLiU" w:hint="eastAsia"/>
                <w:sz w:val="14"/>
              </w:rPr>
              <w:t>君实生物</w:t>
            </w:r>
          </w:p>
        </w:tc>
        <w:tc>
          <w:tcPr>
            <w:tcW w:w="997" w:type="dxa"/>
            <w:tcBorders>
              <w:left w:val="nil"/>
              <w:right w:val="nil"/>
            </w:tcBorders>
          </w:tcPr>
          <w:p>
            <w:pPr>
              <w:pStyle w:val="TableParagraph"/>
              <w:spacing w:before="17"/>
              <w:ind w:left="125"/>
              <w:rPr>
                <w:sz w:val="14"/>
              </w:rPr>
            </w:pPr>
            <w:r>
              <w:rPr>
                <w:sz w:val="14"/>
              </w:rPr>
              <w:t>JS107</w:t>
            </w:r>
          </w:p>
        </w:tc>
        <w:tc>
          <w:tcPr>
            <w:tcW w:w="503" w:type="dxa"/>
            <w:tcBorders>
              <w:left w:val="nil"/>
              <w:right w:val="nil"/>
            </w:tcBorders>
          </w:tcPr>
          <w:p>
            <w:pPr>
              <w:pStyle w:val="TableParagraph"/>
              <w:spacing w:line="181" w:lineRule="exact"/>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17"/>
              <w:ind w:left="180"/>
              <w:rPr>
                <w:sz w:val="14"/>
              </w:rPr>
            </w:pPr>
            <w:r>
              <w:rPr>
                <w:sz w:val="14"/>
              </w:rPr>
              <w:t>ADC</w:t>
            </w:r>
          </w:p>
        </w:tc>
        <w:tc>
          <w:tcPr>
            <w:tcW w:w="793" w:type="dxa"/>
            <w:tcBorders>
              <w:left w:val="nil"/>
              <w:right w:val="nil"/>
            </w:tcBorders>
          </w:tcPr>
          <w:p>
            <w:pPr>
              <w:pStyle w:val="TableParagraph"/>
              <w:spacing w:before="17"/>
              <w:ind w:left="140"/>
              <w:rPr>
                <w:sz w:val="14"/>
              </w:rPr>
            </w:pPr>
            <w:r>
              <w:rPr>
                <w:sz w:val="14"/>
              </w:rPr>
              <w:t>GC, PC</w:t>
            </w:r>
          </w:p>
        </w:tc>
      </w:tr>
      <w:tr>
        <w:trPr>
          <w:trHeight w:val="321" w:hRule="atLeast"/>
        </w:trPr>
        <w:tc>
          <w:tcPr>
            <w:tcW w:w="918" w:type="dxa"/>
            <w:tcBorders>
              <w:left w:val="nil"/>
              <w:right w:val="nil"/>
            </w:tcBorders>
          </w:tcPr>
          <w:p>
            <w:pPr>
              <w:pStyle w:val="TableParagraph"/>
              <w:spacing w:before="79"/>
              <w:ind w:left="139"/>
              <w:rPr>
                <w:sz w:val="14"/>
              </w:rPr>
            </w:pPr>
            <w:r>
              <w:rPr>
                <w:sz w:val="14"/>
              </w:rPr>
              <w:t>Sotio</w:t>
            </w:r>
          </w:p>
        </w:tc>
        <w:tc>
          <w:tcPr>
            <w:tcW w:w="919" w:type="dxa"/>
            <w:tcBorders>
              <w:left w:val="nil"/>
              <w:right w:val="nil"/>
            </w:tcBorders>
          </w:tcPr>
          <w:p>
            <w:pPr>
              <w:pStyle w:val="TableParagraph"/>
              <w:spacing w:before="79"/>
              <w:ind w:left="119"/>
              <w:rPr>
                <w:sz w:val="14"/>
              </w:rPr>
            </w:pPr>
            <w:r>
              <w:rPr>
                <w:sz w:val="14"/>
              </w:rPr>
              <w:t>SO-N102</w:t>
            </w:r>
          </w:p>
        </w:tc>
        <w:tc>
          <w:tcPr>
            <w:tcW w:w="588" w:type="dxa"/>
            <w:tcBorders>
              <w:left w:val="nil"/>
              <w:right w:val="nil"/>
            </w:tcBorders>
          </w:tcPr>
          <w:p>
            <w:pPr>
              <w:pStyle w:val="TableParagraph"/>
              <w:spacing w:before="56"/>
              <w:ind w:left="150"/>
              <w:rPr>
                <w:rFonts w:ascii="PMingLiU" w:eastAsia="PMingLiU" w:hint="eastAsia"/>
                <w:sz w:val="14"/>
              </w:rPr>
            </w:pPr>
            <w:r>
              <w:rPr>
                <w:sz w:val="14"/>
              </w:rPr>
              <w:t>I/II </w:t>
            </w:r>
            <w:r>
              <w:rPr>
                <w:rFonts w:ascii="PMingLiU" w:eastAsia="PMingLiU" w:hint="eastAsia"/>
                <w:sz w:val="14"/>
              </w:rPr>
              <w:t>期</w:t>
            </w:r>
          </w:p>
        </w:tc>
        <w:tc>
          <w:tcPr>
            <w:tcW w:w="681" w:type="dxa"/>
            <w:tcBorders>
              <w:left w:val="nil"/>
              <w:right w:val="nil"/>
            </w:tcBorders>
          </w:tcPr>
          <w:p>
            <w:pPr>
              <w:pStyle w:val="TableParagraph"/>
              <w:spacing w:before="79"/>
              <w:ind w:left="115"/>
              <w:rPr>
                <w:sz w:val="14"/>
              </w:rPr>
            </w:pPr>
            <w:r>
              <w:rPr>
                <w:sz w:val="14"/>
              </w:rPr>
              <w:t>ADC</w:t>
            </w:r>
          </w:p>
        </w:tc>
        <w:tc>
          <w:tcPr>
            <w:tcW w:w="1023" w:type="dxa"/>
            <w:tcBorders>
              <w:left w:val="nil"/>
              <w:right w:val="single" w:sz="4" w:space="0" w:color="000000"/>
            </w:tcBorders>
          </w:tcPr>
          <w:p>
            <w:pPr>
              <w:pStyle w:val="TableParagraph"/>
              <w:spacing w:line="159" w:lineRule="exact"/>
              <w:ind w:left="140"/>
              <w:rPr>
                <w:sz w:val="14"/>
              </w:rPr>
            </w:pPr>
            <w:r>
              <w:rPr>
                <w:sz w:val="14"/>
              </w:rPr>
              <w:t>GC, PC,</w:t>
            </w:r>
          </w:p>
          <w:p>
            <w:pPr>
              <w:pStyle w:val="TableParagraph"/>
              <w:spacing w:line="140" w:lineRule="exact" w:before="2"/>
              <w:ind w:left="140"/>
              <w:rPr>
                <w:sz w:val="14"/>
              </w:rPr>
            </w:pPr>
            <w:r>
              <w:rPr>
                <w:sz w:val="14"/>
              </w:rPr>
              <w:t>CCC</w:t>
            </w:r>
          </w:p>
        </w:tc>
        <w:tc>
          <w:tcPr>
            <w:tcW w:w="831" w:type="dxa"/>
            <w:tcBorders>
              <w:left w:val="single" w:sz="4" w:space="0" w:color="000000"/>
              <w:right w:val="nil"/>
            </w:tcBorders>
          </w:tcPr>
          <w:p>
            <w:pPr>
              <w:pStyle w:val="TableParagraph"/>
              <w:spacing w:before="56"/>
              <w:ind w:left="105"/>
              <w:rPr>
                <w:rFonts w:ascii="PMingLiU" w:eastAsia="PMingLiU" w:hint="eastAsia"/>
                <w:sz w:val="14"/>
              </w:rPr>
            </w:pPr>
            <w:r>
              <w:rPr>
                <w:rFonts w:ascii="PMingLiU" w:eastAsia="PMingLiU" w:hint="eastAsia"/>
                <w:sz w:val="14"/>
              </w:rPr>
              <w:t>传奇生物</w:t>
            </w:r>
          </w:p>
        </w:tc>
        <w:tc>
          <w:tcPr>
            <w:tcW w:w="997" w:type="dxa"/>
            <w:tcBorders>
              <w:left w:val="nil"/>
              <w:right w:val="nil"/>
            </w:tcBorders>
          </w:tcPr>
          <w:p>
            <w:pPr>
              <w:pStyle w:val="TableParagraph"/>
              <w:spacing w:before="79"/>
              <w:ind w:left="125"/>
              <w:rPr>
                <w:sz w:val="14"/>
              </w:rPr>
            </w:pPr>
            <w:r>
              <w:rPr>
                <w:sz w:val="14"/>
              </w:rPr>
              <w:t>LB1904</w:t>
            </w:r>
          </w:p>
        </w:tc>
        <w:tc>
          <w:tcPr>
            <w:tcW w:w="503" w:type="dxa"/>
            <w:tcBorders>
              <w:left w:val="nil"/>
              <w:right w:val="nil"/>
            </w:tcBorders>
          </w:tcPr>
          <w:p>
            <w:pPr>
              <w:pStyle w:val="TableParagraph"/>
              <w:spacing w:before="56"/>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79"/>
              <w:ind w:left="180"/>
              <w:rPr>
                <w:sz w:val="14"/>
              </w:rPr>
            </w:pPr>
            <w:r>
              <w:rPr>
                <w:sz w:val="14"/>
              </w:rPr>
              <w:t>CAR-T</w:t>
            </w:r>
          </w:p>
        </w:tc>
        <w:tc>
          <w:tcPr>
            <w:tcW w:w="793" w:type="dxa"/>
            <w:tcBorders>
              <w:left w:val="nil"/>
              <w:right w:val="nil"/>
            </w:tcBorders>
          </w:tcPr>
          <w:p>
            <w:pPr>
              <w:pStyle w:val="TableParagraph"/>
              <w:spacing w:before="79"/>
              <w:ind w:left="140"/>
              <w:rPr>
                <w:sz w:val="14"/>
              </w:rPr>
            </w:pPr>
            <w:r>
              <w:rPr>
                <w:sz w:val="14"/>
              </w:rPr>
              <w:t>GC, PC</w:t>
            </w:r>
          </w:p>
        </w:tc>
      </w:tr>
      <w:tr>
        <w:trPr>
          <w:trHeight w:val="321" w:hRule="atLeast"/>
        </w:trPr>
        <w:tc>
          <w:tcPr>
            <w:tcW w:w="918" w:type="dxa"/>
            <w:tcBorders>
              <w:left w:val="nil"/>
              <w:right w:val="nil"/>
            </w:tcBorders>
          </w:tcPr>
          <w:p>
            <w:pPr>
              <w:pStyle w:val="TableParagraph"/>
              <w:spacing w:before="62"/>
              <w:ind w:left="139"/>
              <w:rPr>
                <w:rFonts w:ascii="PMingLiU" w:eastAsia="PMingLiU" w:hint="eastAsia"/>
                <w:sz w:val="14"/>
              </w:rPr>
            </w:pPr>
            <w:r>
              <w:rPr>
                <w:rFonts w:ascii="PMingLiU" w:eastAsia="PMingLiU" w:hint="eastAsia"/>
                <w:sz w:val="14"/>
              </w:rPr>
              <w:t>再鼎医药</w:t>
            </w:r>
          </w:p>
        </w:tc>
        <w:tc>
          <w:tcPr>
            <w:tcW w:w="919" w:type="dxa"/>
            <w:tcBorders>
              <w:left w:val="nil"/>
              <w:right w:val="nil"/>
            </w:tcBorders>
          </w:tcPr>
          <w:p>
            <w:pPr>
              <w:pStyle w:val="TableParagraph"/>
              <w:spacing w:before="80"/>
              <w:ind w:left="119"/>
              <w:rPr>
                <w:sz w:val="14"/>
              </w:rPr>
            </w:pPr>
            <w:r>
              <w:rPr>
                <w:sz w:val="14"/>
              </w:rPr>
              <w:t>ZL-1211</w:t>
            </w:r>
          </w:p>
        </w:tc>
        <w:tc>
          <w:tcPr>
            <w:tcW w:w="588" w:type="dxa"/>
            <w:tcBorders>
              <w:left w:val="nil"/>
              <w:right w:val="nil"/>
            </w:tcBorders>
          </w:tcPr>
          <w:p>
            <w:pPr>
              <w:pStyle w:val="TableParagraph"/>
              <w:spacing w:before="62"/>
              <w:ind w:left="150"/>
              <w:rPr>
                <w:rFonts w:ascii="PMingLiU" w:eastAsia="PMingLiU" w:hint="eastAsia"/>
                <w:sz w:val="14"/>
              </w:rPr>
            </w:pPr>
            <w:r>
              <w:rPr>
                <w:sz w:val="14"/>
              </w:rPr>
              <w:t>I/II </w:t>
            </w:r>
            <w:r>
              <w:rPr>
                <w:rFonts w:ascii="PMingLiU" w:eastAsia="PMingLiU" w:hint="eastAsia"/>
                <w:sz w:val="14"/>
              </w:rPr>
              <w:t>期</w:t>
            </w:r>
          </w:p>
        </w:tc>
        <w:tc>
          <w:tcPr>
            <w:tcW w:w="681" w:type="dxa"/>
            <w:tcBorders>
              <w:left w:val="nil"/>
              <w:right w:val="nil"/>
            </w:tcBorders>
          </w:tcPr>
          <w:p>
            <w:pPr>
              <w:pStyle w:val="TableParagraph"/>
              <w:spacing w:before="62"/>
              <w:ind w:left="115"/>
              <w:rPr>
                <w:rFonts w:ascii="PMingLiU" w:eastAsia="PMingLiU" w:hint="eastAsia"/>
                <w:sz w:val="14"/>
              </w:rPr>
            </w:pPr>
            <w:r>
              <w:rPr>
                <w:rFonts w:ascii="PMingLiU" w:eastAsia="PMingLiU" w:hint="eastAsia"/>
                <w:sz w:val="14"/>
              </w:rPr>
              <w:t>单抗</w:t>
            </w:r>
          </w:p>
        </w:tc>
        <w:tc>
          <w:tcPr>
            <w:tcW w:w="1023" w:type="dxa"/>
            <w:tcBorders>
              <w:left w:val="nil"/>
              <w:right w:val="single" w:sz="4" w:space="0" w:color="000000"/>
            </w:tcBorders>
          </w:tcPr>
          <w:p>
            <w:pPr>
              <w:pStyle w:val="TableParagraph"/>
              <w:spacing w:before="62"/>
              <w:ind w:left="140"/>
              <w:rPr>
                <w:rFonts w:ascii="PMingLiU" w:eastAsia="PMingLiU" w:hint="eastAsia"/>
                <w:sz w:val="14"/>
              </w:rPr>
            </w:pPr>
            <w:r>
              <w:rPr>
                <w:rFonts w:ascii="PMingLiU" w:eastAsia="PMingLiU" w:hint="eastAsia"/>
                <w:sz w:val="14"/>
              </w:rPr>
              <w:t>实体瘤</w:t>
            </w:r>
          </w:p>
        </w:tc>
        <w:tc>
          <w:tcPr>
            <w:tcW w:w="831" w:type="dxa"/>
            <w:tcBorders>
              <w:left w:val="single" w:sz="4" w:space="0" w:color="000000"/>
              <w:right w:val="nil"/>
            </w:tcBorders>
          </w:tcPr>
          <w:p>
            <w:pPr>
              <w:pStyle w:val="TableParagraph"/>
              <w:spacing w:before="62"/>
              <w:ind w:left="105"/>
              <w:rPr>
                <w:rFonts w:ascii="PMingLiU" w:eastAsia="PMingLiU" w:hint="eastAsia"/>
                <w:sz w:val="14"/>
              </w:rPr>
            </w:pPr>
            <w:r>
              <w:rPr>
                <w:rFonts w:ascii="PMingLiU" w:eastAsia="PMingLiU" w:hint="eastAsia"/>
                <w:sz w:val="14"/>
              </w:rPr>
              <w:t>传奇生物</w:t>
            </w:r>
          </w:p>
        </w:tc>
        <w:tc>
          <w:tcPr>
            <w:tcW w:w="997" w:type="dxa"/>
            <w:tcBorders>
              <w:left w:val="nil"/>
              <w:right w:val="nil"/>
            </w:tcBorders>
          </w:tcPr>
          <w:p>
            <w:pPr>
              <w:pStyle w:val="TableParagraph"/>
              <w:spacing w:before="80"/>
              <w:ind w:left="125"/>
              <w:rPr>
                <w:sz w:val="14"/>
              </w:rPr>
            </w:pPr>
            <w:r>
              <w:rPr>
                <w:sz w:val="14"/>
              </w:rPr>
              <w:t>LB1908</w:t>
            </w:r>
          </w:p>
        </w:tc>
        <w:tc>
          <w:tcPr>
            <w:tcW w:w="503" w:type="dxa"/>
            <w:tcBorders>
              <w:left w:val="nil"/>
              <w:right w:val="nil"/>
            </w:tcBorders>
          </w:tcPr>
          <w:p>
            <w:pPr>
              <w:pStyle w:val="TableParagraph"/>
              <w:spacing w:before="62"/>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80"/>
              <w:ind w:left="180"/>
              <w:rPr>
                <w:sz w:val="14"/>
              </w:rPr>
            </w:pPr>
            <w:r>
              <w:rPr>
                <w:sz w:val="14"/>
              </w:rPr>
              <w:t>CAR-T</w:t>
            </w:r>
          </w:p>
        </w:tc>
        <w:tc>
          <w:tcPr>
            <w:tcW w:w="793" w:type="dxa"/>
            <w:tcBorders>
              <w:left w:val="nil"/>
              <w:right w:val="nil"/>
            </w:tcBorders>
          </w:tcPr>
          <w:p>
            <w:pPr>
              <w:pStyle w:val="TableParagraph"/>
              <w:spacing w:line="159" w:lineRule="exact"/>
              <w:ind w:left="140"/>
              <w:rPr>
                <w:sz w:val="14"/>
              </w:rPr>
            </w:pPr>
            <w:r>
              <w:rPr>
                <w:sz w:val="14"/>
              </w:rPr>
              <w:t>GC, PC,</w:t>
            </w:r>
          </w:p>
          <w:p>
            <w:pPr>
              <w:pStyle w:val="TableParagraph"/>
              <w:spacing w:line="140" w:lineRule="exact" w:before="2"/>
              <w:ind w:left="140"/>
              <w:rPr>
                <w:sz w:val="14"/>
              </w:rPr>
            </w:pPr>
            <w:r>
              <w:rPr>
                <w:sz w:val="14"/>
              </w:rPr>
              <w:t>EC</w:t>
            </w:r>
          </w:p>
        </w:tc>
      </w:tr>
      <w:tr>
        <w:trPr>
          <w:trHeight w:val="205" w:hRule="atLeast"/>
        </w:trPr>
        <w:tc>
          <w:tcPr>
            <w:tcW w:w="918" w:type="dxa"/>
            <w:tcBorders>
              <w:left w:val="nil"/>
              <w:right w:val="nil"/>
            </w:tcBorders>
          </w:tcPr>
          <w:p>
            <w:pPr>
              <w:pStyle w:val="TableParagraph"/>
              <w:spacing w:line="182" w:lineRule="exact" w:before="4"/>
              <w:ind w:left="139"/>
              <w:rPr>
                <w:rFonts w:ascii="PMingLiU" w:eastAsia="PMingLiU" w:hint="eastAsia"/>
                <w:sz w:val="14"/>
              </w:rPr>
            </w:pPr>
            <w:r>
              <w:rPr>
                <w:rFonts w:ascii="PMingLiU" w:eastAsia="PMingLiU" w:hint="eastAsia"/>
                <w:sz w:val="14"/>
              </w:rPr>
              <w:t>科济药业</w:t>
            </w:r>
          </w:p>
        </w:tc>
        <w:tc>
          <w:tcPr>
            <w:tcW w:w="919" w:type="dxa"/>
            <w:tcBorders>
              <w:left w:val="nil"/>
              <w:right w:val="nil"/>
            </w:tcBorders>
          </w:tcPr>
          <w:p>
            <w:pPr>
              <w:pStyle w:val="TableParagraph"/>
              <w:spacing w:before="22"/>
              <w:ind w:left="119"/>
              <w:rPr>
                <w:sz w:val="14"/>
              </w:rPr>
            </w:pPr>
            <w:r>
              <w:rPr>
                <w:sz w:val="14"/>
              </w:rPr>
              <w:t>AB011</w:t>
            </w:r>
          </w:p>
        </w:tc>
        <w:tc>
          <w:tcPr>
            <w:tcW w:w="588" w:type="dxa"/>
            <w:tcBorders>
              <w:left w:val="nil"/>
              <w:right w:val="nil"/>
            </w:tcBorders>
          </w:tcPr>
          <w:p>
            <w:pPr>
              <w:pStyle w:val="TableParagraph"/>
              <w:spacing w:line="182" w:lineRule="exact" w:before="4"/>
              <w:ind w:left="150"/>
              <w:rPr>
                <w:rFonts w:ascii="PMingLiU" w:eastAsia="PMingLiU" w:hint="eastAsia"/>
                <w:sz w:val="14"/>
              </w:rPr>
            </w:pPr>
            <w:r>
              <w:rPr>
                <w:sz w:val="14"/>
              </w:rPr>
              <w:t>I </w:t>
            </w:r>
            <w:r>
              <w:rPr>
                <w:rFonts w:ascii="PMingLiU" w:eastAsia="PMingLiU" w:hint="eastAsia"/>
                <w:sz w:val="14"/>
              </w:rPr>
              <w:t>期</w:t>
            </w:r>
          </w:p>
        </w:tc>
        <w:tc>
          <w:tcPr>
            <w:tcW w:w="681" w:type="dxa"/>
            <w:tcBorders>
              <w:left w:val="nil"/>
              <w:right w:val="nil"/>
            </w:tcBorders>
          </w:tcPr>
          <w:p>
            <w:pPr>
              <w:pStyle w:val="TableParagraph"/>
              <w:spacing w:line="182" w:lineRule="exact" w:before="4"/>
              <w:ind w:left="115"/>
              <w:rPr>
                <w:rFonts w:ascii="PMingLiU" w:eastAsia="PMingLiU" w:hint="eastAsia"/>
                <w:sz w:val="14"/>
              </w:rPr>
            </w:pPr>
            <w:r>
              <w:rPr>
                <w:rFonts w:ascii="PMingLiU" w:eastAsia="PMingLiU" w:hint="eastAsia"/>
                <w:sz w:val="14"/>
              </w:rPr>
              <w:t>单抗</w:t>
            </w:r>
          </w:p>
        </w:tc>
        <w:tc>
          <w:tcPr>
            <w:tcW w:w="1023" w:type="dxa"/>
            <w:tcBorders>
              <w:left w:val="nil"/>
              <w:right w:val="single" w:sz="4" w:space="0" w:color="000000"/>
            </w:tcBorders>
          </w:tcPr>
          <w:p>
            <w:pPr>
              <w:pStyle w:val="TableParagraph"/>
              <w:spacing w:line="182" w:lineRule="exact" w:before="4"/>
              <w:ind w:left="140"/>
              <w:rPr>
                <w:rFonts w:ascii="PMingLiU" w:eastAsia="PMingLiU" w:hint="eastAsia"/>
                <w:sz w:val="14"/>
              </w:rPr>
            </w:pPr>
            <w:r>
              <w:rPr>
                <w:rFonts w:ascii="PMingLiU" w:eastAsia="PMingLiU" w:hint="eastAsia"/>
                <w:sz w:val="14"/>
              </w:rPr>
              <w:t>胰腺癌</w:t>
            </w:r>
            <w:r>
              <w:rPr>
                <w:sz w:val="14"/>
              </w:rPr>
              <w:t>,</w:t>
            </w:r>
            <w:r>
              <w:rPr>
                <w:rFonts w:ascii="PMingLiU" w:eastAsia="PMingLiU" w:hint="eastAsia"/>
                <w:sz w:val="14"/>
              </w:rPr>
              <w:t>胃癌</w:t>
            </w:r>
          </w:p>
        </w:tc>
        <w:tc>
          <w:tcPr>
            <w:tcW w:w="831" w:type="dxa"/>
            <w:tcBorders>
              <w:left w:val="single" w:sz="4" w:space="0" w:color="000000"/>
              <w:right w:val="nil"/>
            </w:tcBorders>
          </w:tcPr>
          <w:p>
            <w:pPr>
              <w:pStyle w:val="TableParagraph"/>
              <w:spacing w:line="182" w:lineRule="exact" w:before="4"/>
              <w:ind w:left="105"/>
              <w:rPr>
                <w:rFonts w:ascii="PMingLiU" w:eastAsia="PMingLiU" w:hint="eastAsia"/>
                <w:sz w:val="14"/>
              </w:rPr>
            </w:pPr>
            <w:r>
              <w:rPr>
                <w:rFonts w:ascii="PMingLiU" w:eastAsia="PMingLiU" w:hint="eastAsia"/>
                <w:sz w:val="14"/>
              </w:rPr>
              <w:t>隆耀生物</w:t>
            </w:r>
          </w:p>
        </w:tc>
        <w:tc>
          <w:tcPr>
            <w:tcW w:w="997" w:type="dxa"/>
            <w:tcBorders>
              <w:left w:val="nil"/>
              <w:right w:val="nil"/>
            </w:tcBorders>
          </w:tcPr>
          <w:p>
            <w:pPr>
              <w:pStyle w:val="TableParagraph"/>
              <w:spacing w:before="22"/>
              <w:ind w:left="125"/>
              <w:rPr>
                <w:sz w:val="14"/>
              </w:rPr>
            </w:pPr>
            <w:r>
              <w:rPr>
                <w:sz w:val="14"/>
              </w:rPr>
              <w:t>LY011</w:t>
            </w:r>
          </w:p>
        </w:tc>
        <w:tc>
          <w:tcPr>
            <w:tcW w:w="503" w:type="dxa"/>
            <w:tcBorders>
              <w:left w:val="nil"/>
              <w:right w:val="nil"/>
            </w:tcBorders>
          </w:tcPr>
          <w:p>
            <w:pPr>
              <w:pStyle w:val="TableParagraph"/>
              <w:spacing w:line="182" w:lineRule="exact" w:before="4"/>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22"/>
              <w:ind w:left="180"/>
              <w:rPr>
                <w:sz w:val="14"/>
              </w:rPr>
            </w:pPr>
            <w:r>
              <w:rPr>
                <w:sz w:val="14"/>
              </w:rPr>
              <w:t>CAR-T</w:t>
            </w:r>
          </w:p>
        </w:tc>
        <w:tc>
          <w:tcPr>
            <w:tcW w:w="793" w:type="dxa"/>
            <w:tcBorders>
              <w:left w:val="nil"/>
              <w:right w:val="nil"/>
            </w:tcBorders>
          </w:tcPr>
          <w:p>
            <w:pPr>
              <w:pStyle w:val="TableParagraph"/>
              <w:spacing w:before="22"/>
              <w:ind w:left="140"/>
              <w:rPr>
                <w:sz w:val="14"/>
              </w:rPr>
            </w:pPr>
            <w:r>
              <w:rPr>
                <w:sz w:val="14"/>
              </w:rPr>
              <w:t>PC</w:t>
            </w:r>
          </w:p>
        </w:tc>
      </w:tr>
      <w:tr>
        <w:trPr>
          <w:trHeight w:val="407" w:hRule="atLeast"/>
        </w:trPr>
        <w:tc>
          <w:tcPr>
            <w:tcW w:w="918" w:type="dxa"/>
            <w:tcBorders>
              <w:left w:val="nil"/>
              <w:right w:val="nil"/>
            </w:tcBorders>
          </w:tcPr>
          <w:p>
            <w:pPr>
              <w:pStyle w:val="TableParagraph"/>
              <w:spacing w:line="160" w:lineRule="exact" w:before="22"/>
              <w:ind w:left="139"/>
              <w:rPr>
                <w:sz w:val="14"/>
              </w:rPr>
            </w:pPr>
            <w:r>
              <w:rPr>
                <w:sz w:val="14"/>
              </w:rPr>
              <w:t>Amgen/</w:t>
            </w:r>
          </w:p>
          <w:p>
            <w:pPr>
              <w:pStyle w:val="TableParagraph"/>
              <w:spacing w:line="195" w:lineRule="exact"/>
              <w:ind w:left="139"/>
              <w:rPr>
                <w:rFonts w:ascii="PMingLiU" w:eastAsia="PMingLiU" w:hint="eastAsia"/>
                <w:sz w:val="14"/>
              </w:rPr>
            </w:pPr>
            <w:r>
              <w:rPr>
                <w:rFonts w:ascii="PMingLiU" w:eastAsia="PMingLiU" w:hint="eastAsia"/>
                <w:sz w:val="14"/>
              </w:rPr>
              <w:t>百济</w:t>
            </w:r>
          </w:p>
        </w:tc>
        <w:tc>
          <w:tcPr>
            <w:tcW w:w="919" w:type="dxa"/>
            <w:tcBorders>
              <w:left w:val="nil"/>
              <w:right w:val="nil"/>
            </w:tcBorders>
          </w:tcPr>
          <w:p>
            <w:pPr>
              <w:pStyle w:val="TableParagraph"/>
              <w:spacing w:before="123"/>
              <w:ind w:left="119"/>
              <w:rPr>
                <w:sz w:val="14"/>
              </w:rPr>
            </w:pPr>
            <w:r>
              <w:rPr>
                <w:sz w:val="14"/>
              </w:rPr>
              <w:t>AMG 910</w:t>
            </w:r>
          </w:p>
        </w:tc>
        <w:tc>
          <w:tcPr>
            <w:tcW w:w="588" w:type="dxa"/>
            <w:tcBorders>
              <w:left w:val="nil"/>
              <w:right w:val="nil"/>
            </w:tcBorders>
          </w:tcPr>
          <w:p>
            <w:pPr>
              <w:pStyle w:val="TableParagraph"/>
              <w:spacing w:before="99"/>
              <w:ind w:left="150"/>
              <w:rPr>
                <w:rFonts w:ascii="PMingLiU" w:eastAsia="PMingLiU" w:hint="eastAsia"/>
                <w:sz w:val="14"/>
              </w:rPr>
            </w:pPr>
            <w:r>
              <w:rPr>
                <w:sz w:val="14"/>
              </w:rPr>
              <w:t>I </w:t>
            </w:r>
            <w:r>
              <w:rPr>
                <w:rFonts w:ascii="PMingLiU" w:eastAsia="PMingLiU" w:hint="eastAsia"/>
                <w:sz w:val="14"/>
              </w:rPr>
              <w:t>期</w:t>
            </w:r>
          </w:p>
        </w:tc>
        <w:tc>
          <w:tcPr>
            <w:tcW w:w="681" w:type="dxa"/>
            <w:tcBorders>
              <w:left w:val="nil"/>
              <w:right w:val="nil"/>
            </w:tcBorders>
          </w:tcPr>
          <w:p>
            <w:pPr>
              <w:pStyle w:val="TableParagraph"/>
              <w:spacing w:before="99"/>
              <w:ind w:left="115"/>
              <w:rPr>
                <w:rFonts w:ascii="PMingLiU" w:eastAsia="PMingLiU" w:hint="eastAsia"/>
                <w:sz w:val="14"/>
              </w:rPr>
            </w:pPr>
            <w:r>
              <w:rPr>
                <w:rFonts w:ascii="PMingLiU" w:eastAsia="PMingLiU" w:hint="eastAsia"/>
                <w:sz w:val="14"/>
              </w:rPr>
              <w:t>双抗</w:t>
            </w:r>
          </w:p>
        </w:tc>
        <w:tc>
          <w:tcPr>
            <w:tcW w:w="1023" w:type="dxa"/>
            <w:tcBorders>
              <w:left w:val="nil"/>
              <w:right w:val="single" w:sz="4" w:space="0" w:color="000000"/>
            </w:tcBorders>
          </w:tcPr>
          <w:p>
            <w:pPr>
              <w:pStyle w:val="TableParagraph"/>
              <w:spacing w:before="123"/>
              <w:ind w:left="140"/>
              <w:rPr>
                <w:sz w:val="14"/>
              </w:rPr>
            </w:pPr>
            <w:r>
              <w:rPr>
                <w:sz w:val="14"/>
              </w:rPr>
              <w:t>GC/GEJ</w:t>
            </w:r>
          </w:p>
        </w:tc>
        <w:tc>
          <w:tcPr>
            <w:tcW w:w="831" w:type="dxa"/>
            <w:tcBorders>
              <w:left w:val="single" w:sz="4" w:space="0" w:color="000000"/>
              <w:right w:val="nil"/>
            </w:tcBorders>
          </w:tcPr>
          <w:p>
            <w:pPr>
              <w:pStyle w:val="TableParagraph"/>
              <w:spacing w:before="99"/>
              <w:ind w:left="105"/>
              <w:rPr>
                <w:rFonts w:ascii="PMingLiU" w:eastAsia="PMingLiU" w:hint="eastAsia"/>
                <w:sz w:val="14"/>
              </w:rPr>
            </w:pPr>
            <w:r>
              <w:rPr>
                <w:rFonts w:ascii="PMingLiU" w:eastAsia="PMingLiU" w:hint="eastAsia"/>
                <w:sz w:val="14"/>
              </w:rPr>
              <w:t>明济生物</w:t>
            </w:r>
          </w:p>
        </w:tc>
        <w:tc>
          <w:tcPr>
            <w:tcW w:w="997" w:type="dxa"/>
            <w:tcBorders>
              <w:left w:val="nil"/>
              <w:right w:val="nil"/>
            </w:tcBorders>
          </w:tcPr>
          <w:p>
            <w:pPr>
              <w:pStyle w:val="TableParagraph"/>
              <w:spacing w:before="123"/>
              <w:ind w:left="125"/>
              <w:rPr>
                <w:sz w:val="14"/>
              </w:rPr>
            </w:pPr>
            <w:r>
              <w:rPr>
                <w:sz w:val="14"/>
              </w:rPr>
              <w:t>M108</w:t>
            </w:r>
          </w:p>
        </w:tc>
        <w:tc>
          <w:tcPr>
            <w:tcW w:w="503" w:type="dxa"/>
            <w:tcBorders>
              <w:left w:val="nil"/>
              <w:right w:val="nil"/>
            </w:tcBorders>
          </w:tcPr>
          <w:p>
            <w:pPr>
              <w:pStyle w:val="TableParagraph"/>
              <w:spacing w:before="99"/>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99"/>
              <w:ind w:left="180"/>
              <w:rPr>
                <w:rFonts w:ascii="PMingLiU" w:eastAsia="PMingLiU" w:hint="eastAsia"/>
                <w:sz w:val="14"/>
              </w:rPr>
            </w:pPr>
            <w:r>
              <w:rPr>
                <w:rFonts w:ascii="PMingLiU" w:eastAsia="PMingLiU" w:hint="eastAsia"/>
                <w:sz w:val="14"/>
              </w:rPr>
              <w:t>单抗</w:t>
            </w:r>
          </w:p>
        </w:tc>
        <w:tc>
          <w:tcPr>
            <w:tcW w:w="793" w:type="dxa"/>
            <w:tcBorders>
              <w:left w:val="nil"/>
              <w:right w:val="nil"/>
            </w:tcBorders>
          </w:tcPr>
          <w:p>
            <w:pPr>
              <w:pStyle w:val="TableParagraph"/>
              <w:spacing w:line="195" w:lineRule="exact"/>
              <w:ind w:left="140"/>
              <w:rPr>
                <w:rFonts w:ascii="PMingLiU" w:eastAsia="PMingLiU" w:hint="eastAsia"/>
                <w:sz w:val="14"/>
              </w:rPr>
            </w:pPr>
            <w:r>
              <w:rPr>
                <w:rFonts w:ascii="PMingLiU" w:eastAsia="PMingLiU" w:hint="eastAsia"/>
                <w:sz w:val="14"/>
              </w:rPr>
              <w:t>消化道</w:t>
            </w:r>
          </w:p>
          <w:p>
            <w:pPr>
              <w:pStyle w:val="TableParagraph"/>
              <w:spacing w:line="182" w:lineRule="exact" w:before="10"/>
              <w:ind w:left="140"/>
              <w:rPr>
                <w:rFonts w:ascii="PMingLiU" w:eastAsia="PMingLiU" w:hint="eastAsia"/>
                <w:sz w:val="14"/>
              </w:rPr>
            </w:pPr>
            <w:r>
              <w:rPr>
                <w:rFonts w:ascii="PMingLiU" w:eastAsia="PMingLiU" w:hint="eastAsia"/>
                <w:sz w:val="14"/>
              </w:rPr>
              <w:t>癌症</w:t>
            </w:r>
          </w:p>
        </w:tc>
      </w:tr>
      <w:tr>
        <w:trPr>
          <w:trHeight w:val="321" w:hRule="atLeast"/>
        </w:trPr>
        <w:tc>
          <w:tcPr>
            <w:tcW w:w="918" w:type="dxa"/>
            <w:tcBorders>
              <w:left w:val="nil"/>
              <w:right w:val="nil"/>
            </w:tcBorders>
          </w:tcPr>
          <w:p>
            <w:pPr>
              <w:pStyle w:val="TableParagraph"/>
              <w:spacing w:line="159" w:lineRule="exact"/>
              <w:ind w:left="139"/>
              <w:rPr>
                <w:sz w:val="14"/>
              </w:rPr>
            </w:pPr>
            <w:r>
              <w:rPr>
                <w:sz w:val="14"/>
              </w:rPr>
              <w:t>Astellas/</w:t>
            </w:r>
          </w:p>
          <w:p>
            <w:pPr>
              <w:pStyle w:val="TableParagraph"/>
              <w:spacing w:line="140" w:lineRule="exact" w:before="2"/>
              <w:ind w:left="139"/>
              <w:rPr>
                <w:sz w:val="14"/>
              </w:rPr>
            </w:pPr>
            <w:r>
              <w:rPr>
                <w:sz w:val="14"/>
              </w:rPr>
              <w:t>Xencor</w:t>
            </w:r>
          </w:p>
        </w:tc>
        <w:tc>
          <w:tcPr>
            <w:tcW w:w="919" w:type="dxa"/>
            <w:tcBorders>
              <w:left w:val="nil"/>
              <w:right w:val="nil"/>
            </w:tcBorders>
          </w:tcPr>
          <w:p>
            <w:pPr>
              <w:pStyle w:val="TableParagraph"/>
              <w:spacing w:before="79"/>
              <w:ind w:left="119"/>
              <w:rPr>
                <w:sz w:val="14"/>
              </w:rPr>
            </w:pPr>
            <w:r>
              <w:rPr>
                <w:sz w:val="14"/>
              </w:rPr>
              <w:t>ASP2138</w:t>
            </w:r>
          </w:p>
        </w:tc>
        <w:tc>
          <w:tcPr>
            <w:tcW w:w="588" w:type="dxa"/>
            <w:tcBorders>
              <w:left w:val="nil"/>
              <w:right w:val="nil"/>
            </w:tcBorders>
          </w:tcPr>
          <w:p>
            <w:pPr>
              <w:pStyle w:val="TableParagraph"/>
              <w:spacing w:before="56"/>
              <w:ind w:left="150"/>
              <w:rPr>
                <w:rFonts w:ascii="PMingLiU" w:eastAsia="PMingLiU" w:hint="eastAsia"/>
                <w:sz w:val="14"/>
              </w:rPr>
            </w:pPr>
            <w:r>
              <w:rPr>
                <w:sz w:val="14"/>
              </w:rPr>
              <w:t>I </w:t>
            </w:r>
            <w:r>
              <w:rPr>
                <w:rFonts w:ascii="PMingLiU" w:eastAsia="PMingLiU" w:hint="eastAsia"/>
                <w:sz w:val="14"/>
              </w:rPr>
              <w:t>期</w:t>
            </w:r>
          </w:p>
        </w:tc>
        <w:tc>
          <w:tcPr>
            <w:tcW w:w="681" w:type="dxa"/>
            <w:tcBorders>
              <w:left w:val="nil"/>
              <w:right w:val="nil"/>
            </w:tcBorders>
          </w:tcPr>
          <w:p>
            <w:pPr>
              <w:pStyle w:val="TableParagraph"/>
              <w:spacing w:before="56"/>
              <w:ind w:left="115"/>
              <w:rPr>
                <w:rFonts w:ascii="PMingLiU" w:eastAsia="PMingLiU" w:hint="eastAsia"/>
                <w:sz w:val="14"/>
              </w:rPr>
            </w:pPr>
            <w:r>
              <w:rPr>
                <w:rFonts w:ascii="PMingLiU" w:eastAsia="PMingLiU" w:hint="eastAsia"/>
                <w:sz w:val="14"/>
              </w:rPr>
              <w:t>双抗</w:t>
            </w:r>
          </w:p>
        </w:tc>
        <w:tc>
          <w:tcPr>
            <w:tcW w:w="1023" w:type="dxa"/>
            <w:tcBorders>
              <w:left w:val="nil"/>
              <w:right w:val="single" w:sz="4" w:space="0" w:color="000000"/>
            </w:tcBorders>
          </w:tcPr>
          <w:p>
            <w:pPr>
              <w:pStyle w:val="TableParagraph"/>
              <w:spacing w:line="159" w:lineRule="exact"/>
              <w:ind w:left="140"/>
              <w:rPr>
                <w:sz w:val="14"/>
              </w:rPr>
            </w:pPr>
            <w:r>
              <w:rPr>
                <w:sz w:val="14"/>
              </w:rPr>
              <w:t>GC/GEJ,</w:t>
            </w:r>
          </w:p>
          <w:p>
            <w:pPr>
              <w:pStyle w:val="TableParagraph"/>
              <w:spacing w:line="140" w:lineRule="exact" w:before="2"/>
              <w:ind w:left="140"/>
              <w:rPr>
                <w:sz w:val="14"/>
              </w:rPr>
            </w:pPr>
            <w:r>
              <w:rPr>
                <w:sz w:val="14"/>
              </w:rPr>
              <w:t>PC</w:t>
            </w:r>
          </w:p>
        </w:tc>
        <w:tc>
          <w:tcPr>
            <w:tcW w:w="831" w:type="dxa"/>
            <w:tcBorders>
              <w:left w:val="single" w:sz="4" w:space="0" w:color="000000"/>
              <w:right w:val="nil"/>
            </w:tcBorders>
          </w:tcPr>
          <w:p>
            <w:pPr>
              <w:pStyle w:val="TableParagraph"/>
              <w:spacing w:before="56"/>
              <w:ind w:left="105"/>
              <w:rPr>
                <w:rFonts w:ascii="PMingLiU" w:eastAsia="PMingLiU" w:hint="eastAsia"/>
                <w:sz w:val="14"/>
              </w:rPr>
            </w:pPr>
            <w:r>
              <w:rPr>
                <w:rFonts w:ascii="PMingLiU" w:eastAsia="PMingLiU" w:hint="eastAsia"/>
                <w:sz w:val="14"/>
              </w:rPr>
              <w:t>天广实</w:t>
            </w:r>
          </w:p>
        </w:tc>
        <w:tc>
          <w:tcPr>
            <w:tcW w:w="997" w:type="dxa"/>
            <w:tcBorders>
              <w:left w:val="nil"/>
              <w:right w:val="nil"/>
            </w:tcBorders>
          </w:tcPr>
          <w:p>
            <w:pPr>
              <w:pStyle w:val="TableParagraph"/>
              <w:spacing w:before="79"/>
              <w:ind w:left="125"/>
              <w:rPr>
                <w:sz w:val="14"/>
              </w:rPr>
            </w:pPr>
            <w:r>
              <w:rPr>
                <w:sz w:val="14"/>
              </w:rPr>
              <w:t>MIL93</w:t>
            </w:r>
          </w:p>
        </w:tc>
        <w:tc>
          <w:tcPr>
            <w:tcW w:w="503" w:type="dxa"/>
            <w:tcBorders>
              <w:left w:val="nil"/>
              <w:right w:val="nil"/>
            </w:tcBorders>
          </w:tcPr>
          <w:p>
            <w:pPr>
              <w:pStyle w:val="TableParagraph"/>
              <w:spacing w:before="56"/>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56"/>
              <w:ind w:left="180"/>
              <w:rPr>
                <w:rFonts w:ascii="PMingLiU" w:eastAsia="PMingLiU" w:hint="eastAsia"/>
                <w:sz w:val="14"/>
              </w:rPr>
            </w:pPr>
            <w:r>
              <w:rPr>
                <w:rFonts w:ascii="PMingLiU" w:eastAsia="PMingLiU" w:hint="eastAsia"/>
                <w:sz w:val="14"/>
              </w:rPr>
              <w:t>单抗</w:t>
            </w:r>
          </w:p>
        </w:tc>
        <w:tc>
          <w:tcPr>
            <w:tcW w:w="793" w:type="dxa"/>
            <w:tcBorders>
              <w:left w:val="nil"/>
              <w:right w:val="nil"/>
            </w:tcBorders>
          </w:tcPr>
          <w:p>
            <w:pPr>
              <w:pStyle w:val="TableParagraph"/>
              <w:spacing w:line="159" w:lineRule="exact"/>
              <w:ind w:left="140"/>
              <w:rPr>
                <w:sz w:val="14"/>
              </w:rPr>
            </w:pPr>
            <w:r>
              <w:rPr>
                <w:sz w:val="14"/>
              </w:rPr>
              <w:t>GC/GEJ</w:t>
            </w:r>
          </w:p>
          <w:p>
            <w:pPr>
              <w:pStyle w:val="TableParagraph"/>
              <w:spacing w:line="140" w:lineRule="exact" w:before="2"/>
              <w:ind w:left="140"/>
              <w:rPr>
                <w:sz w:val="14"/>
              </w:rPr>
            </w:pPr>
            <w:r>
              <w:rPr>
                <w:sz w:val="14"/>
              </w:rPr>
              <w:t>, PC</w:t>
            </w:r>
          </w:p>
        </w:tc>
      </w:tr>
      <w:tr>
        <w:trPr>
          <w:trHeight w:val="206" w:hRule="atLeast"/>
        </w:trPr>
        <w:tc>
          <w:tcPr>
            <w:tcW w:w="918" w:type="dxa"/>
            <w:tcBorders>
              <w:left w:val="nil"/>
              <w:right w:val="nil"/>
            </w:tcBorders>
          </w:tcPr>
          <w:p>
            <w:pPr>
              <w:pStyle w:val="TableParagraph"/>
              <w:spacing w:line="186" w:lineRule="exact"/>
              <w:ind w:left="139"/>
              <w:rPr>
                <w:rFonts w:ascii="PMingLiU" w:eastAsia="PMingLiU" w:hint="eastAsia"/>
                <w:sz w:val="14"/>
              </w:rPr>
            </w:pPr>
            <w:r>
              <w:rPr>
                <w:rFonts w:ascii="PMingLiU" w:eastAsia="PMingLiU" w:hint="eastAsia"/>
                <w:sz w:val="14"/>
              </w:rPr>
              <w:t>博安生物</w:t>
            </w:r>
          </w:p>
        </w:tc>
        <w:tc>
          <w:tcPr>
            <w:tcW w:w="919" w:type="dxa"/>
            <w:tcBorders>
              <w:left w:val="nil"/>
              <w:right w:val="nil"/>
            </w:tcBorders>
          </w:tcPr>
          <w:p>
            <w:pPr>
              <w:pStyle w:val="TableParagraph"/>
              <w:spacing w:before="22"/>
              <w:ind w:left="119"/>
              <w:rPr>
                <w:sz w:val="14"/>
              </w:rPr>
            </w:pPr>
            <w:r>
              <w:rPr>
                <w:sz w:val="14"/>
              </w:rPr>
              <w:t>BA1105</w:t>
            </w:r>
          </w:p>
        </w:tc>
        <w:tc>
          <w:tcPr>
            <w:tcW w:w="588" w:type="dxa"/>
            <w:tcBorders>
              <w:left w:val="nil"/>
              <w:right w:val="nil"/>
            </w:tcBorders>
          </w:tcPr>
          <w:p>
            <w:pPr>
              <w:pStyle w:val="TableParagraph"/>
              <w:spacing w:line="186" w:lineRule="exact"/>
              <w:ind w:left="150"/>
              <w:rPr>
                <w:rFonts w:ascii="PMingLiU" w:eastAsia="PMingLiU" w:hint="eastAsia"/>
                <w:sz w:val="14"/>
              </w:rPr>
            </w:pPr>
            <w:r>
              <w:rPr>
                <w:sz w:val="14"/>
              </w:rPr>
              <w:t>I </w:t>
            </w:r>
            <w:r>
              <w:rPr>
                <w:rFonts w:ascii="PMingLiU" w:eastAsia="PMingLiU" w:hint="eastAsia"/>
                <w:sz w:val="14"/>
              </w:rPr>
              <w:t>期</w:t>
            </w:r>
          </w:p>
        </w:tc>
        <w:tc>
          <w:tcPr>
            <w:tcW w:w="681" w:type="dxa"/>
            <w:tcBorders>
              <w:left w:val="nil"/>
              <w:right w:val="nil"/>
            </w:tcBorders>
          </w:tcPr>
          <w:p>
            <w:pPr>
              <w:pStyle w:val="TableParagraph"/>
              <w:spacing w:line="186" w:lineRule="exact"/>
              <w:ind w:left="115"/>
              <w:rPr>
                <w:rFonts w:ascii="PMingLiU" w:eastAsia="PMingLiU" w:hint="eastAsia"/>
                <w:sz w:val="14"/>
              </w:rPr>
            </w:pPr>
            <w:r>
              <w:rPr>
                <w:rFonts w:ascii="PMingLiU" w:eastAsia="PMingLiU" w:hint="eastAsia"/>
                <w:sz w:val="14"/>
              </w:rPr>
              <w:t>单抗</w:t>
            </w:r>
          </w:p>
        </w:tc>
        <w:tc>
          <w:tcPr>
            <w:tcW w:w="1023" w:type="dxa"/>
            <w:tcBorders>
              <w:left w:val="nil"/>
              <w:right w:val="single" w:sz="4" w:space="0" w:color="000000"/>
            </w:tcBorders>
          </w:tcPr>
          <w:p>
            <w:pPr>
              <w:pStyle w:val="TableParagraph"/>
              <w:spacing w:before="22"/>
              <w:ind w:left="140"/>
              <w:rPr>
                <w:sz w:val="14"/>
              </w:rPr>
            </w:pPr>
            <w:r>
              <w:rPr>
                <w:sz w:val="14"/>
              </w:rPr>
              <w:t>GC, EC, PC</w:t>
            </w:r>
          </w:p>
        </w:tc>
        <w:tc>
          <w:tcPr>
            <w:tcW w:w="831" w:type="dxa"/>
            <w:tcBorders>
              <w:left w:val="single" w:sz="4" w:space="0" w:color="000000"/>
              <w:right w:val="nil"/>
            </w:tcBorders>
          </w:tcPr>
          <w:p>
            <w:pPr>
              <w:pStyle w:val="TableParagraph"/>
              <w:spacing w:line="186" w:lineRule="exact"/>
              <w:ind w:left="105"/>
              <w:rPr>
                <w:rFonts w:ascii="PMingLiU" w:eastAsia="PMingLiU" w:hint="eastAsia"/>
                <w:sz w:val="14"/>
              </w:rPr>
            </w:pPr>
            <w:r>
              <w:rPr>
                <w:rFonts w:ascii="PMingLiU" w:eastAsia="PMingLiU" w:hint="eastAsia"/>
                <w:sz w:val="14"/>
              </w:rPr>
              <w:t>启愈生物</w:t>
            </w:r>
          </w:p>
        </w:tc>
        <w:tc>
          <w:tcPr>
            <w:tcW w:w="997" w:type="dxa"/>
            <w:tcBorders>
              <w:left w:val="nil"/>
              <w:right w:val="nil"/>
            </w:tcBorders>
          </w:tcPr>
          <w:p>
            <w:pPr>
              <w:pStyle w:val="TableParagraph"/>
              <w:spacing w:before="22"/>
              <w:ind w:left="125"/>
              <w:rPr>
                <w:sz w:val="14"/>
              </w:rPr>
            </w:pPr>
            <w:r>
              <w:rPr>
                <w:sz w:val="14"/>
              </w:rPr>
              <w:t>Q-1802</w:t>
            </w:r>
          </w:p>
        </w:tc>
        <w:tc>
          <w:tcPr>
            <w:tcW w:w="503" w:type="dxa"/>
            <w:tcBorders>
              <w:left w:val="nil"/>
              <w:right w:val="nil"/>
            </w:tcBorders>
          </w:tcPr>
          <w:p>
            <w:pPr>
              <w:pStyle w:val="TableParagraph"/>
              <w:spacing w:line="186" w:lineRule="exact"/>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line="186" w:lineRule="exact"/>
              <w:ind w:left="180"/>
              <w:rPr>
                <w:rFonts w:ascii="PMingLiU" w:eastAsia="PMingLiU" w:hint="eastAsia"/>
                <w:sz w:val="14"/>
              </w:rPr>
            </w:pPr>
            <w:r>
              <w:rPr>
                <w:rFonts w:ascii="PMingLiU" w:eastAsia="PMingLiU" w:hint="eastAsia"/>
                <w:sz w:val="14"/>
              </w:rPr>
              <w:t>双抗</w:t>
            </w:r>
          </w:p>
        </w:tc>
        <w:tc>
          <w:tcPr>
            <w:tcW w:w="793" w:type="dxa"/>
            <w:tcBorders>
              <w:left w:val="nil"/>
              <w:right w:val="nil"/>
            </w:tcBorders>
          </w:tcPr>
          <w:p>
            <w:pPr>
              <w:pStyle w:val="TableParagraph"/>
              <w:spacing w:before="22"/>
              <w:ind w:left="140"/>
              <w:rPr>
                <w:sz w:val="14"/>
              </w:rPr>
            </w:pPr>
            <w:r>
              <w:rPr>
                <w:sz w:val="14"/>
              </w:rPr>
              <w:t>GC</w:t>
            </w:r>
          </w:p>
        </w:tc>
      </w:tr>
      <w:tr>
        <w:trPr>
          <w:trHeight w:val="408" w:hRule="atLeast"/>
        </w:trPr>
        <w:tc>
          <w:tcPr>
            <w:tcW w:w="918" w:type="dxa"/>
            <w:tcBorders>
              <w:left w:val="nil"/>
              <w:right w:val="nil"/>
            </w:tcBorders>
          </w:tcPr>
          <w:p>
            <w:pPr>
              <w:pStyle w:val="TableParagraph"/>
              <w:spacing w:before="100"/>
              <w:ind w:left="139"/>
              <w:rPr>
                <w:rFonts w:ascii="PMingLiU" w:eastAsia="PMingLiU" w:hint="eastAsia"/>
                <w:sz w:val="14"/>
              </w:rPr>
            </w:pPr>
            <w:r>
              <w:rPr>
                <w:rFonts w:ascii="PMingLiU" w:eastAsia="PMingLiU" w:hint="eastAsia"/>
                <w:sz w:val="14"/>
              </w:rPr>
              <w:t>宝船生物</w:t>
            </w:r>
          </w:p>
        </w:tc>
        <w:tc>
          <w:tcPr>
            <w:tcW w:w="919" w:type="dxa"/>
            <w:tcBorders>
              <w:left w:val="nil"/>
              <w:right w:val="nil"/>
            </w:tcBorders>
          </w:tcPr>
          <w:p>
            <w:pPr>
              <w:pStyle w:val="TableParagraph"/>
              <w:spacing w:before="118"/>
              <w:ind w:left="119"/>
              <w:rPr>
                <w:sz w:val="14"/>
              </w:rPr>
            </w:pPr>
            <w:r>
              <w:rPr>
                <w:sz w:val="14"/>
              </w:rPr>
              <w:t>BC008</w:t>
            </w:r>
          </w:p>
        </w:tc>
        <w:tc>
          <w:tcPr>
            <w:tcW w:w="588" w:type="dxa"/>
            <w:tcBorders>
              <w:left w:val="nil"/>
              <w:right w:val="nil"/>
            </w:tcBorders>
          </w:tcPr>
          <w:p>
            <w:pPr>
              <w:pStyle w:val="TableParagraph"/>
              <w:spacing w:before="100"/>
              <w:ind w:left="150"/>
              <w:rPr>
                <w:rFonts w:ascii="PMingLiU" w:eastAsia="PMingLiU" w:hint="eastAsia"/>
                <w:sz w:val="14"/>
              </w:rPr>
            </w:pPr>
            <w:r>
              <w:rPr>
                <w:sz w:val="14"/>
              </w:rPr>
              <w:t>I </w:t>
            </w:r>
            <w:r>
              <w:rPr>
                <w:rFonts w:ascii="PMingLiU" w:eastAsia="PMingLiU" w:hint="eastAsia"/>
                <w:sz w:val="14"/>
              </w:rPr>
              <w:t>期</w:t>
            </w:r>
          </w:p>
        </w:tc>
        <w:tc>
          <w:tcPr>
            <w:tcW w:w="681" w:type="dxa"/>
            <w:tcBorders>
              <w:left w:val="nil"/>
              <w:right w:val="nil"/>
            </w:tcBorders>
          </w:tcPr>
          <w:p>
            <w:pPr>
              <w:pStyle w:val="TableParagraph"/>
              <w:spacing w:line="195" w:lineRule="exact"/>
              <w:ind w:left="115"/>
              <w:rPr>
                <w:rFonts w:ascii="PMingLiU" w:eastAsia="PMingLiU" w:hint="eastAsia"/>
                <w:sz w:val="14"/>
              </w:rPr>
            </w:pPr>
            <w:r>
              <w:rPr>
                <w:rFonts w:ascii="PMingLiU" w:eastAsia="PMingLiU" w:hint="eastAsia"/>
                <w:sz w:val="14"/>
              </w:rPr>
              <w:t>单域抗</w:t>
            </w:r>
          </w:p>
          <w:p>
            <w:pPr>
              <w:pStyle w:val="TableParagraph"/>
              <w:spacing w:line="187" w:lineRule="exact" w:before="6"/>
              <w:ind w:left="115"/>
              <w:rPr>
                <w:rFonts w:ascii="PMingLiU" w:eastAsia="PMingLiU" w:hint="eastAsia"/>
                <w:sz w:val="14"/>
              </w:rPr>
            </w:pPr>
            <w:r>
              <w:rPr>
                <w:rFonts w:ascii="PMingLiU" w:eastAsia="PMingLiU" w:hint="eastAsia"/>
                <w:w w:val="99"/>
                <w:sz w:val="14"/>
              </w:rPr>
              <w:t>体</w:t>
            </w:r>
          </w:p>
        </w:tc>
        <w:tc>
          <w:tcPr>
            <w:tcW w:w="1023" w:type="dxa"/>
            <w:tcBorders>
              <w:left w:val="nil"/>
              <w:right w:val="single" w:sz="4" w:space="0" w:color="000000"/>
            </w:tcBorders>
          </w:tcPr>
          <w:p>
            <w:pPr>
              <w:pStyle w:val="TableParagraph"/>
              <w:spacing w:before="118"/>
              <w:ind w:left="140"/>
              <w:rPr>
                <w:sz w:val="14"/>
              </w:rPr>
            </w:pPr>
            <w:r>
              <w:rPr>
                <w:sz w:val="14"/>
              </w:rPr>
              <w:t>GC</w:t>
            </w:r>
          </w:p>
        </w:tc>
        <w:tc>
          <w:tcPr>
            <w:tcW w:w="831" w:type="dxa"/>
            <w:tcBorders>
              <w:left w:val="single" w:sz="4" w:space="0" w:color="000000"/>
              <w:right w:val="nil"/>
            </w:tcBorders>
          </w:tcPr>
          <w:p>
            <w:pPr>
              <w:pStyle w:val="TableParagraph"/>
              <w:spacing w:before="100"/>
              <w:ind w:left="105"/>
              <w:rPr>
                <w:rFonts w:ascii="PMingLiU" w:eastAsia="PMingLiU" w:hint="eastAsia"/>
                <w:sz w:val="14"/>
              </w:rPr>
            </w:pPr>
            <w:r>
              <w:rPr>
                <w:rFonts w:ascii="PMingLiU" w:eastAsia="PMingLiU" w:hint="eastAsia"/>
                <w:sz w:val="14"/>
              </w:rPr>
              <w:t>齐鲁制药</w:t>
            </w:r>
          </w:p>
        </w:tc>
        <w:tc>
          <w:tcPr>
            <w:tcW w:w="997" w:type="dxa"/>
            <w:tcBorders>
              <w:left w:val="nil"/>
              <w:right w:val="nil"/>
            </w:tcBorders>
          </w:tcPr>
          <w:p>
            <w:pPr>
              <w:pStyle w:val="TableParagraph"/>
              <w:spacing w:before="118"/>
              <w:ind w:left="125"/>
              <w:rPr>
                <w:sz w:val="14"/>
              </w:rPr>
            </w:pPr>
            <w:r>
              <w:rPr>
                <w:sz w:val="14"/>
              </w:rPr>
              <w:t>QLS31905</w:t>
            </w:r>
          </w:p>
        </w:tc>
        <w:tc>
          <w:tcPr>
            <w:tcW w:w="503" w:type="dxa"/>
            <w:tcBorders>
              <w:left w:val="nil"/>
              <w:right w:val="nil"/>
            </w:tcBorders>
          </w:tcPr>
          <w:p>
            <w:pPr>
              <w:pStyle w:val="TableParagraph"/>
              <w:spacing w:before="100"/>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100"/>
              <w:ind w:left="180"/>
              <w:rPr>
                <w:rFonts w:ascii="PMingLiU" w:eastAsia="PMingLiU" w:hint="eastAsia"/>
                <w:sz w:val="14"/>
              </w:rPr>
            </w:pPr>
            <w:r>
              <w:rPr>
                <w:rFonts w:ascii="PMingLiU" w:eastAsia="PMingLiU" w:hint="eastAsia"/>
                <w:sz w:val="14"/>
              </w:rPr>
              <w:t>双抗</w:t>
            </w:r>
          </w:p>
        </w:tc>
        <w:tc>
          <w:tcPr>
            <w:tcW w:w="793" w:type="dxa"/>
            <w:tcBorders>
              <w:left w:val="nil"/>
              <w:right w:val="nil"/>
            </w:tcBorders>
          </w:tcPr>
          <w:p>
            <w:pPr>
              <w:pStyle w:val="TableParagraph"/>
              <w:spacing w:before="100"/>
              <w:ind w:left="140"/>
              <w:rPr>
                <w:rFonts w:ascii="PMingLiU" w:eastAsia="PMingLiU" w:hint="eastAsia"/>
                <w:sz w:val="14"/>
              </w:rPr>
            </w:pPr>
            <w:r>
              <w:rPr>
                <w:rFonts w:ascii="PMingLiU" w:eastAsia="PMingLiU" w:hint="eastAsia"/>
                <w:sz w:val="14"/>
              </w:rPr>
              <w:t>实体瘤</w:t>
            </w:r>
          </w:p>
        </w:tc>
      </w:tr>
      <w:tr>
        <w:trPr>
          <w:trHeight w:val="407" w:hRule="atLeast"/>
        </w:trPr>
        <w:tc>
          <w:tcPr>
            <w:tcW w:w="918" w:type="dxa"/>
            <w:tcBorders>
              <w:left w:val="nil"/>
              <w:right w:val="nil"/>
            </w:tcBorders>
          </w:tcPr>
          <w:p>
            <w:pPr>
              <w:pStyle w:val="TableParagraph"/>
              <w:spacing w:before="100"/>
              <w:ind w:left="139"/>
              <w:rPr>
                <w:rFonts w:ascii="PMingLiU" w:eastAsia="PMingLiU" w:hint="eastAsia"/>
                <w:sz w:val="14"/>
              </w:rPr>
            </w:pPr>
            <w:r>
              <w:rPr>
                <w:rFonts w:ascii="PMingLiU" w:eastAsia="PMingLiU" w:hint="eastAsia"/>
                <w:sz w:val="14"/>
              </w:rPr>
              <w:t>茂行生物</w:t>
            </w:r>
          </w:p>
        </w:tc>
        <w:tc>
          <w:tcPr>
            <w:tcW w:w="919" w:type="dxa"/>
            <w:tcBorders>
              <w:left w:val="nil"/>
              <w:right w:val="nil"/>
            </w:tcBorders>
          </w:tcPr>
          <w:p>
            <w:pPr>
              <w:pStyle w:val="TableParagraph"/>
              <w:spacing w:line="235" w:lineRule="auto" w:before="44"/>
              <w:ind w:left="119" w:right="148"/>
              <w:rPr>
                <w:sz w:val="14"/>
              </w:rPr>
            </w:pPr>
            <w:r>
              <w:rPr>
                <w:w w:val="95"/>
                <w:sz w:val="14"/>
              </w:rPr>
              <w:t>CLDN18.2 </w:t>
            </w:r>
            <w:r>
              <w:rPr>
                <w:sz w:val="14"/>
              </w:rPr>
              <w:t>UCAR-T</w:t>
            </w:r>
          </w:p>
        </w:tc>
        <w:tc>
          <w:tcPr>
            <w:tcW w:w="588" w:type="dxa"/>
            <w:tcBorders>
              <w:left w:val="nil"/>
              <w:right w:val="nil"/>
            </w:tcBorders>
          </w:tcPr>
          <w:p>
            <w:pPr>
              <w:pStyle w:val="TableParagraph"/>
              <w:spacing w:before="100"/>
              <w:ind w:left="150"/>
              <w:rPr>
                <w:rFonts w:ascii="PMingLiU" w:eastAsia="PMingLiU" w:hint="eastAsia"/>
                <w:sz w:val="14"/>
              </w:rPr>
            </w:pPr>
            <w:r>
              <w:rPr>
                <w:sz w:val="14"/>
              </w:rPr>
              <w:t>I </w:t>
            </w:r>
            <w:r>
              <w:rPr>
                <w:rFonts w:ascii="PMingLiU" w:eastAsia="PMingLiU" w:hint="eastAsia"/>
                <w:sz w:val="14"/>
              </w:rPr>
              <w:t>期</w:t>
            </w:r>
          </w:p>
        </w:tc>
        <w:tc>
          <w:tcPr>
            <w:tcW w:w="681" w:type="dxa"/>
            <w:tcBorders>
              <w:left w:val="nil"/>
              <w:right w:val="nil"/>
            </w:tcBorders>
          </w:tcPr>
          <w:p>
            <w:pPr>
              <w:pStyle w:val="TableParagraph"/>
              <w:spacing w:before="123"/>
              <w:ind w:left="115"/>
              <w:rPr>
                <w:sz w:val="14"/>
              </w:rPr>
            </w:pPr>
            <w:r>
              <w:rPr>
                <w:sz w:val="14"/>
              </w:rPr>
              <w:t>CAR-T</w:t>
            </w:r>
          </w:p>
        </w:tc>
        <w:tc>
          <w:tcPr>
            <w:tcW w:w="1023" w:type="dxa"/>
            <w:tcBorders>
              <w:left w:val="nil"/>
              <w:right w:val="single" w:sz="4" w:space="0" w:color="000000"/>
            </w:tcBorders>
          </w:tcPr>
          <w:p>
            <w:pPr>
              <w:pStyle w:val="TableParagraph"/>
              <w:spacing w:before="123"/>
              <w:ind w:left="140"/>
              <w:rPr>
                <w:sz w:val="14"/>
              </w:rPr>
            </w:pPr>
            <w:r>
              <w:rPr>
                <w:sz w:val="14"/>
              </w:rPr>
              <w:t>GC</w:t>
            </w:r>
          </w:p>
        </w:tc>
        <w:tc>
          <w:tcPr>
            <w:tcW w:w="831" w:type="dxa"/>
            <w:tcBorders>
              <w:left w:val="single" w:sz="4" w:space="0" w:color="000000"/>
              <w:right w:val="nil"/>
            </w:tcBorders>
          </w:tcPr>
          <w:p>
            <w:pPr>
              <w:pStyle w:val="TableParagraph"/>
              <w:spacing w:line="195" w:lineRule="exact"/>
              <w:ind w:left="105"/>
              <w:rPr>
                <w:rFonts w:ascii="PMingLiU" w:eastAsia="PMingLiU" w:hint="eastAsia"/>
                <w:sz w:val="14"/>
              </w:rPr>
            </w:pPr>
            <w:r>
              <w:rPr>
                <w:sz w:val="14"/>
              </w:rPr>
              <w:t>Merck/ </w:t>
            </w:r>
            <w:r>
              <w:rPr>
                <w:rFonts w:ascii="PMingLiU" w:eastAsia="PMingLiU" w:hint="eastAsia"/>
                <w:sz w:val="14"/>
              </w:rPr>
              <w:t>科</w:t>
            </w:r>
          </w:p>
          <w:p>
            <w:pPr>
              <w:pStyle w:val="TableParagraph"/>
              <w:spacing w:line="187" w:lineRule="exact" w:before="6"/>
              <w:ind w:left="105"/>
              <w:rPr>
                <w:rFonts w:ascii="PMingLiU" w:eastAsia="PMingLiU" w:hint="eastAsia"/>
                <w:sz w:val="14"/>
              </w:rPr>
            </w:pPr>
            <w:r>
              <w:rPr>
                <w:rFonts w:ascii="PMingLiU" w:eastAsia="PMingLiU" w:hint="eastAsia"/>
                <w:w w:val="99"/>
                <w:sz w:val="14"/>
              </w:rPr>
              <w:t>伦</w:t>
            </w:r>
          </w:p>
        </w:tc>
        <w:tc>
          <w:tcPr>
            <w:tcW w:w="997" w:type="dxa"/>
            <w:tcBorders>
              <w:left w:val="nil"/>
              <w:right w:val="nil"/>
            </w:tcBorders>
          </w:tcPr>
          <w:p>
            <w:pPr>
              <w:pStyle w:val="TableParagraph"/>
              <w:spacing w:before="123"/>
              <w:ind w:left="125"/>
              <w:rPr>
                <w:sz w:val="14"/>
              </w:rPr>
            </w:pPr>
            <w:r>
              <w:rPr>
                <w:sz w:val="14"/>
              </w:rPr>
              <w:t>SKB315</w:t>
            </w:r>
          </w:p>
        </w:tc>
        <w:tc>
          <w:tcPr>
            <w:tcW w:w="503" w:type="dxa"/>
            <w:tcBorders>
              <w:left w:val="nil"/>
              <w:right w:val="nil"/>
            </w:tcBorders>
          </w:tcPr>
          <w:p>
            <w:pPr>
              <w:pStyle w:val="TableParagraph"/>
              <w:spacing w:before="100"/>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123"/>
              <w:ind w:left="180"/>
              <w:rPr>
                <w:sz w:val="14"/>
              </w:rPr>
            </w:pPr>
            <w:r>
              <w:rPr>
                <w:sz w:val="14"/>
              </w:rPr>
              <w:t>ADC</w:t>
            </w:r>
          </w:p>
        </w:tc>
        <w:tc>
          <w:tcPr>
            <w:tcW w:w="793" w:type="dxa"/>
            <w:tcBorders>
              <w:left w:val="nil"/>
              <w:right w:val="nil"/>
            </w:tcBorders>
          </w:tcPr>
          <w:p>
            <w:pPr>
              <w:pStyle w:val="TableParagraph"/>
              <w:spacing w:before="100"/>
              <w:ind w:left="140"/>
              <w:rPr>
                <w:rFonts w:ascii="PMingLiU" w:eastAsia="PMingLiU" w:hint="eastAsia"/>
                <w:sz w:val="14"/>
              </w:rPr>
            </w:pPr>
            <w:r>
              <w:rPr>
                <w:rFonts w:ascii="PMingLiU" w:eastAsia="PMingLiU" w:hint="eastAsia"/>
                <w:sz w:val="14"/>
              </w:rPr>
              <w:t>实体瘤</w:t>
            </w:r>
          </w:p>
        </w:tc>
      </w:tr>
      <w:tr>
        <w:trPr>
          <w:trHeight w:val="407" w:hRule="atLeast"/>
        </w:trPr>
        <w:tc>
          <w:tcPr>
            <w:tcW w:w="918" w:type="dxa"/>
            <w:tcBorders>
              <w:left w:val="nil"/>
              <w:right w:val="nil"/>
            </w:tcBorders>
          </w:tcPr>
          <w:p>
            <w:pPr>
              <w:pStyle w:val="TableParagraph"/>
              <w:spacing w:line="195" w:lineRule="exact"/>
              <w:ind w:left="139"/>
              <w:rPr>
                <w:rFonts w:ascii="PMingLiU" w:eastAsia="PMingLiU" w:hint="eastAsia"/>
                <w:sz w:val="14"/>
              </w:rPr>
            </w:pPr>
            <w:r>
              <w:rPr>
                <w:rFonts w:ascii="PMingLiU" w:eastAsia="PMingLiU" w:hint="eastAsia"/>
                <w:sz w:val="14"/>
              </w:rPr>
              <w:t>康诺亚</w:t>
            </w:r>
            <w:r>
              <w:rPr>
                <w:sz w:val="14"/>
              </w:rPr>
              <w:t>/ </w:t>
            </w:r>
            <w:r>
              <w:rPr>
                <w:rFonts w:ascii="PMingLiU" w:eastAsia="PMingLiU" w:hint="eastAsia"/>
                <w:sz w:val="14"/>
              </w:rPr>
              <w:t>乐</w:t>
            </w:r>
          </w:p>
          <w:p>
            <w:pPr>
              <w:pStyle w:val="TableParagraph"/>
              <w:spacing w:line="187" w:lineRule="exact" w:before="6"/>
              <w:ind w:left="139"/>
              <w:rPr>
                <w:rFonts w:ascii="PMingLiU" w:eastAsia="PMingLiU" w:hint="eastAsia"/>
                <w:sz w:val="14"/>
              </w:rPr>
            </w:pPr>
            <w:r>
              <w:rPr>
                <w:rFonts w:ascii="PMingLiU" w:eastAsia="PMingLiU" w:hint="eastAsia"/>
                <w:sz w:val="14"/>
              </w:rPr>
              <w:t>普生物</w:t>
            </w:r>
          </w:p>
        </w:tc>
        <w:tc>
          <w:tcPr>
            <w:tcW w:w="919" w:type="dxa"/>
            <w:tcBorders>
              <w:left w:val="nil"/>
              <w:right w:val="nil"/>
            </w:tcBorders>
          </w:tcPr>
          <w:p>
            <w:pPr>
              <w:pStyle w:val="TableParagraph"/>
              <w:spacing w:before="123"/>
              <w:ind w:left="119"/>
              <w:rPr>
                <w:sz w:val="14"/>
              </w:rPr>
            </w:pPr>
            <w:r>
              <w:rPr>
                <w:sz w:val="14"/>
              </w:rPr>
              <w:t>CMG901</w:t>
            </w:r>
          </w:p>
        </w:tc>
        <w:tc>
          <w:tcPr>
            <w:tcW w:w="588" w:type="dxa"/>
            <w:tcBorders>
              <w:left w:val="nil"/>
              <w:right w:val="nil"/>
            </w:tcBorders>
          </w:tcPr>
          <w:p>
            <w:pPr>
              <w:pStyle w:val="TableParagraph"/>
              <w:spacing w:before="100"/>
              <w:ind w:left="150"/>
              <w:rPr>
                <w:rFonts w:ascii="PMingLiU" w:eastAsia="PMingLiU" w:hint="eastAsia"/>
                <w:sz w:val="14"/>
              </w:rPr>
            </w:pPr>
            <w:r>
              <w:rPr>
                <w:sz w:val="14"/>
              </w:rPr>
              <w:t>I </w:t>
            </w:r>
            <w:r>
              <w:rPr>
                <w:rFonts w:ascii="PMingLiU" w:eastAsia="PMingLiU" w:hint="eastAsia"/>
                <w:sz w:val="14"/>
              </w:rPr>
              <w:t>期</w:t>
            </w:r>
          </w:p>
        </w:tc>
        <w:tc>
          <w:tcPr>
            <w:tcW w:w="681" w:type="dxa"/>
            <w:tcBorders>
              <w:left w:val="nil"/>
              <w:right w:val="nil"/>
            </w:tcBorders>
          </w:tcPr>
          <w:p>
            <w:pPr>
              <w:pStyle w:val="TableParagraph"/>
              <w:spacing w:before="123"/>
              <w:ind w:left="115"/>
              <w:rPr>
                <w:sz w:val="14"/>
              </w:rPr>
            </w:pPr>
            <w:r>
              <w:rPr>
                <w:sz w:val="14"/>
              </w:rPr>
              <w:t>ADC</w:t>
            </w:r>
          </w:p>
        </w:tc>
        <w:tc>
          <w:tcPr>
            <w:tcW w:w="1023" w:type="dxa"/>
            <w:tcBorders>
              <w:left w:val="nil"/>
              <w:right w:val="single" w:sz="4" w:space="0" w:color="000000"/>
            </w:tcBorders>
          </w:tcPr>
          <w:p>
            <w:pPr>
              <w:pStyle w:val="TableParagraph"/>
              <w:spacing w:line="235" w:lineRule="auto" w:before="44"/>
              <w:ind w:left="140" w:right="259"/>
              <w:rPr>
                <w:sz w:val="14"/>
              </w:rPr>
            </w:pPr>
            <w:r>
              <w:rPr>
                <w:sz w:val="14"/>
              </w:rPr>
              <w:t>GC/ GEJ, PC</w:t>
            </w:r>
          </w:p>
        </w:tc>
        <w:tc>
          <w:tcPr>
            <w:tcW w:w="831" w:type="dxa"/>
            <w:tcBorders>
              <w:left w:val="single" w:sz="4" w:space="0" w:color="000000"/>
              <w:right w:val="nil"/>
            </w:tcBorders>
          </w:tcPr>
          <w:p>
            <w:pPr>
              <w:pStyle w:val="TableParagraph"/>
              <w:spacing w:line="170" w:lineRule="atLeast" w:before="18"/>
              <w:ind w:left="105" w:right="102"/>
              <w:rPr>
                <w:sz w:val="14"/>
              </w:rPr>
            </w:pPr>
            <w:r>
              <w:rPr>
                <w:rFonts w:ascii="PMingLiU" w:eastAsia="PMingLiU" w:hint="eastAsia"/>
                <w:sz w:val="14"/>
              </w:rPr>
              <w:t>华润三九</w:t>
            </w:r>
            <w:r>
              <w:rPr>
                <w:sz w:val="14"/>
              </w:rPr>
              <w:t>/ Sparx</w:t>
            </w:r>
          </w:p>
        </w:tc>
        <w:tc>
          <w:tcPr>
            <w:tcW w:w="997" w:type="dxa"/>
            <w:tcBorders>
              <w:left w:val="nil"/>
              <w:right w:val="nil"/>
            </w:tcBorders>
          </w:tcPr>
          <w:p>
            <w:pPr>
              <w:pStyle w:val="TableParagraph"/>
              <w:spacing w:before="123"/>
              <w:ind w:left="125"/>
              <w:rPr>
                <w:sz w:val="14"/>
              </w:rPr>
            </w:pPr>
            <w:r>
              <w:rPr>
                <w:sz w:val="14"/>
              </w:rPr>
              <w:t>SX001</w:t>
            </w:r>
          </w:p>
        </w:tc>
        <w:tc>
          <w:tcPr>
            <w:tcW w:w="503" w:type="dxa"/>
            <w:tcBorders>
              <w:left w:val="nil"/>
              <w:right w:val="nil"/>
            </w:tcBorders>
          </w:tcPr>
          <w:p>
            <w:pPr>
              <w:pStyle w:val="TableParagraph"/>
              <w:spacing w:before="100"/>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100"/>
              <w:ind w:left="180"/>
              <w:rPr>
                <w:rFonts w:ascii="PMingLiU" w:eastAsia="PMingLiU" w:hint="eastAsia"/>
                <w:sz w:val="14"/>
              </w:rPr>
            </w:pPr>
            <w:r>
              <w:rPr>
                <w:rFonts w:ascii="PMingLiU" w:eastAsia="PMingLiU" w:hint="eastAsia"/>
                <w:sz w:val="14"/>
              </w:rPr>
              <w:t>单抗</w:t>
            </w:r>
          </w:p>
        </w:tc>
        <w:tc>
          <w:tcPr>
            <w:tcW w:w="793" w:type="dxa"/>
            <w:tcBorders>
              <w:left w:val="nil"/>
              <w:right w:val="nil"/>
            </w:tcBorders>
          </w:tcPr>
          <w:p>
            <w:pPr>
              <w:pStyle w:val="TableParagraph"/>
              <w:spacing w:before="100"/>
              <w:ind w:left="140"/>
              <w:rPr>
                <w:rFonts w:ascii="PMingLiU" w:eastAsia="PMingLiU" w:hint="eastAsia"/>
                <w:sz w:val="14"/>
              </w:rPr>
            </w:pPr>
            <w:r>
              <w:rPr>
                <w:rFonts w:ascii="PMingLiU" w:eastAsia="PMingLiU" w:hint="eastAsia"/>
                <w:sz w:val="14"/>
              </w:rPr>
              <w:t>实体瘤</w:t>
            </w:r>
          </w:p>
        </w:tc>
      </w:tr>
      <w:tr>
        <w:trPr>
          <w:trHeight w:val="364" w:hRule="atLeast"/>
        </w:trPr>
        <w:tc>
          <w:tcPr>
            <w:tcW w:w="918" w:type="dxa"/>
            <w:tcBorders>
              <w:left w:val="nil"/>
              <w:right w:val="nil"/>
            </w:tcBorders>
          </w:tcPr>
          <w:p>
            <w:pPr>
              <w:pStyle w:val="TableParagraph"/>
              <w:spacing w:before="80"/>
              <w:ind w:left="139"/>
              <w:rPr>
                <w:rFonts w:ascii="PMingLiU" w:eastAsia="PMingLiU" w:hint="eastAsia"/>
                <w:sz w:val="14"/>
              </w:rPr>
            </w:pPr>
            <w:r>
              <w:rPr>
                <w:rFonts w:ascii="PMingLiU" w:eastAsia="PMingLiU" w:hint="eastAsia"/>
                <w:sz w:val="14"/>
              </w:rPr>
              <w:t>科济药业</w:t>
            </w:r>
          </w:p>
        </w:tc>
        <w:tc>
          <w:tcPr>
            <w:tcW w:w="919" w:type="dxa"/>
            <w:tcBorders>
              <w:left w:val="nil"/>
              <w:right w:val="nil"/>
            </w:tcBorders>
          </w:tcPr>
          <w:p>
            <w:pPr>
              <w:pStyle w:val="TableParagraph"/>
              <w:spacing w:before="99"/>
              <w:ind w:left="119"/>
              <w:rPr>
                <w:sz w:val="14"/>
              </w:rPr>
            </w:pPr>
            <w:r>
              <w:rPr>
                <w:sz w:val="14"/>
              </w:rPr>
              <w:t>CT048</w:t>
            </w:r>
          </w:p>
        </w:tc>
        <w:tc>
          <w:tcPr>
            <w:tcW w:w="588" w:type="dxa"/>
            <w:tcBorders>
              <w:left w:val="nil"/>
              <w:right w:val="nil"/>
            </w:tcBorders>
          </w:tcPr>
          <w:p>
            <w:pPr>
              <w:pStyle w:val="TableParagraph"/>
              <w:spacing w:before="80"/>
              <w:ind w:left="150"/>
              <w:rPr>
                <w:rFonts w:ascii="PMingLiU" w:eastAsia="PMingLiU" w:hint="eastAsia"/>
                <w:sz w:val="14"/>
              </w:rPr>
            </w:pPr>
            <w:r>
              <w:rPr>
                <w:sz w:val="14"/>
              </w:rPr>
              <w:t>I </w:t>
            </w:r>
            <w:r>
              <w:rPr>
                <w:rFonts w:ascii="PMingLiU" w:eastAsia="PMingLiU" w:hint="eastAsia"/>
                <w:sz w:val="14"/>
              </w:rPr>
              <w:t>期</w:t>
            </w:r>
          </w:p>
        </w:tc>
        <w:tc>
          <w:tcPr>
            <w:tcW w:w="681" w:type="dxa"/>
            <w:tcBorders>
              <w:left w:val="nil"/>
              <w:right w:val="nil"/>
            </w:tcBorders>
          </w:tcPr>
          <w:p>
            <w:pPr>
              <w:pStyle w:val="TableParagraph"/>
              <w:spacing w:before="99"/>
              <w:ind w:left="115"/>
              <w:rPr>
                <w:sz w:val="14"/>
              </w:rPr>
            </w:pPr>
            <w:r>
              <w:rPr>
                <w:sz w:val="14"/>
              </w:rPr>
              <w:t>CAR-T</w:t>
            </w:r>
          </w:p>
        </w:tc>
        <w:tc>
          <w:tcPr>
            <w:tcW w:w="1023" w:type="dxa"/>
            <w:tcBorders>
              <w:left w:val="nil"/>
              <w:right w:val="single" w:sz="4" w:space="0" w:color="000000"/>
            </w:tcBorders>
          </w:tcPr>
          <w:p>
            <w:pPr>
              <w:pStyle w:val="TableParagraph"/>
              <w:spacing w:line="242" w:lineRule="auto" w:before="17"/>
              <w:ind w:left="140" w:right="297"/>
              <w:rPr>
                <w:sz w:val="14"/>
              </w:rPr>
            </w:pPr>
            <w:r>
              <w:rPr>
                <w:sz w:val="14"/>
              </w:rPr>
              <w:t>GC/GEJ, PC</w:t>
            </w:r>
          </w:p>
        </w:tc>
        <w:tc>
          <w:tcPr>
            <w:tcW w:w="831" w:type="dxa"/>
            <w:tcBorders>
              <w:left w:val="single" w:sz="4" w:space="0" w:color="000000"/>
              <w:right w:val="nil"/>
            </w:tcBorders>
          </w:tcPr>
          <w:p>
            <w:pPr>
              <w:pStyle w:val="TableParagraph"/>
              <w:spacing w:line="195" w:lineRule="exact"/>
              <w:ind w:left="105"/>
              <w:rPr>
                <w:sz w:val="14"/>
              </w:rPr>
            </w:pPr>
            <w:r>
              <w:rPr>
                <w:rFonts w:ascii="PMingLiU" w:eastAsia="PMingLiU" w:hint="eastAsia"/>
                <w:sz w:val="14"/>
              </w:rPr>
              <w:t>石药</w:t>
            </w:r>
            <w:r>
              <w:rPr>
                <w:sz w:val="14"/>
              </w:rPr>
              <w:t>/</w:t>
            </w:r>
          </w:p>
          <w:p>
            <w:pPr>
              <w:pStyle w:val="TableParagraph"/>
              <w:spacing w:line="145" w:lineRule="exact" w:before="5"/>
              <w:ind w:left="105"/>
              <w:rPr>
                <w:sz w:val="14"/>
              </w:rPr>
            </w:pPr>
            <w:r>
              <w:rPr>
                <w:sz w:val="14"/>
              </w:rPr>
              <w:t>Elevation</w:t>
            </w:r>
          </w:p>
        </w:tc>
        <w:tc>
          <w:tcPr>
            <w:tcW w:w="997" w:type="dxa"/>
            <w:tcBorders>
              <w:left w:val="nil"/>
              <w:right w:val="nil"/>
            </w:tcBorders>
          </w:tcPr>
          <w:p>
            <w:pPr>
              <w:pStyle w:val="TableParagraph"/>
              <w:spacing w:before="99"/>
              <w:ind w:left="125"/>
              <w:rPr>
                <w:sz w:val="14"/>
              </w:rPr>
            </w:pPr>
            <w:r>
              <w:rPr>
                <w:sz w:val="14"/>
              </w:rPr>
              <w:t>SYSA1801</w:t>
            </w:r>
          </w:p>
        </w:tc>
        <w:tc>
          <w:tcPr>
            <w:tcW w:w="503" w:type="dxa"/>
            <w:tcBorders>
              <w:left w:val="nil"/>
              <w:right w:val="nil"/>
            </w:tcBorders>
          </w:tcPr>
          <w:p>
            <w:pPr>
              <w:pStyle w:val="TableParagraph"/>
              <w:spacing w:before="80"/>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right w:val="nil"/>
            </w:tcBorders>
          </w:tcPr>
          <w:p>
            <w:pPr>
              <w:pStyle w:val="TableParagraph"/>
              <w:spacing w:before="99"/>
              <w:ind w:left="180"/>
              <w:rPr>
                <w:sz w:val="14"/>
              </w:rPr>
            </w:pPr>
            <w:r>
              <w:rPr>
                <w:sz w:val="14"/>
              </w:rPr>
              <w:t>ADC</w:t>
            </w:r>
          </w:p>
        </w:tc>
        <w:tc>
          <w:tcPr>
            <w:tcW w:w="793" w:type="dxa"/>
            <w:tcBorders>
              <w:left w:val="nil"/>
              <w:right w:val="nil"/>
            </w:tcBorders>
          </w:tcPr>
          <w:p>
            <w:pPr>
              <w:pStyle w:val="TableParagraph"/>
              <w:spacing w:before="17"/>
              <w:ind w:left="140"/>
              <w:rPr>
                <w:sz w:val="14"/>
              </w:rPr>
            </w:pPr>
            <w:r>
              <w:rPr>
                <w:sz w:val="14"/>
              </w:rPr>
              <w:t>GC/GEJ</w:t>
            </w:r>
          </w:p>
          <w:p>
            <w:pPr>
              <w:pStyle w:val="TableParagraph"/>
              <w:spacing w:before="2"/>
              <w:ind w:left="140"/>
              <w:rPr>
                <w:sz w:val="14"/>
              </w:rPr>
            </w:pPr>
            <w:r>
              <w:rPr>
                <w:sz w:val="14"/>
              </w:rPr>
              <w:t>, PC</w:t>
            </w:r>
          </w:p>
        </w:tc>
      </w:tr>
      <w:tr>
        <w:trPr>
          <w:trHeight w:val="484" w:hRule="atLeast"/>
        </w:trPr>
        <w:tc>
          <w:tcPr>
            <w:tcW w:w="918" w:type="dxa"/>
            <w:tcBorders>
              <w:left w:val="nil"/>
              <w:bottom w:val="single" w:sz="12" w:space="0" w:color="000000"/>
              <w:right w:val="nil"/>
            </w:tcBorders>
          </w:tcPr>
          <w:p>
            <w:pPr>
              <w:pStyle w:val="TableParagraph"/>
              <w:spacing w:before="138"/>
              <w:ind w:left="139"/>
              <w:rPr>
                <w:rFonts w:ascii="PMingLiU" w:eastAsia="PMingLiU" w:hint="eastAsia"/>
                <w:sz w:val="14"/>
              </w:rPr>
            </w:pPr>
            <w:r>
              <w:rPr>
                <w:rFonts w:ascii="PMingLiU" w:eastAsia="PMingLiU" w:hint="eastAsia"/>
                <w:sz w:val="14"/>
              </w:rPr>
              <w:t>北恒生物</w:t>
            </w:r>
          </w:p>
        </w:tc>
        <w:tc>
          <w:tcPr>
            <w:tcW w:w="919" w:type="dxa"/>
            <w:tcBorders>
              <w:left w:val="nil"/>
              <w:bottom w:val="single" w:sz="12" w:space="0" w:color="000000"/>
              <w:right w:val="nil"/>
            </w:tcBorders>
          </w:tcPr>
          <w:p>
            <w:pPr>
              <w:pStyle w:val="TableParagraph"/>
              <w:spacing w:before="14"/>
              <w:rPr>
                <w:rFonts w:ascii="Microsoft JhengHei UI"/>
                <w:b/>
                <w:sz w:val="8"/>
              </w:rPr>
            </w:pPr>
          </w:p>
          <w:p>
            <w:pPr>
              <w:pStyle w:val="TableParagraph"/>
              <w:ind w:left="119"/>
              <w:rPr>
                <w:sz w:val="14"/>
              </w:rPr>
            </w:pPr>
            <w:r>
              <w:rPr>
                <w:sz w:val="14"/>
              </w:rPr>
              <w:t>CTD101</w:t>
            </w:r>
          </w:p>
        </w:tc>
        <w:tc>
          <w:tcPr>
            <w:tcW w:w="588" w:type="dxa"/>
            <w:tcBorders>
              <w:left w:val="nil"/>
              <w:bottom w:val="single" w:sz="12" w:space="0" w:color="000000"/>
              <w:right w:val="nil"/>
            </w:tcBorders>
          </w:tcPr>
          <w:p>
            <w:pPr>
              <w:pStyle w:val="TableParagraph"/>
              <w:spacing w:before="138"/>
              <w:ind w:left="150"/>
              <w:rPr>
                <w:rFonts w:ascii="PMingLiU" w:eastAsia="PMingLiU" w:hint="eastAsia"/>
                <w:sz w:val="14"/>
              </w:rPr>
            </w:pPr>
            <w:r>
              <w:rPr>
                <w:sz w:val="14"/>
              </w:rPr>
              <w:t>I </w:t>
            </w:r>
            <w:r>
              <w:rPr>
                <w:rFonts w:ascii="PMingLiU" w:eastAsia="PMingLiU" w:hint="eastAsia"/>
                <w:sz w:val="14"/>
              </w:rPr>
              <w:t>期</w:t>
            </w:r>
          </w:p>
        </w:tc>
        <w:tc>
          <w:tcPr>
            <w:tcW w:w="681" w:type="dxa"/>
            <w:tcBorders>
              <w:left w:val="nil"/>
              <w:bottom w:val="single" w:sz="12" w:space="0" w:color="000000"/>
              <w:right w:val="nil"/>
            </w:tcBorders>
          </w:tcPr>
          <w:p>
            <w:pPr>
              <w:pStyle w:val="TableParagraph"/>
              <w:spacing w:before="14"/>
              <w:rPr>
                <w:rFonts w:ascii="Microsoft JhengHei UI"/>
                <w:b/>
                <w:sz w:val="8"/>
              </w:rPr>
            </w:pPr>
          </w:p>
          <w:p>
            <w:pPr>
              <w:pStyle w:val="TableParagraph"/>
              <w:ind w:left="115"/>
              <w:rPr>
                <w:sz w:val="14"/>
              </w:rPr>
            </w:pPr>
            <w:r>
              <w:rPr>
                <w:sz w:val="14"/>
              </w:rPr>
              <w:t>CAR-T</w:t>
            </w:r>
          </w:p>
        </w:tc>
        <w:tc>
          <w:tcPr>
            <w:tcW w:w="1023" w:type="dxa"/>
            <w:tcBorders>
              <w:left w:val="nil"/>
              <w:bottom w:val="single" w:sz="12" w:space="0" w:color="000000"/>
              <w:right w:val="single" w:sz="4" w:space="0" w:color="000000"/>
            </w:tcBorders>
          </w:tcPr>
          <w:p>
            <w:pPr>
              <w:pStyle w:val="TableParagraph"/>
              <w:spacing w:before="138"/>
              <w:ind w:left="140"/>
              <w:rPr>
                <w:rFonts w:ascii="PMingLiU" w:eastAsia="PMingLiU" w:hint="eastAsia"/>
                <w:sz w:val="14"/>
              </w:rPr>
            </w:pPr>
            <w:r>
              <w:rPr>
                <w:rFonts w:ascii="PMingLiU" w:eastAsia="PMingLiU" w:hint="eastAsia"/>
                <w:sz w:val="14"/>
              </w:rPr>
              <w:t>实体瘤</w:t>
            </w:r>
          </w:p>
        </w:tc>
        <w:tc>
          <w:tcPr>
            <w:tcW w:w="831" w:type="dxa"/>
            <w:tcBorders>
              <w:left w:val="single" w:sz="4" w:space="0" w:color="000000"/>
              <w:bottom w:val="single" w:sz="12" w:space="0" w:color="000000"/>
              <w:right w:val="nil"/>
            </w:tcBorders>
          </w:tcPr>
          <w:p>
            <w:pPr>
              <w:pStyle w:val="TableParagraph"/>
              <w:spacing w:before="56"/>
              <w:ind w:left="105"/>
              <w:rPr>
                <w:sz w:val="14"/>
              </w:rPr>
            </w:pPr>
            <w:r>
              <w:rPr>
                <w:sz w:val="14"/>
              </w:rPr>
              <w:t>ABL</w:t>
            </w:r>
            <w:r>
              <w:rPr>
                <w:spacing w:val="-5"/>
                <w:sz w:val="14"/>
              </w:rPr>
              <w:t> </w:t>
            </w:r>
            <w:r>
              <w:rPr>
                <w:sz w:val="14"/>
              </w:rPr>
              <w:t>Bio/</w:t>
            </w:r>
          </w:p>
          <w:p>
            <w:pPr>
              <w:pStyle w:val="TableParagraph"/>
              <w:spacing w:before="3"/>
              <w:ind w:left="105"/>
              <w:rPr>
                <w:rFonts w:ascii="PMingLiU" w:eastAsia="PMingLiU" w:hint="eastAsia"/>
                <w:sz w:val="14"/>
              </w:rPr>
            </w:pPr>
            <w:r>
              <w:rPr>
                <w:rFonts w:ascii="PMingLiU" w:eastAsia="PMingLiU" w:hint="eastAsia"/>
                <w:w w:val="95"/>
                <w:sz w:val="14"/>
              </w:rPr>
              <w:t>天境生物</w:t>
            </w:r>
          </w:p>
        </w:tc>
        <w:tc>
          <w:tcPr>
            <w:tcW w:w="997" w:type="dxa"/>
            <w:tcBorders>
              <w:left w:val="nil"/>
              <w:bottom w:val="single" w:sz="12" w:space="0" w:color="000000"/>
              <w:right w:val="nil"/>
            </w:tcBorders>
          </w:tcPr>
          <w:p>
            <w:pPr>
              <w:pStyle w:val="TableParagraph"/>
              <w:spacing w:before="14"/>
              <w:rPr>
                <w:rFonts w:ascii="Microsoft JhengHei UI"/>
                <w:b/>
                <w:sz w:val="8"/>
              </w:rPr>
            </w:pPr>
          </w:p>
          <w:p>
            <w:pPr>
              <w:pStyle w:val="TableParagraph"/>
              <w:ind w:left="125"/>
              <w:rPr>
                <w:sz w:val="14"/>
              </w:rPr>
            </w:pPr>
            <w:r>
              <w:rPr>
                <w:sz w:val="14"/>
              </w:rPr>
              <w:t>TJ-CLDN4B</w:t>
            </w:r>
          </w:p>
        </w:tc>
        <w:tc>
          <w:tcPr>
            <w:tcW w:w="503" w:type="dxa"/>
            <w:tcBorders>
              <w:left w:val="nil"/>
              <w:bottom w:val="single" w:sz="12" w:space="0" w:color="000000"/>
              <w:right w:val="nil"/>
            </w:tcBorders>
          </w:tcPr>
          <w:p>
            <w:pPr>
              <w:pStyle w:val="TableParagraph"/>
              <w:spacing w:before="138"/>
              <w:ind w:left="117"/>
              <w:rPr>
                <w:rFonts w:ascii="PMingLiU" w:eastAsia="PMingLiU" w:hint="eastAsia"/>
                <w:sz w:val="14"/>
              </w:rPr>
            </w:pPr>
            <w:r>
              <w:rPr>
                <w:sz w:val="14"/>
              </w:rPr>
              <w:t>I </w:t>
            </w:r>
            <w:r>
              <w:rPr>
                <w:rFonts w:ascii="PMingLiU" w:eastAsia="PMingLiU" w:hint="eastAsia"/>
                <w:sz w:val="14"/>
              </w:rPr>
              <w:t>期</w:t>
            </w:r>
          </w:p>
        </w:tc>
        <w:tc>
          <w:tcPr>
            <w:tcW w:w="746" w:type="dxa"/>
            <w:tcBorders>
              <w:left w:val="nil"/>
              <w:bottom w:val="single" w:sz="12" w:space="0" w:color="000000"/>
              <w:right w:val="nil"/>
            </w:tcBorders>
          </w:tcPr>
          <w:p>
            <w:pPr>
              <w:pStyle w:val="TableParagraph"/>
              <w:spacing w:before="138"/>
              <w:ind w:left="180"/>
              <w:rPr>
                <w:rFonts w:ascii="PMingLiU" w:eastAsia="PMingLiU" w:hint="eastAsia"/>
                <w:sz w:val="14"/>
              </w:rPr>
            </w:pPr>
            <w:r>
              <w:rPr>
                <w:rFonts w:ascii="PMingLiU" w:eastAsia="PMingLiU" w:hint="eastAsia"/>
                <w:sz w:val="14"/>
              </w:rPr>
              <w:t>双抗</w:t>
            </w:r>
          </w:p>
        </w:tc>
        <w:tc>
          <w:tcPr>
            <w:tcW w:w="793" w:type="dxa"/>
            <w:tcBorders>
              <w:left w:val="nil"/>
              <w:bottom w:val="single" w:sz="12" w:space="0" w:color="000000"/>
              <w:right w:val="nil"/>
            </w:tcBorders>
          </w:tcPr>
          <w:p>
            <w:pPr>
              <w:pStyle w:val="TableParagraph"/>
              <w:spacing w:line="158" w:lineRule="exact"/>
              <w:ind w:left="140"/>
              <w:rPr>
                <w:sz w:val="14"/>
              </w:rPr>
            </w:pPr>
            <w:r>
              <w:rPr>
                <w:sz w:val="14"/>
              </w:rPr>
              <w:t>GC/GEJ</w:t>
            </w:r>
          </w:p>
          <w:p>
            <w:pPr>
              <w:pStyle w:val="TableParagraph"/>
              <w:spacing w:line="160" w:lineRule="exact"/>
              <w:ind w:left="140"/>
              <w:rPr>
                <w:sz w:val="14"/>
              </w:rPr>
            </w:pPr>
            <w:r>
              <w:rPr>
                <w:sz w:val="14"/>
              </w:rPr>
              <w:t>, PC,</w:t>
            </w:r>
          </w:p>
          <w:p>
            <w:pPr>
              <w:pStyle w:val="TableParagraph"/>
              <w:spacing w:line="144" w:lineRule="exact" w:before="2"/>
              <w:ind w:left="140"/>
              <w:rPr>
                <w:sz w:val="14"/>
              </w:rPr>
            </w:pPr>
            <w:r>
              <w:rPr>
                <w:sz w:val="14"/>
              </w:rPr>
              <w:t>EC</w:t>
            </w:r>
          </w:p>
        </w:tc>
      </w:tr>
    </w:tbl>
    <w:p>
      <w:pPr>
        <w:spacing w:before="17"/>
        <w:ind w:left="210" w:right="0" w:firstLine="0"/>
        <w:jc w:val="left"/>
        <w:rPr>
          <w:sz w:val="16"/>
        </w:rPr>
      </w:pPr>
      <w:r>
        <w:rPr>
          <w:sz w:val="16"/>
        </w:rPr>
        <w:t>资料来源</w:t>
      </w:r>
      <w:r>
        <w:rPr>
          <w:rFonts w:ascii="Arial" w:eastAsia="Arial"/>
          <w:sz w:val="16"/>
        </w:rPr>
        <w:t>: </w:t>
      </w:r>
      <w:r>
        <w:rPr>
          <w:sz w:val="16"/>
        </w:rPr>
        <w:t>医药魔方</w:t>
      </w:r>
      <w:r>
        <w:rPr>
          <w:rFonts w:ascii="Arial" w:eastAsia="Arial"/>
          <w:sz w:val="16"/>
        </w:rPr>
        <w:t>, </w:t>
      </w:r>
      <w:r>
        <w:rPr>
          <w:sz w:val="16"/>
        </w:rPr>
        <w:t>招银国际证券</w:t>
      </w:r>
    </w:p>
    <w:p>
      <w:pPr>
        <w:pStyle w:val="BodyText"/>
        <w:spacing w:before="6"/>
        <w:ind w:left="0"/>
        <w:rPr>
          <w:sz w:val="21"/>
        </w:rPr>
      </w:pPr>
    </w:p>
    <w:p>
      <w:pPr>
        <w:pStyle w:val="BodyText"/>
        <w:spacing w:line="285" w:lineRule="auto" w:before="99"/>
        <w:ind w:right="2615"/>
      </w:pPr>
      <w:r>
        <w:rPr>
          <w:spacing w:val="17"/>
        </w:rPr>
        <w:t>由于表达更高的患者倾向于获得更好的疗效， 临床试验阶段需要对入组患者进行</w:t>
      </w:r>
      <w:r>
        <w:rPr>
          <w:rFonts w:ascii="Arial" w:eastAsia="Arial"/>
          <w:spacing w:val="17"/>
        </w:rPr>
        <w:t>Claudin18.2</w:t>
      </w:r>
      <w:r>
        <w:rPr>
          <w:rFonts w:ascii="Arial" w:eastAsia="Arial"/>
          <w:spacing w:val="53"/>
        </w:rPr>
        <w:t> </w:t>
      </w:r>
      <w:r>
        <w:rPr>
          <w:spacing w:val="-6"/>
        </w:rPr>
        <w:t>表达水平检测，因此除药物本身以外，检测试剂盒的开发也具备一定的必要性。</w:t>
      </w:r>
      <w:r>
        <w:rPr>
          <w:rFonts w:ascii="Arial" w:eastAsia="Arial"/>
        </w:rPr>
        <w:t>Claudin18.2</w:t>
      </w:r>
      <w:r>
        <w:rPr>
          <w:rFonts w:ascii="Arial" w:eastAsia="Arial"/>
          <w:spacing w:val="30"/>
        </w:rPr>
        <w:t> </w:t>
      </w:r>
      <w:r>
        <w:rPr>
          <w:spacing w:val="-2"/>
        </w:rPr>
        <w:t>的检测方法主要是免疫组化检测</w:t>
      </w:r>
      <w:r>
        <w:rPr>
          <w:rFonts w:ascii="Arial" w:eastAsia="Arial"/>
        </w:rPr>
        <w:t>(IHC)</w:t>
      </w:r>
      <w:r>
        <w:rPr>
          <w:spacing w:val="3"/>
        </w:rPr>
        <w:t>，表达水平可用</w:t>
      </w:r>
      <w:r>
        <w:rPr>
          <w:rFonts w:ascii="Arial" w:eastAsia="Arial"/>
          <w:spacing w:val="-3"/>
        </w:rPr>
        <w:t>1+</w:t>
      </w:r>
      <w:r>
        <w:rPr/>
        <w:t>、</w:t>
      </w:r>
      <w:r>
        <w:rPr>
          <w:rFonts w:ascii="Arial" w:eastAsia="Arial"/>
          <w:spacing w:val="-3"/>
        </w:rPr>
        <w:t>2+</w:t>
      </w:r>
      <w:r>
        <w:rPr/>
        <w:t>、</w:t>
      </w:r>
      <w:r>
        <w:rPr>
          <w:rFonts w:ascii="Arial" w:eastAsia="Arial"/>
          <w:spacing w:val="-3"/>
        </w:rPr>
        <w:t>3+</w:t>
      </w:r>
      <w:r>
        <w:rPr>
          <w:spacing w:val="-2"/>
        </w:rPr>
        <w:t>及百分比表示</w:t>
      </w:r>
      <w:r>
        <w:rPr>
          <w:spacing w:val="-1"/>
        </w:rPr>
        <w:t>。现阶段 </w:t>
      </w:r>
      <w:r>
        <w:rPr>
          <w:rFonts w:ascii="Arial" w:eastAsia="Arial"/>
        </w:rPr>
        <w:t>Claudin18.2</w:t>
      </w:r>
      <w:r>
        <w:rPr>
          <w:rFonts w:ascii="Arial" w:eastAsia="Arial"/>
          <w:spacing w:val="-4"/>
        </w:rPr>
        <w:t> </w:t>
      </w:r>
      <w:r>
        <w:rPr>
          <w:spacing w:val="-4"/>
        </w:rPr>
        <w:t>的检测并没有金标准，</w:t>
      </w:r>
      <w:r>
        <w:rPr>
          <w:rFonts w:ascii="Arial" w:eastAsia="Arial"/>
        </w:rPr>
        <w:t>Ganymed</w:t>
      </w:r>
      <w:r>
        <w:rPr>
          <w:rFonts w:ascii="Arial" w:eastAsia="Arial"/>
          <w:spacing w:val="-3"/>
        </w:rPr>
        <w:t> </w:t>
      </w:r>
      <w:r>
        <w:rPr>
          <w:spacing w:val="-1"/>
        </w:rPr>
        <w:t>已经开发了 </w:t>
      </w:r>
      <w:r>
        <w:rPr>
          <w:rFonts w:ascii="Arial" w:eastAsia="Arial"/>
        </w:rPr>
        <w:t>CLAUDETECT</w:t>
      </w:r>
      <w:r>
        <w:rPr>
          <w:rFonts w:ascii="Arial" w:eastAsia="Arial"/>
          <w:spacing w:val="35"/>
        </w:rPr>
        <w:t> </w:t>
      </w:r>
      <w:r>
        <w:rPr>
          <w:rFonts w:ascii="Arial" w:eastAsia="Arial"/>
        </w:rPr>
        <w:t>18.2 </w:t>
      </w:r>
      <w:r>
        <w:rPr/>
        <w:t>伴随诊断试剂盒，并于 </w:t>
      </w:r>
      <w:r>
        <w:rPr>
          <w:rFonts w:ascii="Arial" w:eastAsia="Arial"/>
        </w:rPr>
        <w:t>2013</w:t>
      </w:r>
      <w:r>
        <w:rPr>
          <w:rFonts w:ascii="Arial" w:eastAsia="Arial"/>
          <w:spacing w:val="13"/>
        </w:rPr>
        <w:t> </w:t>
      </w:r>
      <w:r>
        <w:rPr>
          <w:spacing w:val="7"/>
        </w:rPr>
        <w:t>年获得 </w:t>
      </w:r>
      <w:r>
        <w:rPr>
          <w:rFonts w:ascii="Arial" w:eastAsia="Arial"/>
        </w:rPr>
        <w:t>CE</w:t>
      </w:r>
      <w:r>
        <w:rPr>
          <w:rFonts w:ascii="Arial" w:eastAsia="Arial"/>
          <w:spacing w:val="14"/>
        </w:rPr>
        <w:t> </w:t>
      </w:r>
      <w:r>
        <w:rPr>
          <w:spacing w:val="-4"/>
        </w:rPr>
        <w:t>注册上市。科济药业也已经开发了与其 </w:t>
      </w:r>
      <w:r>
        <w:rPr>
          <w:rFonts w:ascii="Arial" w:eastAsia="Arial"/>
        </w:rPr>
        <w:t>CT041</w:t>
      </w:r>
      <w:r>
        <w:rPr>
          <w:rFonts w:ascii="Arial" w:eastAsia="Arial"/>
          <w:spacing w:val="13"/>
        </w:rPr>
        <w:t> </w:t>
      </w:r>
      <w:r>
        <w:rPr/>
        <w:t>配套的</w:t>
      </w:r>
      <w:r>
        <w:rPr>
          <w:spacing w:val="-2"/>
        </w:rPr>
        <w:t>试剂盒。</w:t>
      </w:r>
    </w:p>
    <w:p>
      <w:pPr>
        <w:spacing w:line="280" w:lineRule="auto" w:before="77"/>
        <w:ind w:left="210" w:right="2812" w:firstLine="0"/>
        <w:jc w:val="both"/>
        <w:rPr>
          <w:sz w:val="20"/>
        </w:rPr>
      </w:pPr>
      <w:r>
        <w:rPr>
          <w:rFonts w:ascii="Arial" w:eastAsia="Arial"/>
          <w:b/>
          <w:sz w:val="20"/>
        </w:rPr>
        <w:t>Zolbetuximab </w:t>
      </w:r>
      <w:r>
        <w:rPr>
          <w:rFonts w:ascii="Microsoft JhengHei UI" w:eastAsia="Microsoft JhengHei UI" w:hint="eastAsia"/>
          <w:b/>
          <w:sz w:val="20"/>
        </w:rPr>
        <w:t>（</w:t>
      </w:r>
      <w:r>
        <w:rPr>
          <w:rFonts w:ascii="Arial" w:eastAsia="Arial"/>
          <w:b/>
          <w:sz w:val="20"/>
        </w:rPr>
        <w:t>Claudin 18.2 </w:t>
      </w:r>
      <w:r>
        <w:rPr>
          <w:rFonts w:ascii="Microsoft JhengHei UI" w:eastAsia="Microsoft JhengHei UI" w:hint="eastAsia"/>
          <w:b/>
          <w:sz w:val="20"/>
        </w:rPr>
        <w:t>单抗）</w:t>
      </w:r>
      <w:r>
        <w:rPr>
          <w:rFonts w:ascii="Arial" w:eastAsia="Arial"/>
          <w:b/>
          <w:sz w:val="20"/>
        </w:rPr>
        <w:t>+ CLAUDETECT 18.2 </w:t>
      </w:r>
      <w:r>
        <w:rPr>
          <w:rFonts w:ascii="Microsoft JhengHei UI" w:eastAsia="Microsoft JhengHei UI" w:hint="eastAsia"/>
          <w:b/>
          <w:sz w:val="20"/>
        </w:rPr>
        <w:t>检测试剂盒：</w:t>
      </w:r>
      <w:r>
        <w:rPr>
          <w:rFonts w:ascii="Arial" w:eastAsia="Arial"/>
          <w:sz w:val="20"/>
        </w:rPr>
        <w:t>Zolbetuximab </w:t>
      </w:r>
      <w:r>
        <w:rPr>
          <w:sz w:val="20"/>
        </w:rPr>
        <w:t>是全球第一款针对 </w:t>
      </w:r>
      <w:r>
        <w:rPr>
          <w:rFonts w:ascii="Arial" w:eastAsia="Arial"/>
          <w:sz w:val="20"/>
        </w:rPr>
        <w:t>Claudin18.2 </w:t>
      </w:r>
      <w:r>
        <w:rPr>
          <w:sz w:val="20"/>
        </w:rPr>
        <w:t>开发的药物，于 </w:t>
      </w:r>
      <w:r>
        <w:rPr>
          <w:rFonts w:ascii="Arial" w:eastAsia="Arial"/>
          <w:sz w:val="20"/>
        </w:rPr>
        <w:t>2009 </w:t>
      </w:r>
      <w:r>
        <w:rPr>
          <w:sz w:val="20"/>
        </w:rPr>
        <w:t>年进入临床阶段，其原研企业为</w:t>
      </w:r>
      <w:r>
        <w:rPr>
          <w:rFonts w:ascii="Arial" w:eastAsia="Arial"/>
          <w:sz w:val="20"/>
        </w:rPr>
        <w:t>Ganymed</w:t>
      </w:r>
      <w:r>
        <w:rPr>
          <w:sz w:val="20"/>
        </w:rPr>
        <w:t>。目前，</w:t>
      </w:r>
      <w:r>
        <w:rPr>
          <w:rFonts w:ascii="Arial" w:eastAsia="Arial"/>
          <w:sz w:val="20"/>
        </w:rPr>
        <w:t>Zolbetuximab </w:t>
      </w:r>
      <w:r>
        <w:rPr>
          <w:sz w:val="20"/>
        </w:rPr>
        <w:t>已经在包括胃癌、卵巢癌、胰腺癌等适应症获得孤儿药资格。</w:t>
      </w:r>
      <w:r>
        <w:rPr>
          <w:rFonts w:ascii="Arial" w:eastAsia="Arial"/>
          <w:sz w:val="20"/>
        </w:rPr>
        <w:t>2016 </w:t>
      </w:r>
      <w:r>
        <w:rPr>
          <w:sz w:val="20"/>
        </w:rPr>
        <w:t>年，</w:t>
      </w:r>
      <w:r>
        <w:rPr>
          <w:rFonts w:ascii="Arial" w:eastAsia="Arial"/>
          <w:sz w:val="20"/>
        </w:rPr>
        <w:t>Astella </w:t>
      </w:r>
      <w:r>
        <w:rPr>
          <w:sz w:val="20"/>
        </w:rPr>
        <w:t>以 </w:t>
      </w:r>
      <w:r>
        <w:rPr>
          <w:rFonts w:ascii="Arial" w:eastAsia="Arial"/>
          <w:sz w:val="20"/>
        </w:rPr>
        <w:t>14 </w:t>
      </w:r>
      <w:r>
        <w:rPr>
          <w:sz w:val="20"/>
        </w:rPr>
        <w:t>亿美元收购 </w:t>
      </w:r>
      <w:r>
        <w:rPr>
          <w:rFonts w:ascii="Arial" w:eastAsia="Arial"/>
          <w:sz w:val="20"/>
        </w:rPr>
        <w:t>Ganymed</w:t>
      </w:r>
      <w:r>
        <w:rPr>
          <w:sz w:val="20"/>
        </w:rPr>
        <w:t>。目前该药物已进入 </w:t>
      </w:r>
      <w:r>
        <w:rPr>
          <w:rFonts w:ascii="Arial" w:eastAsia="Arial"/>
          <w:sz w:val="20"/>
        </w:rPr>
        <w:t>III </w:t>
      </w:r>
      <w:r>
        <w:rPr>
          <w:sz w:val="20"/>
        </w:rPr>
        <w:t>期临床阶段，适应症为一线</w:t>
      </w:r>
      <w:r>
        <w:rPr>
          <w:rFonts w:ascii="Arial" w:eastAsia="Arial"/>
          <w:sz w:val="20"/>
        </w:rPr>
        <w:t>GC/GEJ</w:t>
      </w:r>
      <w:r>
        <w:rPr>
          <w:sz w:val="20"/>
        </w:rPr>
        <w:t>，</w:t>
      </w:r>
      <w:r>
        <w:rPr>
          <w:rFonts w:ascii="Arial" w:eastAsia="Arial"/>
          <w:sz w:val="20"/>
        </w:rPr>
        <w:t>PC </w:t>
      </w:r>
      <w:r>
        <w:rPr>
          <w:sz w:val="20"/>
        </w:rPr>
        <w:t>适应症也在</w:t>
      </w:r>
      <w:r>
        <w:rPr>
          <w:rFonts w:ascii="Arial" w:eastAsia="Arial"/>
          <w:sz w:val="20"/>
        </w:rPr>
        <w:t>II </w:t>
      </w:r>
      <w:r>
        <w:rPr>
          <w:sz w:val="20"/>
        </w:rPr>
        <w:t>期临床阶段。</w:t>
      </w:r>
    </w:p>
    <w:p>
      <w:pPr>
        <w:pStyle w:val="BodyText"/>
        <w:spacing w:line="288" w:lineRule="auto" w:before="124"/>
        <w:ind w:right="2809"/>
        <w:jc w:val="both"/>
        <w:rPr>
          <w:rFonts w:ascii="Arial" w:hAnsi="Arial" w:eastAsia="Arial"/>
        </w:rPr>
      </w:pPr>
      <w:r>
        <w:rPr>
          <w:rFonts w:ascii="Arial" w:hAnsi="Arial" w:eastAsia="Arial"/>
        </w:rPr>
        <w:t>IIb </w:t>
      </w:r>
      <w:r>
        <w:rPr/>
        <w:t>期 </w:t>
      </w:r>
      <w:r>
        <w:rPr>
          <w:rFonts w:ascii="Arial" w:hAnsi="Arial" w:eastAsia="Arial"/>
        </w:rPr>
        <w:t>FAST </w:t>
      </w:r>
      <w:r>
        <w:rPr/>
        <w:t>研究主要评估了 </w:t>
      </w:r>
      <w:r>
        <w:rPr>
          <w:rFonts w:ascii="Arial" w:hAnsi="Arial" w:eastAsia="Arial"/>
        </w:rPr>
        <w:t>Zolbetuximab </w:t>
      </w:r>
      <w:r>
        <w:rPr/>
        <w:t>联合化疗 </w:t>
      </w:r>
      <w:r>
        <w:rPr>
          <w:rFonts w:ascii="Arial" w:hAnsi="Arial" w:eastAsia="Arial"/>
        </w:rPr>
        <w:t>EOX (</w:t>
      </w:r>
      <w:r>
        <w:rPr/>
        <w:t>表柔比星</w:t>
      </w:r>
      <w:r>
        <w:rPr>
          <w:rFonts w:ascii="Arial" w:hAnsi="Arial" w:eastAsia="Arial"/>
        </w:rPr>
        <w:t>+</w:t>
      </w:r>
      <w:r>
        <w:rPr/>
        <w:t>奥沙利铂</w:t>
      </w:r>
      <w:r>
        <w:rPr>
          <w:rFonts w:ascii="Arial" w:hAnsi="Arial" w:eastAsia="Arial"/>
        </w:rPr>
        <w:t>+</w:t>
      </w:r>
      <w:r>
        <w:rPr/>
        <w:t>卡培他滨</w:t>
      </w:r>
      <w:r>
        <w:rPr>
          <w:rFonts w:ascii="Arial" w:hAnsi="Arial" w:eastAsia="Arial"/>
        </w:rPr>
        <w:t>) </w:t>
      </w:r>
      <w:r>
        <w:rPr/>
        <w:t>一线治疗</w:t>
      </w:r>
      <w:r>
        <w:rPr>
          <w:rFonts w:ascii="Arial" w:hAnsi="Arial" w:eastAsia="Arial"/>
        </w:rPr>
        <w:t>GC/GEJ </w:t>
      </w:r>
      <w:r>
        <w:rPr/>
        <w:t>的有效性，数据显示联合</w:t>
      </w:r>
      <w:r>
        <w:rPr>
          <w:rFonts w:ascii="Arial" w:hAnsi="Arial" w:eastAsia="Arial"/>
        </w:rPr>
        <w:t>Zolbetuximab </w:t>
      </w:r>
      <w:r>
        <w:rPr/>
        <w:t>与单纯</w:t>
      </w:r>
      <w:r>
        <w:rPr>
          <w:rFonts w:ascii="Arial" w:hAnsi="Arial" w:eastAsia="Arial"/>
        </w:rPr>
        <w:t>EOX </w:t>
      </w:r>
      <w:r>
        <w:rPr/>
        <w:t>化疗的</w:t>
      </w:r>
      <w:r>
        <w:rPr>
          <w:rFonts w:ascii="Arial" w:hAnsi="Arial" w:eastAsia="Arial"/>
        </w:rPr>
        <w:t>ORR </w:t>
      </w:r>
      <w:r>
        <w:rPr/>
        <w:t>分别为</w:t>
      </w:r>
      <w:r>
        <w:rPr>
          <w:rFonts w:ascii="Arial" w:hAnsi="Arial" w:eastAsia="Arial"/>
        </w:rPr>
        <w:t>39%</w:t>
      </w:r>
      <w:r>
        <w:rPr/>
        <w:t>和 </w:t>
      </w:r>
      <w:r>
        <w:rPr>
          <w:rFonts w:ascii="Arial" w:hAnsi="Arial" w:eastAsia="Arial"/>
        </w:rPr>
        <w:t>25%</w:t>
      </w:r>
      <w:r>
        <w:rPr/>
        <w:t>，联合 </w:t>
      </w:r>
      <w:r>
        <w:rPr>
          <w:rFonts w:ascii="Arial" w:hAnsi="Arial" w:eastAsia="Arial"/>
        </w:rPr>
        <w:t>Claudin18.2 </w:t>
      </w:r>
      <w:r>
        <w:rPr/>
        <w:t>单抗可延长患者</w:t>
      </w:r>
      <w:r>
        <w:rPr>
          <w:rFonts w:ascii="Arial" w:hAnsi="Arial" w:eastAsia="Arial"/>
        </w:rPr>
        <w:t>PFS (7.5 </w:t>
      </w:r>
      <w:r>
        <w:rPr/>
        <w:t>个月</w:t>
      </w:r>
      <w:r>
        <w:rPr>
          <w:rFonts w:ascii="Arial" w:hAnsi="Arial" w:eastAsia="Arial"/>
        </w:rPr>
        <w:t>vs 5.3 </w:t>
      </w:r>
      <w:r>
        <w:rPr/>
        <w:t>个月</w:t>
      </w:r>
      <w:r>
        <w:rPr>
          <w:rFonts w:ascii="Arial" w:hAnsi="Arial" w:eastAsia="Arial"/>
        </w:rPr>
        <w:t>) </w:t>
      </w:r>
      <w:r>
        <w:rPr/>
        <w:t>和</w:t>
      </w:r>
      <w:r>
        <w:rPr>
          <w:rFonts w:ascii="Arial" w:hAnsi="Arial" w:eastAsia="Arial"/>
        </w:rPr>
        <w:t>OS (13.0 </w:t>
      </w:r>
      <w:r>
        <w:rPr/>
        <w:t>个月 </w:t>
      </w:r>
      <w:r>
        <w:rPr>
          <w:rFonts w:ascii="Arial" w:hAnsi="Arial" w:eastAsia="Arial"/>
        </w:rPr>
        <w:t>vs 8.3 </w:t>
      </w:r>
      <w:r>
        <w:rPr/>
        <w:t>个月</w:t>
      </w:r>
      <w:r>
        <w:rPr>
          <w:rFonts w:ascii="Arial" w:hAnsi="Arial" w:eastAsia="Arial"/>
        </w:rPr>
        <w:t>)</w:t>
      </w:r>
      <w:r>
        <w:rPr/>
        <w:t>。亚组分析显示 </w:t>
      </w:r>
      <w:r>
        <w:rPr>
          <w:rFonts w:ascii="Arial" w:hAnsi="Arial" w:eastAsia="Arial"/>
        </w:rPr>
        <w:t>Claudin 18.2 </w:t>
      </w:r>
      <w:r>
        <w:rPr/>
        <w:t>的表达水平对疗效存在一定的影响，在</w:t>
      </w:r>
      <w:r>
        <w:rPr>
          <w:rFonts w:ascii="Arial" w:hAnsi="Arial" w:eastAsia="Arial"/>
        </w:rPr>
        <w:t>Claudin18.2 </w:t>
      </w:r>
      <w:r>
        <w:rPr/>
        <w:t>表达比例</w:t>
      </w:r>
      <w:r>
        <w:rPr>
          <w:rFonts w:ascii="Arial" w:hAnsi="Arial" w:eastAsia="Arial"/>
        </w:rPr>
        <w:t>≥70%</w:t>
      </w:r>
      <w:r>
        <w:rPr/>
        <w:t>的患者中，联合 </w:t>
      </w:r>
      <w:r>
        <w:rPr>
          <w:rFonts w:ascii="Arial" w:hAnsi="Arial" w:eastAsia="Arial"/>
        </w:rPr>
        <w:t>Zolbetuximab </w:t>
      </w:r>
      <w:r>
        <w:rPr/>
        <w:t>对比单纯 </w:t>
      </w:r>
      <w:r>
        <w:rPr>
          <w:rFonts w:ascii="Arial" w:hAnsi="Arial" w:eastAsia="Arial"/>
        </w:rPr>
        <w:t>EOX </w:t>
      </w:r>
      <w:r>
        <w:rPr/>
        <w:t>化疗可大幅延长患者 </w:t>
      </w:r>
      <w:r>
        <w:rPr>
          <w:rFonts w:ascii="Arial" w:hAnsi="Arial" w:eastAsia="Arial"/>
        </w:rPr>
        <w:t>PFS (9.0 </w:t>
      </w:r>
      <w:r>
        <w:rPr/>
        <w:t>个月</w:t>
      </w:r>
      <w:r>
        <w:rPr>
          <w:rFonts w:ascii="Arial" w:hAnsi="Arial" w:eastAsia="Arial"/>
        </w:rPr>
        <w:t>vs 5.7 </w:t>
      </w:r>
      <w:r>
        <w:rPr/>
        <w:t>个月</w:t>
      </w:r>
      <w:r>
        <w:rPr>
          <w:rFonts w:ascii="Arial" w:hAnsi="Arial" w:eastAsia="Arial"/>
        </w:rPr>
        <w:t>) </w:t>
      </w:r>
      <w:r>
        <w:rPr/>
        <w:t>和</w:t>
      </w:r>
      <w:r>
        <w:rPr>
          <w:rFonts w:ascii="Arial" w:hAnsi="Arial" w:eastAsia="Arial"/>
        </w:rPr>
        <w:t>OS (16.5 </w:t>
      </w:r>
      <w:r>
        <w:rPr/>
        <w:t>个月</w:t>
      </w:r>
      <w:r>
        <w:rPr>
          <w:rFonts w:ascii="Arial" w:hAnsi="Arial" w:eastAsia="Arial"/>
        </w:rPr>
        <w:t>vs 8.9 </w:t>
      </w:r>
      <w:r>
        <w:rPr/>
        <w:t>个月</w:t>
      </w:r>
      <w:r>
        <w:rPr>
          <w:rFonts w:ascii="Arial" w:hAnsi="Arial" w:eastAsia="Arial"/>
        </w:rPr>
        <w:t>)</w:t>
      </w:r>
      <w:r>
        <w:rPr/>
        <w:t>；在 </w:t>
      </w:r>
      <w:r>
        <w:rPr>
          <w:rFonts w:ascii="Arial" w:hAnsi="Arial" w:eastAsia="Arial"/>
        </w:rPr>
        <w:t>40%≤Claudin18.2 </w:t>
      </w:r>
      <w:r>
        <w:rPr/>
        <w:t>表达比例</w:t>
      </w:r>
      <w:r>
        <w:rPr>
          <w:rFonts w:ascii="Arial" w:hAnsi="Arial" w:eastAsia="Arial"/>
        </w:rPr>
        <w:t>≤69%</w:t>
      </w:r>
      <w:r>
        <w:rPr/>
        <w:t>的患者中，联合 </w:t>
      </w:r>
      <w:r>
        <w:rPr>
          <w:rFonts w:ascii="Arial" w:hAnsi="Arial" w:eastAsia="Arial"/>
        </w:rPr>
        <w:t>Zolbetuximab </w:t>
      </w:r>
      <w:r>
        <w:rPr/>
        <w:t>对比单纯 </w:t>
      </w:r>
      <w:r>
        <w:rPr>
          <w:rFonts w:ascii="Arial" w:hAnsi="Arial" w:eastAsia="Arial"/>
        </w:rPr>
        <w:t>EOX </w:t>
      </w:r>
      <w:r>
        <w:rPr/>
        <w:t>化疗可延长患者 </w:t>
      </w:r>
      <w:r>
        <w:rPr>
          <w:rFonts w:ascii="Arial" w:hAnsi="Arial" w:eastAsia="Arial"/>
        </w:rPr>
        <w:t>PFS (4.3 </w:t>
      </w:r>
      <w:r>
        <w:rPr/>
        <w:t>个月</w:t>
      </w:r>
      <w:r>
        <w:rPr>
          <w:rFonts w:ascii="Arial" w:hAnsi="Arial" w:eastAsia="Arial"/>
        </w:rPr>
        <w:t>vs</w:t>
      </w:r>
    </w:p>
    <w:p>
      <w:pPr>
        <w:pStyle w:val="BodyText"/>
        <w:spacing w:line="273" w:lineRule="exact"/>
        <w:jc w:val="both"/>
      </w:pPr>
      <w:r>
        <w:rPr>
          <w:rFonts w:ascii="Arial" w:eastAsia="Arial"/>
        </w:rPr>
        <w:t>4.1 </w:t>
      </w:r>
      <w:r>
        <w:rPr/>
        <w:t>个月</w:t>
      </w:r>
      <w:r>
        <w:rPr>
          <w:rFonts w:ascii="Arial" w:eastAsia="Arial"/>
        </w:rPr>
        <w:t>) </w:t>
      </w:r>
      <w:r>
        <w:rPr/>
        <w:t>和</w:t>
      </w:r>
      <w:r>
        <w:rPr>
          <w:rFonts w:ascii="Arial" w:eastAsia="Arial"/>
        </w:rPr>
        <w:t>OS (8.3 </w:t>
      </w:r>
      <w:r>
        <w:rPr/>
        <w:t>个月</w:t>
      </w:r>
      <w:r>
        <w:rPr>
          <w:rFonts w:ascii="Arial" w:eastAsia="Arial"/>
        </w:rPr>
        <w:t>vs 7.4 </w:t>
      </w:r>
      <w:r>
        <w:rPr/>
        <w:t>个月</w:t>
      </w:r>
      <w:r>
        <w:rPr>
          <w:rFonts w:ascii="Arial" w:eastAsia="Arial"/>
        </w:rPr>
        <w:t>)</w:t>
      </w:r>
      <w:r>
        <w:rPr/>
        <w:t>。</w:t>
      </w:r>
    </w:p>
    <w:p>
      <w:pPr>
        <w:spacing w:after="0" w:line="273" w:lineRule="exact"/>
        <w:jc w:val="both"/>
        <w:sectPr>
          <w:pgSz w:w="11910" w:h="16840"/>
          <w:pgMar w:header="682" w:footer="358" w:top="1380" w:bottom="540" w:left="640" w:right="300"/>
        </w:sectPr>
      </w:pPr>
    </w:p>
    <w:p>
      <w:pPr>
        <w:pStyle w:val="BodyText"/>
        <w:spacing w:before="3"/>
        <w:ind w:left="0"/>
        <w:rPr>
          <w:sz w:val="12"/>
        </w:rPr>
      </w:pPr>
    </w:p>
    <w:p>
      <w:pPr>
        <w:pStyle w:val="BodyText"/>
        <w:spacing w:line="283" w:lineRule="auto" w:before="45"/>
        <w:ind w:right="2549"/>
      </w:pPr>
      <w:r>
        <w:rPr>
          <w:rFonts w:ascii="Arial" w:eastAsia="Arial"/>
          <w:b/>
        </w:rPr>
        <w:t>TST001 </w:t>
      </w:r>
      <w:r>
        <w:rPr>
          <w:rFonts w:ascii="Microsoft JhengHei UI" w:eastAsia="Microsoft JhengHei UI" w:hint="eastAsia"/>
          <w:b/>
          <w:spacing w:val="5"/>
        </w:rPr>
        <w:t>是中国进展最快的</w:t>
      </w:r>
      <w:r>
        <w:rPr>
          <w:rFonts w:ascii="Arial" w:eastAsia="Arial"/>
          <w:b/>
        </w:rPr>
        <w:t>Claudin 18.2 </w:t>
      </w:r>
      <w:r>
        <w:rPr>
          <w:rFonts w:ascii="Microsoft JhengHei UI" w:eastAsia="Microsoft JhengHei UI" w:hint="eastAsia"/>
          <w:b/>
        </w:rPr>
        <w:t>单抗：</w:t>
      </w:r>
      <w:r>
        <w:rPr>
          <w:spacing w:val="7"/>
        </w:rPr>
        <w:t>创胜集团的</w:t>
      </w:r>
      <w:r>
        <w:rPr>
          <w:rFonts w:ascii="Arial" w:eastAsia="Arial"/>
        </w:rPr>
        <w:t>TST001 </w:t>
      </w:r>
      <w:r>
        <w:rPr>
          <w:spacing w:val="24"/>
        </w:rPr>
        <w:t>是继</w:t>
      </w:r>
      <w:r>
        <w:rPr>
          <w:rFonts w:ascii="Arial" w:eastAsia="Arial"/>
        </w:rPr>
        <w:t>Zolbetuximab </w:t>
      </w:r>
      <w:r>
        <w:rPr/>
        <w:t>之后全球研发进度第二的 </w:t>
      </w:r>
      <w:r>
        <w:rPr>
          <w:rFonts w:ascii="Arial" w:eastAsia="Arial"/>
        </w:rPr>
        <w:t>Claudin 18.2 </w:t>
      </w:r>
      <w:r>
        <w:rPr>
          <w:spacing w:val="-2"/>
        </w:rPr>
        <w:t>单抗，也是中国开发进度最快的 </w:t>
      </w:r>
      <w:r>
        <w:rPr>
          <w:rFonts w:ascii="Arial" w:eastAsia="Arial"/>
        </w:rPr>
        <w:t>Claudin18.2 </w:t>
      </w:r>
      <w:r>
        <w:rPr>
          <w:spacing w:val="-2"/>
        </w:rPr>
        <w:t>单抗。</w:t>
      </w:r>
      <w:r>
        <w:rPr>
          <w:rFonts w:ascii="Arial" w:eastAsia="Arial"/>
          <w:spacing w:val="-2"/>
        </w:rPr>
        <w:t>TST001 </w:t>
      </w:r>
      <w:r>
        <w:rPr>
          <w:spacing w:val="-4"/>
        </w:rPr>
        <w:t>具备高亲和力、增强的 </w:t>
      </w:r>
      <w:r>
        <w:rPr>
          <w:rFonts w:ascii="Arial" w:eastAsia="Arial"/>
        </w:rPr>
        <w:t>ADCC </w:t>
      </w:r>
      <w:r>
        <w:rPr>
          <w:spacing w:val="-3"/>
        </w:rPr>
        <w:t>和 </w:t>
      </w:r>
      <w:r>
        <w:rPr>
          <w:rFonts w:ascii="Arial" w:eastAsia="Arial"/>
        </w:rPr>
        <w:t>CDC </w:t>
      </w:r>
      <w:r>
        <w:rPr/>
        <w:t>活性。</w:t>
      </w:r>
      <w:r>
        <w:rPr>
          <w:rFonts w:ascii="Arial" w:eastAsia="Arial"/>
        </w:rPr>
        <w:t>Zolbetuximab </w:t>
      </w:r>
      <w:r>
        <w:rPr>
          <w:spacing w:val="-3"/>
        </w:rPr>
        <w:t>在临床入组中设定了较 </w:t>
      </w:r>
      <w:r>
        <w:rPr/>
        <w:t>高的 </w:t>
      </w:r>
      <w:r>
        <w:rPr>
          <w:rFonts w:ascii="Arial" w:eastAsia="Arial"/>
        </w:rPr>
        <w:t>Claudin18.2 </w:t>
      </w:r>
      <w:r>
        <w:rPr>
          <w:spacing w:val="-2"/>
        </w:rPr>
        <w:t>表达界限值，而 </w:t>
      </w:r>
      <w:r>
        <w:rPr>
          <w:rFonts w:ascii="Arial" w:eastAsia="Arial"/>
        </w:rPr>
        <w:t>TST001 </w:t>
      </w:r>
      <w:r>
        <w:rPr>
          <w:spacing w:val="8"/>
        </w:rPr>
        <w:t>对中高表达</w:t>
      </w:r>
      <w:r>
        <w:rPr>
          <w:rFonts w:ascii="Arial" w:eastAsia="Arial"/>
        </w:rPr>
        <w:t>Claudin18.2 </w:t>
      </w:r>
      <w:r>
        <w:rPr>
          <w:spacing w:val="-4"/>
        </w:rPr>
        <w:t>的胃癌细胞也同样有效。目前，</w:t>
      </w:r>
      <w:r>
        <w:rPr>
          <w:rFonts w:ascii="Arial" w:eastAsia="Arial"/>
          <w:spacing w:val="-4"/>
        </w:rPr>
        <w:t>TST001 </w:t>
      </w:r>
      <w:r>
        <w:rPr>
          <w:spacing w:val="-4"/>
        </w:rPr>
        <w:t>正在中国和美国开展临床试验，并已获得 </w:t>
      </w:r>
      <w:r>
        <w:rPr>
          <w:rFonts w:ascii="Arial" w:eastAsia="Arial"/>
        </w:rPr>
        <w:t>FDA </w:t>
      </w:r>
      <w:r>
        <w:rPr>
          <w:spacing w:val="2"/>
        </w:rPr>
        <w:t>授予治疗 </w:t>
      </w:r>
      <w:r>
        <w:rPr>
          <w:rFonts w:ascii="Arial" w:eastAsia="Arial"/>
        </w:rPr>
        <w:t>GC/GEJ </w:t>
      </w:r>
      <w:r>
        <w:rPr>
          <w:spacing w:val="-2"/>
        </w:rPr>
        <w:t>的孤儿药资格。</w:t>
      </w:r>
    </w:p>
    <w:p>
      <w:pPr>
        <w:pStyle w:val="BodyText"/>
        <w:spacing w:line="288" w:lineRule="auto" w:before="116"/>
        <w:ind w:right="2810"/>
        <w:jc w:val="both"/>
      </w:pPr>
      <w:r>
        <w:rPr>
          <w:rFonts w:ascii="Arial" w:eastAsia="Arial"/>
        </w:rPr>
        <w:t>9 </w:t>
      </w:r>
      <w:r>
        <w:rPr>
          <w:spacing w:val="1"/>
        </w:rPr>
        <w:t>月 </w:t>
      </w:r>
      <w:r>
        <w:rPr>
          <w:rFonts w:ascii="Arial" w:eastAsia="Arial"/>
        </w:rPr>
        <w:t>13 </w:t>
      </w:r>
      <w:r>
        <w:rPr>
          <w:spacing w:val="-3"/>
        </w:rPr>
        <w:t>日，创胜集团在 </w:t>
      </w:r>
      <w:r>
        <w:rPr>
          <w:rFonts w:ascii="Arial" w:eastAsia="Arial"/>
        </w:rPr>
        <w:t>ESMO 2022 </w:t>
      </w:r>
      <w:r>
        <w:rPr>
          <w:spacing w:val="4"/>
        </w:rPr>
        <w:t>上公布了一项</w:t>
      </w:r>
      <w:r>
        <w:rPr>
          <w:rFonts w:ascii="Arial" w:eastAsia="Arial"/>
        </w:rPr>
        <w:t>I/II </w:t>
      </w:r>
      <w:r>
        <w:rPr>
          <w:spacing w:val="-5"/>
        </w:rPr>
        <w:t>期临床试验中剂量扩展队列研究的中期安全性和疗效数据。</w:t>
      </w:r>
      <w:r>
        <w:rPr>
          <w:rFonts w:ascii="Arial" w:eastAsia="Arial"/>
        </w:rPr>
        <w:t>TST001 </w:t>
      </w:r>
      <w:r>
        <w:rPr>
          <w:spacing w:val="-2"/>
        </w:rPr>
        <w:t>联合卡培他滨和奥沙利铂 </w:t>
      </w:r>
      <w:r>
        <w:rPr>
          <w:rFonts w:ascii="Arial" w:eastAsia="Arial"/>
        </w:rPr>
        <w:t>(CAPOX</w:t>
      </w:r>
      <w:r>
        <w:rPr>
          <w:rFonts w:ascii="Arial" w:eastAsia="Arial"/>
          <w:spacing w:val="19"/>
        </w:rPr>
        <w:t>) </w:t>
      </w:r>
      <w:r>
        <w:rPr>
          <w:spacing w:val="1"/>
        </w:rPr>
        <w:t>用于 </w:t>
      </w:r>
      <w:r>
        <w:rPr>
          <w:rFonts w:ascii="Arial" w:eastAsia="Arial"/>
        </w:rPr>
        <w:t>Claudin18.2 </w:t>
      </w:r>
      <w:r>
        <w:rPr>
          <w:spacing w:val="-5"/>
        </w:rPr>
        <w:t>阳性</w:t>
      </w:r>
      <w:r>
        <w:rPr>
          <w:rFonts w:ascii="Arial" w:eastAsia="Arial"/>
        </w:rPr>
        <w:t>GC/GEJ </w:t>
      </w:r>
      <w:r>
        <w:rPr>
          <w:spacing w:val="-5"/>
        </w:rPr>
        <w:t>一线治疗，展现了良好的耐受性和抗肿瘤活性。截至 </w:t>
      </w:r>
      <w:r>
        <w:rPr>
          <w:rFonts w:ascii="Arial" w:eastAsia="Arial"/>
        </w:rPr>
        <w:t>22 </w:t>
      </w:r>
      <w:r>
        <w:rPr>
          <w:spacing w:val="8"/>
        </w:rPr>
        <w:t>年 </w:t>
      </w:r>
      <w:r>
        <w:rPr>
          <w:rFonts w:ascii="Arial" w:eastAsia="Arial"/>
        </w:rPr>
        <w:t>8 </w:t>
      </w:r>
      <w:r>
        <w:rPr>
          <w:spacing w:val="8"/>
        </w:rPr>
        <w:t>月 </w:t>
      </w:r>
      <w:r>
        <w:rPr>
          <w:rFonts w:ascii="Arial" w:eastAsia="Arial"/>
        </w:rPr>
        <w:t>4 </w:t>
      </w:r>
      <w:r>
        <w:rPr>
          <w:spacing w:val="3"/>
        </w:rPr>
        <w:t>日，共有 </w:t>
      </w:r>
      <w:r>
        <w:rPr>
          <w:rFonts w:ascii="Arial" w:eastAsia="Arial"/>
        </w:rPr>
        <w:t>51 </w:t>
      </w:r>
      <w:r>
        <w:rPr/>
        <w:t>例</w:t>
      </w:r>
      <w:r>
        <w:rPr>
          <w:spacing w:val="-5"/>
        </w:rPr>
        <w:t>患者入组并接受了治疗，其中包括在扩展阶段以 </w:t>
      </w:r>
      <w:r>
        <w:rPr>
          <w:rFonts w:ascii="Arial" w:eastAsia="Arial"/>
        </w:rPr>
        <w:t>6mg/kg </w:t>
      </w:r>
      <w:r>
        <w:rPr>
          <w:spacing w:val="2"/>
        </w:rPr>
        <w:t>剂量三周给药一次接受</w:t>
      </w:r>
      <w:r>
        <w:rPr>
          <w:rFonts w:ascii="Arial" w:eastAsia="Arial"/>
        </w:rPr>
        <w:t>TST001 </w:t>
      </w:r>
      <w:r>
        <w:rPr/>
        <w:t>联</w:t>
      </w:r>
      <w:r>
        <w:rPr>
          <w:spacing w:val="12"/>
        </w:rPr>
        <w:t>合 </w:t>
      </w:r>
      <w:r>
        <w:rPr>
          <w:rFonts w:ascii="Arial" w:eastAsia="Arial"/>
        </w:rPr>
        <w:t>CAPOX </w:t>
      </w:r>
      <w:r>
        <w:rPr>
          <w:spacing w:val="6"/>
        </w:rPr>
        <w:t>治疗的 </w:t>
      </w:r>
      <w:r>
        <w:rPr>
          <w:rFonts w:ascii="Arial" w:eastAsia="Arial"/>
        </w:rPr>
        <w:t>36 </w:t>
      </w:r>
      <w:r>
        <w:rPr>
          <w:spacing w:val="-4"/>
        </w:rPr>
        <w:t>例患者。有可测量病灶且至少有过一次治疗后肿瘤评估的 </w:t>
      </w:r>
      <w:r>
        <w:rPr>
          <w:rFonts w:ascii="Arial" w:eastAsia="Arial"/>
        </w:rPr>
        <w:t>15 </w:t>
      </w:r>
      <w:r>
        <w:rPr/>
        <w:t>例患者中，</w:t>
      </w:r>
      <w:r>
        <w:rPr>
          <w:rFonts w:ascii="Arial" w:eastAsia="Arial"/>
        </w:rPr>
        <w:t>73.3%</w:t>
      </w:r>
      <w:r>
        <w:rPr>
          <w:spacing w:val="-1"/>
        </w:rPr>
        <w:t>获得 </w:t>
      </w:r>
      <w:r>
        <w:rPr>
          <w:rFonts w:ascii="Arial" w:eastAsia="Arial"/>
        </w:rPr>
        <w:t>PR</w:t>
      </w:r>
      <w:r>
        <w:rPr/>
        <w:t>，</w:t>
      </w:r>
      <w:r>
        <w:rPr>
          <w:rFonts w:ascii="Arial" w:eastAsia="Arial"/>
        </w:rPr>
        <w:t>26.7%</w:t>
      </w:r>
      <w:r>
        <w:rPr>
          <w:spacing w:val="-1"/>
        </w:rPr>
        <w:t>达到了 </w:t>
      </w:r>
      <w:r>
        <w:rPr>
          <w:rFonts w:ascii="Arial" w:eastAsia="Arial"/>
          <w:spacing w:val="-3"/>
        </w:rPr>
        <w:t>SD</w:t>
      </w:r>
      <w:r>
        <w:rPr>
          <w:spacing w:val="-3"/>
        </w:rPr>
        <w:t>，疾病控制率达 </w:t>
      </w:r>
      <w:r>
        <w:rPr>
          <w:rFonts w:ascii="Arial" w:eastAsia="Arial"/>
        </w:rPr>
        <w:t>100%</w:t>
      </w:r>
      <w:r>
        <w:rPr/>
        <w:t>。其中，</w:t>
      </w:r>
      <w:r>
        <w:rPr>
          <w:rFonts w:ascii="Arial" w:eastAsia="Arial"/>
        </w:rPr>
        <w:t>8 </w:t>
      </w:r>
      <w:r>
        <w:rPr>
          <w:spacing w:val="2"/>
        </w:rPr>
        <w:t>名 </w:t>
      </w:r>
      <w:r>
        <w:rPr>
          <w:rFonts w:ascii="Arial" w:eastAsia="Arial"/>
        </w:rPr>
        <w:t>Claudin18.2 </w:t>
      </w:r>
      <w:r>
        <w:rPr/>
        <w:t>中</w:t>
      </w:r>
      <w:r>
        <w:rPr>
          <w:rFonts w:ascii="Arial" w:eastAsia="Arial"/>
        </w:rPr>
        <w:t>/ </w:t>
      </w:r>
      <w:r>
        <w:rPr/>
        <w:t>高表达及 </w:t>
      </w:r>
      <w:r>
        <w:rPr>
          <w:rFonts w:ascii="Arial" w:eastAsia="Arial"/>
        </w:rPr>
        <w:t>5 </w:t>
      </w:r>
      <w:r>
        <w:rPr>
          <w:spacing w:val="48"/>
        </w:rPr>
        <w:t>名</w:t>
      </w:r>
      <w:r>
        <w:rPr>
          <w:rFonts w:ascii="Arial" w:eastAsia="Arial"/>
        </w:rPr>
        <w:t>Claudin18.2 </w:t>
      </w:r>
      <w:r>
        <w:rPr>
          <w:spacing w:val="-5"/>
        </w:rPr>
        <w:t>未知表达的患者中，分别有 </w:t>
      </w:r>
      <w:r>
        <w:rPr>
          <w:rFonts w:ascii="Arial" w:eastAsia="Arial"/>
        </w:rPr>
        <w:t>6 </w:t>
      </w:r>
      <w:r>
        <w:rPr/>
        <w:t>名和 </w:t>
      </w:r>
      <w:r>
        <w:rPr>
          <w:rFonts w:ascii="Arial" w:eastAsia="Arial"/>
        </w:rPr>
        <w:t>5 </w:t>
      </w:r>
      <w:r>
        <w:rPr>
          <w:spacing w:val="-2"/>
        </w:rPr>
        <w:t>名患者取得了部分缓解。</w:t>
      </w:r>
    </w:p>
    <w:p>
      <w:pPr>
        <w:pStyle w:val="BodyText"/>
        <w:spacing w:line="247" w:lineRule="auto" w:before="60"/>
        <w:ind w:right="2809"/>
        <w:jc w:val="both"/>
      </w:pPr>
      <w:r>
        <w:rPr>
          <w:rFonts w:ascii="Arial" w:eastAsia="Arial"/>
          <w:b/>
        </w:rPr>
        <w:t>CT041 </w:t>
      </w:r>
      <w:r>
        <w:rPr>
          <w:rFonts w:ascii="Microsoft JhengHei UI" w:eastAsia="Microsoft JhengHei UI" w:hint="eastAsia"/>
          <w:b/>
          <w:spacing w:val="8"/>
        </w:rPr>
        <w:t>可能是全球</w:t>
      </w:r>
      <w:r>
        <w:rPr>
          <w:rFonts w:ascii="Arial" w:eastAsia="Arial"/>
          <w:b/>
        </w:rPr>
        <w:t>first-in-class Claudin18.2 CAR-T</w:t>
      </w:r>
      <w:r>
        <w:rPr/>
        <w:t>：</w:t>
      </w:r>
      <w:r>
        <w:rPr>
          <w:rFonts w:ascii="Arial" w:eastAsia="Arial"/>
        </w:rPr>
        <w:t>CT041 </w:t>
      </w:r>
      <w:r>
        <w:rPr>
          <w:spacing w:val="-4"/>
        </w:rPr>
        <w:t>是全球首款，也是唯一一款</w:t>
      </w:r>
      <w:r>
        <w:rPr>
          <w:spacing w:val="-2"/>
        </w:rPr>
        <w:t>进入确证性 </w:t>
      </w:r>
      <w:r>
        <w:rPr>
          <w:rFonts w:ascii="Arial" w:eastAsia="Arial"/>
        </w:rPr>
        <w:t>II </w:t>
      </w:r>
      <w:r>
        <w:rPr>
          <w:spacing w:val="-1"/>
        </w:rPr>
        <w:t>期临床的实体瘤 </w:t>
      </w:r>
      <w:r>
        <w:rPr>
          <w:rFonts w:ascii="Arial" w:eastAsia="Arial"/>
        </w:rPr>
        <w:t>CAR-T</w:t>
      </w:r>
      <w:r>
        <w:rPr>
          <w:spacing w:val="1"/>
        </w:rPr>
        <w:t>，有望成为全球 </w:t>
      </w:r>
      <w:r>
        <w:rPr>
          <w:rFonts w:ascii="Arial" w:eastAsia="Arial"/>
        </w:rPr>
        <w:t>first-in-class </w:t>
      </w:r>
      <w:r>
        <w:rPr>
          <w:spacing w:val="6"/>
        </w:rPr>
        <w:t>的 </w:t>
      </w:r>
      <w:r>
        <w:rPr>
          <w:rFonts w:ascii="Arial" w:eastAsia="Arial"/>
        </w:rPr>
        <w:t>Claudin18.2 CAR-T </w:t>
      </w:r>
      <w:r>
        <w:rPr/>
        <w:t>产品。</w:t>
      </w:r>
      <w:r>
        <w:rPr>
          <w:rFonts w:ascii="Arial" w:eastAsia="Arial"/>
        </w:rPr>
        <w:t>CT041 </w:t>
      </w:r>
      <w:r>
        <w:rPr>
          <w:spacing w:val="-2"/>
        </w:rPr>
        <w:t>已经获得多国监管机构的认可，包括</w:t>
      </w:r>
      <w:r>
        <w:rPr>
          <w:rFonts w:ascii="Arial" w:eastAsia="Arial"/>
        </w:rPr>
        <w:t>FDA RMAT </w:t>
      </w:r>
      <w:r>
        <w:rPr/>
        <w:t>认证、</w:t>
      </w:r>
      <w:r>
        <w:rPr>
          <w:rFonts w:ascii="Arial" w:eastAsia="Arial"/>
        </w:rPr>
        <w:t>EMA PRIME </w:t>
      </w:r>
      <w:r>
        <w:rPr/>
        <w:t>认证及</w:t>
      </w:r>
      <w:r>
        <w:rPr>
          <w:spacing w:val="-1"/>
        </w:rPr>
        <w:t>孤儿药认定等。目前 </w:t>
      </w:r>
      <w:r>
        <w:rPr>
          <w:rFonts w:ascii="Arial" w:eastAsia="Arial"/>
        </w:rPr>
        <w:t>CT041 </w:t>
      </w:r>
      <w:r>
        <w:rPr>
          <w:spacing w:val="-2"/>
        </w:rPr>
        <w:t>正在进行国内关键性 </w:t>
      </w:r>
      <w:r>
        <w:rPr>
          <w:rFonts w:ascii="Arial" w:eastAsia="Arial"/>
        </w:rPr>
        <w:t>II </w:t>
      </w:r>
      <w:r>
        <w:rPr>
          <w:spacing w:val="-2"/>
        </w:rPr>
        <w:t>期临床的入组，预计 </w:t>
      </w:r>
      <w:r>
        <w:rPr>
          <w:rFonts w:ascii="Arial" w:eastAsia="Arial"/>
        </w:rPr>
        <w:t>1H24 </w:t>
      </w:r>
      <w:r>
        <w:rPr>
          <w:spacing w:val="-3"/>
        </w:rPr>
        <w:t>在中国递交</w:t>
      </w:r>
      <w:r>
        <w:rPr>
          <w:rFonts w:ascii="Arial" w:eastAsia="Arial"/>
        </w:rPr>
        <w:t>BLA</w:t>
      </w:r>
      <w:r>
        <w:rPr>
          <w:spacing w:val="1"/>
        </w:rPr>
        <w:t>；同时北美 </w:t>
      </w:r>
      <w:r>
        <w:rPr>
          <w:rFonts w:ascii="Arial" w:eastAsia="Arial"/>
        </w:rPr>
        <w:t>Ib </w:t>
      </w:r>
      <w:r>
        <w:rPr>
          <w:spacing w:val="-4"/>
        </w:rPr>
        <w:t>期临床也在正常入组中，预计在 </w:t>
      </w:r>
      <w:r>
        <w:rPr>
          <w:rFonts w:ascii="Arial" w:eastAsia="Arial"/>
          <w:spacing w:val="-3"/>
        </w:rPr>
        <w:t>2H22 </w:t>
      </w:r>
      <w:r>
        <w:rPr>
          <w:spacing w:val="7"/>
        </w:rPr>
        <w:t>进入 </w:t>
      </w:r>
      <w:r>
        <w:rPr>
          <w:rFonts w:ascii="Arial" w:eastAsia="Arial"/>
        </w:rPr>
        <w:t>II </w:t>
      </w:r>
      <w:r>
        <w:rPr>
          <w:spacing w:val="-2"/>
        </w:rPr>
        <w:t>期研究，</w:t>
      </w:r>
      <w:r>
        <w:rPr>
          <w:rFonts w:ascii="Arial" w:eastAsia="Arial"/>
        </w:rPr>
        <w:t>2024E </w:t>
      </w:r>
      <w:r>
        <w:rPr>
          <w:spacing w:val="-2"/>
        </w:rPr>
        <w:t>年在美国递交 </w:t>
      </w:r>
      <w:r>
        <w:rPr>
          <w:rFonts w:ascii="Arial" w:eastAsia="Arial"/>
          <w:spacing w:val="-2"/>
        </w:rPr>
        <w:t>BLA</w:t>
      </w:r>
      <w:r>
        <w:rPr>
          <w:spacing w:val="-3"/>
        </w:rPr>
        <w:t>。科济药业在 </w:t>
      </w:r>
      <w:r>
        <w:rPr>
          <w:rFonts w:ascii="Arial" w:eastAsia="Arial"/>
        </w:rPr>
        <w:t>ASCO 2022 </w:t>
      </w:r>
      <w:r>
        <w:rPr>
          <w:spacing w:val="-3"/>
        </w:rPr>
        <w:t>会议披露了 </w:t>
      </w:r>
      <w:r>
        <w:rPr>
          <w:rFonts w:ascii="Arial" w:eastAsia="Arial"/>
        </w:rPr>
        <w:t>CT041 </w:t>
      </w:r>
      <w:r>
        <w:rPr>
          <w:spacing w:val="14"/>
        </w:rPr>
        <w:t>的中国</w:t>
      </w:r>
      <w:r>
        <w:rPr>
          <w:rFonts w:ascii="Arial" w:eastAsia="Arial"/>
        </w:rPr>
        <w:t>Ib/II </w:t>
      </w:r>
      <w:r>
        <w:rPr>
          <w:spacing w:val="4"/>
        </w:rPr>
        <w:t>期研究和北美</w:t>
      </w:r>
      <w:r>
        <w:rPr>
          <w:rFonts w:ascii="Arial" w:eastAsia="Arial"/>
        </w:rPr>
        <w:t>Ib </w:t>
      </w:r>
      <w:r>
        <w:rPr>
          <w:spacing w:val="-2"/>
        </w:rPr>
        <w:t>期研究</w:t>
      </w:r>
      <w:r>
        <w:rPr>
          <w:spacing w:val="-5"/>
        </w:rPr>
        <w:t>的最新数据，胃癌适应症的临床数据保持了较高的一致性。</w:t>
      </w:r>
    </w:p>
    <w:p>
      <w:pPr>
        <w:pStyle w:val="BodyText"/>
        <w:spacing w:line="249" w:lineRule="auto" w:before="120"/>
        <w:ind w:right="2809"/>
        <w:jc w:val="both"/>
      </w:pPr>
      <w:r>
        <w:rPr/>
        <w:t>中国的 </w:t>
      </w:r>
      <w:r>
        <w:rPr>
          <w:rFonts w:ascii="Arial" w:eastAsia="Arial"/>
        </w:rPr>
        <w:t>Ib </w:t>
      </w:r>
      <w:r>
        <w:rPr>
          <w:spacing w:val="-2"/>
        </w:rPr>
        <w:t>期临床中，</w:t>
      </w:r>
      <w:r>
        <w:rPr>
          <w:rFonts w:ascii="Arial" w:eastAsia="Arial"/>
        </w:rPr>
        <w:t>14 </w:t>
      </w:r>
      <w:r>
        <w:rPr/>
        <w:t>例患者中有 </w:t>
      </w:r>
      <w:r>
        <w:rPr>
          <w:rFonts w:ascii="Arial" w:eastAsia="Arial"/>
        </w:rPr>
        <w:t>8 </w:t>
      </w:r>
      <w:r>
        <w:rPr>
          <w:spacing w:val="18"/>
        </w:rPr>
        <w:t>例 </w:t>
      </w:r>
      <w:r>
        <w:rPr>
          <w:rFonts w:ascii="Arial" w:eastAsia="Arial"/>
        </w:rPr>
        <w:t>(57.1%</w:t>
      </w:r>
      <w:r>
        <w:rPr>
          <w:rFonts w:ascii="Arial" w:eastAsia="Arial"/>
          <w:spacing w:val="16"/>
        </w:rPr>
        <w:t>) </w:t>
      </w:r>
      <w:r>
        <w:rPr>
          <w:spacing w:val="4"/>
        </w:rPr>
        <w:t>在 </w:t>
      </w:r>
      <w:r>
        <w:rPr>
          <w:rFonts w:ascii="Arial" w:eastAsia="Arial"/>
        </w:rPr>
        <w:t>CT041 </w:t>
      </w:r>
      <w:r>
        <w:rPr>
          <w:spacing w:val="-3"/>
        </w:rPr>
        <w:t>首次输注后的首次肿瘤评估即达到部分缓解，基于研究者评估</w:t>
      </w:r>
      <w:r>
        <w:rPr>
          <w:rFonts w:ascii="Arial" w:eastAsia="Arial"/>
        </w:rPr>
        <w:t>ORR </w:t>
      </w:r>
      <w:r>
        <w:rPr>
          <w:spacing w:val="-3"/>
        </w:rPr>
        <w:t>和 </w:t>
      </w:r>
      <w:r>
        <w:rPr>
          <w:rFonts w:ascii="Arial" w:eastAsia="Arial"/>
        </w:rPr>
        <w:t>DCR </w:t>
      </w:r>
      <w:r>
        <w:rPr>
          <w:spacing w:val="-3"/>
        </w:rPr>
        <w:t>分别为 </w:t>
      </w:r>
      <w:r>
        <w:rPr>
          <w:rFonts w:ascii="Arial" w:eastAsia="Arial"/>
          <w:spacing w:val="-3"/>
        </w:rPr>
        <w:t>57.1%</w:t>
      </w:r>
      <w:r>
        <w:rPr>
          <w:spacing w:val="-3"/>
        </w:rPr>
        <w:t>和 </w:t>
      </w:r>
      <w:r>
        <w:rPr>
          <w:rFonts w:ascii="Arial" w:eastAsia="Arial"/>
        </w:rPr>
        <w:t>78.6%</w:t>
      </w:r>
      <w:r>
        <w:rPr>
          <w:spacing w:val="-5"/>
        </w:rPr>
        <w:t>。中位随访时间为 </w:t>
      </w:r>
      <w:r>
        <w:rPr>
          <w:rFonts w:ascii="Arial" w:eastAsia="Arial"/>
        </w:rPr>
        <w:t>8.8 </w:t>
      </w:r>
      <w:r>
        <w:rPr/>
        <w:t>个月，</w:t>
      </w:r>
      <w:r>
        <w:rPr>
          <w:rFonts w:ascii="Arial" w:eastAsia="Arial"/>
        </w:rPr>
        <w:t>mPFS </w:t>
      </w:r>
      <w:r>
        <w:rPr>
          <w:spacing w:val="2"/>
        </w:rPr>
        <w:t>和 </w:t>
      </w:r>
      <w:r>
        <w:rPr>
          <w:rFonts w:ascii="Arial" w:eastAsia="Arial"/>
        </w:rPr>
        <w:t>mOS </w:t>
      </w:r>
      <w:r>
        <w:rPr>
          <w:spacing w:val="7"/>
        </w:rPr>
        <w:t>分别为 </w:t>
      </w:r>
      <w:r>
        <w:rPr>
          <w:rFonts w:ascii="Arial" w:eastAsia="Arial"/>
        </w:rPr>
        <w:t>5.6 </w:t>
      </w:r>
      <w:r>
        <w:rPr>
          <w:spacing w:val="8"/>
        </w:rPr>
        <w:t>个月和 </w:t>
      </w:r>
      <w:r>
        <w:rPr>
          <w:rFonts w:ascii="Arial" w:eastAsia="Arial"/>
        </w:rPr>
        <w:t>10.8 </w:t>
      </w:r>
      <w:r>
        <w:rPr>
          <w:spacing w:val="-2"/>
        </w:rPr>
        <w:t>个月。相比于 </w:t>
      </w:r>
      <w:r>
        <w:rPr>
          <w:rFonts w:ascii="Arial" w:eastAsia="Arial"/>
        </w:rPr>
        <w:t>PD-1 </w:t>
      </w:r>
      <w:r>
        <w:rPr>
          <w:spacing w:val="-2"/>
        </w:rPr>
        <w:t>在三线胃癌中不到 </w:t>
      </w:r>
      <w:r>
        <w:rPr>
          <w:rFonts w:ascii="Arial" w:eastAsia="Arial"/>
          <w:spacing w:val="-2"/>
        </w:rPr>
        <w:t>12% </w:t>
      </w:r>
      <w:r>
        <w:rPr>
          <w:spacing w:val="1"/>
        </w:rPr>
        <w:t>的 </w:t>
      </w:r>
      <w:r>
        <w:rPr>
          <w:rFonts w:ascii="Arial" w:eastAsia="Arial"/>
        </w:rPr>
        <w:t>ORR</w:t>
      </w:r>
      <w:r>
        <w:rPr/>
        <w:t>，</w:t>
      </w:r>
      <w:r>
        <w:rPr>
          <w:rFonts w:ascii="Arial" w:eastAsia="Arial"/>
        </w:rPr>
        <w:t>CT041 </w:t>
      </w:r>
      <w:r>
        <w:rPr>
          <w:spacing w:val="48"/>
        </w:rPr>
        <w:t>的</w:t>
      </w:r>
      <w:r>
        <w:rPr>
          <w:rFonts w:ascii="Arial" w:eastAsia="Arial"/>
        </w:rPr>
        <w:t>ORR </w:t>
      </w:r>
      <w:r>
        <w:rPr>
          <w:spacing w:val="-1"/>
        </w:rPr>
        <w:t>提高近 </w:t>
      </w:r>
      <w:r>
        <w:rPr>
          <w:rFonts w:ascii="Arial" w:eastAsia="Arial"/>
        </w:rPr>
        <w:t>5 </w:t>
      </w:r>
      <w:r>
        <w:rPr>
          <w:spacing w:val="-2"/>
        </w:rPr>
        <w:t>倍左右；</w:t>
      </w:r>
      <w:r>
        <w:rPr>
          <w:rFonts w:ascii="Arial" w:eastAsia="Arial"/>
        </w:rPr>
        <w:t>PD-1 </w:t>
      </w:r>
      <w:r>
        <w:rPr>
          <w:spacing w:val="-2"/>
        </w:rPr>
        <w:t>在三线胃癌的 </w:t>
      </w:r>
      <w:r>
        <w:rPr>
          <w:rFonts w:ascii="Arial" w:eastAsia="Arial"/>
        </w:rPr>
        <w:t>mOS </w:t>
      </w:r>
      <w:r>
        <w:rPr>
          <w:spacing w:val="2"/>
        </w:rPr>
        <w:t>为 </w:t>
      </w:r>
      <w:r>
        <w:rPr>
          <w:rFonts w:ascii="Arial" w:eastAsia="Arial"/>
        </w:rPr>
        <w:t>5.2 </w:t>
      </w:r>
      <w:r>
        <w:rPr>
          <w:spacing w:val="-2"/>
        </w:rPr>
        <w:t>个月，而在本</w:t>
      </w:r>
      <w:r>
        <w:rPr>
          <w:spacing w:val="-3"/>
        </w:rPr>
        <w:t>项研究中，</w:t>
      </w:r>
      <w:r>
        <w:rPr>
          <w:rFonts w:ascii="Arial" w:eastAsia="Arial"/>
        </w:rPr>
        <w:t>CT041 </w:t>
      </w:r>
      <w:r>
        <w:rPr>
          <w:spacing w:val="7"/>
        </w:rPr>
        <w:t>的 </w:t>
      </w:r>
      <w:r>
        <w:rPr>
          <w:rFonts w:ascii="Arial" w:eastAsia="Arial"/>
        </w:rPr>
        <w:t>mOS </w:t>
      </w:r>
      <w:r>
        <w:rPr>
          <w:spacing w:val="3"/>
        </w:rPr>
        <w:t>达到了 </w:t>
      </w:r>
      <w:r>
        <w:rPr>
          <w:rFonts w:ascii="Arial" w:eastAsia="Arial"/>
        </w:rPr>
        <w:t>10.8 </w:t>
      </w:r>
      <w:r>
        <w:rPr>
          <w:spacing w:val="-5"/>
        </w:rPr>
        <w:t>个月。安全性方面，除国内出现一名自身疾病负担</w:t>
      </w:r>
      <w:r>
        <w:rPr>
          <w:spacing w:val="-4"/>
        </w:rPr>
        <w:t>相关的三级以上 </w:t>
      </w:r>
      <w:r>
        <w:rPr>
          <w:rFonts w:ascii="Arial" w:eastAsia="Arial"/>
        </w:rPr>
        <w:t>CRS </w:t>
      </w:r>
      <w:r>
        <w:rPr>
          <w:spacing w:val="-5"/>
        </w:rPr>
        <w:t>患者以外，其他患者均为观察到三级及以上 </w:t>
      </w:r>
      <w:r>
        <w:rPr>
          <w:rFonts w:ascii="Arial" w:eastAsia="Arial"/>
        </w:rPr>
        <w:t>CRS </w:t>
      </w:r>
      <w:r>
        <w:rPr>
          <w:spacing w:val="48"/>
        </w:rPr>
        <w:t>或</w:t>
      </w:r>
      <w:r>
        <w:rPr>
          <w:rFonts w:ascii="Arial" w:eastAsia="Arial"/>
        </w:rPr>
        <w:t>ICANS</w:t>
      </w:r>
      <w:r>
        <w:rPr/>
        <w:t>。</w:t>
      </w:r>
    </w:p>
    <w:p>
      <w:pPr>
        <w:pStyle w:val="BodyText"/>
        <w:spacing w:line="249" w:lineRule="auto" w:before="122"/>
        <w:ind w:right="2812"/>
        <w:jc w:val="both"/>
      </w:pPr>
      <w:r>
        <w:rPr>
          <w:spacing w:val="12"/>
        </w:rPr>
        <w:t>在美国的</w:t>
      </w:r>
      <w:r>
        <w:rPr>
          <w:rFonts w:ascii="Arial" w:eastAsia="Arial"/>
        </w:rPr>
        <w:t>Ib</w:t>
      </w:r>
      <w:r>
        <w:rPr>
          <w:rFonts w:ascii="Arial" w:eastAsia="Arial"/>
          <w:spacing w:val="-10"/>
        </w:rPr>
        <w:t> </w:t>
      </w:r>
      <w:r>
        <w:rPr>
          <w:spacing w:val="-3"/>
        </w:rPr>
        <w:t>期研究中，</w:t>
      </w:r>
      <w:r>
        <w:rPr>
          <w:rFonts w:ascii="Arial" w:eastAsia="Arial"/>
        </w:rPr>
        <w:t>14</w:t>
      </w:r>
      <w:r>
        <w:rPr>
          <w:rFonts w:ascii="Arial" w:eastAsia="Arial"/>
          <w:spacing w:val="-10"/>
        </w:rPr>
        <w:t> </w:t>
      </w:r>
      <w:r>
        <w:rPr>
          <w:spacing w:val="4"/>
        </w:rPr>
        <w:t>例入组患者 </w:t>
      </w:r>
      <w:r>
        <w:rPr>
          <w:rFonts w:ascii="Arial" w:eastAsia="Arial"/>
        </w:rPr>
        <w:t>(5</w:t>
      </w:r>
      <w:r>
        <w:rPr>
          <w:rFonts w:ascii="Arial" w:eastAsia="Arial"/>
          <w:spacing w:val="-10"/>
        </w:rPr>
        <w:t> </w:t>
      </w:r>
      <w:r>
        <w:rPr>
          <w:spacing w:val="48"/>
        </w:rPr>
        <w:t>例</w:t>
      </w:r>
      <w:r>
        <w:rPr>
          <w:rFonts w:ascii="Arial" w:eastAsia="Arial"/>
        </w:rPr>
        <w:t>GC/GEJ</w:t>
      </w:r>
      <w:r>
        <w:rPr/>
        <w:t>，</w:t>
      </w:r>
      <w:r>
        <w:rPr>
          <w:rFonts w:ascii="Arial" w:eastAsia="Arial"/>
        </w:rPr>
        <w:t>9</w:t>
      </w:r>
      <w:r>
        <w:rPr>
          <w:rFonts w:ascii="Arial" w:eastAsia="Arial"/>
          <w:spacing w:val="-11"/>
        </w:rPr>
        <w:t> </w:t>
      </w:r>
      <w:r>
        <w:rPr>
          <w:spacing w:val="1"/>
        </w:rPr>
        <w:t>例 </w:t>
      </w:r>
      <w:r>
        <w:rPr>
          <w:rFonts w:ascii="Arial" w:eastAsia="Arial"/>
        </w:rPr>
        <w:t>PC)</w:t>
      </w:r>
      <w:r>
        <w:rPr>
          <w:spacing w:val="-3"/>
        </w:rPr>
        <w:t>的既往中位治疗线数为 </w:t>
      </w:r>
      <w:r>
        <w:rPr>
          <w:rFonts w:ascii="Arial" w:eastAsia="Arial"/>
        </w:rPr>
        <w:t>3</w:t>
      </w:r>
      <w:r>
        <w:rPr/>
        <w:t>， </w:t>
      </w:r>
      <w:r>
        <w:rPr>
          <w:spacing w:val="-1"/>
        </w:rPr>
        <w:t>共接受了 </w:t>
      </w:r>
      <w:r>
        <w:rPr>
          <w:rFonts w:ascii="Arial" w:eastAsia="Arial"/>
        </w:rPr>
        <w:t>18</w:t>
      </w:r>
      <w:r>
        <w:rPr>
          <w:rFonts w:ascii="Arial" w:eastAsia="Arial"/>
          <w:spacing w:val="-15"/>
        </w:rPr>
        <w:t> </w:t>
      </w:r>
      <w:r>
        <w:rPr>
          <w:spacing w:val="9"/>
        </w:rPr>
        <w:t>个周期的</w:t>
      </w:r>
      <w:r>
        <w:rPr>
          <w:rFonts w:ascii="Arial" w:eastAsia="Arial"/>
        </w:rPr>
        <w:t>CT041</w:t>
      </w:r>
      <w:r>
        <w:rPr>
          <w:rFonts w:ascii="Arial" w:eastAsia="Arial"/>
          <w:spacing w:val="-15"/>
        </w:rPr>
        <w:t> </w:t>
      </w:r>
      <w:r>
        <w:rPr>
          <w:spacing w:val="8"/>
        </w:rPr>
        <w:t>治疗。在</w:t>
      </w:r>
      <w:r>
        <w:rPr>
          <w:rFonts w:ascii="Arial" w:eastAsia="Arial"/>
        </w:rPr>
        <w:t>GC/GEJ</w:t>
      </w:r>
      <w:r>
        <w:rPr>
          <w:rFonts w:ascii="Arial" w:eastAsia="Arial"/>
          <w:spacing w:val="-12"/>
        </w:rPr>
        <w:t> </w:t>
      </w:r>
      <w:r>
        <w:rPr>
          <w:spacing w:val="-3"/>
        </w:rPr>
        <w:t>患者分组中，</w:t>
      </w:r>
      <w:r>
        <w:rPr>
          <w:rFonts w:ascii="Arial" w:eastAsia="Arial"/>
        </w:rPr>
        <w:t>ORR</w:t>
      </w:r>
      <w:r>
        <w:rPr>
          <w:rFonts w:ascii="Arial" w:eastAsia="Arial"/>
          <w:spacing w:val="-15"/>
        </w:rPr>
        <w:t> </w:t>
      </w:r>
      <w:r>
        <w:rPr>
          <w:spacing w:val="-2"/>
        </w:rPr>
        <w:t>为 </w:t>
      </w:r>
      <w:r>
        <w:rPr>
          <w:rFonts w:ascii="Arial" w:eastAsia="Arial"/>
        </w:rPr>
        <w:t>60%</w:t>
      </w:r>
      <w:r>
        <w:rPr>
          <w:spacing w:val="-2"/>
        </w:rPr>
        <w:t>，其中 </w:t>
      </w:r>
      <w:r>
        <w:rPr>
          <w:rFonts w:ascii="Arial" w:eastAsia="Arial"/>
        </w:rPr>
        <w:t>1</w:t>
      </w:r>
      <w:r>
        <w:rPr>
          <w:rFonts w:ascii="Arial" w:eastAsia="Arial"/>
          <w:spacing w:val="-14"/>
        </w:rPr>
        <w:t> </w:t>
      </w:r>
      <w:r>
        <w:rPr>
          <w:spacing w:val="-2"/>
        </w:rPr>
        <w:t>例患者</w:t>
      </w:r>
      <w:r>
        <w:rPr>
          <w:spacing w:val="6"/>
        </w:rPr>
        <w:t>实现了 </w:t>
      </w:r>
      <w:r>
        <w:rPr>
          <w:rFonts w:ascii="Arial" w:eastAsia="Arial"/>
        </w:rPr>
        <w:t>CR</w:t>
      </w:r>
      <w:r>
        <w:rPr>
          <w:spacing w:val="10"/>
        </w:rPr>
        <w:t>，且 </w:t>
      </w:r>
      <w:r>
        <w:rPr>
          <w:rFonts w:ascii="Arial" w:eastAsia="Arial"/>
        </w:rPr>
        <w:t>4/5</w:t>
      </w:r>
      <w:r>
        <w:rPr>
          <w:rFonts w:ascii="Arial" w:eastAsia="Arial"/>
          <w:spacing w:val="43"/>
        </w:rPr>
        <w:t> </w:t>
      </w:r>
      <w:r>
        <w:rPr>
          <w:rFonts w:ascii="Arial" w:eastAsia="Arial"/>
        </w:rPr>
        <w:t>SD</w:t>
      </w:r>
      <w:r>
        <w:rPr>
          <w:rFonts w:ascii="Arial" w:eastAsia="Arial"/>
          <w:spacing w:val="15"/>
        </w:rPr>
        <w:t> </w:t>
      </w:r>
      <w:r>
        <w:rPr>
          <w:spacing w:val="-6"/>
        </w:rPr>
        <w:t>患者中观察到了肿瘤缩小。安全性方面，未观察到剂量限制性毒性</w:t>
      </w:r>
      <w:r>
        <w:rPr>
          <w:spacing w:val="-4"/>
        </w:rPr>
        <w:t>或治疗相关死亡。未观察到三级以上 </w:t>
      </w:r>
      <w:r>
        <w:rPr>
          <w:rFonts w:ascii="Arial" w:eastAsia="Arial"/>
          <w:spacing w:val="-3"/>
        </w:rPr>
        <w:t>CRS</w:t>
      </w:r>
      <w:r>
        <w:rPr>
          <w:rFonts w:ascii="Arial" w:eastAsia="Arial"/>
          <w:spacing w:val="4"/>
        </w:rPr>
        <w:t> </w:t>
      </w:r>
      <w:r>
        <w:rPr>
          <w:spacing w:val="6"/>
        </w:rPr>
        <w:t>或 </w:t>
      </w:r>
      <w:r>
        <w:rPr>
          <w:rFonts w:ascii="Arial" w:eastAsia="Arial"/>
          <w:spacing w:val="-3"/>
        </w:rPr>
        <w:t>ICANS</w:t>
      </w:r>
      <w:r>
        <w:rPr/>
        <w:t>，在出现 </w:t>
      </w:r>
      <w:r>
        <w:rPr>
          <w:rFonts w:ascii="Arial" w:eastAsia="Arial"/>
        </w:rPr>
        <w:t>CRS</w:t>
      </w:r>
      <w:r>
        <w:rPr>
          <w:rFonts w:ascii="Arial" w:eastAsia="Arial"/>
          <w:spacing w:val="-2"/>
        </w:rPr>
        <w:t> </w:t>
      </w:r>
      <w:r>
        <w:rPr>
          <w:spacing w:val="6"/>
        </w:rPr>
        <w:t>的 </w:t>
      </w:r>
      <w:r>
        <w:rPr>
          <w:rFonts w:ascii="Arial" w:eastAsia="Arial"/>
        </w:rPr>
        <w:t>13</w:t>
      </w:r>
      <w:r>
        <w:rPr>
          <w:rFonts w:ascii="Arial" w:eastAsia="Arial"/>
          <w:spacing w:val="1"/>
        </w:rPr>
        <w:t> </w:t>
      </w:r>
      <w:r>
        <w:rPr>
          <w:spacing w:val="-2"/>
        </w:rPr>
        <w:t>例患者中，</w:t>
      </w:r>
      <w:r>
        <w:rPr>
          <w:rFonts w:ascii="Arial" w:eastAsia="Arial"/>
        </w:rPr>
        <w:t>11</w:t>
      </w:r>
      <w:r>
        <w:rPr>
          <w:rFonts w:ascii="Arial" w:eastAsia="Arial"/>
          <w:spacing w:val="-4"/>
        </w:rPr>
        <w:t> </w:t>
      </w:r>
      <w:r>
        <w:rPr/>
        <w:t>例</w:t>
      </w:r>
      <w:r>
        <w:rPr>
          <w:spacing w:val="-2"/>
        </w:rPr>
        <w:t>为 </w:t>
      </w:r>
      <w:r>
        <w:rPr>
          <w:rFonts w:ascii="Arial" w:eastAsia="Arial"/>
        </w:rPr>
        <w:t>1</w:t>
      </w:r>
      <w:r>
        <w:rPr>
          <w:rFonts w:ascii="Arial" w:eastAsia="Arial"/>
          <w:spacing w:val="-15"/>
        </w:rPr>
        <w:t> </w:t>
      </w:r>
      <w:r>
        <w:rPr>
          <w:spacing w:val="-2"/>
        </w:rPr>
        <w:t>级 </w:t>
      </w:r>
      <w:r>
        <w:rPr>
          <w:rFonts w:ascii="Arial" w:eastAsia="Arial"/>
        </w:rPr>
        <w:t>CRS</w:t>
      </w:r>
      <w:r>
        <w:rPr/>
        <w:t>，</w:t>
      </w:r>
      <w:r>
        <w:rPr>
          <w:rFonts w:ascii="Arial" w:eastAsia="Arial"/>
        </w:rPr>
        <w:t>2</w:t>
      </w:r>
      <w:r>
        <w:rPr>
          <w:rFonts w:ascii="Arial" w:eastAsia="Arial"/>
          <w:spacing w:val="-15"/>
        </w:rPr>
        <w:t> </w:t>
      </w:r>
      <w:r>
        <w:rPr>
          <w:spacing w:val="-1"/>
        </w:rPr>
        <w:t>例为 </w:t>
      </w:r>
      <w:r>
        <w:rPr>
          <w:rFonts w:ascii="Arial" w:eastAsia="Arial"/>
        </w:rPr>
        <w:t>2</w:t>
      </w:r>
      <w:r>
        <w:rPr>
          <w:rFonts w:ascii="Arial" w:eastAsia="Arial"/>
          <w:spacing w:val="-15"/>
        </w:rPr>
        <w:t> </w:t>
      </w:r>
      <w:r>
        <w:rPr>
          <w:spacing w:val="-2"/>
        </w:rPr>
        <w:t>级 </w:t>
      </w:r>
      <w:r>
        <w:rPr>
          <w:rFonts w:ascii="Arial" w:eastAsia="Arial"/>
        </w:rPr>
        <w:t>CRS</w:t>
      </w:r>
      <w:r>
        <w:rPr>
          <w:spacing w:val="-1"/>
        </w:rPr>
        <w:t>。有 </w:t>
      </w:r>
      <w:r>
        <w:rPr>
          <w:rFonts w:ascii="Arial" w:eastAsia="Arial"/>
        </w:rPr>
        <w:t>1</w:t>
      </w:r>
      <w:r>
        <w:rPr>
          <w:rFonts w:ascii="Arial" w:eastAsia="Arial"/>
          <w:spacing w:val="-14"/>
        </w:rPr>
        <w:t> </w:t>
      </w:r>
      <w:r>
        <w:rPr>
          <w:spacing w:val="8"/>
        </w:rPr>
        <w:t>例患者未发生</w:t>
      </w:r>
      <w:r>
        <w:rPr>
          <w:rFonts w:ascii="Arial" w:eastAsia="Arial"/>
          <w:spacing w:val="-3"/>
        </w:rPr>
        <w:t>CRS</w:t>
      </w:r>
      <w:r>
        <w:rPr/>
        <w:t>。</w:t>
      </w:r>
    </w:p>
    <w:p>
      <w:pPr>
        <w:pStyle w:val="BodyText"/>
        <w:spacing w:line="249" w:lineRule="auto" w:before="121"/>
        <w:ind w:right="2570"/>
      </w:pPr>
      <w:r>
        <w:rPr/>
        <w:t>除 </w:t>
      </w:r>
      <w:r>
        <w:rPr>
          <w:rFonts w:ascii="Arial" w:eastAsia="Arial"/>
        </w:rPr>
        <w:t>CT041 </w:t>
      </w:r>
      <w:r>
        <w:rPr/>
        <w:t>以外，科济药业在 </w:t>
      </w:r>
      <w:r>
        <w:rPr>
          <w:rFonts w:ascii="Arial" w:eastAsia="Arial"/>
        </w:rPr>
        <w:t>Claudin18.2 </w:t>
      </w:r>
      <w:r>
        <w:rPr/>
        <w:t>靶点也布局了单抗药物 </w:t>
      </w:r>
      <w:r>
        <w:rPr>
          <w:rFonts w:ascii="Arial" w:eastAsia="Arial"/>
        </w:rPr>
        <w:t>AB011</w:t>
      </w:r>
      <w:r>
        <w:rPr/>
        <w:t>，目前正在国内开 展 </w:t>
      </w:r>
      <w:r>
        <w:rPr>
          <w:rFonts w:ascii="Arial" w:eastAsia="Arial"/>
        </w:rPr>
        <w:t>I </w:t>
      </w:r>
      <w:r>
        <w:rPr/>
        <w:t>期临床。基于 </w:t>
      </w:r>
      <w:r>
        <w:rPr>
          <w:rFonts w:ascii="Arial" w:eastAsia="Arial"/>
        </w:rPr>
        <w:t>CycloCAR </w:t>
      </w:r>
      <w:r>
        <w:rPr/>
        <w:t>技术构建的二代 </w:t>
      </w:r>
      <w:r>
        <w:rPr>
          <w:rFonts w:ascii="Arial" w:eastAsia="Arial"/>
        </w:rPr>
        <w:t>CLDN18.2 CAR-T </w:t>
      </w:r>
      <w:r>
        <w:rPr/>
        <w:t>产品 </w:t>
      </w:r>
      <w:r>
        <w:rPr>
          <w:rFonts w:ascii="Arial" w:eastAsia="Arial"/>
        </w:rPr>
        <w:t>CT048 </w:t>
      </w:r>
      <w:r>
        <w:rPr/>
        <w:t>目前处于 </w:t>
      </w:r>
      <w:r>
        <w:rPr>
          <w:rFonts w:ascii="Arial" w:eastAsia="Arial"/>
        </w:rPr>
        <w:t>IIT </w:t>
      </w:r>
      <w:r>
        <w:rPr/>
        <w:t>研究阶段，该产品可共表达 </w:t>
      </w:r>
      <w:r>
        <w:rPr>
          <w:rFonts w:ascii="Arial" w:eastAsia="Arial"/>
        </w:rPr>
        <w:t>IL-7 </w:t>
      </w:r>
      <w:r>
        <w:rPr/>
        <w:t>和 </w:t>
      </w:r>
      <w:r>
        <w:rPr>
          <w:rFonts w:ascii="Arial" w:eastAsia="Arial"/>
        </w:rPr>
        <w:t>CCL21</w:t>
      </w:r>
      <w:r>
        <w:rPr/>
        <w:t>，可能具有更强的疗效，并可能省去清淋的程序。</w:t>
      </w:r>
    </w:p>
    <w:p>
      <w:pPr>
        <w:pStyle w:val="Heading2"/>
        <w:spacing w:before="59"/>
      </w:pPr>
      <w:bookmarkStart w:name="_bookmark19" w:id="20"/>
      <w:bookmarkEnd w:id="20"/>
      <w:r>
        <w:rPr>
          <w:b w:val="0"/>
        </w:rPr>
      </w:r>
      <w:r>
        <w:rPr>
          <w:color w:val="585858"/>
        </w:rPr>
        <w:t>力争攻破肝癌适应症，</w:t>
      </w:r>
      <w:r>
        <w:rPr>
          <w:rFonts w:ascii="Arial" w:eastAsia="Arial"/>
          <w:color w:val="585858"/>
        </w:rPr>
        <w:t>GPC3 </w:t>
      </w:r>
      <w:r>
        <w:rPr>
          <w:color w:val="585858"/>
        </w:rPr>
        <w:t>靶点研发火热</w:t>
      </w:r>
    </w:p>
    <w:p>
      <w:pPr>
        <w:pStyle w:val="Heading3"/>
        <w:spacing w:before="66"/>
        <w:jc w:val="left"/>
      </w:pPr>
      <w:r>
        <w:rPr/>
        <w:t>中国肝癌发病率高，晚期治疗方案有限</w:t>
      </w:r>
    </w:p>
    <w:p>
      <w:pPr>
        <w:pStyle w:val="BodyText"/>
        <w:spacing w:line="288" w:lineRule="auto" w:before="155"/>
        <w:ind w:right="2811"/>
        <w:jc w:val="both"/>
      </w:pPr>
      <w:r>
        <w:rPr>
          <w:spacing w:val="-3"/>
        </w:rPr>
        <w:t>原发性肝癌是我国第四常见的恶性肿瘤。根据</w:t>
      </w:r>
      <w:r>
        <w:rPr>
          <w:rFonts w:ascii="Arial" w:eastAsia="Arial"/>
        </w:rPr>
        <w:t>GLOBOCAN 2020 </w:t>
      </w:r>
      <w:r>
        <w:rPr>
          <w:spacing w:val="-4"/>
        </w:rPr>
        <w:t>的数据，中国每年约有新</w:t>
      </w:r>
      <w:r>
        <w:rPr>
          <w:spacing w:val="-3"/>
        </w:rPr>
        <w:t>发肝癌患者 </w:t>
      </w:r>
      <w:r>
        <w:rPr>
          <w:rFonts w:ascii="Arial" w:eastAsia="Arial"/>
        </w:rPr>
        <w:t>41 </w:t>
      </w:r>
      <w:r>
        <w:rPr>
          <w:spacing w:val="-5"/>
        </w:rPr>
        <w:t>万例，占全球年新发病例的 </w:t>
      </w:r>
      <w:r>
        <w:rPr>
          <w:rFonts w:ascii="Arial" w:eastAsia="Arial"/>
          <w:spacing w:val="-2"/>
        </w:rPr>
        <w:t>45%</w:t>
      </w:r>
      <w:r>
        <w:rPr>
          <w:spacing w:val="-6"/>
        </w:rPr>
        <w:t>。肝癌也是中国第二大恶性肿瘤致死病因， </w:t>
      </w:r>
      <w:r>
        <w:rPr>
          <w:spacing w:val="1"/>
        </w:rPr>
        <w:t>每年约有 </w:t>
      </w:r>
      <w:r>
        <w:rPr>
          <w:rFonts w:ascii="Arial" w:eastAsia="Arial"/>
        </w:rPr>
        <w:t>39 </w:t>
      </w:r>
      <w:r>
        <w:rPr>
          <w:spacing w:val="-1"/>
        </w:rPr>
        <w:t>万患者死于肝癌。肝细胞癌 </w:t>
      </w:r>
      <w:r>
        <w:rPr>
          <w:rFonts w:ascii="Arial" w:eastAsia="Arial"/>
        </w:rPr>
        <w:t>(HCC</w:t>
      </w:r>
      <w:r>
        <w:rPr>
          <w:rFonts w:ascii="Arial" w:eastAsia="Arial"/>
          <w:spacing w:val="19"/>
        </w:rPr>
        <w:t>) </w:t>
      </w:r>
      <w:r>
        <w:rPr>
          <w:spacing w:val="-6"/>
        </w:rPr>
        <w:t>是肝癌最主要的组织病理学类型，占全部</w:t>
      </w:r>
      <w:r>
        <w:rPr>
          <w:spacing w:val="2"/>
        </w:rPr>
        <w:t>肝癌的 </w:t>
      </w:r>
      <w:r>
        <w:rPr>
          <w:rFonts w:ascii="Arial" w:eastAsia="Arial"/>
        </w:rPr>
        <w:t>85%</w:t>
      </w:r>
      <w:r>
        <w:rPr/>
        <w:t>～</w:t>
      </w:r>
      <w:r>
        <w:rPr>
          <w:rFonts w:ascii="Arial" w:eastAsia="Arial"/>
        </w:rPr>
        <w:t>90%</w:t>
      </w:r>
      <w:r>
        <w:rPr/>
        <w:t>。</w:t>
      </w:r>
      <w:r>
        <w:rPr>
          <w:rFonts w:ascii="Arial" w:eastAsia="Arial"/>
        </w:rPr>
        <w:t>HCC </w:t>
      </w:r>
      <w:r>
        <w:rPr>
          <w:spacing w:val="-4"/>
        </w:rPr>
        <w:t>在中国的发病率为全球的 </w:t>
      </w:r>
      <w:r>
        <w:rPr>
          <w:rFonts w:ascii="Arial" w:eastAsia="Arial"/>
        </w:rPr>
        <w:t>2.51 </w:t>
      </w:r>
      <w:r>
        <w:rPr>
          <w:spacing w:val="-3"/>
        </w:rPr>
        <w:t>倍，死亡率为全球的 </w:t>
      </w:r>
      <w:r>
        <w:rPr>
          <w:rFonts w:ascii="Arial" w:eastAsia="Arial"/>
        </w:rPr>
        <w:t>2.54 </w:t>
      </w:r>
      <w:r>
        <w:rPr>
          <w:spacing w:val="-5"/>
        </w:rPr>
        <w:t>倍。</w:t>
      </w:r>
    </w:p>
    <w:p>
      <w:pPr>
        <w:spacing w:after="0" w:line="288" w:lineRule="auto"/>
        <w:jc w:val="both"/>
        <w:sectPr>
          <w:pgSz w:w="11910" w:h="16840"/>
          <w:pgMar w:header="682" w:footer="358" w:top="1380" w:bottom="540" w:left="640" w:right="300"/>
        </w:sectPr>
      </w:pPr>
    </w:p>
    <w:p>
      <w:pPr>
        <w:pStyle w:val="BodyText"/>
        <w:spacing w:before="2"/>
        <w:ind w:left="0"/>
        <w:rPr>
          <w:sz w:val="9"/>
        </w:rPr>
      </w:pPr>
    </w:p>
    <w:p>
      <w:pPr>
        <w:pStyle w:val="BodyText"/>
        <w:spacing w:line="20" w:lineRule="exact"/>
        <w:ind w:left="86"/>
        <w:rPr>
          <w:sz w:val="2"/>
        </w:rPr>
      </w:pPr>
      <w:r>
        <w:rPr>
          <w:sz w:val="2"/>
        </w:rPr>
        <w:pict>
          <v:group style="width:7.5pt;height:.5pt;mso-position-horizontal-relative:char;mso-position-vertical-relative:line" coordorigin="0,0" coordsize="150,10">
            <v:line style="position:absolute" from="0,5" to="149,5" stroked="true" strokeweight=".48pt" strokecolor="#000000">
              <v:stroke dashstyle="shortdot"/>
            </v:line>
          </v:group>
        </w:pict>
      </w:r>
      <w:r>
        <w:rPr>
          <w:sz w:val="2"/>
        </w:rPr>
      </w:r>
    </w:p>
    <w:p>
      <w:pPr>
        <w:pStyle w:val="BodyText"/>
        <w:spacing w:line="288" w:lineRule="auto" w:before="122"/>
        <w:ind w:right="2574"/>
      </w:pPr>
      <w:r>
        <w:rPr>
          <w:rFonts w:ascii="Arial" w:eastAsia="Arial"/>
        </w:rPr>
        <w:t>HCC </w:t>
      </w:r>
      <w:r>
        <w:rPr/>
        <w:t>患者预后极差，根据弗若斯特沙利文数据，中国肝癌的五年生存率仅为  </w:t>
      </w:r>
      <w:r>
        <w:rPr>
          <w:rFonts w:ascii="Arial" w:eastAsia="Arial"/>
        </w:rPr>
        <w:t>12.1%</w:t>
      </w:r>
      <w:r>
        <w:rPr/>
        <w:t>，而美国也仅为 </w:t>
      </w:r>
      <w:r>
        <w:rPr>
          <w:rFonts w:ascii="Arial" w:eastAsia="Arial"/>
        </w:rPr>
        <w:t>18.1%</w:t>
      </w:r>
      <w:r>
        <w:rPr/>
        <w:t>。预后差的主要原因在于 </w:t>
      </w:r>
      <w:r>
        <w:rPr>
          <w:rFonts w:ascii="Arial" w:eastAsia="Arial"/>
        </w:rPr>
        <w:t>HCC </w:t>
      </w:r>
      <w:r>
        <w:rPr/>
        <w:t>早期确诊困难，且病情发展迅速。目前外科手术仍是最主要的根治性手段，但超过半数的患者在症状首次出现时已无法通过手术切除。</w:t>
      </w:r>
    </w:p>
    <w:p>
      <w:pPr>
        <w:pStyle w:val="BodyText"/>
        <w:spacing w:line="288" w:lineRule="auto" w:before="117"/>
        <w:ind w:right="2809"/>
        <w:jc w:val="both"/>
      </w:pPr>
      <w:r>
        <w:rPr/>
        <w:t>对于不适合手术切除的 </w:t>
      </w:r>
      <w:r>
        <w:rPr>
          <w:rFonts w:ascii="Arial" w:eastAsia="Arial"/>
        </w:rPr>
        <w:t>IIb</w:t>
      </w:r>
      <w:r>
        <w:rPr/>
        <w:t>、</w:t>
      </w:r>
      <w:r>
        <w:rPr>
          <w:rFonts w:ascii="Arial" w:eastAsia="Arial"/>
        </w:rPr>
        <w:t>IIIa </w:t>
      </w:r>
      <w:r>
        <w:rPr/>
        <w:t>和局限性转移的 </w:t>
      </w:r>
      <w:r>
        <w:rPr>
          <w:rFonts w:ascii="Arial" w:eastAsia="Arial"/>
        </w:rPr>
        <w:t>IIIb </w:t>
      </w:r>
      <w:r>
        <w:rPr/>
        <w:t>期 </w:t>
      </w:r>
      <w:r>
        <w:rPr>
          <w:rFonts w:ascii="Arial" w:eastAsia="Arial"/>
        </w:rPr>
        <w:t>HCC</w:t>
      </w:r>
      <w:r>
        <w:rPr/>
        <w:t>，目前二线治疗方案有限。国内已批准的二线治疗单药治疗方案包括纳武利尤单抗 </w:t>
      </w:r>
      <w:r>
        <w:rPr>
          <w:rFonts w:ascii="Arial" w:eastAsia="Arial"/>
        </w:rPr>
        <w:t>(ORR </w:t>
      </w:r>
      <w:r>
        <w:rPr/>
        <w:t>为 </w:t>
      </w:r>
      <w:r>
        <w:rPr>
          <w:rFonts w:ascii="Arial" w:eastAsia="Arial"/>
        </w:rPr>
        <w:t>14%</w:t>
      </w:r>
      <w:r>
        <w:rPr/>
        <w:t>，</w:t>
      </w:r>
      <w:r>
        <w:rPr>
          <w:rFonts w:ascii="Arial" w:eastAsia="Arial"/>
        </w:rPr>
        <w:t>mOS </w:t>
      </w:r>
      <w:r>
        <w:rPr/>
        <w:t>为 </w:t>
      </w:r>
      <w:r>
        <w:rPr>
          <w:rFonts w:ascii="Arial" w:eastAsia="Arial"/>
        </w:rPr>
        <w:t>15.6 </w:t>
      </w:r>
      <w:r>
        <w:rPr/>
        <w:t>个月</w:t>
      </w:r>
      <w:r>
        <w:rPr>
          <w:rFonts w:ascii="Arial" w:eastAsia="Arial"/>
        </w:rPr>
        <w:t>)</w:t>
      </w:r>
      <w:r>
        <w:rPr/>
        <w:t>， 帕博利珠单抗 </w:t>
      </w:r>
      <w:r>
        <w:rPr>
          <w:rFonts w:ascii="Arial" w:eastAsia="Arial"/>
        </w:rPr>
        <w:t>(ORR </w:t>
      </w:r>
      <w:r>
        <w:rPr/>
        <w:t>为 </w:t>
      </w:r>
      <w:r>
        <w:rPr>
          <w:rFonts w:ascii="Arial" w:eastAsia="Arial"/>
        </w:rPr>
        <w:t>17%</w:t>
      </w:r>
      <w:r>
        <w:rPr/>
        <w:t>， </w:t>
      </w:r>
      <w:r>
        <w:rPr>
          <w:rFonts w:ascii="Arial" w:eastAsia="Arial"/>
        </w:rPr>
        <w:t>mOS </w:t>
      </w:r>
      <w:r>
        <w:rPr/>
        <w:t>为 </w:t>
      </w:r>
      <w:r>
        <w:rPr>
          <w:rFonts w:ascii="Arial" w:eastAsia="Arial"/>
        </w:rPr>
        <w:t>12.9 </w:t>
      </w:r>
      <w:r>
        <w:rPr/>
        <w:t>个月</w:t>
      </w:r>
      <w:r>
        <w:rPr>
          <w:rFonts w:ascii="Arial" w:eastAsia="Arial"/>
        </w:rPr>
        <w:t>)</w:t>
      </w:r>
      <w:r>
        <w:rPr/>
        <w:t>，卡瑞利珠单抗 </w:t>
      </w:r>
      <w:r>
        <w:rPr>
          <w:rFonts w:ascii="Arial" w:eastAsia="Arial"/>
        </w:rPr>
        <w:t>(ORR </w:t>
      </w:r>
      <w:r>
        <w:rPr/>
        <w:t>为 </w:t>
      </w:r>
      <w:r>
        <w:rPr>
          <w:rFonts w:ascii="Arial" w:eastAsia="Arial"/>
        </w:rPr>
        <w:t>14.7%</w:t>
      </w:r>
      <w:r>
        <w:rPr/>
        <w:t>， </w:t>
      </w:r>
      <w:r>
        <w:rPr>
          <w:rFonts w:ascii="Arial" w:eastAsia="Arial"/>
        </w:rPr>
        <w:t>mOS </w:t>
      </w:r>
      <w:r>
        <w:rPr/>
        <w:t>为 </w:t>
      </w:r>
      <w:r>
        <w:rPr>
          <w:rFonts w:ascii="Arial" w:eastAsia="Arial"/>
        </w:rPr>
        <w:t>13.8 </w:t>
      </w:r>
      <w:r>
        <w:rPr/>
        <w:t>个月</w:t>
      </w:r>
      <w:r>
        <w:rPr>
          <w:rFonts w:ascii="Arial" w:eastAsia="Arial"/>
        </w:rPr>
        <w:t>)</w:t>
      </w:r>
      <w:r>
        <w:rPr/>
        <w:t>，替雷利珠单抗 </w:t>
      </w:r>
      <w:r>
        <w:rPr>
          <w:rFonts w:ascii="Arial" w:eastAsia="Arial"/>
        </w:rPr>
        <w:t>(ORR </w:t>
      </w:r>
      <w:r>
        <w:rPr/>
        <w:t>为 </w:t>
      </w:r>
      <w:r>
        <w:rPr>
          <w:rFonts w:ascii="Arial" w:eastAsia="Arial"/>
        </w:rPr>
        <w:t>13.3%</w:t>
      </w:r>
      <w:r>
        <w:rPr/>
        <w:t>，</w:t>
      </w:r>
      <w:r>
        <w:rPr>
          <w:rFonts w:ascii="Arial" w:eastAsia="Arial"/>
        </w:rPr>
        <w:t>mOS </w:t>
      </w:r>
      <w:r>
        <w:rPr/>
        <w:t>为 </w:t>
      </w:r>
      <w:r>
        <w:rPr>
          <w:rFonts w:ascii="Arial" w:eastAsia="Arial"/>
        </w:rPr>
        <w:t>13.2 </w:t>
      </w:r>
      <w:r>
        <w:rPr/>
        <w:t>个月</w:t>
      </w:r>
      <w:r>
        <w:rPr>
          <w:rFonts w:ascii="Arial" w:eastAsia="Arial"/>
        </w:rPr>
        <w:t>)</w:t>
      </w:r>
      <w:r>
        <w:rPr/>
        <w:t>。</w:t>
      </w:r>
    </w:p>
    <w:p>
      <w:pPr>
        <w:pStyle w:val="BodyText"/>
        <w:spacing w:line="288" w:lineRule="auto" w:before="117"/>
        <w:ind w:right="2813"/>
        <w:jc w:val="both"/>
      </w:pPr>
      <w:r>
        <w:rPr>
          <w:spacing w:val="-5"/>
        </w:rPr>
        <w:t>虽然二线治疗免疫联合方案相比单药可能具有优势，但目前尚无免疫联合治疗的 </w:t>
      </w:r>
      <w:r>
        <w:rPr>
          <w:rFonts w:ascii="Arial" w:eastAsia="Arial"/>
          <w:spacing w:val="-3"/>
        </w:rPr>
        <w:t>III</w:t>
      </w:r>
      <w:r>
        <w:rPr>
          <w:rFonts w:ascii="Arial" w:eastAsia="Arial"/>
          <w:spacing w:val="1"/>
        </w:rPr>
        <w:t> </w:t>
      </w:r>
      <w:r>
        <w:rPr>
          <w:spacing w:val="-6"/>
        </w:rPr>
        <w:t>期临床</w:t>
      </w:r>
      <w:r>
        <w:rPr>
          <w:spacing w:val="-2"/>
        </w:rPr>
        <w:t>研究结果发布。</w:t>
      </w:r>
      <w:r>
        <w:rPr>
          <w:rFonts w:ascii="Arial" w:eastAsia="Arial"/>
        </w:rPr>
        <w:t>2020</w:t>
      </w:r>
      <w:r>
        <w:rPr>
          <w:rFonts w:ascii="Arial" w:eastAsia="Arial"/>
          <w:spacing w:val="-11"/>
        </w:rPr>
        <w:t> </w:t>
      </w:r>
      <w:r>
        <w:rPr/>
        <w:t>年 </w:t>
      </w:r>
      <w:r>
        <w:rPr>
          <w:rFonts w:ascii="Arial" w:eastAsia="Arial"/>
        </w:rPr>
        <w:t>3</w:t>
      </w:r>
      <w:r>
        <w:rPr>
          <w:rFonts w:ascii="Arial" w:eastAsia="Arial"/>
          <w:spacing w:val="-10"/>
        </w:rPr>
        <w:t> </w:t>
      </w:r>
      <w:r>
        <w:rPr/>
        <w:t>月，</w:t>
      </w:r>
      <w:r>
        <w:rPr>
          <w:rFonts w:ascii="Arial" w:eastAsia="Arial"/>
        </w:rPr>
        <w:t>FDA</w:t>
      </w:r>
      <w:r>
        <w:rPr>
          <w:rFonts w:ascii="Arial" w:eastAsia="Arial"/>
          <w:spacing w:val="-13"/>
        </w:rPr>
        <w:t> </w:t>
      </w:r>
      <w:r>
        <w:rPr>
          <w:spacing w:val="24"/>
        </w:rPr>
        <w:t>基于</w:t>
      </w:r>
      <w:r>
        <w:rPr>
          <w:rFonts w:ascii="Arial" w:eastAsia="Arial"/>
        </w:rPr>
        <w:t>I/II</w:t>
      </w:r>
      <w:r>
        <w:rPr>
          <w:rFonts w:ascii="Arial" w:eastAsia="Arial"/>
          <w:spacing w:val="-6"/>
        </w:rPr>
        <w:t> </w:t>
      </w:r>
      <w:r>
        <w:rPr>
          <w:spacing w:val="48"/>
        </w:rPr>
        <w:t>期</w:t>
      </w:r>
      <w:r>
        <w:rPr>
          <w:rFonts w:ascii="Arial" w:eastAsia="Arial"/>
        </w:rPr>
        <w:t>CheckMate</w:t>
      </w:r>
      <w:r>
        <w:rPr>
          <w:rFonts w:ascii="Arial" w:eastAsia="Arial"/>
          <w:spacing w:val="-10"/>
        </w:rPr>
        <w:t> </w:t>
      </w:r>
      <w:r>
        <w:rPr>
          <w:rFonts w:ascii="Arial" w:eastAsia="Arial"/>
        </w:rPr>
        <w:t>040</w:t>
      </w:r>
      <w:r>
        <w:rPr>
          <w:rFonts w:ascii="Arial" w:eastAsia="Arial"/>
          <w:spacing w:val="-10"/>
        </w:rPr>
        <w:t> </w:t>
      </w:r>
      <w:r>
        <w:rPr>
          <w:spacing w:val="-3"/>
        </w:rPr>
        <w:t>研究的结果批准了纳武利尤单抗联合伊匹木单抗用于晚期 </w:t>
      </w:r>
      <w:r>
        <w:rPr>
          <w:rFonts w:ascii="Arial" w:eastAsia="Arial"/>
        </w:rPr>
        <w:t>HCC</w:t>
      </w:r>
      <w:r>
        <w:rPr>
          <w:rFonts w:ascii="Arial" w:eastAsia="Arial"/>
          <w:spacing w:val="13"/>
        </w:rPr>
        <w:t> </w:t>
      </w:r>
      <w:r>
        <w:rPr>
          <w:spacing w:val="-2"/>
        </w:rPr>
        <w:t>的二线治疗，推荐剂量组的 </w:t>
      </w:r>
      <w:r>
        <w:rPr>
          <w:rFonts w:ascii="Arial" w:eastAsia="Arial"/>
        </w:rPr>
        <w:t>mOS</w:t>
      </w:r>
      <w:r>
        <w:rPr>
          <w:rFonts w:ascii="Arial" w:eastAsia="Arial"/>
          <w:spacing w:val="15"/>
        </w:rPr>
        <w:t> </w:t>
      </w:r>
      <w:r>
        <w:rPr>
          <w:spacing w:val="15"/>
        </w:rPr>
        <w:t>达 </w:t>
      </w:r>
      <w:r>
        <w:rPr>
          <w:rFonts w:ascii="Arial" w:eastAsia="Arial"/>
        </w:rPr>
        <w:t>22.8</w:t>
      </w:r>
      <w:r>
        <w:rPr>
          <w:rFonts w:ascii="Arial" w:eastAsia="Arial"/>
          <w:spacing w:val="13"/>
        </w:rPr>
        <w:t> </w:t>
      </w:r>
      <w:r>
        <w:rPr>
          <w:spacing w:val="-2"/>
        </w:rPr>
        <w:t>个月，</w:t>
      </w:r>
      <w:r>
        <w:rPr>
          <w:rFonts w:ascii="Arial" w:eastAsia="Arial"/>
          <w:spacing w:val="-5"/>
        </w:rPr>
        <w:t>ORR </w:t>
      </w:r>
      <w:r>
        <w:rPr>
          <w:spacing w:val="6"/>
        </w:rPr>
        <w:t>达 </w:t>
      </w:r>
      <w:r>
        <w:rPr>
          <w:rFonts w:ascii="Arial" w:eastAsia="Arial"/>
        </w:rPr>
        <w:t>32%</w:t>
      </w:r>
      <w:r>
        <w:rPr>
          <w:spacing w:val="-5"/>
        </w:rPr>
        <w:t>，然而伊匹木单抗暂未在国内获批。国内方面，</w:t>
      </w:r>
      <w:r>
        <w:rPr>
          <w:rFonts w:ascii="Arial" w:eastAsia="Arial"/>
          <w:spacing w:val="-3"/>
        </w:rPr>
        <w:t>II</w:t>
      </w:r>
      <w:r>
        <w:rPr>
          <w:rFonts w:ascii="Arial" w:eastAsia="Arial"/>
        </w:rPr>
        <w:t> </w:t>
      </w:r>
      <w:r>
        <w:rPr>
          <w:spacing w:val="6"/>
        </w:rPr>
        <w:t>期 </w:t>
      </w:r>
      <w:r>
        <w:rPr>
          <w:rFonts w:ascii="Arial" w:eastAsia="Arial"/>
        </w:rPr>
        <w:t>RESCUE</w:t>
      </w:r>
      <w:r>
        <w:rPr>
          <w:rFonts w:ascii="Arial" w:eastAsia="Arial"/>
          <w:spacing w:val="-1"/>
        </w:rPr>
        <w:t> </w:t>
      </w:r>
      <w:r>
        <w:rPr>
          <w:spacing w:val="-4"/>
        </w:rPr>
        <w:t>研究显示，卡瑞利珠</w:t>
      </w:r>
      <w:r>
        <w:rPr>
          <w:spacing w:val="-2"/>
        </w:rPr>
        <w:t>单抗联合阿帕替尼的二线治疗的</w:t>
      </w:r>
      <w:r>
        <w:rPr>
          <w:rFonts w:ascii="Arial" w:eastAsia="Arial"/>
        </w:rPr>
        <w:t>ORR</w:t>
      </w:r>
      <w:r>
        <w:rPr>
          <w:rFonts w:ascii="Arial" w:eastAsia="Arial"/>
          <w:spacing w:val="-10"/>
        </w:rPr>
        <w:t> </w:t>
      </w:r>
      <w:r>
        <w:rPr/>
        <w:t>为 </w:t>
      </w:r>
      <w:r>
        <w:rPr>
          <w:rFonts w:ascii="Arial" w:eastAsia="Arial"/>
        </w:rPr>
        <w:t>23%</w:t>
      </w:r>
      <w:r>
        <w:rPr/>
        <w:t>，</w:t>
      </w:r>
      <w:r>
        <w:rPr>
          <w:rFonts w:ascii="Arial" w:eastAsia="Arial"/>
        </w:rPr>
        <w:t>mPFS</w:t>
      </w:r>
      <w:r>
        <w:rPr>
          <w:rFonts w:ascii="Arial" w:eastAsia="Arial"/>
          <w:spacing w:val="-12"/>
        </w:rPr>
        <w:t> </w:t>
      </w:r>
      <w:r>
        <w:rPr/>
        <w:t>为 </w:t>
      </w:r>
      <w:r>
        <w:rPr>
          <w:rFonts w:ascii="Arial" w:eastAsia="Arial"/>
        </w:rPr>
        <w:t>5.5</w:t>
      </w:r>
      <w:r>
        <w:rPr>
          <w:rFonts w:ascii="Arial" w:eastAsia="Arial"/>
          <w:spacing w:val="-9"/>
        </w:rPr>
        <w:t> </w:t>
      </w:r>
      <w:r>
        <w:rPr/>
        <w:t>个月，</w:t>
      </w:r>
      <w:r>
        <w:rPr>
          <w:rFonts w:ascii="Arial" w:eastAsia="Arial"/>
        </w:rPr>
        <w:t>mOS</w:t>
      </w:r>
      <w:r>
        <w:rPr>
          <w:rFonts w:ascii="Arial" w:eastAsia="Arial"/>
          <w:spacing w:val="-14"/>
        </w:rPr>
        <w:t> </w:t>
      </w:r>
      <w:r>
        <w:rPr/>
        <w:t>达到 </w:t>
      </w:r>
      <w:r>
        <w:rPr>
          <w:rFonts w:ascii="Arial" w:eastAsia="Arial"/>
        </w:rPr>
        <w:t>21.8</w:t>
      </w:r>
      <w:r>
        <w:rPr>
          <w:rFonts w:ascii="Arial" w:eastAsia="Arial"/>
          <w:spacing w:val="-10"/>
        </w:rPr>
        <w:t> </w:t>
      </w:r>
      <w:r>
        <w:rPr>
          <w:spacing w:val="-2"/>
        </w:rPr>
        <w:t>个月， </w:t>
      </w:r>
      <w:r>
        <w:rPr>
          <w:spacing w:val="-5"/>
        </w:rPr>
        <w:t>但存在反应性皮肤毛细血管增生症 </w:t>
      </w:r>
      <w:r>
        <w:rPr>
          <w:rFonts w:ascii="Arial" w:eastAsia="Arial"/>
        </w:rPr>
        <w:t>(RCCEP)</w:t>
      </w:r>
      <w:r>
        <w:rPr>
          <w:rFonts w:ascii="Arial" w:eastAsia="Arial"/>
          <w:spacing w:val="-2"/>
        </w:rPr>
        <w:t> </w:t>
      </w:r>
      <w:r>
        <w:rPr>
          <w:spacing w:val="-3"/>
        </w:rPr>
        <w:t>的不良反应。</w:t>
      </w:r>
    </w:p>
    <w:p>
      <w:pPr>
        <w:pStyle w:val="Heading3"/>
        <w:spacing w:before="64"/>
      </w:pPr>
      <w:r>
        <w:rPr/>
        <w:t>特异性高表达于 </w:t>
      </w:r>
      <w:r>
        <w:rPr>
          <w:rFonts w:ascii="Arial" w:eastAsia="Arial"/>
        </w:rPr>
        <w:t>HCC </w:t>
      </w:r>
      <w:r>
        <w:rPr/>
        <w:t>组织，</w:t>
      </w:r>
      <w:r>
        <w:rPr>
          <w:rFonts w:ascii="Arial" w:eastAsia="Arial"/>
        </w:rPr>
        <w:t>GPC3 </w:t>
      </w:r>
      <w:r>
        <w:rPr/>
        <w:t>有望成为破局方向</w:t>
      </w:r>
    </w:p>
    <w:p>
      <w:pPr>
        <w:pStyle w:val="BodyText"/>
        <w:spacing w:line="288" w:lineRule="auto" w:before="154"/>
        <w:ind w:right="2811"/>
        <w:jc w:val="both"/>
      </w:pPr>
      <w:r>
        <w:rPr>
          <w:rFonts w:ascii="Arial" w:eastAsia="Arial"/>
        </w:rPr>
        <w:t>GPC3 </w:t>
      </w:r>
      <w:r>
        <w:rPr/>
        <w:t>全称 </w:t>
      </w:r>
      <w:r>
        <w:rPr>
          <w:rFonts w:ascii="Arial" w:eastAsia="Arial"/>
        </w:rPr>
        <w:t>Glypican-3</w:t>
      </w:r>
      <w:r>
        <w:rPr/>
        <w:t>，是由位于 </w:t>
      </w:r>
      <w:r>
        <w:rPr>
          <w:rFonts w:ascii="Arial" w:eastAsia="Arial"/>
        </w:rPr>
        <w:t>X </w:t>
      </w:r>
      <w:r>
        <w:rPr/>
        <w:t>染色体上的 </w:t>
      </w:r>
      <w:r>
        <w:rPr>
          <w:rFonts w:ascii="Arial" w:eastAsia="Arial"/>
        </w:rPr>
        <w:t>GPC3 </w:t>
      </w:r>
      <w:r>
        <w:rPr/>
        <w:t>基因编码的一个 </w:t>
      </w:r>
      <w:r>
        <w:rPr>
          <w:rFonts w:ascii="Arial" w:eastAsia="Arial"/>
        </w:rPr>
        <w:t>70 kDa </w:t>
      </w:r>
      <w:r>
        <w:rPr/>
        <w:t>的蛋白。</w:t>
      </w:r>
      <w:r>
        <w:rPr>
          <w:rFonts w:ascii="Arial" w:eastAsia="Arial"/>
        </w:rPr>
        <w:t>GPC3 </w:t>
      </w:r>
      <w:r>
        <w:rPr/>
        <w:t>蛋白由核心蛋白、位于 </w:t>
      </w:r>
      <w:r>
        <w:rPr>
          <w:rFonts w:ascii="Arial" w:eastAsia="Arial"/>
        </w:rPr>
        <w:t>C </w:t>
      </w:r>
      <w:r>
        <w:rPr/>
        <w:t>端的两条 </w:t>
      </w:r>
      <w:r>
        <w:rPr>
          <w:rFonts w:ascii="Arial" w:eastAsia="Arial"/>
        </w:rPr>
        <w:t>HS </w:t>
      </w:r>
      <w:r>
        <w:rPr/>
        <w:t>链及与细胞膜连接的磷脂酰肌醇锚 </w:t>
      </w:r>
      <w:r>
        <w:rPr>
          <w:rFonts w:ascii="Arial" w:eastAsia="Arial"/>
        </w:rPr>
        <w:t>(GPI) </w:t>
      </w:r>
      <w:r>
        <w:rPr/>
        <w:t>组成。当 </w:t>
      </w:r>
      <w:r>
        <w:rPr>
          <w:rFonts w:ascii="Arial" w:eastAsia="Arial"/>
        </w:rPr>
        <w:t>GPC3 </w:t>
      </w:r>
      <w:r>
        <w:rPr/>
        <w:t>基因发生突变时，</w:t>
      </w:r>
      <w:r>
        <w:rPr>
          <w:rFonts w:ascii="Arial" w:eastAsia="Arial"/>
        </w:rPr>
        <w:t>GPC3 </w:t>
      </w:r>
      <w:r>
        <w:rPr/>
        <w:t>蛋白将会发生结构异常，此时患者将出现过度生长综合征，表现为发育异常，最终进展为癌变。</w:t>
      </w:r>
    </w:p>
    <w:p>
      <w:pPr>
        <w:pStyle w:val="BodyText"/>
        <w:spacing w:line="288" w:lineRule="auto" w:before="118"/>
        <w:ind w:right="2809"/>
        <w:jc w:val="both"/>
      </w:pPr>
      <w:r>
        <w:rPr>
          <w:rFonts w:ascii="Arial" w:eastAsia="Arial"/>
        </w:rPr>
        <w:t>GPC3</w:t>
      </w:r>
      <w:r>
        <w:rPr>
          <w:rFonts w:ascii="Arial" w:eastAsia="Arial"/>
          <w:spacing w:val="55"/>
        </w:rPr>
        <w:t> </w:t>
      </w:r>
      <w:r>
        <w:rPr/>
        <w:t>在正常组织与不同肿瘤组织中的表达存在显著差异。正常情况下，</w:t>
      </w:r>
      <w:r>
        <w:rPr>
          <w:rFonts w:ascii="Arial" w:eastAsia="Arial"/>
        </w:rPr>
        <w:t>GPC3 </w:t>
      </w:r>
      <w:r>
        <w:rPr/>
        <w:t>仅表达于</w:t>
      </w:r>
      <w:r>
        <w:rPr>
          <w:spacing w:val="-4"/>
        </w:rPr>
        <w:t>胚胎组织中，在健康肝脏组织或良性肝病组织中均不可检测到 </w:t>
      </w:r>
      <w:r>
        <w:rPr>
          <w:rFonts w:ascii="Arial" w:eastAsia="Arial"/>
        </w:rPr>
        <w:t>GPC3 </w:t>
      </w:r>
      <w:r>
        <w:rPr>
          <w:spacing w:val="4"/>
        </w:rPr>
        <w:t>的表达。然而 </w:t>
      </w:r>
      <w:r>
        <w:rPr>
          <w:rFonts w:ascii="Arial" w:eastAsia="Arial"/>
        </w:rPr>
        <w:t>GPC3 </w:t>
      </w:r>
      <w:r>
        <w:rPr>
          <w:spacing w:val="3"/>
        </w:rPr>
        <w:t>在 </w:t>
      </w:r>
      <w:r>
        <w:rPr>
          <w:rFonts w:ascii="Arial" w:eastAsia="Arial"/>
        </w:rPr>
        <w:t>HCC </w:t>
      </w:r>
      <w:r>
        <w:rPr>
          <w:spacing w:val="3"/>
        </w:rPr>
        <w:t>中却表现为高表达， </w:t>
      </w:r>
      <w:r>
        <w:rPr>
          <w:rFonts w:ascii="Arial" w:eastAsia="Arial"/>
        </w:rPr>
        <w:t>56%~100%</w:t>
      </w:r>
      <w:r>
        <w:rPr>
          <w:spacing w:val="3"/>
        </w:rPr>
        <w:t>的 </w:t>
      </w:r>
      <w:r>
        <w:rPr>
          <w:rFonts w:ascii="Arial" w:eastAsia="Arial"/>
        </w:rPr>
        <w:t>HCC </w:t>
      </w:r>
      <w:r>
        <w:rPr>
          <w:spacing w:val="3"/>
        </w:rPr>
        <w:t>组织中存在 </w:t>
      </w:r>
      <w:r>
        <w:rPr>
          <w:rFonts w:ascii="Arial" w:eastAsia="Arial"/>
        </w:rPr>
        <w:t>GPC3 mRNA </w:t>
      </w:r>
      <w:r>
        <w:rPr>
          <w:spacing w:val="3"/>
        </w:rPr>
        <w:t>高表达， </w:t>
      </w:r>
      <w:r>
        <w:rPr>
          <w:rFonts w:ascii="Arial" w:eastAsia="Arial"/>
          <w:spacing w:val="3"/>
        </w:rPr>
        <w:t>70%~90%</w:t>
      </w:r>
      <w:r>
        <w:rPr>
          <w:spacing w:val="14"/>
        </w:rPr>
        <w:t>的 </w:t>
      </w:r>
      <w:r>
        <w:rPr>
          <w:rFonts w:ascii="Arial" w:eastAsia="Arial"/>
        </w:rPr>
        <w:t>HCC </w:t>
      </w:r>
      <w:r>
        <w:rPr>
          <w:spacing w:val="3"/>
        </w:rPr>
        <w:t>组织中 </w:t>
      </w:r>
      <w:r>
        <w:rPr>
          <w:rFonts w:ascii="Arial" w:eastAsia="Arial"/>
        </w:rPr>
        <w:t>GPC3 </w:t>
      </w:r>
      <w:r>
        <w:rPr>
          <w:spacing w:val="-4"/>
        </w:rPr>
        <w:t>蛋白表达为阳性，</w:t>
      </w:r>
      <w:r>
        <w:rPr>
          <w:rFonts w:ascii="Arial" w:eastAsia="Arial"/>
        </w:rPr>
        <w:t>72%</w:t>
      </w:r>
      <w:r>
        <w:rPr>
          <w:spacing w:val="12"/>
        </w:rPr>
        <w:t>的 </w:t>
      </w:r>
      <w:r>
        <w:rPr>
          <w:rFonts w:ascii="Arial" w:eastAsia="Arial"/>
        </w:rPr>
        <w:t>HCC </w:t>
      </w:r>
      <w:r>
        <w:rPr>
          <w:spacing w:val="2"/>
        </w:rPr>
        <w:t>患者表达 </w:t>
      </w:r>
      <w:r>
        <w:rPr>
          <w:rFonts w:ascii="Arial" w:eastAsia="Arial"/>
        </w:rPr>
        <w:t>GPC3</w:t>
      </w:r>
      <w:r>
        <w:rPr>
          <w:spacing w:val="-2"/>
        </w:rPr>
        <w:t>。基于在</w:t>
      </w:r>
      <w:r>
        <w:rPr>
          <w:rFonts w:ascii="Arial" w:eastAsia="Arial"/>
          <w:spacing w:val="-2"/>
        </w:rPr>
        <w:t>HCC </w:t>
      </w:r>
      <w:r>
        <w:rPr>
          <w:spacing w:val="-3"/>
        </w:rPr>
        <w:t>中极高的特异性，</w:t>
      </w:r>
      <w:r>
        <w:rPr>
          <w:rFonts w:ascii="Arial" w:eastAsia="Arial"/>
        </w:rPr>
        <w:t>GPC3 </w:t>
      </w:r>
      <w:r>
        <w:rPr>
          <w:spacing w:val="-4"/>
        </w:rPr>
        <w:t>成为理想的实体瘤靶点。目前全球范围内暂无靶向 </w:t>
      </w:r>
      <w:r>
        <w:rPr>
          <w:rFonts w:ascii="Arial" w:eastAsia="Arial"/>
        </w:rPr>
        <w:t>GPC3 </w:t>
      </w:r>
      <w:r>
        <w:rPr/>
        <w:t>的药物上市，但有多款针对</w:t>
      </w:r>
      <w:r>
        <w:rPr>
          <w:rFonts w:ascii="Arial" w:eastAsia="Arial"/>
        </w:rPr>
        <w:t>GPC3 </w:t>
      </w:r>
      <w:r>
        <w:rPr>
          <w:spacing w:val="-2"/>
        </w:rPr>
        <w:t>靶点的药物处于早期临床阶段，其中以</w:t>
      </w:r>
      <w:r>
        <w:rPr>
          <w:rFonts w:ascii="Arial" w:eastAsia="Arial"/>
        </w:rPr>
        <w:t>CAR-T </w:t>
      </w:r>
      <w:r>
        <w:rPr>
          <w:spacing w:val="-2"/>
        </w:rPr>
        <w:t>细胞疗法为主。</w:t>
      </w:r>
    </w:p>
    <w:p>
      <w:pPr>
        <w:pStyle w:val="Heading3"/>
        <w:spacing w:before="64" w:after="4"/>
      </w:pPr>
      <w:r>
        <w:rPr/>
        <w:t>图 </w:t>
      </w:r>
      <w:r>
        <w:rPr>
          <w:rFonts w:ascii="Arial" w:eastAsia="Arial"/>
        </w:rPr>
        <w:t>43: </w:t>
      </w:r>
      <w:r>
        <w:rPr/>
        <w:t>全球</w:t>
      </w:r>
      <w:r>
        <w:rPr>
          <w:rFonts w:ascii="Arial" w:eastAsia="Arial"/>
        </w:rPr>
        <w:t>GPC3 </w:t>
      </w:r>
      <w:r>
        <w:rPr/>
        <w:t>靶点相关药物</w:t>
      </w:r>
      <w:r>
        <w:rPr>
          <w:rFonts w:ascii="Arial" w:eastAsia="Arial"/>
        </w:rPr>
        <w:t>/</w:t>
      </w:r>
      <w:r>
        <w:rPr/>
        <w:t>疗法研发情况</w:t>
      </w:r>
    </w:p>
    <w:tbl>
      <w:tblPr>
        <w:tblW w:w="0" w:type="auto"/>
        <w:jc w:val="left"/>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5"/>
        <w:gridCol w:w="1921"/>
        <w:gridCol w:w="1091"/>
        <w:gridCol w:w="1421"/>
        <w:gridCol w:w="1488"/>
      </w:tblGrid>
      <w:tr>
        <w:trPr>
          <w:trHeight w:val="234" w:hRule="atLeast"/>
        </w:trPr>
        <w:tc>
          <w:tcPr>
            <w:tcW w:w="2045" w:type="dxa"/>
            <w:tcBorders>
              <w:top w:val="single" w:sz="12" w:space="0" w:color="000000"/>
              <w:bottom w:val="dotted" w:sz="4" w:space="0" w:color="000000"/>
            </w:tcBorders>
            <w:shd w:val="clear" w:color="auto" w:fill="C00000"/>
          </w:tcPr>
          <w:p>
            <w:pPr>
              <w:pStyle w:val="TableParagraph"/>
              <w:spacing w:line="214" w:lineRule="exact"/>
              <w:ind w:left="340" w:right="340"/>
              <w:jc w:val="center"/>
              <w:rPr>
                <w:rFonts w:ascii="Microsoft JhengHei UI" w:eastAsia="Microsoft JhengHei UI" w:hint="eastAsia"/>
                <w:b/>
                <w:sz w:val="16"/>
              </w:rPr>
            </w:pPr>
            <w:r>
              <w:rPr>
                <w:rFonts w:ascii="Microsoft JhengHei UI" w:eastAsia="Microsoft JhengHei UI" w:hint="eastAsia"/>
                <w:b/>
                <w:color w:val="FFFFFF"/>
                <w:sz w:val="16"/>
              </w:rPr>
              <w:t>研发机构</w:t>
            </w:r>
          </w:p>
        </w:tc>
        <w:tc>
          <w:tcPr>
            <w:tcW w:w="1921" w:type="dxa"/>
            <w:tcBorders>
              <w:top w:val="single" w:sz="12" w:space="0" w:color="000000"/>
              <w:bottom w:val="dotted" w:sz="4" w:space="0" w:color="000000"/>
            </w:tcBorders>
            <w:shd w:val="clear" w:color="auto" w:fill="C00000"/>
          </w:tcPr>
          <w:p>
            <w:pPr>
              <w:pStyle w:val="TableParagraph"/>
              <w:spacing w:line="214" w:lineRule="exact"/>
              <w:ind w:left="339" w:right="253"/>
              <w:jc w:val="center"/>
              <w:rPr>
                <w:rFonts w:ascii="Microsoft JhengHei UI" w:eastAsia="Microsoft JhengHei UI" w:hint="eastAsia"/>
                <w:b/>
                <w:sz w:val="16"/>
              </w:rPr>
            </w:pPr>
            <w:r>
              <w:rPr>
                <w:rFonts w:ascii="Microsoft JhengHei UI" w:eastAsia="Microsoft JhengHei UI" w:hint="eastAsia"/>
                <w:b/>
                <w:color w:val="FFFFFF"/>
                <w:sz w:val="16"/>
              </w:rPr>
              <w:t>药品名称</w:t>
            </w:r>
          </w:p>
        </w:tc>
        <w:tc>
          <w:tcPr>
            <w:tcW w:w="1091" w:type="dxa"/>
            <w:tcBorders>
              <w:top w:val="single" w:sz="12" w:space="0" w:color="000000"/>
              <w:bottom w:val="dotted" w:sz="4" w:space="0" w:color="000000"/>
            </w:tcBorders>
            <w:shd w:val="clear" w:color="auto" w:fill="C00000"/>
          </w:tcPr>
          <w:p>
            <w:pPr>
              <w:pStyle w:val="TableParagraph"/>
              <w:spacing w:line="214" w:lineRule="exact"/>
              <w:ind w:left="265" w:right="146"/>
              <w:jc w:val="center"/>
              <w:rPr>
                <w:rFonts w:ascii="Microsoft JhengHei UI" w:eastAsia="Microsoft JhengHei UI" w:hint="eastAsia"/>
                <w:b/>
                <w:sz w:val="16"/>
              </w:rPr>
            </w:pPr>
            <w:r>
              <w:rPr>
                <w:rFonts w:ascii="Microsoft JhengHei UI" w:eastAsia="Microsoft JhengHei UI" w:hint="eastAsia"/>
                <w:b/>
                <w:color w:val="FFFFFF"/>
                <w:sz w:val="16"/>
              </w:rPr>
              <w:t>最高阶段</w:t>
            </w:r>
          </w:p>
        </w:tc>
        <w:tc>
          <w:tcPr>
            <w:tcW w:w="1421" w:type="dxa"/>
            <w:tcBorders>
              <w:top w:val="single" w:sz="12" w:space="0" w:color="000000"/>
              <w:bottom w:val="dotted" w:sz="4" w:space="0" w:color="000000"/>
            </w:tcBorders>
            <w:shd w:val="clear" w:color="auto" w:fill="C00000"/>
          </w:tcPr>
          <w:p>
            <w:pPr>
              <w:pStyle w:val="TableParagraph"/>
              <w:spacing w:line="214" w:lineRule="exact"/>
              <w:ind w:left="140" w:right="123"/>
              <w:jc w:val="center"/>
              <w:rPr>
                <w:rFonts w:ascii="Microsoft JhengHei UI" w:eastAsia="Microsoft JhengHei UI" w:hint="eastAsia"/>
                <w:b/>
                <w:sz w:val="16"/>
              </w:rPr>
            </w:pPr>
            <w:r>
              <w:rPr>
                <w:rFonts w:ascii="Microsoft JhengHei UI" w:eastAsia="Microsoft JhengHei UI" w:hint="eastAsia"/>
                <w:b/>
                <w:color w:val="FFFFFF"/>
                <w:sz w:val="16"/>
              </w:rPr>
              <w:t>作用机制</w:t>
            </w:r>
          </w:p>
        </w:tc>
        <w:tc>
          <w:tcPr>
            <w:tcW w:w="1488" w:type="dxa"/>
            <w:tcBorders>
              <w:top w:val="single" w:sz="12" w:space="0" w:color="000000"/>
              <w:bottom w:val="dotted" w:sz="4" w:space="0" w:color="000000"/>
            </w:tcBorders>
            <w:shd w:val="clear" w:color="auto" w:fill="C00000"/>
          </w:tcPr>
          <w:p>
            <w:pPr>
              <w:pStyle w:val="TableParagraph"/>
              <w:spacing w:line="214" w:lineRule="exact"/>
              <w:ind w:left="123" w:right="119"/>
              <w:jc w:val="center"/>
              <w:rPr>
                <w:rFonts w:ascii="Microsoft JhengHei UI" w:eastAsia="Microsoft JhengHei UI" w:hint="eastAsia"/>
                <w:b/>
                <w:sz w:val="16"/>
              </w:rPr>
            </w:pPr>
            <w:r>
              <w:rPr>
                <w:rFonts w:ascii="Microsoft JhengHei UI" w:eastAsia="Microsoft JhengHei UI" w:hint="eastAsia"/>
                <w:b/>
                <w:color w:val="FFFFFF"/>
                <w:sz w:val="16"/>
              </w:rPr>
              <w:t>适应症</w:t>
            </w:r>
          </w:p>
        </w:tc>
      </w:tr>
      <w:tr>
        <w:trPr>
          <w:trHeight w:val="234" w:hRule="atLeast"/>
        </w:trPr>
        <w:tc>
          <w:tcPr>
            <w:tcW w:w="2045" w:type="dxa"/>
            <w:tcBorders>
              <w:top w:val="dotted" w:sz="4" w:space="0" w:color="000000"/>
              <w:bottom w:val="dotted" w:sz="4" w:space="0" w:color="000000"/>
            </w:tcBorders>
          </w:tcPr>
          <w:p>
            <w:pPr>
              <w:pStyle w:val="TableParagraph"/>
              <w:spacing w:before="22"/>
              <w:ind w:left="340" w:right="340"/>
              <w:jc w:val="center"/>
              <w:rPr>
                <w:sz w:val="16"/>
              </w:rPr>
            </w:pPr>
            <w:r>
              <w:rPr>
                <w:sz w:val="16"/>
              </w:rPr>
              <w:t>Perseus/ Chugai</w:t>
            </w:r>
          </w:p>
        </w:tc>
        <w:tc>
          <w:tcPr>
            <w:tcW w:w="1921" w:type="dxa"/>
            <w:tcBorders>
              <w:top w:val="dotted" w:sz="4" w:space="0" w:color="000000"/>
              <w:bottom w:val="dotted" w:sz="4" w:space="0" w:color="000000"/>
            </w:tcBorders>
          </w:tcPr>
          <w:p>
            <w:pPr>
              <w:pStyle w:val="TableParagraph"/>
              <w:spacing w:before="22"/>
              <w:ind w:left="339" w:right="252"/>
              <w:jc w:val="center"/>
              <w:rPr>
                <w:sz w:val="16"/>
              </w:rPr>
            </w:pPr>
            <w:r>
              <w:rPr>
                <w:sz w:val="16"/>
              </w:rPr>
              <w:t>codrituzumab</w:t>
            </w:r>
          </w:p>
        </w:tc>
        <w:tc>
          <w:tcPr>
            <w:tcW w:w="1091" w:type="dxa"/>
            <w:tcBorders>
              <w:top w:val="dotted" w:sz="4" w:space="0" w:color="000000"/>
              <w:bottom w:val="dotted" w:sz="4" w:space="0" w:color="000000"/>
            </w:tcBorders>
          </w:tcPr>
          <w:p>
            <w:pPr>
              <w:pStyle w:val="TableParagraph"/>
              <w:spacing w:line="215" w:lineRule="exact"/>
              <w:ind w:left="265" w:right="141"/>
              <w:jc w:val="center"/>
              <w:rPr>
                <w:rFonts w:ascii="PMingLiU" w:eastAsia="PMingLiU" w:hint="eastAsia"/>
                <w:sz w:val="16"/>
              </w:rPr>
            </w:pPr>
            <w:r>
              <w:rPr>
                <w:sz w:val="16"/>
              </w:rPr>
              <w:t>II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line="215" w:lineRule="exact"/>
              <w:ind w:left="145" w:right="123"/>
              <w:jc w:val="center"/>
              <w:rPr>
                <w:rFonts w:ascii="PMingLiU" w:eastAsia="PMingLiU" w:hint="eastAsia"/>
                <w:sz w:val="16"/>
              </w:rPr>
            </w:pPr>
            <w:r>
              <w:rPr>
                <w:sz w:val="16"/>
              </w:rPr>
              <w:t>anti-GPC3 </w:t>
            </w:r>
            <w:r>
              <w:rPr>
                <w:rFonts w:ascii="PMingLiU" w:eastAsia="PMingLiU" w:hint="eastAsia"/>
                <w:sz w:val="16"/>
              </w:rPr>
              <w:t>单抗</w:t>
            </w:r>
          </w:p>
        </w:tc>
        <w:tc>
          <w:tcPr>
            <w:tcW w:w="1488" w:type="dxa"/>
            <w:tcBorders>
              <w:top w:val="dotted" w:sz="4" w:space="0" w:color="000000"/>
              <w:bottom w:val="dotted" w:sz="4" w:space="0" w:color="000000"/>
            </w:tcBorders>
          </w:tcPr>
          <w:p>
            <w:pPr>
              <w:pStyle w:val="TableParagraph"/>
              <w:spacing w:before="22"/>
              <w:ind w:left="123" w:right="118"/>
              <w:jc w:val="center"/>
              <w:rPr>
                <w:sz w:val="16"/>
              </w:rPr>
            </w:pPr>
            <w:r>
              <w:rPr>
                <w:sz w:val="16"/>
              </w:rPr>
              <w:t>HCC</w:t>
            </w:r>
          </w:p>
        </w:tc>
      </w:tr>
      <w:tr>
        <w:trPr>
          <w:trHeight w:val="465" w:hRule="atLeast"/>
        </w:trPr>
        <w:tc>
          <w:tcPr>
            <w:tcW w:w="2045" w:type="dxa"/>
            <w:tcBorders>
              <w:top w:val="dotted" w:sz="4" w:space="0" w:color="000000"/>
              <w:bottom w:val="dotted" w:sz="4" w:space="0" w:color="000000"/>
            </w:tcBorders>
          </w:tcPr>
          <w:p>
            <w:pPr>
              <w:pStyle w:val="TableParagraph"/>
              <w:spacing w:before="137"/>
              <w:ind w:left="340" w:right="340"/>
              <w:jc w:val="center"/>
              <w:rPr>
                <w:sz w:val="16"/>
              </w:rPr>
            </w:pPr>
            <w:r>
              <w:rPr>
                <w:sz w:val="16"/>
              </w:rPr>
              <w:t>Sotio/ Cogent</w:t>
            </w:r>
          </w:p>
        </w:tc>
        <w:tc>
          <w:tcPr>
            <w:tcW w:w="1921" w:type="dxa"/>
            <w:tcBorders>
              <w:top w:val="dotted" w:sz="4" w:space="0" w:color="000000"/>
              <w:bottom w:val="dotted" w:sz="4" w:space="0" w:color="000000"/>
            </w:tcBorders>
          </w:tcPr>
          <w:p>
            <w:pPr>
              <w:pStyle w:val="TableParagraph"/>
              <w:spacing w:before="137"/>
              <w:ind w:left="339" w:right="256"/>
              <w:jc w:val="center"/>
              <w:rPr>
                <w:sz w:val="16"/>
              </w:rPr>
            </w:pPr>
            <w:r>
              <w:rPr>
                <w:sz w:val="16"/>
              </w:rPr>
              <w:t>BOXR1030</w:t>
            </w:r>
          </w:p>
        </w:tc>
        <w:tc>
          <w:tcPr>
            <w:tcW w:w="1091" w:type="dxa"/>
            <w:tcBorders>
              <w:top w:val="dotted" w:sz="4" w:space="0" w:color="000000"/>
              <w:bottom w:val="dotted" w:sz="4" w:space="0" w:color="000000"/>
            </w:tcBorders>
          </w:tcPr>
          <w:p>
            <w:pPr>
              <w:pStyle w:val="TableParagraph"/>
              <w:spacing w:before="113"/>
              <w:ind w:left="265" w:right="145"/>
              <w:jc w:val="center"/>
              <w:rPr>
                <w:rFonts w:ascii="PMingLiU" w:eastAsia="PMingLiU" w:hint="eastAsia"/>
                <w:sz w:val="16"/>
              </w:rPr>
            </w:pPr>
            <w:r>
              <w:rPr>
                <w:sz w:val="16"/>
              </w:rPr>
              <w:t>I/II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137"/>
              <w:ind w:left="142" w:right="123"/>
              <w:jc w:val="center"/>
              <w:rPr>
                <w:sz w:val="16"/>
              </w:rPr>
            </w:pPr>
            <w:r>
              <w:rPr>
                <w:sz w:val="16"/>
              </w:rPr>
              <w:t>CAR-T</w:t>
            </w:r>
          </w:p>
        </w:tc>
        <w:tc>
          <w:tcPr>
            <w:tcW w:w="1488" w:type="dxa"/>
            <w:tcBorders>
              <w:top w:val="dotted" w:sz="4" w:space="0" w:color="000000"/>
              <w:bottom w:val="dotted" w:sz="4" w:space="0" w:color="000000"/>
            </w:tcBorders>
          </w:tcPr>
          <w:p>
            <w:pPr>
              <w:pStyle w:val="TableParagraph"/>
              <w:spacing w:line="222" w:lineRule="exact"/>
              <w:ind w:left="123" w:right="123"/>
              <w:jc w:val="center"/>
              <w:rPr>
                <w:rFonts w:ascii="PMingLiU" w:eastAsia="PMingLiU" w:hint="eastAsia"/>
                <w:sz w:val="16"/>
              </w:rPr>
            </w:pPr>
            <w:r>
              <w:rPr>
                <w:sz w:val="16"/>
              </w:rPr>
              <w:t>MCC,SCLC,</w:t>
            </w:r>
            <w:r>
              <w:rPr>
                <w:rFonts w:ascii="PMingLiU" w:eastAsia="PMingLiU" w:hint="eastAsia"/>
                <w:sz w:val="16"/>
              </w:rPr>
              <w:t>脂肪</w:t>
            </w:r>
          </w:p>
          <w:p>
            <w:pPr>
              <w:pStyle w:val="TableParagraph"/>
              <w:spacing w:line="217" w:lineRule="exact" w:before="6"/>
              <w:ind w:left="123" w:right="123"/>
              <w:jc w:val="center"/>
              <w:rPr>
                <w:sz w:val="16"/>
              </w:rPr>
            </w:pPr>
            <w:r>
              <w:rPr>
                <w:rFonts w:ascii="PMingLiU" w:eastAsia="PMingLiU" w:hint="eastAsia"/>
                <w:sz w:val="16"/>
              </w:rPr>
              <w:t>肉瘤</w:t>
            </w:r>
            <w:r>
              <w:rPr>
                <w:sz w:val="16"/>
              </w:rPr>
              <w:t>,HCC</w:t>
            </w:r>
          </w:p>
        </w:tc>
      </w:tr>
      <w:tr>
        <w:trPr>
          <w:trHeight w:val="230" w:hRule="atLeast"/>
        </w:trPr>
        <w:tc>
          <w:tcPr>
            <w:tcW w:w="2045" w:type="dxa"/>
            <w:tcBorders>
              <w:top w:val="dotted" w:sz="4" w:space="0" w:color="000000"/>
              <w:bottom w:val="dotted" w:sz="4" w:space="0" w:color="000000"/>
            </w:tcBorders>
          </w:tcPr>
          <w:p>
            <w:pPr>
              <w:pStyle w:val="TableParagraph"/>
              <w:spacing w:line="210" w:lineRule="exact"/>
              <w:ind w:left="340" w:right="340"/>
              <w:jc w:val="center"/>
              <w:rPr>
                <w:rFonts w:ascii="PMingLiU" w:eastAsia="PMingLiU" w:hint="eastAsia"/>
                <w:sz w:val="16"/>
              </w:rPr>
            </w:pPr>
            <w:r>
              <w:rPr>
                <w:rFonts w:ascii="PMingLiU" w:eastAsia="PMingLiU" w:hint="eastAsia"/>
                <w:sz w:val="16"/>
              </w:rPr>
              <w:t>康诺亚</w:t>
            </w:r>
          </w:p>
        </w:tc>
        <w:tc>
          <w:tcPr>
            <w:tcW w:w="1921" w:type="dxa"/>
            <w:tcBorders>
              <w:top w:val="dotted" w:sz="4" w:space="0" w:color="000000"/>
              <w:bottom w:val="dotted" w:sz="4" w:space="0" w:color="000000"/>
            </w:tcBorders>
          </w:tcPr>
          <w:p>
            <w:pPr>
              <w:pStyle w:val="TableParagraph"/>
              <w:spacing w:before="23"/>
              <w:ind w:left="339" w:right="256"/>
              <w:jc w:val="center"/>
              <w:rPr>
                <w:sz w:val="16"/>
              </w:rPr>
            </w:pPr>
            <w:r>
              <w:rPr>
                <w:sz w:val="16"/>
              </w:rPr>
              <w:t>CM350</w:t>
            </w:r>
          </w:p>
        </w:tc>
        <w:tc>
          <w:tcPr>
            <w:tcW w:w="1091" w:type="dxa"/>
            <w:tcBorders>
              <w:top w:val="dotted" w:sz="4" w:space="0" w:color="000000"/>
              <w:bottom w:val="dotted" w:sz="4" w:space="0" w:color="000000"/>
            </w:tcBorders>
          </w:tcPr>
          <w:p>
            <w:pPr>
              <w:pStyle w:val="TableParagraph"/>
              <w:spacing w:line="210" w:lineRule="exact"/>
              <w:ind w:left="265" w:right="145"/>
              <w:jc w:val="center"/>
              <w:rPr>
                <w:rFonts w:ascii="PMingLiU" w:eastAsia="PMingLiU" w:hint="eastAsia"/>
                <w:sz w:val="16"/>
              </w:rPr>
            </w:pPr>
            <w:r>
              <w:rPr>
                <w:sz w:val="16"/>
              </w:rPr>
              <w:t>I/II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line="210" w:lineRule="exact"/>
              <w:ind w:left="136" w:right="123"/>
              <w:jc w:val="center"/>
              <w:rPr>
                <w:rFonts w:ascii="PMingLiU" w:eastAsia="PMingLiU" w:hint="eastAsia"/>
                <w:sz w:val="16"/>
              </w:rPr>
            </w:pPr>
            <w:r>
              <w:rPr>
                <w:rFonts w:ascii="PMingLiU" w:eastAsia="PMingLiU" w:hint="eastAsia"/>
                <w:sz w:val="16"/>
              </w:rPr>
              <w:t>双抗</w:t>
            </w:r>
          </w:p>
        </w:tc>
        <w:tc>
          <w:tcPr>
            <w:tcW w:w="1488" w:type="dxa"/>
            <w:tcBorders>
              <w:top w:val="dotted" w:sz="4" w:space="0" w:color="000000"/>
              <w:bottom w:val="dotted" w:sz="4" w:space="0" w:color="000000"/>
            </w:tcBorders>
          </w:tcPr>
          <w:p>
            <w:pPr>
              <w:pStyle w:val="TableParagraph"/>
              <w:spacing w:line="210" w:lineRule="exact"/>
              <w:ind w:left="123" w:right="123"/>
              <w:jc w:val="center"/>
              <w:rPr>
                <w:rFonts w:ascii="PMingLiU" w:eastAsia="PMingLiU" w:hint="eastAsia"/>
                <w:sz w:val="16"/>
              </w:rPr>
            </w:pPr>
            <w:r>
              <w:rPr>
                <w:rFonts w:ascii="PMingLiU" w:eastAsia="PMingLiU" w:hint="eastAsia"/>
                <w:sz w:val="16"/>
              </w:rPr>
              <w:t>实体瘤</w:t>
            </w:r>
          </w:p>
        </w:tc>
      </w:tr>
      <w:tr>
        <w:trPr>
          <w:trHeight w:val="234" w:hRule="atLeast"/>
        </w:trPr>
        <w:tc>
          <w:tcPr>
            <w:tcW w:w="2045" w:type="dxa"/>
            <w:tcBorders>
              <w:top w:val="dotted" w:sz="4" w:space="0" w:color="000000"/>
              <w:bottom w:val="dotted" w:sz="4" w:space="0" w:color="000000"/>
            </w:tcBorders>
          </w:tcPr>
          <w:p>
            <w:pPr>
              <w:pStyle w:val="TableParagraph"/>
              <w:spacing w:line="215" w:lineRule="exact"/>
              <w:ind w:left="338" w:right="340"/>
              <w:jc w:val="center"/>
              <w:rPr>
                <w:rFonts w:ascii="PMingLiU" w:eastAsia="PMingLiU" w:hint="eastAsia"/>
                <w:sz w:val="16"/>
              </w:rPr>
            </w:pPr>
            <w:r>
              <w:rPr>
                <w:sz w:val="16"/>
              </w:rPr>
              <w:t>Eureka/ </w:t>
            </w:r>
            <w:r>
              <w:rPr>
                <w:rFonts w:ascii="PMingLiU" w:eastAsia="PMingLiU" w:hint="eastAsia"/>
                <w:sz w:val="16"/>
              </w:rPr>
              <w:t>药明巨诺</w:t>
            </w:r>
          </w:p>
        </w:tc>
        <w:tc>
          <w:tcPr>
            <w:tcW w:w="1921" w:type="dxa"/>
            <w:tcBorders>
              <w:top w:val="dotted" w:sz="4" w:space="0" w:color="000000"/>
              <w:bottom w:val="dotted" w:sz="4" w:space="0" w:color="000000"/>
            </w:tcBorders>
          </w:tcPr>
          <w:p>
            <w:pPr>
              <w:pStyle w:val="TableParagraph"/>
              <w:spacing w:before="22"/>
              <w:ind w:left="339" w:right="251"/>
              <w:jc w:val="center"/>
              <w:rPr>
                <w:sz w:val="16"/>
              </w:rPr>
            </w:pPr>
            <w:r>
              <w:rPr>
                <w:sz w:val="16"/>
              </w:rPr>
              <w:t>ECT204</w:t>
            </w:r>
          </w:p>
        </w:tc>
        <w:tc>
          <w:tcPr>
            <w:tcW w:w="1091" w:type="dxa"/>
            <w:tcBorders>
              <w:top w:val="dotted" w:sz="4" w:space="0" w:color="000000"/>
              <w:bottom w:val="dotted" w:sz="4" w:space="0" w:color="000000"/>
            </w:tcBorders>
          </w:tcPr>
          <w:p>
            <w:pPr>
              <w:pStyle w:val="TableParagraph"/>
              <w:spacing w:line="215" w:lineRule="exact"/>
              <w:ind w:left="265" w:right="145"/>
              <w:jc w:val="center"/>
              <w:rPr>
                <w:rFonts w:ascii="PMingLiU" w:eastAsia="PMingLiU" w:hint="eastAsia"/>
                <w:sz w:val="16"/>
              </w:rPr>
            </w:pPr>
            <w:r>
              <w:rPr>
                <w:sz w:val="16"/>
              </w:rPr>
              <w:t>I/II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2"/>
              <w:ind w:left="142" w:right="123"/>
              <w:jc w:val="center"/>
              <w:rPr>
                <w:sz w:val="16"/>
              </w:rPr>
            </w:pPr>
            <w:r>
              <w:rPr>
                <w:sz w:val="16"/>
              </w:rPr>
              <w:t>CAR-T</w:t>
            </w:r>
          </w:p>
        </w:tc>
        <w:tc>
          <w:tcPr>
            <w:tcW w:w="1488" w:type="dxa"/>
            <w:tcBorders>
              <w:top w:val="dotted" w:sz="4" w:space="0" w:color="000000"/>
              <w:bottom w:val="dotted" w:sz="4" w:space="0" w:color="000000"/>
            </w:tcBorders>
          </w:tcPr>
          <w:p>
            <w:pPr>
              <w:pStyle w:val="TableParagraph"/>
              <w:spacing w:before="22"/>
              <w:ind w:left="123" w:right="118"/>
              <w:jc w:val="center"/>
              <w:rPr>
                <w:sz w:val="16"/>
              </w:rPr>
            </w:pPr>
            <w:r>
              <w:rPr>
                <w:sz w:val="16"/>
              </w:rPr>
              <w:t>HCC</w:t>
            </w:r>
          </w:p>
        </w:tc>
      </w:tr>
      <w:tr>
        <w:trPr>
          <w:trHeight w:val="234" w:hRule="atLeast"/>
        </w:trPr>
        <w:tc>
          <w:tcPr>
            <w:tcW w:w="2045" w:type="dxa"/>
            <w:tcBorders>
              <w:top w:val="dotted" w:sz="4" w:space="0" w:color="000000"/>
              <w:bottom w:val="dotted" w:sz="4" w:space="0" w:color="000000"/>
            </w:tcBorders>
          </w:tcPr>
          <w:p>
            <w:pPr>
              <w:pStyle w:val="TableParagraph"/>
              <w:spacing w:line="215" w:lineRule="exact"/>
              <w:ind w:left="336" w:right="340"/>
              <w:jc w:val="center"/>
              <w:rPr>
                <w:rFonts w:ascii="PMingLiU" w:eastAsia="PMingLiU" w:hint="eastAsia"/>
                <w:sz w:val="16"/>
              </w:rPr>
            </w:pPr>
            <w:r>
              <w:rPr>
                <w:rFonts w:ascii="PMingLiU" w:eastAsia="PMingLiU" w:hint="eastAsia"/>
                <w:sz w:val="16"/>
              </w:rPr>
              <w:t>吉凯基因</w:t>
            </w:r>
          </w:p>
        </w:tc>
        <w:tc>
          <w:tcPr>
            <w:tcW w:w="1921" w:type="dxa"/>
            <w:tcBorders>
              <w:top w:val="dotted" w:sz="4" w:space="0" w:color="000000"/>
              <w:bottom w:val="dotted" w:sz="4" w:space="0" w:color="000000"/>
            </w:tcBorders>
          </w:tcPr>
          <w:p>
            <w:pPr>
              <w:pStyle w:val="TableParagraph"/>
              <w:spacing w:before="22"/>
              <w:ind w:left="339" w:right="251"/>
              <w:jc w:val="center"/>
              <w:rPr>
                <w:sz w:val="16"/>
              </w:rPr>
            </w:pPr>
            <w:r>
              <w:rPr>
                <w:sz w:val="16"/>
              </w:rPr>
              <w:t>GB5011</w:t>
            </w:r>
          </w:p>
        </w:tc>
        <w:tc>
          <w:tcPr>
            <w:tcW w:w="1091" w:type="dxa"/>
            <w:tcBorders>
              <w:top w:val="dotted" w:sz="4" w:space="0" w:color="000000"/>
              <w:bottom w:val="dotted" w:sz="4" w:space="0" w:color="000000"/>
            </w:tcBorders>
          </w:tcPr>
          <w:p>
            <w:pPr>
              <w:pStyle w:val="TableParagraph"/>
              <w:spacing w:line="215" w:lineRule="exact"/>
              <w:ind w:left="265" w:right="145"/>
              <w:jc w:val="center"/>
              <w:rPr>
                <w:rFonts w:ascii="PMingLiU" w:eastAsia="PMingLiU" w:hint="eastAsia"/>
                <w:sz w:val="16"/>
              </w:rPr>
            </w:pPr>
            <w:r>
              <w:rPr>
                <w:sz w:val="16"/>
              </w:rPr>
              <w:t>I/II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2"/>
              <w:ind w:left="142" w:right="123"/>
              <w:jc w:val="center"/>
              <w:rPr>
                <w:sz w:val="16"/>
              </w:rPr>
            </w:pPr>
            <w:r>
              <w:rPr>
                <w:sz w:val="16"/>
              </w:rPr>
              <w:t>CAR-T</w:t>
            </w:r>
          </w:p>
        </w:tc>
        <w:tc>
          <w:tcPr>
            <w:tcW w:w="1488" w:type="dxa"/>
            <w:tcBorders>
              <w:top w:val="dotted" w:sz="4" w:space="0" w:color="000000"/>
              <w:bottom w:val="dotted" w:sz="4" w:space="0" w:color="000000"/>
            </w:tcBorders>
          </w:tcPr>
          <w:p>
            <w:pPr>
              <w:pStyle w:val="TableParagraph"/>
              <w:spacing w:before="22"/>
              <w:ind w:left="123" w:right="118"/>
              <w:jc w:val="center"/>
              <w:rPr>
                <w:sz w:val="16"/>
              </w:rPr>
            </w:pPr>
            <w:r>
              <w:rPr>
                <w:sz w:val="16"/>
              </w:rPr>
              <w:t>HCC</w:t>
            </w:r>
          </w:p>
        </w:tc>
      </w:tr>
      <w:tr>
        <w:trPr>
          <w:trHeight w:val="230" w:hRule="atLeast"/>
        </w:trPr>
        <w:tc>
          <w:tcPr>
            <w:tcW w:w="2045" w:type="dxa"/>
            <w:tcBorders>
              <w:top w:val="dotted" w:sz="4" w:space="0" w:color="000000"/>
              <w:bottom w:val="dotted" w:sz="4" w:space="0" w:color="000000"/>
            </w:tcBorders>
          </w:tcPr>
          <w:p>
            <w:pPr>
              <w:pStyle w:val="TableParagraph"/>
              <w:spacing w:before="22"/>
              <w:ind w:left="339" w:right="340"/>
              <w:jc w:val="center"/>
              <w:rPr>
                <w:sz w:val="16"/>
              </w:rPr>
            </w:pPr>
            <w:r>
              <w:rPr>
                <w:sz w:val="16"/>
              </w:rPr>
              <w:t>Sanofi</w:t>
            </w:r>
          </w:p>
        </w:tc>
        <w:tc>
          <w:tcPr>
            <w:tcW w:w="1921" w:type="dxa"/>
            <w:tcBorders>
              <w:top w:val="dotted" w:sz="4" w:space="0" w:color="000000"/>
              <w:bottom w:val="dotted" w:sz="4" w:space="0" w:color="000000"/>
            </w:tcBorders>
          </w:tcPr>
          <w:p>
            <w:pPr>
              <w:pStyle w:val="TableParagraph"/>
              <w:spacing w:before="22"/>
              <w:ind w:left="339" w:right="252"/>
              <w:jc w:val="center"/>
              <w:rPr>
                <w:sz w:val="16"/>
              </w:rPr>
            </w:pPr>
            <w:r>
              <w:rPr>
                <w:sz w:val="16"/>
              </w:rPr>
              <w:t>SAR444200</w:t>
            </w:r>
          </w:p>
        </w:tc>
        <w:tc>
          <w:tcPr>
            <w:tcW w:w="1091" w:type="dxa"/>
            <w:tcBorders>
              <w:top w:val="dotted" w:sz="4" w:space="0" w:color="000000"/>
              <w:bottom w:val="dotted" w:sz="4" w:space="0" w:color="000000"/>
            </w:tcBorders>
          </w:tcPr>
          <w:p>
            <w:pPr>
              <w:pStyle w:val="TableParagraph"/>
              <w:spacing w:line="210" w:lineRule="exact"/>
              <w:ind w:left="265" w:right="145"/>
              <w:jc w:val="center"/>
              <w:rPr>
                <w:rFonts w:ascii="PMingLiU" w:eastAsia="PMingLiU" w:hint="eastAsia"/>
                <w:sz w:val="16"/>
              </w:rPr>
            </w:pPr>
            <w:r>
              <w:rPr>
                <w:sz w:val="16"/>
              </w:rPr>
              <w:t>I/II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2"/>
              <w:ind w:left="145" w:right="121"/>
              <w:jc w:val="center"/>
              <w:rPr>
                <w:sz w:val="16"/>
              </w:rPr>
            </w:pPr>
            <w:r>
              <w:rPr>
                <w:sz w:val="16"/>
              </w:rPr>
              <w:t>NA</w:t>
            </w:r>
          </w:p>
        </w:tc>
        <w:tc>
          <w:tcPr>
            <w:tcW w:w="1488" w:type="dxa"/>
            <w:tcBorders>
              <w:top w:val="dotted" w:sz="4" w:space="0" w:color="000000"/>
              <w:bottom w:val="dotted" w:sz="4" w:space="0" w:color="000000"/>
            </w:tcBorders>
          </w:tcPr>
          <w:p>
            <w:pPr>
              <w:pStyle w:val="TableParagraph"/>
              <w:spacing w:line="210" w:lineRule="exact"/>
              <w:ind w:left="123" w:right="123"/>
              <w:jc w:val="center"/>
              <w:rPr>
                <w:rFonts w:ascii="PMingLiU" w:eastAsia="PMingLiU" w:hint="eastAsia"/>
                <w:sz w:val="16"/>
              </w:rPr>
            </w:pPr>
            <w:r>
              <w:rPr>
                <w:rFonts w:ascii="PMingLiU" w:eastAsia="PMingLiU" w:hint="eastAsia"/>
                <w:sz w:val="16"/>
              </w:rPr>
              <w:t>实体瘤</w:t>
            </w:r>
          </w:p>
        </w:tc>
      </w:tr>
      <w:tr>
        <w:trPr>
          <w:trHeight w:val="234" w:hRule="atLeast"/>
        </w:trPr>
        <w:tc>
          <w:tcPr>
            <w:tcW w:w="2045" w:type="dxa"/>
            <w:tcBorders>
              <w:top w:val="dotted" w:sz="4" w:space="0" w:color="000000"/>
              <w:bottom w:val="dotted" w:sz="4" w:space="0" w:color="000000"/>
            </w:tcBorders>
          </w:tcPr>
          <w:p>
            <w:pPr>
              <w:pStyle w:val="TableParagraph"/>
              <w:spacing w:line="215" w:lineRule="exact"/>
              <w:ind w:left="336" w:right="340"/>
              <w:jc w:val="center"/>
              <w:rPr>
                <w:rFonts w:ascii="PMingLiU" w:eastAsia="PMingLiU" w:hint="eastAsia"/>
                <w:sz w:val="16"/>
              </w:rPr>
            </w:pPr>
            <w:r>
              <w:rPr>
                <w:rFonts w:ascii="PMingLiU" w:eastAsia="PMingLiU" w:hint="eastAsia"/>
                <w:sz w:val="16"/>
              </w:rPr>
              <w:t>恒润达生</w:t>
            </w:r>
          </w:p>
        </w:tc>
        <w:tc>
          <w:tcPr>
            <w:tcW w:w="1921" w:type="dxa"/>
            <w:tcBorders>
              <w:top w:val="dotted" w:sz="4" w:space="0" w:color="000000"/>
              <w:bottom w:val="dotted" w:sz="4" w:space="0" w:color="000000"/>
            </w:tcBorders>
          </w:tcPr>
          <w:p>
            <w:pPr>
              <w:pStyle w:val="TableParagraph"/>
              <w:spacing w:before="22"/>
              <w:ind w:left="339" w:right="261"/>
              <w:jc w:val="center"/>
              <w:rPr>
                <w:sz w:val="16"/>
              </w:rPr>
            </w:pPr>
            <w:r>
              <w:rPr>
                <w:sz w:val="16"/>
              </w:rPr>
              <w:t>anti-GPC3 CAR-T</w:t>
            </w:r>
          </w:p>
        </w:tc>
        <w:tc>
          <w:tcPr>
            <w:tcW w:w="1091" w:type="dxa"/>
            <w:tcBorders>
              <w:top w:val="dotted" w:sz="4" w:space="0" w:color="000000"/>
              <w:bottom w:val="dotted" w:sz="4" w:space="0" w:color="000000"/>
            </w:tcBorders>
          </w:tcPr>
          <w:p>
            <w:pPr>
              <w:pStyle w:val="TableParagraph"/>
              <w:spacing w:line="215" w:lineRule="exact"/>
              <w:ind w:left="265" w:right="145"/>
              <w:jc w:val="center"/>
              <w:rPr>
                <w:rFonts w:ascii="PMingLiU" w:eastAsia="PMingLiU" w:hint="eastAsia"/>
                <w:sz w:val="16"/>
              </w:rPr>
            </w:pPr>
            <w:r>
              <w:rPr>
                <w:sz w:val="16"/>
              </w:rPr>
              <w:t>I/II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2"/>
              <w:ind w:left="142" w:right="123"/>
              <w:jc w:val="center"/>
              <w:rPr>
                <w:sz w:val="16"/>
              </w:rPr>
            </w:pPr>
            <w:r>
              <w:rPr>
                <w:sz w:val="16"/>
              </w:rPr>
              <w:t>CAR-T</w:t>
            </w:r>
          </w:p>
        </w:tc>
        <w:tc>
          <w:tcPr>
            <w:tcW w:w="1488" w:type="dxa"/>
            <w:tcBorders>
              <w:top w:val="dotted" w:sz="4" w:space="0" w:color="000000"/>
              <w:bottom w:val="dotted" w:sz="4" w:space="0" w:color="000000"/>
            </w:tcBorders>
          </w:tcPr>
          <w:p>
            <w:pPr>
              <w:pStyle w:val="TableParagraph"/>
              <w:spacing w:before="22"/>
              <w:ind w:left="123" w:right="118"/>
              <w:jc w:val="center"/>
              <w:rPr>
                <w:sz w:val="16"/>
              </w:rPr>
            </w:pPr>
            <w:r>
              <w:rPr>
                <w:sz w:val="16"/>
              </w:rPr>
              <w:t>HCC</w:t>
            </w:r>
          </w:p>
        </w:tc>
      </w:tr>
      <w:tr>
        <w:trPr>
          <w:trHeight w:val="230" w:hRule="atLeast"/>
        </w:trPr>
        <w:tc>
          <w:tcPr>
            <w:tcW w:w="2045" w:type="dxa"/>
            <w:tcBorders>
              <w:top w:val="dotted" w:sz="4" w:space="0" w:color="000000"/>
              <w:bottom w:val="dotted" w:sz="4" w:space="0" w:color="000000"/>
            </w:tcBorders>
          </w:tcPr>
          <w:p>
            <w:pPr>
              <w:pStyle w:val="TableParagraph"/>
              <w:spacing w:line="210" w:lineRule="exact"/>
              <w:ind w:left="336" w:right="340"/>
              <w:jc w:val="center"/>
              <w:rPr>
                <w:rFonts w:ascii="PMingLiU" w:eastAsia="PMingLiU" w:hint="eastAsia"/>
                <w:sz w:val="16"/>
              </w:rPr>
            </w:pPr>
            <w:r>
              <w:rPr>
                <w:rFonts w:ascii="PMingLiU" w:eastAsia="PMingLiU" w:hint="eastAsia"/>
                <w:sz w:val="16"/>
              </w:rPr>
              <w:t>上海医药</w:t>
            </w:r>
          </w:p>
        </w:tc>
        <w:tc>
          <w:tcPr>
            <w:tcW w:w="1921" w:type="dxa"/>
            <w:tcBorders>
              <w:top w:val="dotted" w:sz="4" w:space="0" w:color="000000"/>
              <w:bottom w:val="dotted" w:sz="4" w:space="0" w:color="000000"/>
            </w:tcBorders>
          </w:tcPr>
          <w:p>
            <w:pPr>
              <w:pStyle w:val="TableParagraph"/>
              <w:spacing w:before="22"/>
              <w:ind w:left="339" w:right="257"/>
              <w:jc w:val="center"/>
              <w:rPr>
                <w:sz w:val="16"/>
              </w:rPr>
            </w:pPr>
            <w:r>
              <w:rPr>
                <w:sz w:val="16"/>
              </w:rPr>
              <w:t>B010-A</w:t>
            </w:r>
          </w:p>
        </w:tc>
        <w:tc>
          <w:tcPr>
            <w:tcW w:w="1091" w:type="dxa"/>
            <w:tcBorders>
              <w:top w:val="dotted" w:sz="4" w:space="0" w:color="000000"/>
              <w:bottom w:val="dotted" w:sz="4" w:space="0" w:color="000000"/>
            </w:tcBorders>
          </w:tcPr>
          <w:p>
            <w:pPr>
              <w:pStyle w:val="TableParagraph"/>
              <w:spacing w:line="210" w:lineRule="exact"/>
              <w:ind w:left="265" w:right="145"/>
              <w:jc w:val="center"/>
              <w:rPr>
                <w:rFonts w:ascii="PMingLiU" w:eastAsia="PMingLiU" w:hint="eastAsia"/>
                <w:sz w:val="16"/>
              </w:rPr>
            </w:pPr>
            <w:r>
              <w:rPr>
                <w:sz w:val="16"/>
              </w:rPr>
              <w:t>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2"/>
              <w:ind w:left="142" w:right="123"/>
              <w:jc w:val="center"/>
              <w:rPr>
                <w:sz w:val="16"/>
              </w:rPr>
            </w:pPr>
            <w:r>
              <w:rPr>
                <w:sz w:val="16"/>
              </w:rPr>
              <w:t>CAR-T</w:t>
            </w:r>
          </w:p>
        </w:tc>
        <w:tc>
          <w:tcPr>
            <w:tcW w:w="1488" w:type="dxa"/>
            <w:tcBorders>
              <w:top w:val="dotted" w:sz="4" w:space="0" w:color="000000"/>
              <w:bottom w:val="dotted" w:sz="4" w:space="0" w:color="000000"/>
            </w:tcBorders>
          </w:tcPr>
          <w:p>
            <w:pPr>
              <w:pStyle w:val="TableParagraph"/>
              <w:spacing w:before="22"/>
              <w:ind w:left="123" w:right="118"/>
              <w:jc w:val="center"/>
              <w:rPr>
                <w:sz w:val="16"/>
              </w:rPr>
            </w:pPr>
            <w:r>
              <w:rPr>
                <w:sz w:val="16"/>
              </w:rPr>
              <w:t>HCC</w:t>
            </w:r>
          </w:p>
        </w:tc>
      </w:tr>
      <w:tr>
        <w:trPr>
          <w:trHeight w:val="235" w:hRule="atLeast"/>
        </w:trPr>
        <w:tc>
          <w:tcPr>
            <w:tcW w:w="2045" w:type="dxa"/>
            <w:tcBorders>
              <w:top w:val="dotted" w:sz="4" w:space="0" w:color="000000"/>
              <w:bottom w:val="dotted" w:sz="4" w:space="0" w:color="000000"/>
            </w:tcBorders>
          </w:tcPr>
          <w:p>
            <w:pPr>
              <w:pStyle w:val="TableParagraph"/>
              <w:spacing w:line="215" w:lineRule="exact"/>
              <w:ind w:left="340" w:right="340"/>
              <w:jc w:val="center"/>
              <w:rPr>
                <w:rFonts w:ascii="PMingLiU" w:eastAsia="PMingLiU" w:hint="eastAsia"/>
                <w:sz w:val="16"/>
              </w:rPr>
            </w:pPr>
            <w:r>
              <w:rPr>
                <w:rFonts w:ascii="PMingLiU" w:eastAsia="PMingLiU" w:hint="eastAsia"/>
                <w:sz w:val="16"/>
              </w:rPr>
              <w:t>科济药业</w:t>
            </w:r>
            <w:r>
              <w:rPr>
                <w:sz w:val="16"/>
              </w:rPr>
              <w:t>,</w:t>
            </w:r>
            <w:r>
              <w:rPr>
                <w:rFonts w:ascii="PMingLiU" w:eastAsia="PMingLiU" w:hint="eastAsia"/>
                <w:sz w:val="16"/>
              </w:rPr>
              <w:t>仁济医院</w:t>
            </w:r>
          </w:p>
        </w:tc>
        <w:tc>
          <w:tcPr>
            <w:tcW w:w="1921" w:type="dxa"/>
            <w:tcBorders>
              <w:top w:val="dotted" w:sz="4" w:space="0" w:color="000000"/>
              <w:bottom w:val="dotted" w:sz="4" w:space="0" w:color="000000"/>
            </w:tcBorders>
          </w:tcPr>
          <w:p>
            <w:pPr>
              <w:pStyle w:val="TableParagraph"/>
              <w:spacing w:before="27"/>
              <w:ind w:left="339" w:right="252"/>
              <w:jc w:val="center"/>
              <w:rPr>
                <w:sz w:val="16"/>
              </w:rPr>
            </w:pPr>
            <w:r>
              <w:rPr>
                <w:sz w:val="16"/>
              </w:rPr>
              <w:t>CT011</w:t>
            </w:r>
          </w:p>
        </w:tc>
        <w:tc>
          <w:tcPr>
            <w:tcW w:w="1091" w:type="dxa"/>
            <w:tcBorders>
              <w:top w:val="dotted" w:sz="4" w:space="0" w:color="000000"/>
              <w:bottom w:val="dotted" w:sz="4" w:space="0" w:color="000000"/>
            </w:tcBorders>
          </w:tcPr>
          <w:p>
            <w:pPr>
              <w:pStyle w:val="TableParagraph"/>
              <w:spacing w:line="215" w:lineRule="exact"/>
              <w:ind w:left="265" w:right="145"/>
              <w:jc w:val="center"/>
              <w:rPr>
                <w:rFonts w:ascii="PMingLiU" w:eastAsia="PMingLiU" w:hint="eastAsia"/>
                <w:sz w:val="16"/>
              </w:rPr>
            </w:pPr>
            <w:r>
              <w:rPr>
                <w:sz w:val="16"/>
              </w:rPr>
              <w:t>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7"/>
              <w:ind w:left="142" w:right="123"/>
              <w:jc w:val="center"/>
              <w:rPr>
                <w:sz w:val="16"/>
              </w:rPr>
            </w:pPr>
            <w:r>
              <w:rPr>
                <w:sz w:val="16"/>
              </w:rPr>
              <w:t>CAR-T</w:t>
            </w:r>
          </w:p>
        </w:tc>
        <w:tc>
          <w:tcPr>
            <w:tcW w:w="1488" w:type="dxa"/>
            <w:tcBorders>
              <w:top w:val="dotted" w:sz="4" w:space="0" w:color="000000"/>
              <w:bottom w:val="dotted" w:sz="4" w:space="0" w:color="000000"/>
            </w:tcBorders>
          </w:tcPr>
          <w:p>
            <w:pPr>
              <w:pStyle w:val="TableParagraph"/>
              <w:spacing w:before="27"/>
              <w:ind w:left="123" w:right="120"/>
              <w:jc w:val="center"/>
              <w:rPr>
                <w:sz w:val="16"/>
              </w:rPr>
            </w:pPr>
            <w:r>
              <w:rPr>
                <w:sz w:val="16"/>
              </w:rPr>
              <w:t>LC, HCC</w:t>
            </w:r>
          </w:p>
        </w:tc>
      </w:tr>
      <w:tr>
        <w:trPr>
          <w:trHeight w:val="234" w:hRule="atLeast"/>
        </w:trPr>
        <w:tc>
          <w:tcPr>
            <w:tcW w:w="2045" w:type="dxa"/>
            <w:tcBorders>
              <w:top w:val="dotted" w:sz="4" w:space="0" w:color="000000"/>
              <w:bottom w:val="dotted" w:sz="4" w:space="0" w:color="000000"/>
            </w:tcBorders>
          </w:tcPr>
          <w:p>
            <w:pPr>
              <w:pStyle w:val="TableParagraph"/>
              <w:spacing w:line="215" w:lineRule="exact"/>
              <w:ind w:left="336" w:right="340"/>
              <w:jc w:val="center"/>
              <w:rPr>
                <w:rFonts w:ascii="PMingLiU" w:eastAsia="PMingLiU" w:hint="eastAsia"/>
                <w:sz w:val="16"/>
              </w:rPr>
            </w:pPr>
            <w:r>
              <w:rPr>
                <w:rFonts w:ascii="PMingLiU" w:eastAsia="PMingLiU" w:hint="eastAsia"/>
                <w:sz w:val="16"/>
              </w:rPr>
              <w:t>科济药业</w:t>
            </w:r>
          </w:p>
        </w:tc>
        <w:tc>
          <w:tcPr>
            <w:tcW w:w="1921" w:type="dxa"/>
            <w:tcBorders>
              <w:top w:val="dotted" w:sz="4" w:space="0" w:color="000000"/>
              <w:bottom w:val="dotted" w:sz="4" w:space="0" w:color="000000"/>
            </w:tcBorders>
          </w:tcPr>
          <w:p>
            <w:pPr>
              <w:pStyle w:val="TableParagraph"/>
              <w:spacing w:before="22"/>
              <w:ind w:left="339" w:right="252"/>
              <w:jc w:val="center"/>
              <w:rPr>
                <w:sz w:val="16"/>
              </w:rPr>
            </w:pPr>
            <w:r>
              <w:rPr>
                <w:sz w:val="16"/>
              </w:rPr>
              <w:t>CT017</w:t>
            </w:r>
          </w:p>
        </w:tc>
        <w:tc>
          <w:tcPr>
            <w:tcW w:w="1091" w:type="dxa"/>
            <w:tcBorders>
              <w:top w:val="dotted" w:sz="4" w:space="0" w:color="000000"/>
              <w:bottom w:val="dotted" w:sz="4" w:space="0" w:color="000000"/>
            </w:tcBorders>
          </w:tcPr>
          <w:p>
            <w:pPr>
              <w:pStyle w:val="TableParagraph"/>
              <w:spacing w:line="215" w:lineRule="exact"/>
              <w:ind w:left="265" w:right="145"/>
              <w:jc w:val="center"/>
              <w:rPr>
                <w:rFonts w:ascii="PMingLiU" w:eastAsia="PMingLiU" w:hint="eastAsia"/>
                <w:sz w:val="16"/>
              </w:rPr>
            </w:pPr>
            <w:r>
              <w:rPr>
                <w:sz w:val="16"/>
              </w:rPr>
              <w:t>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2"/>
              <w:ind w:left="142" w:right="123"/>
              <w:jc w:val="center"/>
              <w:rPr>
                <w:sz w:val="16"/>
              </w:rPr>
            </w:pPr>
            <w:r>
              <w:rPr>
                <w:sz w:val="16"/>
              </w:rPr>
              <w:t>CAR-T</w:t>
            </w:r>
          </w:p>
        </w:tc>
        <w:tc>
          <w:tcPr>
            <w:tcW w:w="1488" w:type="dxa"/>
            <w:tcBorders>
              <w:top w:val="dotted" w:sz="4" w:space="0" w:color="000000"/>
              <w:bottom w:val="dotted" w:sz="4" w:space="0" w:color="000000"/>
            </w:tcBorders>
          </w:tcPr>
          <w:p>
            <w:pPr>
              <w:pStyle w:val="TableParagraph"/>
              <w:spacing w:before="22"/>
              <w:ind w:left="123" w:right="118"/>
              <w:jc w:val="center"/>
              <w:rPr>
                <w:sz w:val="16"/>
              </w:rPr>
            </w:pPr>
            <w:r>
              <w:rPr>
                <w:sz w:val="16"/>
              </w:rPr>
              <w:t>HCC</w:t>
            </w:r>
          </w:p>
        </w:tc>
      </w:tr>
      <w:tr>
        <w:trPr>
          <w:trHeight w:val="230" w:hRule="atLeast"/>
        </w:trPr>
        <w:tc>
          <w:tcPr>
            <w:tcW w:w="2045" w:type="dxa"/>
            <w:tcBorders>
              <w:top w:val="dotted" w:sz="4" w:space="0" w:color="000000"/>
              <w:bottom w:val="dotted" w:sz="4" w:space="0" w:color="000000"/>
            </w:tcBorders>
          </w:tcPr>
          <w:p>
            <w:pPr>
              <w:pStyle w:val="TableParagraph"/>
              <w:spacing w:line="210" w:lineRule="exact"/>
              <w:ind w:left="336" w:right="340"/>
              <w:jc w:val="center"/>
              <w:rPr>
                <w:rFonts w:ascii="PMingLiU" w:eastAsia="PMingLiU" w:hint="eastAsia"/>
                <w:sz w:val="16"/>
              </w:rPr>
            </w:pPr>
            <w:r>
              <w:rPr>
                <w:rFonts w:ascii="PMingLiU" w:eastAsia="PMingLiU" w:hint="eastAsia"/>
                <w:sz w:val="16"/>
              </w:rPr>
              <w:t>科济药业</w:t>
            </w:r>
          </w:p>
        </w:tc>
        <w:tc>
          <w:tcPr>
            <w:tcW w:w="1921" w:type="dxa"/>
            <w:tcBorders>
              <w:top w:val="dotted" w:sz="4" w:space="0" w:color="000000"/>
              <w:bottom w:val="dotted" w:sz="4" w:space="0" w:color="000000"/>
            </w:tcBorders>
          </w:tcPr>
          <w:p>
            <w:pPr>
              <w:pStyle w:val="TableParagraph"/>
              <w:spacing w:before="22"/>
              <w:ind w:left="339" w:right="256"/>
              <w:jc w:val="center"/>
              <w:rPr>
                <w:sz w:val="16"/>
              </w:rPr>
            </w:pPr>
            <w:r>
              <w:rPr>
                <w:sz w:val="16"/>
              </w:rPr>
              <w:t>CT0180</w:t>
            </w:r>
          </w:p>
        </w:tc>
        <w:tc>
          <w:tcPr>
            <w:tcW w:w="1091" w:type="dxa"/>
            <w:tcBorders>
              <w:top w:val="dotted" w:sz="4" w:space="0" w:color="000000"/>
              <w:bottom w:val="dotted" w:sz="4" w:space="0" w:color="000000"/>
            </w:tcBorders>
          </w:tcPr>
          <w:p>
            <w:pPr>
              <w:pStyle w:val="TableParagraph"/>
              <w:spacing w:line="210" w:lineRule="exact"/>
              <w:ind w:left="265" w:right="145"/>
              <w:jc w:val="center"/>
              <w:rPr>
                <w:rFonts w:ascii="PMingLiU" w:eastAsia="PMingLiU" w:hint="eastAsia"/>
                <w:sz w:val="16"/>
              </w:rPr>
            </w:pPr>
            <w:r>
              <w:rPr>
                <w:sz w:val="16"/>
              </w:rPr>
              <w:t>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2"/>
              <w:ind w:left="142" w:right="123"/>
              <w:jc w:val="center"/>
              <w:rPr>
                <w:sz w:val="16"/>
              </w:rPr>
            </w:pPr>
            <w:r>
              <w:rPr>
                <w:sz w:val="16"/>
              </w:rPr>
              <w:t>CAR-T</w:t>
            </w:r>
          </w:p>
        </w:tc>
        <w:tc>
          <w:tcPr>
            <w:tcW w:w="1488" w:type="dxa"/>
            <w:tcBorders>
              <w:top w:val="dotted" w:sz="4" w:space="0" w:color="000000"/>
              <w:bottom w:val="dotted" w:sz="4" w:space="0" w:color="000000"/>
            </w:tcBorders>
          </w:tcPr>
          <w:p>
            <w:pPr>
              <w:pStyle w:val="TableParagraph"/>
              <w:spacing w:before="22"/>
              <w:ind w:left="123" w:right="118"/>
              <w:jc w:val="center"/>
              <w:rPr>
                <w:sz w:val="16"/>
              </w:rPr>
            </w:pPr>
            <w:r>
              <w:rPr>
                <w:sz w:val="16"/>
              </w:rPr>
              <w:t>HCC</w:t>
            </w:r>
          </w:p>
        </w:tc>
      </w:tr>
      <w:tr>
        <w:trPr>
          <w:trHeight w:val="234" w:hRule="atLeast"/>
        </w:trPr>
        <w:tc>
          <w:tcPr>
            <w:tcW w:w="2045" w:type="dxa"/>
            <w:tcBorders>
              <w:top w:val="dotted" w:sz="4" w:space="0" w:color="000000"/>
              <w:bottom w:val="dotted" w:sz="4" w:space="0" w:color="000000"/>
            </w:tcBorders>
          </w:tcPr>
          <w:p>
            <w:pPr>
              <w:pStyle w:val="TableParagraph"/>
              <w:spacing w:line="215" w:lineRule="exact"/>
              <w:ind w:left="336" w:right="340"/>
              <w:jc w:val="center"/>
              <w:rPr>
                <w:rFonts w:ascii="PMingLiU" w:eastAsia="PMingLiU" w:hint="eastAsia"/>
                <w:sz w:val="16"/>
              </w:rPr>
            </w:pPr>
            <w:r>
              <w:rPr>
                <w:rFonts w:ascii="PMingLiU" w:eastAsia="PMingLiU" w:hint="eastAsia"/>
                <w:sz w:val="16"/>
              </w:rPr>
              <w:t>科济药业</w:t>
            </w:r>
          </w:p>
        </w:tc>
        <w:tc>
          <w:tcPr>
            <w:tcW w:w="1921" w:type="dxa"/>
            <w:tcBorders>
              <w:top w:val="dotted" w:sz="4" w:space="0" w:color="000000"/>
              <w:bottom w:val="dotted" w:sz="4" w:space="0" w:color="000000"/>
            </w:tcBorders>
          </w:tcPr>
          <w:p>
            <w:pPr>
              <w:pStyle w:val="TableParagraph"/>
              <w:spacing w:before="22"/>
              <w:ind w:left="339" w:right="256"/>
              <w:jc w:val="center"/>
              <w:rPr>
                <w:sz w:val="16"/>
              </w:rPr>
            </w:pPr>
            <w:r>
              <w:rPr>
                <w:sz w:val="16"/>
              </w:rPr>
              <w:t>CT0181</w:t>
            </w:r>
          </w:p>
        </w:tc>
        <w:tc>
          <w:tcPr>
            <w:tcW w:w="1091" w:type="dxa"/>
            <w:tcBorders>
              <w:top w:val="dotted" w:sz="4" w:space="0" w:color="000000"/>
              <w:bottom w:val="dotted" w:sz="4" w:space="0" w:color="000000"/>
            </w:tcBorders>
          </w:tcPr>
          <w:p>
            <w:pPr>
              <w:pStyle w:val="TableParagraph"/>
              <w:spacing w:line="215" w:lineRule="exact"/>
              <w:ind w:left="265" w:right="145"/>
              <w:jc w:val="center"/>
              <w:rPr>
                <w:rFonts w:ascii="PMingLiU" w:eastAsia="PMingLiU" w:hint="eastAsia"/>
                <w:sz w:val="16"/>
              </w:rPr>
            </w:pPr>
            <w:r>
              <w:rPr>
                <w:sz w:val="16"/>
              </w:rPr>
              <w:t>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2"/>
              <w:ind w:left="142" w:right="123"/>
              <w:jc w:val="center"/>
              <w:rPr>
                <w:sz w:val="16"/>
              </w:rPr>
            </w:pPr>
            <w:r>
              <w:rPr>
                <w:sz w:val="16"/>
              </w:rPr>
              <w:t>CAR-T</w:t>
            </w:r>
          </w:p>
        </w:tc>
        <w:tc>
          <w:tcPr>
            <w:tcW w:w="1488" w:type="dxa"/>
            <w:tcBorders>
              <w:top w:val="dotted" w:sz="4" w:space="0" w:color="000000"/>
              <w:bottom w:val="dotted" w:sz="4" w:space="0" w:color="000000"/>
            </w:tcBorders>
          </w:tcPr>
          <w:p>
            <w:pPr>
              <w:pStyle w:val="TableParagraph"/>
              <w:spacing w:before="22"/>
              <w:ind w:left="123" w:right="118"/>
              <w:jc w:val="center"/>
              <w:rPr>
                <w:sz w:val="16"/>
              </w:rPr>
            </w:pPr>
            <w:r>
              <w:rPr>
                <w:sz w:val="16"/>
              </w:rPr>
              <w:t>HCC</w:t>
            </w:r>
          </w:p>
        </w:tc>
      </w:tr>
      <w:tr>
        <w:trPr>
          <w:trHeight w:val="230" w:hRule="atLeast"/>
        </w:trPr>
        <w:tc>
          <w:tcPr>
            <w:tcW w:w="2045" w:type="dxa"/>
            <w:tcBorders>
              <w:top w:val="dotted" w:sz="4" w:space="0" w:color="000000"/>
              <w:bottom w:val="dotted" w:sz="4" w:space="0" w:color="000000"/>
            </w:tcBorders>
          </w:tcPr>
          <w:p>
            <w:pPr>
              <w:pStyle w:val="TableParagraph"/>
              <w:spacing w:before="22"/>
              <w:ind w:left="340" w:right="340"/>
              <w:jc w:val="center"/>
              <w:rPr>
                <w:sz w:val="16"/>
              </w:rPr>
            </w:pPr>
            <w:r>
              <w:rPr>
                <w:sz w:val="16"/>
              </w:rPr>
              <w:t>Chugai</w:t>
            </w:r>
          </w:p>
        </w:tc>
        <w:tc>
          <w:tcPr>
            <w:tcW w:w="1921" w:type="dxa"/>
            <w:tcBorders>
              <w:top w:val="dotted" w:sz="4" w:space="0" w:color="000000"/>
              <w:bottom w:val="dotted" w:sz="4" w:space="0" w:color="000000"/>
            </w:tcBorders>
          </w:tcPr>
          <w:p>
            <w:pPr>
              <w:pStyle w:val="TableParagraph"/>
              <w:spacing w:before="22"/>
              <w:ind w:left="339" w:right="251"/>
              <w:jc w:val="center"/>
              <w:rPr>
                <w:sz w:val="16"/>
              </w:rPr>
            </w:pPr>
            <w:r>
              <w:rPr>
                <w:sz w:val="16"/>
              </w:rPr>
              <w:t>ERY974</w:t>
            </w:r>
          </w:p>
        </w:tc>
        <w:tc>
          <w:tcPr>
            <w:tcW w:w="1091" w:type="dxa"/>
            <w:tcBorders>
              <w:top w:val="dotted" w:sz="4" w:space="0" w:color="000000"/>
              <w:bottom w:val="dotted" w:sz="4" w:space="0" w:color="000000"/>
            </w:tcBorders>
          </w:tcPr>
          <w:p>
            <w:pPr>
              <w:pStyle w:val="TableParagraph"/>
              <w:spacing w:line="210" w:lineRule="exact"/>
              <w:ind w:left="265" w:right="145"/>
              <w:jc w:val="center"/>
              <w:rPr>
                <w:rFonts w:ascii="PMingLiU" w:eastAsia="PMingLiU" w:hint="eastAsia"/>
                <w:sz w:val="16"/>
              </w:rPr>
            </w:pPr>
            <w:r>
              <w:rPr>
                <w:sz w:val="16"/>
              </w:rPr>
              <w:t>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line="210" w:lineRule="exact"/>
              <w:ind w:left="136" w:right="123"/>
              <w:jc w:val="center"/>
              <w:rPr>
                <w:rFonts w:ascii="PMingLiU" w:eastAsia="PMingLiU" w:hint="eastAsia"/>
                <w:sz w:val="16"/>
              </w:rPr>
            </w:pPr>
            <w:r>
              <w:rPr>
                <w:rFonts w:ascii="PMingLiU" w:eastAsia="PMingLiU" w:hint="eastAsia"/>
                <w:sz w:val="16"/>
              </w:rPr>
              <w:t>双抗</w:t>
            </w:r>
          </w:p>
        </w:tc>
        <w:tc>
          <w:tcPr>
            <w:tcW w:w="1488" w:type="dxa"/>
            <w:tcBorders>
              <w:top w:val="dotted" w:sz="4" w:space="0" w:color="000000"/>
              <w:bottom w:val="dotted" w:sz="4" w:space="0" w:color="000000"/>
            </w:tcBorders>
          </w:tcPr>
          <w:p>
            <w:pPr>
              <w:pStyle w:val="TableParagraph"/>
              <w:spacing w:before="22"/>
              <w:ind w:left="123" w:right="118"/>
              <w:jc w:val="center"/>
              <w:rPr>
                <w:sz w:val="16"/>
              </w:rPr>
            </w:pPr>
            <w:r>
              <w:rPr>
                <w:sz w:val="16"/>
              </w:rPr>
              <w:t>HCC</w:t>
            </w:r>
          </w:p>
        </w:tc>
      </w:tr>
      <w:tr>
        <w:trPr>
          <w:trHeight w:val="234" w:hRule="atLeast"/>
        </w:trPr>
        <w:tc>
          <w:tcPr>
            <w:tcW w:w="2045" w:type="dxa"/>
            <w:tcBorders>
              <w:top w:val="dotted" w:sz="4" w:space="0" w:color="000000"/>
              <w:bottom w:val="dotted" w:sz="4" w:space="0" w:color="000000"/>
            </w:tcBorders>
          </w:tcPr>
          <w:p>
            <w:pPr>
              <w:pStyle w:val="TableParagraph"/>
              <w:spacing w:line="212" w:lineRule="exact" w:before="3"/>
              <w:ind w:left="336" w:right="340"/>
              <w:jc w:val="center"/>
              <w:rPr>
                <w:rFonts w:ascii="PMingLiU" w:eastAsia="PMingLiU" w:hint="eastAsia"/>
                <w:sz w:val="16"/>
              </w:rPr>
            </w:pPr>
            <w:r>
              <w:rPr>
                <w:rFonts w:ascii="PMingLiU" w:eastAsia="PMingLiU" w:hint="eastAsia"/>
                <w:sz w:val="16"/>
              </w:rPr>
              <w:t>原启生物</w:t>
            </w:r>
          </w:p>
        </w:tc>
        <w:tc>
          <w:tcPr>
            <w:tcW w:w="1921" w:type="dxa"/>
            <w:tcBorders>
              <w:top w:val="dotted" w:sz="4" w:space="0" w:color="000000"/>
              <w:bottom w:val="dotted" w:sz="4" w:space="0" w:color="000000"/>
            </w:tcBorders>
          </w:tcPr>
          <w:p>
            <w:pPr>
              <w:pStyle w:val="TableParagraph"/>
              <w:spacing w:before="27"/>
              <w:ind w:left="339" w:right="251"/>
              <w:jc w:val="center"/>
              <w:rPr>
                <w:sz w:val="16"/>
              </w:rPr>
            </w:pPr>
            <w:r>
              <w:rPr>
                <w:sz w:val="16"/>
              </w:rPr>
              <w:t>GPC3-CAR-Ori2</w:t>
            </w:r>
          </w:p>
        </w:tc>
        <w:tc>
          <w:tcPr>
            <w:tcW w:w="1091" w:type="dxa"/>
            <w:tcBorders>
              <w:top w:val="dotted" w:sz="4" w:space="0" w:color="000000"/>
              <w:bottom w:val="dotted" w:sz="4" w:space="0" w:color="000000"/>
            </w:tcBorders>
          </w:tcPr>
          <w:p>
            <w:pPr>
              <w:pStyle w:val="TableParagraph"/>
              <w:spacing w:line="212" w:lineRule="exact" w:before="3"/>
              <w:ind w:left="265" w:right="145"/>
              <w:jc w:val="center"/>
              <w:rPr>
                <w:rFonts w:ascii="PMingLiU" w:eastAsia="PMingLiU" w:hint="eastAsia"/>
                <w:sz w:val="16"/>
              </w:rPr>
            </w:pPr>
            <w:r>
              <w:rPr>
                <w:sz w:val="16"/>
              </w:rPr>
              <w:t>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7"/>
              <w:ind w:left="142" w:right="123"/>
              <w:jc w:val="center"/>
              <w:rPr>
                <w:sz w:val="16"/>
              </w:rPr>
            </w:pPr>
            <w:r>
              <w:rPr>
                <w:sz w:val="16"/>
              </w:rPr>
              <w:t>CAR-T</w:t>
            </w:r>
          </w:p>
        </w:tc>
        <w:tc>
          <w:tcPr>
            <w:tcW w:w="1488" w:type="dxa"/>
            <w:tcBorders>
              <w:top w:val="dotted" w:sz="4" w:space="0" w:color="000000"/>
              <w:bottom w:val="dotted" w:sz="4" w:space="0" w:color="000000"/>
            </w:tcBorders>
          </w:tcPr>
          <w:p>
            <w:pPr>
              <w:pStyle w:val="TableParagraph"/>
              <w:spacing w:before="27"/>
              <w:ind w:left="123" w:right="118"/>
              <w:jc w:val="center"/>
              <w:rPr>
                <w:sz w:val="16"/>
              </w:rPr>
            </w:pPr>
            <w:r>
              <w:rPr>
                <w:sz w:val="16"/>
              </w:rPr>
              <w:t>HCC</w:t>
            </w:r>
          </w:p>
        </w:tc>
      </w:tr>
      <w:tr>
        <w:trPr>
          <w:trHeight w:val="234" w:hRule="atLeast"/>
        </w:trPr>
        <w:tc>
          <w:tcPr>
            <w:tcW w:w="2045" w:type="dxa"/>
            <w:tcBorders>
              <w:top w:val="dotted" w:sz="4" w:space="0" w:color="000000"/>
              <w:bottom w:val="dotted" w:sz="4" w:space="0" w:color="000000"/>
            </w:tcBorders>
          </w:tcPr>
          <w:p>
            <w:pPr>
              <w:pStyle w:val="TableParagraph"/>
              <w:spacing w:line="215" w:lineRule="exact"/>
              <w:ind w:left="336" w:right="340"/>
              <w:jc w:val="center"/>
              <w:rPr>
                <w:rFonts w:ascii="PMingLiU" w:eastAsia="PMingLiU" w:hint="eastAsia"/>
                <w:sz w:val="16"/>
              </w:rPr>
            </w:pPr>
            <w:r>
              <w:rPr>
                <w:rFonts w:ascii="PMingLiU" w:eastAsia="PMingLiU" w:hint="eastAsia"/>
                <w:sz w:val="16"/>
              </w:rPr>
              <w:t>艺妙神州</w:t>
            </w:r>
          </w:p>
        </w:tc>
        <w:tc>
          <w:tcPr>
            <w:tcW w:w="1921" w:type="dxa"/>
            <w:tcBorders>
              <w:top w:val="dotted" w:sz="4" w:space="0" w:color="000000"/>
              <w:bottom w:val="dotted" w:sz="4" w:space="0" w:color="000000"/>
            </w:tcBorders>
          </w:tcPr>
          <w:p>
            <w:pPr>
              <w:pStyle w:val="TableParagraph"/>
              <w:spacing w:before="22"/>
              <w:ind w:left="339" w:right="251"/>
              <w:jc w:val="center"/>
              <w:rPr>
                <w:sz w:val="16"/>
              </w:rPr>
            </w:pPr>
            <w:r>
              <w:rPr>
                <w:sz w:val="16"/>
              </w:rPr>
              <w:t>IM83</w:t>
            </w:r>
          </w:p>
        </w:tc>
        <w:tc>
          <w:tcPr>
            <w:tcW w:w="1091" w:type="dxa"/>
            <w:tcBorders>
              <w:top w:val="dotted" w:sz="4" w:space="0" w:color="000000"/>
              <w:bottom w:val="dotted" w:sz="4" w:space="0" w:color="000000"/>
            </w:tcBorders>
          </w:tcPr>
          <w:p>
            <w:pPr>
              <w:pStyle w:val="TableParagraph"/>
              <w:spacing w:line="215" w:lineRule="exact"/>
              <w:ind w:left="265" w:right="145"/>
              <w:jc w:val="center"/>
              <w:rPr>
                <w:rFonts w:ascii="PMingLiU" w:eastAsia="PMingLiU" w:hint="eastAsia"/>
                <w:sz w:val="16"/>
              </w:rPr>
            </w:pPr>
            <w:r>
              <w:rPr>
                <w:sz w:val="16"/>
              </w:rPr>
              <w:t>I </w:t>
            </w:r>
            <w:r>
              <w:rPr>
                <w:rFonts w:ascii="PMingLiU" w:eastAsia="PMingLiU" w:hint="eastAsia"/>
                <w:sz w:val="16"/>
              </w:rPr>
              <w:t>期</w:t>
            </w:r>
          </w:p>
        </w:tc>
        <w:tc>
          <w:tcPr>
            <w:tcW w:w="1421" w:type="dxa"/>
            <w:tcBorders>
              <w:top w:val="dotted" w:sz="4" w:space="0" w:color="000000"/>
              <w:bottom w:val="dotted" w:sz="4" w:space="0" w:color="000000"/>
            </w:tcBorders>
          </w:tcPr>
          <w:p>
            <w:pPr>
              <w:pStyle w:val="TableParagraph"/>
              <w:spacing w:before="22"/>
              <w:ind w:left="142" w:right="123"/>
              <w:jc w:val="center"/>
              <w:rPr>
                <w:sz w:val="16"/>
              </w:rPr>
            </w:pPr>
            <w:r>
              <w:rPr>
                <w:sz w:val="16"/>
              </w:rPr>
              <w:t>CAR-T</w:t>
            </w:r>
          </w:p>
        </w:tc>
        <w:tc>
          <w:tcPr>
            <w:tcW w:w="1488" w:type="dxa"/>
            <w:tcBorders>
              <w:top w:val="dotted" w:sz="4" w:space="0" w:color="000000"/>
            </w:tcBorders>
          </w:tcPr>
          <w:p>
            <w:pPr>
              <w:pStyle w:val="TableParagraph"/>
              <w:spacing w:before="22"/>
              <w:ind w:left="123" w:right="120"/>
              <w:jc w:val="center"/>
              <w:rPr>
                <w:sz w:val="16"/>
              </w:rPr>
            </w:pPr>
            <w:r>
              <w:rPr>
                <w:sz w:val="16"/>
              </w:rPr>
              <w:t>CCC, HCC</w:t>
            </w:r>
          </w:p>
        </w:tc>
      </w:tr>
    </w:tbl>
    <w:p>
      <w:pPr>
        <w:spacing w:after="0"/>
        <w:jc w:val="center"/>
        <w:rPr>
          <w:sz w:val="16"/>
        </w:rPr>
        <w:sectPr>
          <w:pgSz w:w="11910" w:h="16840"/>
          <w:pgMar w:header="682" w:footer="358" w:top="1380" w:bottom="540" w:left="640" w:right="300"/>
        </w:sectPr>
      </w:pPr>
    </w:p>
    <w:tbl>
      <w:tblPr>
        <w:tblW w:w="0" w:type="auto"/>
        <w:jc w:val="left"/>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5"/>
        <w:gridCol w:w="2154"/>
        <w:gridCol w:w="941"/>
        <w:gridCol w:w="1352"/>
        <w:gridCol w:w="1510"/>
      </w:tblGrid>
      <w:tr>
        <w:trPr>
          <w:trHeight w:val="525" w:hRule="atLeast"/>
        </w:trPr>
        <w:tc>
          <w:tcPr>
            <w:tcW w:w="2025" w:type="dxa"/>
            <w:tcBorders>
              <w:bottom w:val="dotted" w:sz="4" w:space="0" w:color="000000"/>
            </w:tcBorders>
          </w:tcPr>
          <w:p>
            <w:pPr>
              <w:pStyle w:val="TableParagraph"/>
              <w:spacing w:before="4"/>
              <w:rPr>
                <w:rFonts w:ascii="Microsoft JhengHei UI"/>
                <w:b/>
                <w:sz w:val="16"/>
              </w:rPr>
            </w:pPr>
          </w:p>
          <w:p>
            <w:pPr>
              <w:pStyle w:val="TableParagraph"/>
              <w:spacing w:line="217" w:lineRule="exact"/>
              <w:ind w:left="196" w:right="165"/>
              <w:jc w:val="center"/>
              <w:rPr>
                <w:rFonts w:ascii="PMingLiU" w:eastAsia="PMingLiU" w:hint="eastAsia"/>
                <w:sz w:val="16"/>
              </w:rPr>
            </w:pPr>
            <w:r>
              <w:rPr>
                <w:rFonts w:ascii="PMingLiU" w:eastAsia="PMingLiU" w:hint="eastAsia"/>
                <w:sz w:val="16"/>
              </w:rPr>
              <w:t>传奇生物</w:t>
            </w:r>
          </w:p>
        </w:tc>
        <w:tc>
          <w:tcPr>
            <w:tcW w:w="2154" w:type="dxa"/>
            <w:tcBorders>
              <w:bottom w:val="dotted" w:sz="4" w:space="0" w:color="000000"/>
            </w:tcBorders>
          </w:tcPr>
          <w:p>
            <w:pPr>
              <w:pStyle w:val="TableParagraph"/>
              <w:spacing w:before="10"/>
              <w:rPr>
                <w:rFonts w:ascii="Microsoft JhengHei UI"/>
                <w:b/>
                <w:sz w:val="17"/>
              </w:rPr>
            </w:pPr>
          </w:p>
          <w:p>
            <w:pPr>
              <w:pStyle w:val="TableParagraph"/>
              <w:ind w:left="162" w:right="253"/>
              <w:jc w:val="center"/>
              <w:rPr>
                <w:sz w:val="16"/>
              </w:rPr>
            </w:pPr>
            <w:r>
              <w:rPr>
                <w:sz w:val="16"/>
              </w:rPr>
              <w:t>LB2101</w:t>
            </w:r>
          </w:p>
        </w:tc>
        <w:tc>
          <w:tcPr>
            <w:tcW w:w="941" w:type="dxa"/>
            <w:tcBorders>
              <w:bottom w:val="dotted" w:sz="4" w:space="0" w:color="000000"/>
            </w:tcBorders>
          </w:tcPr>
          <w:p>
            <w:pPr>
              <w:pStyle w:val="TableParagraph"/>
              <w:spacing w:before="4"/>
              <w:rPr>
                <w:rFonts w:ascii="Microsoft JhengHei UI"/>
                <w:b/>
                <w:sz w:val="16"/>
              </w:rPr>
            </w:pPr>
          </w:p>
          <w:p>
            <w:pPr>
              <w:pStyle w:val="TableParagraph"/>
              <w:spacing w:line="217" w:lineRule="exact"/>
              <w:ind w:left="283"/>
              <w:rPr>
                <w:rFonts w:ascii="PMingLiU" w:eastAsia="PMingLiU" w:hint="eastAsia"/>
                <w:sz w:val="16"/>
              </w:rPr>
            </w:pPr>
            <w:r>
              <w:rPr>
                <w:sz w:val="16"/>
              </w:rPr>
              <w:t>I </w:t>
            </w:r>
            <w:r>
              <w:rPr>
                <w:rFonts w:ascii="PMingLiU" w:eastAsia="PMingLiU" w:hint="eastAsia"/>
                <w:sz w:val="16"/>
              </w:rPr>
              <w:t>期</w:t>
            </w:r>
          </w:p>
        </w:tc>
        <w:tc>
          <w:tcPr>
            <w:tcW w:w="1352" w:type="dxa"/>
            <w:tcBorders>
              <w:bottom w:val="dotted" w:sz="4" w:space="0" w:color="000000"/>
            </w:tcBorders>
          </w:tcPr>
          <w:p>
            <w:pPr>
              <w:pStyle w:val="TableParagraph"/>
              <w:spacing w:before="10"/>
              <w:rPr>
                <w:rFonts w:ascii="Microsoft JhengHei UI"/>
                <w:b/>
                <w:sz w:val="17"/>
              </w:rPr>
            </w:pPr>
          </w:p>
          <w:p>
            <w:pPr>
              <w:pStyle w:val="TableParagraph"/>
              <w:ind w:right="443"/>
              <w:jc w:val="right"/>
              <w:rPr>
                <w:sz w:val="16"/>
              </w:rPr>
            </w:pPr>
            <w:r>
              <w:rPr>
                <w:sz w:val="16"/>
              </w:rPr>
              <w:t>CAR-T</w:t>
            </w:r>
          </w:p>
        </w:tc>
        <w:tc>
          <w:tcPr>
            <w:tcW w:w="1510" w:type="dxa"/>
            <w:tcBorders>
              <w:bottom w:val="dotted" w:sz="4" w:space="0" w:color="000000"/>
            </w:tcBorders>
          </w:tcPr>
          <w:p>
            <w:pPr>
              <w:pStyle w:val="TableParagraph"/>
              <w:spacing w:before="10"/>
              <w:rPr>
                <w:rFonts w:ascii="Microsoft JhengHei UI"/>
                <w:b/>
                <w:sz w:val="17"/>
              </w:rPr>
            </w:pPr>
          </w:p>
          <w:p>
            <w:pPr>
              <w:pStyle w:val="TableParagraph"/>
              <w:ind w:left="419" w:right="410"/>
              <w:jc w:val="center"/>
              <w:rPr>
                <w:sz w:val="16"/>
              </w:rPr>
            </w:pPr>
            <w:r>
              <w:rPr>
                <w:sz w:val="16"/>
              </w:rPr>
              <w:t>LC, HCC</w:t>
            </w:r>
          </w:p>
        </w:tc>
      </w:tr>
      <w:tr>
        <w:trPr>
          <w:trHeight w:val="230" w:hRule="atLeast"/>
        </w:trPr>
        <w:tc>
          <w:tcPr>
            <w:tcW w:w="2025" w:type="dxa"/>
            <w:tcBorders>
              <w:top w:val="dotted" w:sz="4" w:space="0" w:color="000000"/>
              <w:bottom w:val="dotted" w:sz="4" w:space="0" w:color="000000"/>
            </w:tcBorders>
          </w:tcPr>
          <w:p>
            <w:pPr>
              <w:pStyle w:val="TableParagraph"/>
              <w:spacing w:before="22"/>
              <w:ind w:left="201" w:right="165"/>
              <w:jc w:val="center"/>
              <w:rPr>
                <w:sz w:val="16"/>
              </w:rPr>
            </w:pPr>
            <w:r>
              <w:rPr>
                <w:sz w:val="16"/>
              </w:rPr>
              <w:t>Noile-Immune/ Takeda</w:t>
            </w:r>
          </w:p>
        </w:tc>
        <w:tc>
          <w:tcPr>
            <w:tcW w:w="2154" w:type="dxa"/>
            <w:tcBorders>
              <w:top w:val="dotted" w:sz="4" w:space="0" w:color="000000"/>
              <w:bottom w:val="dotted" w:sz="4" w:space="0" w:color="000000"/>
            </w:tcBorders>
          </w:tcPr>
          <w:p>
            <w:pPr>
              <w:pStyle w:val="TableParagraph"/>
              <w:spacing w:before="22"/>
              <w:ind w:left="162" w:right="248"/>
              <w:jc w:val="center"/>
              <w:rPr>
                <w:sz w:val="16"/>
              </w:rPr>
            </w:pPr>
            <w:r>
              <w:rPr>
                <w:sz w:val="16"/>
              </w:rPr>
              <w:t>TAK-102</w:t>
            </w:r>
          </w:p>
        </w:tc>
        <w:tc>
          <w:tcPr>
            <w:tcW w:w="941" w:type="dxa"/>
            <w:tcBorders>
              <w:top w:val="dotted" w:sz="4" w:space="0" w:color="000000"/>
              <w:bottom w:val="dotted" w:sz="4" w:space="0" w:color="000000"/>
            </w:tcBorders>
          </w:tcPr>
          <w:p>
            <w:pPr>
              <w:pStyle w:val="TableParagraph"/>
              <w:spacing w:line="210" w:lineRule="exact"/>
              <w:ind w:left="283"/>
              <w:rPr>
                <w:rFonts w:ascii="PMingLiU" w:eastAsia="PMingLiU" w:hint="eastAsia"/>
                <w:sz w:val="16"/>
              </w:rPr>
            </w:pPr>
            <w:r>
              <w:rPr>
                <w:sz w:val="16"/>
              </w:rPr>
              <w:t>I </w:t>
            </w:r>
            <w:r>
              <w:rPr>
                <w:rFonts w:ascii="PMingLiU" w:eastAsia="PMingLiU" w:hint="eastAsia"/>
                <w:sz w:val="16"/>
              </w:rPr>
              <w:t>期</w:t>
            </w:r>
          </w:p>
        </w:tc>
        <w:tc>
          <w:tcPr>
            <w:tcW w:w="1352" w:type="dxa"/>
            <w:tcBorders>
              <w:top w:val="dotted" w:sz="4" w:space="0" w:color="000000"/>
              <w:bottom w:val="dotted" w:sz="4" w:space="0" w:color="000000"/>
            </w:tcBorders>
          </w:tcPr>
          <w:p>
            <w:pPr>
              <w:pStyle w:val="TableParagraph"/>
              <w:spacing w:before="22"/>
              <w:ind w:right="443"/>
              <w:jc w:val="right"/>
              <w:rPr>
                <w:sz w:val="16"/>
              </w:rPr>
            </w:pPr>
            <w:r>
              <w:rPr>
                <w:sz w:val="16"/>
              </w:rPr>
              <w:t>CAR-T</w:t>
            </w:r>
          </w:p>
        </w:tc>
        <w:tc>
          <w:tcPr>
            <w:tcW w:w="1510" w:type="dxa"/>
            <w:tcBorders>
              <w:top w:val="dotted" w:sz="4" w:space="0" w:color="000000"/>
              <w:bottom w:val="dotted" w:sz="4" w:space="0" w:color="000000"/>
            </w:tcBorders>
          </w:tcPr>
          <w:p>
            <w:pPr>
              <w:pStyle w:val="TableParagraph"/>
              <w:spacing w:line="210" w:lineRule="exact"/>
              <w:ind w:left="416" w:right="410"/>
              <w:jc w:val="center"/>
              <w:rPr>
                <w:rFonts w:ascii="PMingLiU" w:eastAsia="PMingLiU" w:hint="eastAsia"/>
                <w:sz w:val="16"/>
              </w:rPr>
            </w:pPr>
            <w:r>
              <w:rPr>
                <w:rFonts w:ascii="PMingLiU" w:eastAsia="PMingLiU" w:hint="eastAsia"/>
                <w:sz w:val="16"/>
              </w:rPr>
              <w:t>实体瘤</w:t>
            </w:r>
          </w:p>
        </w:tc>
      </w:tr>
      <w:tr>
        <w:trPr>
          <w:trHeight w:val="234" w:hRule="atLeast"/>
        </w:trPr>
        <w:tc>
          <w:tcPr>
            <w:tcW w:w="2025" w:type="dxa"/>
            <w:tcBorders>
              <w:top w:val="dotted" w:sz="4" w:space="0" w:color="000000"/>
              <w:bottom w:val="dotted" w:sz="4" w:space="0" w:color="000000"/>
            </w:tcBorders>
          </w:tcPr>
          <w:p>
            <w:pPr>
              <w:pStyle w:val="TableParagraph"/>
              <w:spacing w:line="215" w:lineRule="exact"/>
              <w:ind w:left="196" w:right="165"/>
              <w:jc w:val="center"/>
              <w:rPr>
                <w:rFonts w:ascii="PMingLiU" w:eastAsia="PMingLiU" w:hint="eastAsia"/>
                <w:sz w:val="16"/>
              </w:rPr>
            </w:pPr>
            <w:r>
              <w:rPr>
                <w:rFonts w:ascii="PMingLiU" w:eastAsia="PMingLiU" w:hint="eastAsia"/>
                <w:sz w:val="16"/>
              </w:rPr>
              <w:t>华夏英泰</w:t>
            </w:r>
          </w:p>
        </w:tc>
        <w:tc>
          <w:tcPr>
            <w:tcW w:w="2154" w:type="dxa"/>
            <w:tcBorders>
              <w:top w:val="dotted" w:sz="4" w:space="0" w:color="000000"/>
              <w:bottom w:val="dotted" w:sz="4" w:space="0" w:color="000000"/>
            </w:tcBorders>
          </w:tcPr>
          <w:p>
            <w:pPr>
              <w:pStyle w:val="TableParagraph"/>
              <w:spacing w:before="22"/>
              <w:ind w:left="162" w:right="248"/>
              <w:jc w:val="center"/>
              <w:rPr>
                <w:sz w:val="16"/>
              </w:rPr>
            </w:pPr>
            <w:r>
              <w:rPr>
                <w:sz w:val="16"/>
              </w:rPr>
              <w:t>YT-GPC3</w:t>
            </w:r>
          </w:p>
        </w:tc>
        <w:tc>
          <w:tcPr>
            <w:tcW w:w="941" w:type="dxa"/>
            <w:tcBorders>
              <w:top w:val="dotted" w:sz="4" w:space="0" w:color="000000"/>
              <w:bottom w:val="dotted" w:sz="4" w:space="0" w:color="000000"/>
            </w:tcBorders>
          </w:tcPr>
          <w:p>
            <w:pPr>
              <w:pStyle w:val="TableParagraph"/>
              <w:spacing w:line="215" w:lineRule="exact"/>
              <w:ind w:left="283"/>
              <w:rPr>
                <w:rFonts w:ascii="PMingLiU" w:eastAsia="PMingLiU" w:hint="eastAsia"/>
                <w:sz w:val="16"/>
              </w:rPr>
            </w:pPr>
            <w:r>
              <w:rPr>
                <w:sz w:val="16"/>
              </w:rPr>
              <w:t>I </w:t>
            </w:r>
            <w:r>
              <w:rPr>
                <w:rFonts w:ascii="PMingLiU" w:eastAsia="PMingLiU" w:hint="eastAsia"/>
                <w:sz w:val="16"/>
              </w:rPr>
              <w:t>期</w:t>
            </w:r>
          </w:p>
        </w:tc>
        <w:tc>
          <w:tcPr>
            <w:tcW w:w="1352" w:type="dxa"/>
            <w:tcBorders>
              <w:top w:val="dotted" w:sz="4" w:space="0" w:color="000000"/>
              <w:bottom w:val="dotted" w:sz="4" w:space="0" w:color="000000"/>
            </w:tcBorders>
          </w:tcPr>
          <w:p>
            <w:pPr>
              <w:pStyle w:val="TableParagraph"/>
              <w:spacing w:before="22"/>
              <w:ind w:right="443"/>
              <w:jc w:val="right"/>
              <w:rPr>
                <w:sz w:val="16"/>
              </w:rPr>
            </w:pPr>
            <w:r>
              <w:rPr>
                <w:sz w:val="16"/>
              </w:rPr>
              <w:t>CAR-T</w:t>
            </w:r>
          </w:p>
        </w:tc>
        <w:tc>
          <w:tcPr>
            <w:tcW w:w="1510" w:type="dxa"/>
            <w:tcBorders>
              <w:top w:val="dotted" w:sz="4" w:space="0" w:color="000000"/>
              <w:bottom w:val="dotted" w:sz="4" w:space="0" w:color="000000"/>
            </w:tcBorders>
          </w:tcPr>
          <w:p>
            <w:pPr>
              <w:pStyle w:val="TableParagraph"/>
              <w:spacing w:before="22"/>
              <w:ind w:left="419" w:right="408"/>
              <w:jc w:val="center"/>
              <w:rPr>
                <w:sz w:val="16"/>
              </w:rPr>
            </w:pPr>
            <w:r>
              <w:rPr>
                <w:sz w:val="16"/>
              </w:rPr>
              <w:t>HCC</w:t>
            </w:r>
          </w:p>
        </w:tc>
      </w:tr>
      <w:tr>
        <w:trPr>
          <w:trHeight w:val="235" w:hRule="atLeast"/>
        </w:trPr>
        <w:tc>
          <w:tcPr>
            <w:tcW w:w="2025" w:type="dxa"/>
            <w:tcBorders>
              <w:top w:val="dotted" w:sz="4" w:space="0" w:color="000000"/>
              <w:bottom w:val="single" w:sz="12" w:space="0" w:color="000000"/>
            </w:tcBorders>
          </w:tcPr>
          <w:p>
            <w:pPr>
              <w:pStyle w:val="TableParagraph"/>
              <w:spacing w:line="215" w:lineRule="exact"/>
              <w:ind w:left="196" w:right="165"/>
              <w:jc w:val="center"/>
              <w:rPr>
                <w:rFonts w:ascii="PMingLiU" w:eastAsia="PMingLiU" w:hint="eastAsia"/>
                <w:sz w:val="16"/>
              </w:rPr>
            </w:pPr>
            <w:r>
              <w:rPr>
                <w:rFonts w:ascii="PMingLiU" w:eastAsia="PMingLiU" w:hint="eastAsia"/>
                <w:sz w:val="16"/>
              </w:rPr>
              <w:t>昭泰医疗</w:t>
            </w:r>
          </w:p>
        </w:tc>
        <w:tc>
          <w:tcPr>
            <w:tcW w:w="2154" w:type="dxa"/>
            <w:tcBorders>
              <w:top w:val="dotted" w:sz="4" w:space="0" w:color="000000"/>
              <w:bottom w:val="single" w:sz="12" w:space="0" w:color="000000"/>
            </w:tcBorders>
          </w:tcPr>
          <w:p>
            <w:pPr>
              <w:pStyle w:val="TableParagraph"/>
              <w:spacing w:before="23"/>
              <w:ind w:left="162" w:right="258"/>
              <w:jc w:val="center"/>
              <w:rPr>
                <w:sz w:val="16"/>
              </w:rPr>
            </w:pPr>
            <w:r>
              <w:rPr>
                <w:sz w:val="16"/>
              </w:rPr>
              <w:t>anti-GPC3-7×19 CAR-T</w:t>
            </w:r>
          </w:p>
        </w:tc>
        <w:tc>
          <w:tcPr>
            <w:tcW w:w="941" w:type="dxa"/>
            <w:tcBorders>
              <w:top w:val="dotted" w:sz="4" w:space="0" w:color="000000"/>
              <w:bottom w:val="single" w:sz="12" w:space="0" w:color="000000"/>
            </w:tcBorders>
          </w:tcPr>
          <w:p>
            <w:pPr>
              <w:pStyle w:val="TableParagraph"/>
              <w:spacing w:line="215" w:lineRule="exact"/>
              <w:ind w:left="283"/>
              <w:rPr>
                <w:rFonts w:ascii="PMingLiU" w:eastAsia="PMingLiU" w:hint="eastAsia"/>
                <w:sz w:val="16"/>
              </w:rPr>
            </w:pPr>
            <w:r>
              <w:rPr>
                <w:sz w:val="16"/>
              </w:rPr>
              <w:t>I </w:t>
            </w:r>
            <w:r>
              <w:rPr>
                <w:rFonts w:ascii="PMingLiU" w:eastAsia="PMingLiU" w:hint="eastAsia"/>
                <w:sz w:val="16"/>
              </w:rPr>
              <w:t>期</w:t>
            </w:r>
          </w:p>
        </w:tc>
        <w:tc>
          <w:tcPr>
            <w:tcW w:w="1352" w:type="dxa"/>
            <w:tcBorders>
              <w:top w:val="dotted" w:sz="4" w:space="0" w:color="000000"/>
              <w:bottom w:val="single" w:sz="12" w:space="0" w:color="000000"/>
            </w:tcBorders>
          </w:tcPr>
          <w:p>
            <w:pPr>
              <w:pStyle w:val="TableParagraph"/>
              <w:spacing w:before="23"/>
              <w:ind w:right="443"/>
              <w:jc w:val="right"/>
              <w:rPr>
                <w:sz w:val="16"/>
              </w:rPr>
            </w:pPr>
            <w:r>
              <w:rPr>
                <w:sz w:val="16"/>
              </w:rPr>
              <w:t>CAR-T</w:t>
            </w:r>
          </w:p>
        </w:tc>
        <w:tc>
          <w:tcPr>
            <w:tcW w:w="1510" w:type="dxa"/>
            <w:tcBorders>
              <w:top w:val="dotted" w:sz="4" w:space="0" w:color="000000"/>
              <w:bottom w:val="single" w:sz="12" w:space="0" w:color="000000"/>
            </w:tcBorders>
          </w:tcPr>
          <w:p>
            <w:pPr>
              <w:pStyle w:val="TableParagraph"/>
              <w:spacing w:before="23"/>
              <w:ind w:left="419" w:right="408"/>
              <w:jc w:val="center"/>
              <w:rPr>
                <w:sz w:val="16"/>
              </w:rPr>
            </w:pPr>
            <w:r>
              <w:rPr>
                <w:sz w:val="16"/>
              </w:rPr>
              <w:t>HCC</w:t>
            </w:r>
          </w:p>
        </w:tc>
      </w:tr>
    </w:tbl>
    <w:p>
      <w:pPr>
        <w:spacing w:before="17"/>
        <w:ind w:left="210" w:right="0" w:firstLine="0"/>
        <w:jc w:val="left"/>
        <w:rPr>
          <w:sz w:val="16"/>
        </w:rPr>
      </w:pPr>
      <w:r>
        <w:rPr>
          <w:sz w:val="16"/>
        </w:rPr>
        <w:t>资料来源</w:t>
      </w:r>
      <w:r>
        <w:rPr>
          <w:rFonts w:ascii="Arial" w:eastAsia="Arial"/>
          <w:sz w:val="16"/>
        </w:rPr>
        <w:t>: </w:t>
      </w:r>
      <w:r>
        <w:rPr>
          <w:sz w:val="16"/>
        </w:rPr>
        <w:t>医药魔方</w:t>
      </w:r>
      <w:r>
        <w:rPr>
          <w:rFonts w:ascii="Arial" w:eastAsia="Arial"/>
          <w:sz w:val="16"/>
        </w:rPr>
        <w:t>, </w:t>
      </w:r>
      <w:r>
        <w:rPr>
          <w:sz w:val="16"/>
        </w:rPr>
        <w:t>招银国际证券</w:t>
      </w:r>
    </w:p>
    <w:p>
      <w:pPr>
        <w:pStyle w:val="BodyText"/>
        <w:spacing w:before="6"/>
        <w:ind w:left="0"/>
        <w:rPr>
          <w:sz w:val="21"/>
        </w:rPr>
      </w:pPr>
    </w:p>
    <w:p>
      <w:pPr>
        <w:pStyle w:val="BodyText"/>
        <w:spacing w:line="288" w:lineRule="auto" w:before="99"/>
        <w:ind w:right="2810"/>
        <w:jc w:val="both"/>
      </w:pPr>
      <w:r>
        <w:rPr>
          <w:rFonts w:ascii="Arial" w:eastAsia="Arial"/>
        </w:rPr>
        <w:t>Chugai </w:t>
      </w:r>
      <w:r>
        <w:rPr>
          <w:spacing w:val="48"/>
        </w:rPr>
        <w:t>的</w:t>
      </w:r>
      <w:r>
        <w:rPr>
          <w:rFonts w:ascii="Arial" w:eastAsia="Arial"/>
        </w:rPr>
        <w:t>Codrituzumab</w:t>
      </w:r>
      <w:r>
        <w:rPr>
          <w:rFonts w:ascii="Arial" w:eastAsia="Arial"/>
          <w:spacing w:val="6"/>
        </w:rPr>
        <w:t> (</w:t>
      </w:r>
      <w:r>
        <w:rPr>
          <w:rFonts w:ascii="Arial" w:eastAsia="Arial"/>
        </w:rPr>
        <w:t>GC33</w:t>
      </w:r>
      <w:r>
        <w:rPr>
          <w:rFonts w:ascii="Arial" w:eastAsia="Arial"/>
          <w:spacing w:val="5"/>
        </w:rPr>
        <w:t>) </w:t>
      </w:r>
      <w:r>
        <w:rPr>
          <w:spacing w:val="8"/>
        </w:rPr>
        <w:t>是一款针对</w:t>
      </w:r>
      <w:r>
        <w:rPr>
          <w:rFonts w:ascii="Arial" w:eastAsia="Arial"/>
        </w:rPr>
        <w:t>GPC3 C </w:t>
      </w:r>
      <w:r>
        <w:rPr>
          <w:spacing w:val="-1"/>
        </w:rPr>
        <w:t>端 </w:t>
      </w:r>
      <w:r>
        <w:rPr>
          <w:rFonts w:ascii="Arial" w:eastAsia="Arial"/>
        </w:rPr>
        <w:t>30 kDa </w:t>
      </w:r>
      <w:r>
        <w:rPr>
          <w:spacing w:val="-4"/>
        </w:rPr>
        <w:t>片段的单抗药物，目前处</w:t>
      </w:r>
      <w:r>
        <w:rPr>
          <w:spacing w:val="5"/>
        </w:rPr>
        <w:t>于 </w:t>
      </w:r>
      <w:r>
        <w:rPr>
          <w:rFonts w:ascii="Arial" w:eastAsia="Arial"/>
        </w:rPr>
        <w:t>II </w:t>
      </w:r>
      <w:r>
        <w:rPr>
          <w:spacing w:val="-4"/>
        </w:rPr>
        <w:t>期临床阶段，是全球进度最快的 </w:t>
      </w:r>
      <w:r>
        <w:rPr>
          <w:rFonts w:ascii="Arial" w:eastAsia="Arial"/>
        </w:rPr>
        <w:t>GPC3 </w:t>
      </w:r>
      <w:r>
        <w:rPr>
          <w:spacing w:val="-2"/>
        </w:rPr>
        <w:t>药物，也是唯一一款以 </w:t>
      </w:r>
      <w:r>
        <w:rPr>
          <w:rFonts w:ascii="Arial" w:eastAsia="Arial"/>
        </w:rPr>
        <w:t>GPC3 </w:t>
      </w:r>
      <w:r>
        <w:rPr>
          <w:spacing w:val="-3"/>
        </w:rPr>
        <w:t>为靶点的单抗药物。</w:t>
      </w:r>
      <w:r>
        <w:rPr>
          <w:rFonts w:ascii="Arial" w:eastAsia="Arial"/>
          <w:spacing w:val="-3"/>
        </w:rPr>
        <w:t>2016 </w:t>
      </w:r>
      <w:r>
        <w:rPr/>
        <w:t>年，《</w:t>
      </w:r>
      <w:r>
        <w:rPr>
          <w:rFonts w:ascii="Arial" w:eastAsia="Arial"/>
        </w:rPr>
        <w:t>Journal </w:t>
      </w:r>
      <w:r>
        <w:rPr>
          <w:rFonts w:ascii="Arial" w:eastAsia="Arial"/>
          <w:spacing w:val="-4"/>
        </w:rPr>
        <w:t>of </w:t>
      </w:r>
      <w:r>
        <w:rPr>
          <w:rFonts w:ascii="Arial" w:eastAsia="Arial"/>
        </w:rPr>
        <w:t>Hepatology</w:t>
      </w:r>
      <w:r>
        <w:rPr>
          <w:spacing w:val="2"/>
        </w:rPr>
        <w:t>》杂志发表了</w:t>
      </w:r>
      <w:r>
        <w:rPr>
          <w:rFonts w:ascii="Arial" w:eastAsia="Arial"/>
        </w:rPr>
        <w:t>GC33 </w:t>
      </w:r>
      <w:r>
        <w:rPr>
          <w:spacing w:val="-1"/>
        </w:rPr>
        <w:t>的二期临床结果，试验入组</w:t>
      </w:r>
      <w:r>
        <w:rPr>
          <w:rFonts w:ascii="Arial" w:eastAsia="Arial"/>
          <w:spacing w:val="-2"/>
        </w:rPr>
        <w:t>185 </w:t>
      </w:r>
      <w:r>
        <w:rPr>
          <w:spacing w:val="-1"/>
        </w:rPr>
        <w:t>例早期系统化疗失败的晚期 </w:t>
      </w:r>
      <w:r>
        <w:rPr>
          <w:rFonts w:ascii="Arial" w:eastAsia="Arial"/>
        </w:rPr>
        <w:t>HCC </w:t>
      </w:r>
      <w:r>
        <w:rPr>
          <w:spacing w:val="-5"/>
        </w:rPr>
        <w:t>患者。与安慰剂相比，</w:t>
      </w:r>
      <w:r>
        <w:rPr>
          <w:rFonts w:ascii="Arial" w:eastAsia="Arial"/>
        </w:rPr>
        <w:t>GC33 </w:t>
      </w:r>
      <w:r>
        <w:rPr>
          <w:spacing w:val="-5"/>
        </w:rPr>
        <w:t>并未表现出临床疗效，治疗</w:t>
      </w:r>
      <w:r>
        <w:rPr>
          <w:spacing w:val="2"/>
        </w:rPr>
        <w:t>组与安慰剂组的</w:t>
      </w:r>
      <w:r>
        <w:rPr>
          <w:rFonts w:ascii="Arial" w:eastAsia="Arial"/>
        </w:rPr>
        <w:t>mPFS </w:t>
      </w:r>
      <w:r>
        <w:rPr>
          <w:spacing w:val="1"/>
        </w:rPr>
        <w:t>分别为 </w:t>
      </w:r>
      <w:r>
        <w:rPr>
          <w:rFonts w:ascii="Arial" w:eastAsia="Arial"/>
        </w:rPr>
        <w:t>2.6 </w:t>
      </w:r>
      <w:r>
        <w:rPr>
          <w:spacing w:val="2"/>
        </w:rPr>
        <w:t>个月 </w:t>
      </w:r>
      <w:r>
        <w:rPr>
          <w:rFonts w:ascii="Arial" w:eastAsia="Arial"/>
          <w:spacing w:val="4"/>
        </w:rPr>
        <w:t>vs </w:t>
      </w:r>
      <w:r>
        <w:rPr>
          <w:rFonts w:ascii="Arial" w:eastAsia="Arial"/>
        </w:rPr>
        <w:t>1.5 </w:t>
      </w:r>
      <w:r>
        <w:rPr>
          <w:spacing w:val="-1"/>
        </w:rPr>
        <w:t>个月；</w:t>
      </w:r>
      <w:r>
        <w:rPr>
          <w:rFonts w:ascii="Arial" w:eastAsia="Arial"/>
          <w:spacing w:val="-3"/>
        </w:rPr>
        <w:t>mOS </w:t>
      </w:r>
      <w:r>
        <w:rPr>
          <w:spacing w:val="-2"/>
        </w:rPr>
        <w:t>分别为 </w:t>
      </w:r>
      <w:r>
        <w:rPr>
          <w:rFonts w:ascii="Arial" w:eastAsia="Arial"/>
        </w:rPr>
        <w:t>8.7 </w:t>
      </w:r>
      <w:r>
        <w:rPr>
          <w:spacing w:val="21"/>
        </w:rPr>
        <w:t>个月</w:t>
      </w:r>
      <w:r>
        <w:rPr>
          <w:rFonts w:ascii="Arial" w:eastAsia="Arial"/>
          <w:spacing w:val="4"/>
        </w:rPr>
        <w:t>vs </w:t>
      </w:r>
      <w:r>
        <w:rPr>
          <w:rFonts w:ascii="Arial" w:eastAsia="Arial"/>
        </w:rPr>
        <w:t>10 </w:t>
      </w:r>
      <w:r>
        <w:rPr>
          <w:spacing w:val="-2"/>
        </w:rPr>
        <w:t>个月。虽</w:t>
      </w:r>
      <w:r>
        <w:rPr>
          <w:spacing w:val="12"/>
        </w:rPr>
        <w:t>然单药</w:t>
      </w:r>
      <w:r>
        <w:rPr>
          <w:rFonts w:ascii="Arial" w:eastAsia="Arial"/>
        </w:rPr>
        <w:t>II </w:t>
      </w:r>
      <w:r>
        <w:rPr>
          <w:spacing w:val="-3"/>
        </w:rPr>
        <w:t>期临床失败，但有迹象表明，更大剂量的</w:t>
      </w:r>
      <w:r>
        <w:rPr>
          <w:rFonts w:ascii="Arial" w:eastAsia="Arial"/>
        </w:rPr>
        <w:t>GC33 </w:t>
      </w:r>
      <w:r>
        <w:rPr>
          <w:spacing w:val="-2"/>
        </w:rPr>
        <w:t>可能改善预后。目前 </w:t>
      </w:r>
      <w:r>
        <w:rPr>
          <w:rFonts w:ascii="Arial" w:eastAsia="Arial"/>
        </w:rPr>
        <w:t>Chugai </w:t>
      </w:r>
      <w:r>
        <w:rPr/>
        <w:t>已经</w:t>
      </w:r>
      <w:r>
        <w:rPr>
          <w:spacing w:val="19"/>
        </w:rPr>
        <w:t>重启</w:t>
      </w:r>
      <w:r>
        <w:rPr>
          <w:rFonts w:ascii="Arial" w:eastAsia="Arial"/>
        </w:rPr>
        <w:t>GC33 </w:t>
      </w:r>
      <w:r>
        <w:rPr>
          <w:spacing w:val="38"/>
        </w:rPr>
        <w:t>的</w:t>
      </w:r>
      <w:r>
        <w:rPr>
          <w:rFonts w:ascii="Arial" w:eastAsia="Arial"/>
        </w:rPr>
        <w:t>I </w:t>
      </w:r>
      <w:r>
        <w:rPr>
          <w:spacing w:val="-5"/>
        </w:rPr>
        <w:t>期临床，加大了药物剂量，</w:t>
      </w:r>
      <w:r>
        <w:rPr>
          <w:rFonts w:ascii="Arial" w:eastAsia="Arial"/>
        </w:rPr>
        <w:t>Roche </w:t>
      </w:r>
      <w:r>
        <w:rPr>
          <w:spacing w:val="-5"/>
        </w:rPr>
        <w:t>也开发了试剂盒进行更精准的患者筛选。</w:t>
      </w:r>
    </w:p>
    <w:p>
      <w:pPr>
        <w:pStyle w:val="Heading3"/>
        <w:spacing w:before="60"/>
      </w:pPr>
      <w:r>
        <w:rPr/>
        <w:t>积极布局</w:t>
      </w:r>
      <w:r>
        <w:rPr>
          <w:rFonts w:ascii="Arial" w:eastAsia="Arial"/>
        </w:rPr>
        <w:t>GPC3 </w:t>
      </w:r>
      <w:r>
        <w:rPr/>
        <w:t>靶点，</w:t>
      </w:r>
      <w:r>
        <w:rPr>
          <w:rFonts w:ascii="Arial" w:eastAsia="Arial"/>
        </w:rPr>
        <w:t>CAR-T </w:t>
      </w:r>
      <w:r>
        <w:rPr/>
        <w:t>疗效值得期待</w:t>
      </w:r>
    </w:p>
    <w:p>
      <w:pPr>
        <w:pStyle w:val="BodyText"/>
        <w:spacing w:line="278" w:lineRule="auto" w:before="101"/>
        <w:ind w:right="2809"/>
        <w:jc w:val="both"/>
      </w:pPr>
      <w:r>
        <w:rPr>
          <w:rFonts w:ascii="Microsoft JhengHei UI" w:hAnsi="Microsoft JhengHei UI" w:eastAsia="Microsoft JhengHei UI" w:hint="eastAsia"/>
          <w:b/>
          <w:spacing w:val="7"/>
        </w:rPr>
        <w:t>科济药业在 </w:t>
      </w:r>
      <w:r>
        <w:rPr>
          <w:rFonts w:ascii="Arial" w:hAnsi="Arial" w:eastAsia="Arial"/>
          <w:b/>
        </w:rPr>
        <w:t>GPC3 </w:t>
      </w:r>
      <w:r>
        <w:rPr>
          <w:rFonts w:ascii="Microsoft JhengHei UI" w:hAnsi="Microsoft JhengHei UI" w:eastAsia="Microsoft JhengHei UI" w:hint="eastAsia"/>
          <w:b/>
          <w:spacing w:val="-2"/>
        </w:rPr>
        <w:t>靶点进行了多款自研产品布局</w:t>
      </w:r>
      <w:r>
        <w:rPr>
          <w:spacing w:val="-2"/>
        </w:rPr>
        <w:t>：目前科济药业管线内有三款靶向 </w:t>
      </w:r>
      <w:r>
        <w:rPr>
          <w:rFonts w:ascii="Arial" w:hAnsi="Arial" w:eastAsia="Arial"/>
        </w:rPr>
        <w:t>GPC3 </w:t>
      </w:r>
      <w:r>
        <w:rPr>
          <w:spacing w:val="5"/>
        </w:rPr>
        <w:t>的产品，其中</w:t>
      </w:r>
      <w:r>
        <w:rPr>
          <w:rFonts w:ascii="Arial" w:hAnsi="Arial" w:eastAsia="Arial"/>
        </w:rPr>
        <w:t>GPC3 </w:t>
      </w:r>
      <w:r>
        <w:rPr>
          <w:rFonts w:ascii="Arial" w:hAnsi="Arial" w:eastAsia="Arial"/>
          <w:spacing w:val="-3"/>
        </w:rPr>
        <w:t>CART </w:t>
      </w:r>
      <w:r>
        <w:rPr>
          <w:spacing w:val="-1"/>
        </w:rPr>
        <w:t>产品 </w:t>
      </w:r>
      <w:r>
        <w:rPr>
          <w:rFonts w:ascii="Arial" w:hAnsi="Arial" w:eastAsia="Arial"/>
        </w:rPr>
        <w:t>CT011 </w:t>
      </w:r>
      <w:r>
        <w:rPr>
          <w:spacing w:val="-4"/>
        </w:rPr>
        <w:t>的目标适应症为 </w:t>
      </w:r>
      <w:r>
        <w:rPr>
          <w:rFonts w:ascii="Arial" w:hAnsi="Arial" w:eastAsia="Arial"/>
        </w:rPr>
        <w:t>HCC</w:t>
      </w:r>
      <w:r>
        <w:rPr>
          <w:spacing w:val="-2"/>
        </w:rPr>
        <w:t>，已经完成国内 </w:t>
      </w:r>
      <w:r>
        <w:rPr>
          <w:rFonts w:ascii="Arial" w:hAnsi="Arial" w:eastAsia="Arial"/>
        </w:rPr>
        <w:t>I </w:t>
      </w:r>
      <w:r>
        <w:rPr>
          <w:spacing w:val="-2"/>
        </w:rPr>
        <w:t>期临床的入</w:t>
      </w:r>
      <w:r>
        <w:rPr>
          <w:spacing w:val="-3"/>
        </w:rPr>
        <w:t>组。此外，公司 </w:t>
      </w:r>
      <w:r>
        <w:rPr>
          <w:rFonts w:ascii="Arial" w:hAnsi="Arial" w:eastAsia="Arial"/>
        </w:rPr>
        <w:t>IIT </w:t>
      </w:r>
      <w:r>
        <w:rPr>
          <w:spacing w:val="-3"/>
        </w:rPr>
        <w:t>研究阶段产品包括基于 </w:t>
      </w:r>
      <w:r>
        <w:rPr>
          <w:rFonts w:ascii="Arial" w:hAnsi="Arial" w:eastAsia="Arial"/>
        </w:rPr>
        <w:t>SFv-ε T </w:t>
      </w:r>
      <w:r>
        <w:rPr>
          <w:spacing w:val="-2"/>
        </w:rPr>
        <w:t>细胞技术开发 </w:t>
      </w:r>
      <w:r>
        <w:rPr>
          <w:rFonts w:ascii="Arial" w:hAnsi="Arial" w:eastAsia="Arial"/>
        </w:rPr>
        <w:t>GPC3 </w:t>
      </w:r>
      <w:r>
        <w:rPr>
          <w:spacing w:val="1"/>
        </w:rPr>
        <w:t>靶点 </w:t>
      </w:r>
      <w:r>
        <w:rPr>
          <w:rFonts w:ascii="Arial" w:hAnsi="Arial" w:eastAsia="Arial"/>
        </w:rPr>
        <w:t>CAR-T </w:t>
      </w:r>
      <w:r>
        <w:rPr/>
        <w:t>候选</w:t>
      </w:r>
      <w:r>
        <w:rPr>
          <w:spacing w:val="15"/>
        </w:rPr>
        <w:t>产品的</w:t>
      </w:r>
      <w:r>
        <w:rPr>
          <w:rFonts w:ascii="Arial" w:hAnsi="Arial" w:eastAsia="Arial"/>
        </w:rPr>
        <w:t>CT0180 </w:t>
      </w:r>
      <w:r>
        <w:rPr>
          <w:spacing w:val="48"/>
        </w:rPr>
        <w:t>和</w:t>
      </w:r>
      <w:r>
        <w:rPr>
          <w:rFonts w:ascii="Arial" w:hAnsi="Arial" w:eastAsia="Arial"/>
        </w:rPr>
        <w:t>CT0181</w:t>
      </w:r>
      <w:r>
        <w:rPr>
          <w:spacing w:val="-3"/>
        </w:rPr>
        <w:t>，适应症均为肝癌，两者区别在于是否共表达</w:t>
      </w:r>
      <w:r>
        <w:rPr>
          <w:rFonts w:ascii="Arial" w:hAnsi="Arial" w:eastAsia="Arial"/>
        </w:rPr>
        <w:t>IL-7</w:t>
      </w:r>
      <w:r>
        <w:rPr/>
        <w:t>。</w:t>
      </w:r>
    </w:p>
    <w:p>
      <w:pPr>
        <w:pStyle w:val="BodyText"/>
        <w:spacing w:line="288" w:lineRule="auto" w:before="127"/>
        <w:ind w:right="2809"/>
        <w:jc w:val="both"/>
        <w:rPr>
          <w:rFonts w:ascii="Arial" w:eastAsia="Arial"/>
        </w:rPr>
      </w:pPr>
      <w:r>
        <w:rPr>
          <w:rFonts w:ascii="Arial" w:eastAsia="Arial"/>
        </w:rPr>
        <w:t>CT011</w:t>
      </w:r>
      <w:r>
        <w:rPr>
          <w:rFonts w:ascii="Arial" w:eastAsia="Arial"/>
          <w:spacing w:val="-11"/>
        </w:rPr>
        <w:t> </w:t>
      </w:r>
      <w:r>
        <w:rPr>
          <w:spacing w:val="-3"/>
        </w:rPr>
        <w:t>在中国进行的 </w:t>
      </w:r>
      <w:r>
        <w:rPr>
          <w:rFonts w:ascii="Arial" w:eastAsia="Arial"/>
          <w:spacing w:val="-3"/>
        </w:rPr>
        <w:t>IIT</w:t>
      </w:r>
      <w:r>
        <w:rPr>
          <w:rFonts w:ascii="Arial" w:eastAsia="Arial"/>
          <w:spacing w:val="-7"/>
        </w:rPr>
        <w:t> </w:t>
      </w:r>
      <w:r>
        <w:rPr>
          <w:spacing w:val="-2"/>
        </w:rPr>
        <w:t>研究入组 </w:t>
      </w:r>
      <w:r>
        <w:rPr>
          <w:rFonts w:ascii="Arial" w:eastAsia="Arial"/>
        </w:rPr>
        <w:t>13</w:t>
      </w:r>
      <w:r>
        <w:rPr>
          <w:rFonts w:ascii="Arial" w:eastAsia="Arial"/>
          <w:spacing w:val="-16"/>
        </w:rPr>
        <w:t> </w:t>
      </w:r>
      <w:r>
        <w:rPr>
          <w:spacing w:val="14"/>
        </w:rPr>
        <w:t>名晚期</w:t>
      </w:r>
      <w:r>
        <w:rPr>
          <w:rFonts w:ascii="Arial" w:eastAsia="Arial"/>
        </w:rPr>
        <w:t>GPC3</w:t>
      </w:r>
      <w:r>
        <w:rPr>
          <w:rFonts w:ascii="Arial" w:eastAsia="Arial"/>
          <w:spacing w:val="-4"/>
        </w:rPr>
        <w:t>+ </w:t>
      </w:r>
      <w:r>
        <w:rPr>
          <w:rFonts w:ascii="Arial" w:eastAsia="Arial"/>
          <w:spacing w:val="-3"/>
        </w:rPr>
        <w:t>HCC</w:t>
      </w:r>
      <w:r>
        <w:rPr>
          <w:rFonts w:ascii="Arial" w:eastAsia="Arial"/>
          <w:spacing w:val="-9"/>
        </w:rPr>
        <w:t> </w:t>
      </w:r>
      <w:r>
        <w:rPr>
          <w:spacing w:val="-1"/>
        </w:rPr>
        <w:t>患者，</w:t>
      </w:r>
      <w:r>
        <w:rPr>
          <w:rFonts w:ascii="Arial" w:eastAsia="Arial"/>
          <w:spacing w:val="-3"/>
        </w:rPr>
        <w:t>6</w:t>
      </w:r>
      <w:r>
        <w:rPr>
          <w:rFonts w:ascii="Arial" w:eastAsia="Arial"/>
          <w:spacing w:val="-12"/>
        </w:rPr>
        <w:t> </w:t>
      </w:r>
      <w:r>
        <w:rPr>
          <w:spacing w:val="-2"/>
        </w:rPr>
        <w:t>个月、</w:t>
      </w:r>
      <w:r>
        <w:rPr>
          <w:rFonts w:ascii="Arial" w:eastAsia="Arial"/>
        </w:rPr>
        <w:t>1</w:t>
      </w:r>
      <w:r>
        <w:rPr>
          <w:rFonts w:ascii="Arial" w:eastAsia="Arial"/>
          <w:spacing w:val="-11"/>
        </w:rPr>
        <w:t> </w:t>
      </w:r>
      <w:r>
        <w:rPr>
          <w:spacing w:val="-2"/>
        </w:rPr>
        <w:t>年及 </w:t>
      </w:r>
      <w:r>
        <w:rPr>
          <w:rFonts w:ascii="Arial" w:eastAsia="Arial"/>
        </w:rPr>
        <w:t>3</w:t>
      </w:r>
      <w:r>
        <w:rPr>
          <w:rFonts w:ascii="Arial" w:eastAsia="Arial"/>
          <w:spacing w:val="-12"/>
        </w:rPr>
        <w:t> </w:t>
      </w:r>
      <w:r>
        <w:rPr>
          <w:spacing w:val="-4"/>
        </w:rPr>
        <w:t>年的 </w:t>
      </w:r>
      <w:r>
        <w:rPr>
          <w:rFonts w:ascii="Arial" w:eastAsia="Arial"/>
        </w:rPr>
        <w:t>OS </w:t>
      </w:r>
      <w:r>
        <w:rPr>
          <w:spacing w:val="10"/>
        </w:rPr>
        <w:t>率分别为 </w:t>
      </w:r>
      <w:r>
        <w:rPr>
          <w:rFonts w:ascii="Arial" w:eastAsia="Arial"/>
        </w:rPr>
        <w:t>50.3%</w:t>
      </w:r>
      <w:r>
        <w:rPr>
          <w:spacing w:val="14"/>
        </w:rPr>
        <w:t>、</w:t>
      </w:r>
      <w:r>
        <w:rPr>
          <w:rFonts w:ascii="Arial" w:eastAsia="Arial"/>
        </w:rPr>
        <w:t>42.0%</w:t>
      </w:r>
      <w:r>
        <w:rPr>
          <w:spacing w:val="7"/>
        </w:rPr>
        <w:t>及 </w:t>
      </w:r>
      <w:r>
        <w:rPr>
          <w:rFonts w:ascii="Arial" w:eastAsia="Arial"/>
          <w:spacing w:val="2"/>
        </w:rPr>
        <w:t>10.5%</w:t>
      </w:r>
      <w:r>
        <w:rPr>
          <w:spacing w:val="2"/>
        </w:rPr>
        <w:t>，</w:t>
      </w:r>
      <w:r>
        <w:rPr>
          <w:rFonts w:ascii="Arial" w:eastAsia="Arial"/>
          <w:spacing w:val="2"/>
        </w:rPr>
        <w:t>mOS</w:t>
      </w:r>
      <w:r>
        <w:rPr>
          <w:rFonts w:ascii="Arial" w:eastAsia="Arial"/>
          <w:spacing w:val="51"/>
        </w:rPr>
        <w:t> </w:t>
      </w:r>
      <w:r>
        <w:rPr>
          <w:spacing w:val="7"/>
        </w:rPr>
        <w:t>为 </w:t>
      </w:r>
      <w:r>
        <w:rPr>
          <w:rFonts w:ascii="Arial" w:eastAsia="Arial"/>
        </w:rPr>
        <w:t>278</w:t>
      </w:r>
      <w:r>
        <w:rPr>
          <w:rFonts w:ascii="Arial" w:eastAsia="Arial"/>
          <w:spacing w:val="45"/>
        </w:rPr>
        <w:t> </w:t>
      </w:r>
      <w:r>
        <w:rPr>
          <w:spacing w:val="14"/>
        </w:rPr>
        <w:t>天。</w:t>
      </w:r>
      <w:r>
        <w:rPr>
          <w:rFonts w:ascii="Arial" w:eastAsia="Arial"/>
        </w:rPr>
        <w:t>2022</w:t>
      </w:r>
      <w:r>
        <w:rPr>
          <w:rFonts w:ascii="Arial" w:eastAsia="Arial"/>
          <w:spacing w:val="50"/>
        </w:rPr>
        <w:t> </w:t>
      </w:r>
      <w:r>
        <w:rPr>
          <w:spacing w:val="7"/>
        </w:rPr>
        <w:t>年 </w:t>
      </w:r>
      <w:r>
        <w:rPr>
          <w:rFonts w:ascii="Arial" w:eastAsia="Arial"/>
        </w:rPr>
        <w:t>8</w:t>
      </w:r>
      <w:r>
        <w:rPr>
          <w:rFonts w:ascii="Arial" w:eastAsia="Arial"/>
          <w:spacing w:val="49"/>
        </w:rPr>
        <w:t> </w:t>
      </w:r>
      <w:r>
        <w:rPr>
          <w:spacing w:val="14"/>
        </w:rPr>
        <w:t>月，《</w:t>
      </w:r>
      <w:r>
        <w:rPr>
          <w:rFonts w:ascii="Arial" w:eastAsia="Arial"/>
        </w:rPr>
        <w:t>Frontiers</w:t>
      </w:r>
      <w:r>
        <w:rPr>
          <w:rFonts w:ascii="Arial" w:eastAsia="Arial"/>
          <w:spacing w:val="42"/>
        </w:rPr>
        <w:t> </w:t>
      </w:r>
      <w:r>
        <w:rPr>
          <w:rFonts w:ascii="Arial" w:eastAsia="Arial"/>
        </w:rPr>
        <w:t>in Immunology</w:t>
      </w:r>
      <w:r>
        <w:rPr>
          <w:spacing w:val="-4"/>
        </w:rPr>
        <w:t>》发表了一篇使用 </w:t>
      </w:r>
      <w:r>
        <w:rPr>
          <w:rFonts w:ascii="Arial" w:eastAsia="Arial"/>
        </w:rPr>
        <w:t>CT011</w:t>
      </w:r>
      <w:r>
        <w:rPr>
          <w:rFonts w:ascii="Arial" w:eastAsia="Arial"/>
          <w:spacing w:val="-9"/>
        </w:rPr>
        <w:t> </w:t>
      </w:r>
      <w:r>
        <w:rPr>
          <w:spacing w:val="-4"/>
        </w:rPr>
        <w:t>达到长期完全缓解的晚期 </w:t>
      </w:r>
      <w:r>
        <w:rPr>
          <w:rFonts w:ascii="Arial" w:eastAsia="Arial"/>
        </w:rPr>
        <w:t>HCC</w:t>
      </w:r>
      <w:r>
        <w:rPr>
          <w:rFonts w:ascii="Arial" w:eastAsia="Arial"/>
          <w:spacing w:val="-16"/>
        </w:rPr>
        <w:t> </w:t>
      </w:r>
      <w:r>
        <w:rPr>
          <w:spacing w:val="3"/>
        </w:rPr>
        <w:t>病例报告，一名</w:t>
      </w:r>
      <w:r>
        <w:rPr>
          <w:rFonts w:ascii="Arial" w:eastAsia="Arial"/>
        </w:rPr>
        <w:t>HBV </w:t>
      </w:r>
      <w:r>
        <w:rPr>
          <w:spacing w:val="-4"/>
        </w:rPr>
        <w:t>相关肝细胞癌患者在手术后出现肺转移，经过经动脉化疗栓塞治疗后，于 </w:t>
      </w:r>
      <w:r>
        <w:rPr>
          <w:rFonts w:ascii="Arial" w:eastAsia="Arial"/>
        </w:rPr>
        <w:t>2018</w:t>
      </w:r>
      <w:r>
        <w:rPr>
          <w:rFonts w:ascii="Arial" w:eastAsia="Arial"/>
          <w:spacing w:val="20"/>
        </w:rPr>
        <w:t> </w:t>
      </w:r>
      <w:r>
        <w:rPr>
          <w:spacing w:val="17"/>
        </w:rPr>
        <w:t>年 </w:t>
      </w:r>
      <w:r>
        <w:rPr>
          <w:rFonts w:ascii="Arial" w:eastAsia="Arial"/>
        </w:rPr>
        <w:t>11</w:t>
      </w:r>
      <w:r>
        <w:rPr>
          <w:rFonts w:ascii="Arial" w:eastAsia="Arial"/>
          <w:spacing w:val="14"/>
        </w:rPr>
        <w:t> </w:t>
      </w:r>
      <w:r>
        <w:rPr>
          <w:spacing w:val="17"/>
        </w:rPr>
        <w:t>月 </w:t>
      </w:r>
      <w:r>
        <w:rPr>
          <w:rFonts w:ascii="Arial" w:eastAsia="Arial"/>
        </w:rPr>
        <w:t>6</w:t>
      </w:r>
    </w:p>
    <w:p>
      <w:pPr>
        <w:pStyle w:val="BodyText"/>
        <w:spacing w:line="252" w:lineRule="auto"/>
        <w:ind w:right="2814"/>
        <w:jc w:val="both"/>
      </w:pPr>
      <w:r>
        <w:rPr>
          <w:spacing w:val="-2"/>
        </w:rPr>
        <w:t>日出现疾病进展，入组后患者接受了单采，并于单采后 </w:t>
      </w:r>
      <w:r>
        <w:rPr>
          <w:rFonts w:ascii="Arial" w:hAnsi="Arial" w:eastAsia="Arial"/>
        </w:rPr>
        <w:t>7</w:t>
      </w:r>
      <w:r>
        <w:rPr>
          <w:rFonts w:ascii="Arial" w:hAnsi="Arial" w:eastAsia="Arial"/>
          <w:spacing w:val="54"/>
        </w:rPr>
        <w:t> </w:t>
      </w:r>
      <w:r>
        <w:rPr>
          <w:spacing w:val="-2"/>
        </w:rPr>
        <w:t>天开始服用索拉非尼。患者接受</w:t>
      </w:r>
      <w:r>
        <w:rPr>
          <w:spacing w:val="3"/>
        </w:rPr>
        <w:t>了 </w:t>
      </w:r>
      <w:r>
        <w:rPr>
          <w:rFonts w:ascii="Arial" w:hAnsi="Arial" w:eastAsia="Arial"/>
        </w:rPr>
        <w:t>4</w:t>
      </w:r>
      <w:r>
        <w:rPr>
          <w:rFonts w:ascii="Arial" w:hAnsi="Arial" w:eastAsia="Arial"/>
          <w:spacing w:val="-3"/>
        </w:rPr>
        <w:t> </w:t>
      </w:r>
      <w:r>
        <w:rPr/>
        <w:t>个周期的 </w:t>
      </w:r>
      <w:r>
        <w:rPr>
          <w:rFonts w:ascii="Arial" w:hAnsi="Arial" w:eastAsia="Arial"/>
        </w:rPr>
        <w:t>CT011</w:t>
      </w:r>
      <w:r>
        <w:rPr>
          <w:rFonts w:ascii="Arial" w:hAnsi="Arial" w:eastAsia="Arial"/>
          <w:spacing w:val="-3"/>
        </w:rPr>
        <w:t> </w:t>
      </w:r>
      <w:r>
        <w:rPr>
          <w:spacing w:val="-2"/>
        </w:rPr>
        <w:t>治疗，共输注 </w:t>
      </w:r>
      <w:r>
        <w:rPr>
          <w:rFonts w:ascii="Arial" w:hAnsi="Arial" w:eastAsia="Arial"/>
        </w:rPr>
        <w:t>4×10</w:t>
      </w:r>
      <w:r>
        <w:rPr>
          <w:rFonts w:ascii="Arial" w:hAnsi="Arial" w:eastAsia="Arial"/>
          <w:vertAlign w:val="superscript"/>
        </w:rPr>
        <w:t>9</w:t>
      </w:r>
      <w:r>
        <w:rPr>
          <w:rFonts w:ascii="Arial" w:hAnsi="Arial" w:eastAsia="Arial"/>
          <w:spacing w:val="-26"/>
          <w:vertAlign w:val="baseline"/>
        </w:rPr>
        <w:t> </w:t>
      </w:r>
      <w:r>
        <w:rPr>
          <w:spacing w:val="4"/>
          <w:vertAlign w:val="baseline"/>
        </w:rPr>
        <w:t>个 </w:t>
      </w:r>
      <w:r>
        <w:rPr>
          <w:rFonts w:ascii="Arial" w:hAnsi="Arial" w:eastAsia="Arial"/>
          <w:vertAlign w:val="baseline"/>
        </w:rPr>
        <w:t>GPC3</w:t>
      </w:r>
      <w:r>
        <w:rPr>
          <w:rFonts w:ascii="Arial" w:hAnsi="Arial" w:eastAsia="Arial"/>
          <w:spacing w:val="28"/>
          <w:vertAlign w:val="baseline"/>
        </w:rPr>
        <w:t> </w:t>
      </w:r>
      <w:r>
        <w:rPr>
          <w:rFonts w:ascii="Arial" w:hAnsi="Arial" w:eastAsia="Arial"/>
          <w:vertAlign w:val="baseline"/>
        </w:rPr>
        <w:t>CAR-T </w:t>
      </w:r>
      <w:r>
        <w:rPr>
          <w:spacing w:val="-5"/>
          <w:vertAlign w:val="baseline"/>
        </w:rPr>
        <w:t>细胞</w:t>
      </w:r>
      <w:r>
        <w:rPr>
          <w:rFonts w:ascii="Microsoft JhengHei UI" w:hAnsi="Microsoft JhengHei UI" w:eastAsia="Microsoft JhengHei UI" w:hint="eastAsia"/>
          <w:b/>
          <w:spacing w:val="4"/>
          <w:vertAlign w:val="baseline"/>
        </w:rPr>
        <w:t>。</w:t>
      </w:r>
      <w:r>
        <w:rPr>
          <w:rFonts w:ascii="Arial" w:hAnsi="Arial" w:eastAsia="Arial"/>
          <w:vertAlign w:val="baseline"/>
        </w:rPr>
        <w:t>CT011</w:t>
      </w:r>
      <w:r>
        <w:rPr>
          <w:rFonts w:ascii="Arial" w:hAnsi="Arial" w:eastAsia="Arial"/>
          <w:spacing w:val="-3"/>
          <w:vertAlign w:val="baseline"/>
        </w:rPr>
        <w:t> </w:t>
      </w:r>
      <w:r>
        <w:rPr>
          <w:spacing w:val="-3"/>
          <w:vertAlign w:val="baseline"/>
        </w:rPr>
        <w:t>联合索拉非尼治</w:t>
      </w:r>
      <w:r>
        <w:rPr>
          <w:spacing w:val="-5"/>
          <w:vertAlign w:val="baseline"/>
        </w:rPr>
        <w:t>疗耐受性良好。患者从第 </w:t>
      </w:r>
      <w:r>
        <w:rPr>
          <w:rFonts w:ascii="Arial" w:hAnsi="Arial" w:eastAsia="Arial"/>
          <w:vertAlign w:val="baseline"/>
        </w:rPr>
        <w:t>3</w:t>
      </w:r>
      <w:r>
        <w:rPr>
          <w:rFonts w:ascii="Arial" w:hAnsi="Arial" w:eastAsia="Arial"/>
          <w:spacing w:val="-8"/>
          <w:vertAlign w:val="baseline"/>
        </w:rPr>
        <w:t> </w:t>
      </w:r>
      <w:r>
        <w:rPr>
          <w:spacing w:val="-2"/>
          <w:vertAlign w:val="baseline"/>
        </w:rPr>
        <w:t>个月开始达到 </w:t>
      </w:r>
      <w:r>
        <w:rPr>
          <w:rFonts w:ascii="Arial" w:hAnsi="Arial" w:eastAsia="Arial"/>
          <w:vertAlign w:val="baseline"/>
        </w:rPr>
        <w:t>PR</w:t>
      </w:r>
      <w:r>
        <w:rPr>
          <w:spacing w:val="-3"/>
          <w:vertAlign w:val="baseline"/>
        </w:rPr>
        <w:t>，并在第一个 </w:t>
      </w:r>
      <w:r>
        <w:rPr>
          <w:rFonts w:ascii="Arial" w:hAnsi="Arial" w:eastAsia="Arial"/>
          <w:vertAlign w:val="baseline"/>
        </w:rPr>
        <w:t>CT011</w:t>
      </w:r>
      <w:r>
        <w:rPr>
          <w:rFonts w:ascii="Arial" w:hAnsi="Arial" w:eastAsia="Arial"/>
          <w:spacing w:val="-7"/>
          <w:vertAlign w:val="baseline"/>
        </w:rPr>
        <w:t> </w:t>
      </w:r>
      <w:r>
        <w:rPr>
          <w:spacing w:val="-3"/>
          <w:vertAlign w:val="baseline"/>
        </w:rPr>
        <w:t>输注周期后的第 </w:t>
      </w:r>
      <w:r>
        <w:rPr>
          <w:rFonts w:ascii="Arial" w:hAnsi="Arial" w:eastAsia="Arial"/>
          <w:vertAlign w:val="baseline"/>
        </w:rPr>
        <w:t>12</w:t>
      </w:r>
      <w:r>
        <w:rPr>
          <w:rFonts w:ascii="Arial" w:hAnsi="Arial" w:eastAsia="Arial"/>
          <w:spacing w:val="-9"/>
          <w:vertAlign w:val="baseline"/>
        </w:rPr>
        <w:t> </w:t>
      </w:r>
      <w:r>
        <w:rPr>
          <w:vertAlign w:val="baseline"/>
        </w:rPr>
        <w:t>个月</w:t>
      </w:r>
    </w:p>
    <w:p>
      <w:pPr>
        <w:pStyle w:val="BodyText"/>
        <w:spacing w:before="40"/>
        <w:jc w:val="both"/>
      </w:pPr>
      <w:r>
        <w:rPr/>
        <w:t>达到 </w:t>
      </w:r>
      <w:r>
        <w:rPr>
          <w:rFonts w:ascii="Arial" w:eastAsia="Arial"/>
        </w:rPr>
        <w:t>CR</w:t>
      </w:r>
      <w:r>
        <w:rPr/>
        <w:t>。肿瘤超过 </w:t>
      </w:r>
      <w:r>
        <w:rPr>
          <w:rFonts w:ascii="Arial" w:eastAsia="Arial"/>
        </w:rPr>
        <w:t>36 </w:t>
      </w:r>
      <w:r>
        <w:rPr/>
        <w:t>个月没有进展，在第一次输注后保持完全缓解状态超过 </w:t>
      </w:r>
      <w:r>
        <w:rPr>
          <w:rFonts w:ascii="Arial" w:eastAsia="Arial"/>
        </w:rPr>
        <w:t>24 </w:t>
      </w:r>
      <w:r>
        <w:rPr/>
        <w:t>个月。</w:t>
      </w:r>
    </w:p>
    <w:p>
      <w:pPr>
        <w:spacing w:line="273" w:lineRule="auto" w:before="122"/>
        <w:ind w:left="210" w:right="2814" w:firstLine="0"/>
        <w:jc w:val="both"/>
        <w:rPr>
          <w:sz w:val="20"/>
        </w:rPr>
      </w:pPr>
      <w:r>
        <w:rPr>
          <w:rFonts w:ascii="Microsoft JhengHei UI" w:eastAsia="Microsoft JhengHei UI" w:hint="eastAsia"/>
          <w:b/>
          <w:spacing w:val="-2"/>
          <w:sz w:val="20"/>
        </w:rPr>
        <w:t>药明巨诺联手 </w:t>
      </w:r>
      <w:r>
        <w:rPr>
          <w:rFonts w:ascii="Arial" w:eastAsia="Arial"/>
          <w:b/>
          <w:sz w:val="20"/>
        </w:rPr>
        <w:t>Eureka/</w:t>
      </w:r>
      <w:r>
        <w:rPr>
          <w:rFonts w:ascii="Arial" w:eastAsia="Arial"/>
          <w:b/>
          <w:spacing w:val="-10"/>
          <w:sz w:val="20"/>
        </w:rPr>
        <w:t> </w:t>
      </w:r>
      <w:r>
        <w:rPr>
          <w:rFonts w:ascii="Arial" w:eastAsia="Arial"/>
          <w:b/>
          <w:sz w:val="20"/>
        </w:rPr>
        <w:t>Lyell</w:t>
      </w:r>
      <w:r>
        <w:rPr>
          <w:rFonts w:ascii="Microsoft JhengHei UI" w:eastAsia="Microsoft JhengHei UI" w:hint="eastAsia"/>
          <w:b/>
          <w:spacing w:val="7"/>
          <w:sz w:val="20"/>
        </w:rPr>
        <w:t>，开发两款</w:t>
      </w:r>
      <w:r>
        <w:rPr>
          <w:rFonts w:ascii="Arial" w:eastAsia="Arial"/>
          <w:b/>
          <w:sz w:val="20"/>
        </w:rPr>
        <w:t>GPC3</w:t>
      </w:r>
      <w:r>
        <w:rPr>
          <w:rFonts w:ascii="Arial" w:eastAsia="Arial"/>
          <w:b/>
          <w:spacing w:val="-18"/>
          <w:sz w:val="20"/>
        </w:rPr>
        <w:t> </w:t>
      </w:r>
      <w:r>
        <w:rPr>
          <w:rFonts w:ascii="Arial" w:eastAsia="Arial"/>
          <w:b/>
          <w:sz w:val="20"/>
        </w:rPr>
        <w:t>TCR-T</w:t>
      </w:r>
      <w:r>
        <w:rPr>
          <w:spacing w:val="-2"/>
          <w:sz w:val="20"/>
        </w:rPr>
        <w:t>：基于 </w:t>
      </w:r>
      <w:r>
        <w:rPr>
          <w:rFonts w:ascii="Arial" w:eastAsia="Arial"/>
          <w:sz w:val="20"/>
        </w:rPr>
        <w:t>Eureka</w:t>
      </w:r>
      <w:r>
        <w:rPr>
          <w:rFonts w:ascii="Arial" w:eastAsia="Arial"/>
          <w:spacing w:val="-23"/>
          <w:sz w:val="20"/>
        </w:rPr>
        <w:t> </w:t>
      </w:r>
      <w:r>
        <w:rPr>
          <w:spacing w:val="43"/>
          <w:sz w:val="20"/>
        </w:rPr>
        <w:t>的</w:t>
      </w:r>
      <w:r>
        <w:rPr>
          <w:rFonts w:ascii="Arial" w:eastAsia="Arial"/>
          <w:sz w:val="20"/>
        </w:rPr>
        <w:t>TCR-T</w:t>
      </w:r>
      <w:r>
        <w:rPr>
          <w:sz w:val="20"/>
        </w:rPr>
        <w:t>、</w:t>
      </w:r>
      <w:r>
        <w:rPr>
          <w:rFonts w:ascii="Arial" w:eastAsia="Arial"/>
          <w:sz w:val="20"/>
        </w:rPr>
        <w:t>ARTEMIS </w:t>
      </w:r>
      <w:r>
        <w:rPr>
          <w:spacing w:val="-3"/>
          <w:sz w:val="20"/>
        </w:rPr>
        <w:t>技术平台，药明巨诺开发出两款靶向</w:t>
      </w:r>
      <w:r>
        <w:rPr>
          <w:rFonts w:ascii="Arial" w:eastAsia="Arial"/>
          <w:sz w:val="20"/>
        </w:rPr>
        <w:t>GPC3</w:t>
      </w:r>
      <w:r>
        <w:rPr>
          <w:rFonts w:ascii="Arial" w:eastAsia="Arial"/>
          <w:spacing w:val="-23"/>
          <w:sz w:val="20"/>
        </w:rPr>
        <w:t> </w:t>
      </w:r>
      <w:r>
        <w:rPr>
          <w:spacing w:val="-3"/>
          <w:sz w:val="20"/>
        </w:rPr>
        <w:t>的细胞治疗产品，</w:t>
      </w:r>
      <w:r>
        <w:rPr>
          <w:rFonts w:ascii="Arial" w:eastAsia="Arial"/>
          <w:sz w:val="20"/>
        </w:rPr>
        <w:t>JWATM204</w:t>
      </w:r>
      <w:r>
        <w:rPr>
          <w:rFonts w:ascii="Arial" w:eastAsia="Arial"/>
          <w:spacing w:val="-21"/>
          <w:sz w:val="20"/>
        </w:rPr>
        <w:t> </w:t>
      </w:r>
      <w:r>
        <w:rPr>
          <w:spacing w:val="29"/>
          <w:sz w:val="20"/>
        </w:rPr>
        <w:t>和</w:t>
      </w:r>
      <w:r>
        <w:rPr>
          <w:rFonts w:ascii="Arial" w:eastAsia="Arial"/>
          <w:sz w:val="20"/>
        </w:rPr>
        <w:t>JWATM214</w:t>
      </w:r>
      <w:r>
        <w:rPr>
          <w:sz w:val="20"/>
        </w:rPr>
        <w:t>， </w:t>
      </w:r>
      <w:r>
        <w:rPr>
          <w:spacing w:val="-5"/>
          <w:sz w:val="20"/>
        </w:rPr>
        <w:t>目前两款产品在中国皆未进入临床，</w:t>
      </w:r>
      <w:r>
        <w:rPr>
          <w:rFonts w:ascii="Arial" w:eastAsia="Arial"/>
          <w:sz w:val="20"/>
        </w:rPr>
        <w:t>JWATM204</w:t>
      </w:r>
      <w:r>
        <w:rPr>
          <w:rFonts w:ascii="Arial" w:eastAsia="Arial"/>
          <w:spacing w:val="-10"/>
          <w:sz w:val="20"/>
        </w:rPr>
        <w:t> </w:t>
      </w:r>
      <w:r>
        <w:rPr>
          <w:spacing w:val="-2"/>
          <w:sz w:val="20"/>
        </w:rPr>
        <w:t>目前由 </w:t>
      </w:r>
      <w:r>
        <w:rPr>
          <w:rFonts w:ascii="Arial" w:eastAsia="Arial"/>
          <w:sz w:val="20"/>
        </w:rPr>
        <w:t>Eureka</w:t>
      </w:r>
      <w:r>
        <w:rPr>
          <w:rFonts w:ascii="Arial" w:eastAsia="Arial"/>
          <w:spacing w:val="-10"/>
          <w:sz w:val="20"/>
        </w:rPr>
        <w:t> </w:t>
      </w:r>
      <w:r>
        <w:rPr>
          <w:spacing w:val="9"/>
          <w:sz w:val="20"/>
        </w:rPr>
        <w:t>在美国进行</w:t>
      </w:r>
      <w:r>
        <w:rPr>
          <w:rFonts w:ascii="Arial" w:eastAsia="Arial"/>
          <w:sz w:val="20"/>
        </w:rPr>
        <w:t>I/II</w:t>
      </w:r>
      <w:r>
        <w:rPr>
          <w:rFonts w:ascii="Arial" w:eastAsia="Arial"/>
          <w:spacing w:val="-6"/>
          <w:sz w:val="20"/>
        </w:rPr>
        <w:t> </w:t>
      </w:r>
      <w:r>
        <w:rPr>
          <w:spacing w:val="-2"/>
          <w:sz w:val="20"/>
        </w:rPr>
        <w:t>期临床。</w:t>
      </w:r>
    </w:p>
    <w:p>
      <w:pPr>
        <w:pStyle w:val="BodyText"/>
        <w:spacing w:line="288" w:lineRule="auto" w:before="134"/>
        <w:ind w:right="2809"/>
        <w:jc w:val="both"/>
      </w:pPr>
      <w:r>
        <w:rPr>
          <w:rFonts w:ascii="Arial" w:eastAsia="Arial"/>
        </w:rPr>
        <w:t>JWATM204 </w:t>
      </w:r>
      <w:r>
        <w:rPr>
          <w:spacing w:val="4"/>
        </w:rPr>
        <w:t>是在优瑞科 </w:t>
      </w:r>
      <w:r>
        <w:rPr>
          <w:rFonts w:ascii="Arial" w:eastAsia="Arial"/>
        </w:rPr>
        <w:t>ARTEMIS </w:t>
      </w:r>
      <w:r>
        <w:rPr>
          <w:spacing w:val="17"/>
        </w:rPr>
        <w:t>及 </w:t>
      </w:r>
      <w:r>
        <w:rPr>
          <w:rFonts w:ascii="Arial" w:eastAsia="Arial"/>
        </w:rPr>
        <w:t>E-ALPHA </w:t>
      </w:r>
      <w:r>
        <w:rPr>
          <w:spacing w:val="-2"/>
        </w:rPr>
        <w:t>平台上建立的一款自体、非 </w:t>
      </w:r>
      <w:r>
        <w:rPr>
          <w:rFonts w:ascii="Arial" w:eastAsia="Arial"/>
        </w:rPr>
        <w:t>HLA </w:t>
      </w:r>
      <w:r>
        <w:rPr/>
        <w:t>限制性</w:t>
      </w:r>
      <w:r>
        <w:rPr>
          <w:rFonts w:ascii="Arial" w:eastAsia="Arial"/>
        </w:rPr>
        <w:t>TCR T </w:t>
      </w:r>
      <w:r>
        <w:rPr>
          <w:spacing w:val="-4"/>
        </w:rPr>
        <w:t>细胞疗法。药明巨诺于 </w:t>
      </w:r>
      <w:r>
        <w:rPr>
          <w:rFonts w:ascii="Arial" w:eastAsia="Arial"/>
        </w:rPr>
        <w:t>2020 </w:t>
      </w:r>
      <w:r>
        <w:rPr/>
        <w:t>年 </w:t>
      </w:r>
      <w:r>
        <w:rPr>
          <w:rFonts w:ascii="Arial" w:eastAsia="Arial"/>
        </w:rPr>
        <w:t>6 </w:t>
      </w:r>
      <w:r>
        <w:rPr>
          <w:spacing w:val="-5"/>
        </w:rPr>
        <w:t>月自优瑞科获得于大中华区及东南亚国家联盟成员</w:t>
      </w:r>
      <w:r>
        <w:rPr>
          <w:spacing w:val="-2"/>
        </w:rPr>
        <w:t>国开发、制造及商业化 </w:t>
      </w:r>
      <w:r>
        <w:rPr>
          <w:rFonts w:ascii="Arial" w:eastAsia="Arial"/>
        </w:rPr>
        <w:t>JWATM204 </w:t>
      </w:r>
      <w:r>
        <w:rPr>
          <w:spacing w:val="-1"/>
        </w:rPr>
        <w:t>的许可，公司利用 </w:t>
      </w:r>
      <w:r>
        <w:rPr>
          <w:rFonts w:ascii="Arial" w:eastAsia="Arial"/>
        </w:rPr>
        <w:t>relma-cel </w:t>
      </w:r>
      <w:r>
        <w:rPr/>
        <w:t>制造流程平台，于 </w:t>
      </w:r>
      <w:r>
        <w:rPr>
          <w:rFonts w:ascii="Arial" w:eastAsia="Arial"/>
          <w:spacing w:val="-3"/>
        </w:rPr>
        <w:t>3Q21 </w:t>
      </w:r>
      <w:r>
        <w:rPr>
          <w:spacing w:val="24"/>
        </w:rPr>
        <w:t>完成</w:t>
      </w:r>
      <w:r>
        <w:rPr>
          <w:rFonts w:ascii="Arial" w:eastAsia="Arial"/>
        </w:rPr>
        <w:t>JWATM204 </w:t>
      </w:r>
      <w:r>
        <w:rPr>
          <w:spacing w:val="-3"/>
        </w:rPr>
        <w:t>的制造流程开发。</w:t>
      </w:r>
      <w:r>
        <w:rPr>
          <w:rFonts w:ascii="Arial" w:eastAsia="Arial"/>
        </w:rPr>
        <w:t>22 </w:t>
      </w:r>
      <w:r>
        <w:rPr>
          <w:spacing w:val="-1"/>
        </w:rPr>
        <w:t>年 </w:t>
      </w:r>
      <w:r>
        <w:rPr>
          <w:rFonts w:ascii="Arial" w:eastAsia="Arial"/>
        </w:rPr>
        <w:t>6 </w:t>
      </w:r>
      <w:r>
        <w:rPr>
          <w:spacing w:val="3"/>
        </w:rPr>
        <w:t>月，药明巨诺启动</w:t>
      </w:r>
      <w:r>
        <w:rPr>
          <w:rFonts w:ascii="Arial" w:eastAsia="Arial"/>
        </w:rPr>
        <w:t>JWATM204 </w:t>
      </w:r>
      <w:r>
        <w:rPr>
          <w:spacing w:val="48"/>
        </w:rPr>
        <w:t>的</w:t>
      </w:r>
      <w:r>
        <w:rPr>
          <w:rFonts w:ascii="Arial" w:eastAsia="Arial"/>
        </w:rPr>
        <w:t>IIT </w:t>
      </w:r>
      <w:r>
        <w:rPr>
          <w:spacing w:val="-2"/>
        </w:rPr>
        <w:t>试验。</w:t>
      </w:r>
    </w:p>
    <w:p>
      <w:pPr>
        <w:pStyle w:val="BodyText"/>
        <w:spacing w:line="288" w:lineRule="auto" w:before="118"/>
        <w:ind w:right="2814"/>
        <w:jc w:val="both"/>
      </w:pPr>
      <w:r>
        <w:rPr/>
        <w:t>此外，药明巨诺也计划将 </w:t>
      </w:r>
      <w:r>
        <w:rPr>
          <w:rFonts w:ascii="Arial" w:eastAsia="Arial"/>
        </w:rPr>
        <w:t>Lyell </w:t>
      </w:r>
      <w:r>
        <w:rPr/>
        <w:t>在 </w:t>
      </w:r>
      <w:r>
        <w:rPr>
          <w:rFonts w:ascii="Arial" w:eastAsia="Arial"/>
        </w:rPr>
        <w:t>T </w:t>
      </w:r>
      <w:r>
        <w:rPr/>
        <w:t>细胞抗衰竭功能方面的技术与 </w:t>
      </w:r>
      <w:r>
        <w:rPr>
          <w:rFonts w:ascii="Arial" w:eastAsia="Arial"/>
        </w:rPr>
        <w:t>JWATM204 </w:t>
      </w:r>
      <w:r>
        <w:rPr/>
        <w:t>相结合，以开发 </w:t>
      </w:r>
      <w:r>
        <w:rPr>
          <w:rFonts w:ascii="Arial" w:eastAsia="Arial"/>
        </w:rPr>
        <w:t>JWATM214 </w:t>
      </w:r>
      <w:r>
        <w:rPr/>
        <w:t>作为 </w:t>
      </w:r>
      <w:r>
        <w:rPr>
          <w:rFonts w:ascii="Arial" w:eastAsia="Arial"/>
        </w:rPr>
        <w:t>HCC </w:t>
      </w:r>
      <w:r>
        <w:rPr/>
        <w:t>治疗的下一代创新自体细胞疗法，预期将于 </w:t>
      </w:r>
      <w:r>
        <w:rPr>
          <w:rFonts w:ascii="Arial" w:eastAsia="Arial"/>
        </w:rPr>
        <w:t>2023 </w:t>
      </w:r>
      <w:r>
        <w:rPr/>
        <w:t>年开始</w:t>
      </w:r>
      <w:r>
        <w:rPr>
          <w:rFonts w:ascii="Arial" w:eastAsia="Arial"/>
        </w:rPr>
        <w:t>JWATM214 </w:t>
      </w:r>
      <w:r>
        <w:rPr/>
        <w:t>的临床研究。</w:t>
      </w:r>
    </w:p>
    <w:p>
      <w:pPr>
        <w:pStyle w:val="BodyText"/>
        <w:spacing w:line="273" w:lineRule="auto" w:before="67"/>
        <w:ind w:right="2814"/>
        <w:jc w:val="both"/>
      </w:pPr>
      <w:r>
        <w:rPr>
          <w:rFonts w:ascii="Microsoft JhengHei UI" w:eastAsia="Microsoft JhengHei UI" w:hint="eastAsia"/>
          <w:b/>
        </w:rPr>
        <w:t>传奇生物自主开发 </w:t>
      </w:r>
      <w:r>
        <w:rPr>
          <w:rFonts w:ascii="Arial" w:eastAsia="Arial"/>
          <w:b/>
        </w:rPr>
        <w:t>LB2101</w:t>
      </w:r>
      <w:r>
        <w:rPr>
          <w:rFonts w:ascii="Microsoft JhengHei UI" w:eastAsia="Microsoft JhengHei UI" w:hint="eastAsia"/>
          <w:b/>
        </w:rPr>
        <w:t>，目前处于临床前阶段</w:t>
      </w:r>
      <w:r>
        <w:rPr/>
        <w:t>：</w:t>
      </w:r>
      <w:r>
        <w:rPr>
          <w:rFonts w:ascii="Arial" w:eastAsia="Arial"/>
        </w:rPr>
        <w:t>2021 </w:t>
      </w:r>
      <w:r>
        <w:rPr/>
        <w:t>年 </w:t>
      </w:r>
      <w:r>
        <w:rPr>
          <w:rFonts w:ascii="Arial" w:eastAsia="Arial"/>
        </w:rPr>
        <w:t>10 </w:t>
      </w:r>
      <w:r>
        <w:rPr/>
        <w:t>月 </w:t>
      </w:r>
      <w:r>
        <w:rPr>
          <w:rFonts w:ascii="Arial" w:eastAsia="Arial"/>
        </w:rPr>
        <w:t>18 </w:t>
      </w:r>
      <w:r>
        <w:rPr/>
        <w:t>日，传奇生物在研发日披露一款 </w:t>
      </w:r>
      <w:r>
        <w:rPr>
          <w:rFonts w:ascii="Arial" w:eastAsia="Arial"/>
        </w:rPr>
        <w:t>GPC3 CAR-T </w:t>
      </w:r>
      <w:r>
        <w:rPr/>
        <w:t>产品 </w:t>
      </w:r>
      <w:r>
        <w:rPr>
          <w:rFonts w:ascii="Arial" w:eastAsia="Arial"/>
        </w:rPr>
        <w:t>LB2101</w:t>
      </w:r>
      <w:r>
        <w:rPr/>
        <w:t>。该产品不仅表达靶向 </w:t>
      </w:r>
      <w:r>
        <w:rPr>
          <w:rFonts w:ascii="Arial" w:eastAsia="Arial"/>
        </w:rPr>
        <w:t>GPC-3 </w:t>
      </w:r>
      <w:r>
        <w:rPr/>
        <w:t>的 </w:t>
      </w:r>
      <w:r>
        <w:rPr>
          <w:rFonts w:ascii="Arial" w:eastAsia="Arial"/>
        </w:rPr>
        <w:t>CAR</w:t>
      </w:r>
      <w:r>
        <w:rPr/>
        <w:t>，还同时表达着一个被肿瘤微环境中的信号激活的跨膜蛋白。只有在 </w:t>
      </w:r>
      <w:r>
        <w:rPr>
          <w:rFonts w:ascii="Arial" w:eastAsia="Arial"/>
        </w:rPr>
        <w:t>CAR </w:t>
      </w:r>
      <w:r>
        <w:rPr/>
        <w:t>信号通路被激活的同时才能</w:t>
      </w:r>
    </w:p>
    <w:p>
      <w:pPr>
        <w:spacing w:after="0" w:line="273" w:lineRule="auto"/>
        <w:jc w:val="both"/>
        <w:sectPr>
          <w:pgSz w:w="11910" w:h="16840"/>
          <w:pgMar w:header="682" w:footer="358" w:top="1360" w:bottom="540" w:left="640" w:right="300"/>
        </w:sectPr>
      </w:pPr>
    </w:p>
    <w:p>
      <w:pPr>
        <w:pStyle w:val="BodyText"/>
        <w:ind w:left="0"/>
        <w:rPr>
          <w:sz w:val="10"/>
        </w:rPr>
      </w:pPr>
    </w:p>
    <w:p>
      <w:pPr>
        <w:pStyle w:val="BodyText"/>
        <w:spacing w:line="20" w:lineRule="exact"/>
        <w:ind w:left="-2"/>
        <w:rPr>
          <w:sz w:val="2"/>
        </w:rPr>
      </w:pPr>
      <w:r>
        <w:rPr>
          <w:sz w:val="2"/>
        </w:rPr>
        <w:pict>
          <v:group style="width:11.95pt;height:.5pt;mso-position-horizontal-relative:char;mso-position-vertical-relative:line" coordorigin="0,0" coordsize="239,10">
            <v:line style="position:absolute" from="0,5" to="238,5" stroked="true" strokeweight=".48pt" strokecolor="#000000">
              <v:stroke dashstyle="shortdot"/>
            </v:line>
          </v:group>
        </w:pict>
      </w:r>
      <w:r>
        <w:rPr>
          <w:sz w:val="2"/>
        </w:rPr>
      </w:r>
    </w:p>
    <w:p>
      <w:pPr>
        <w:pStyle w:val="BodyText"/>
        <w:spacing w:line="288" w:lineRule="auto" w:before="110"/>
        <w:ind w:right="2814"/>
        <w:jc w:val="both"/>
      </w:pPr>
      <w:r>
        <w:rPr/>
        <w:t>被肿瘤微环境中的信号激活，因此不会影响 </w:t>
      </w:r>
      <w:r>
        <w:rPr>
          <w:rFonts w:ascii="Arial" w:eastAsia="Arial"/>
        </w:rPr>
        <w:t>CAR-T </w:t>
      </w:r>
      <w:r>
        <w:rPr/>
        <w:t>细胞的特异性，并可以改善 </w:t>
      </w:r>
      <w:r>
        <w:rPr>
          <w:rFonts w:ascii="Arial" w:eastAsia="Arial"/>
        </w:rPr>
        <w:t>CAR-T </w:t>
      </w:r>
      <w:r>
        <w:rPr/>
        <w:t>细胞的浸润、增殖和持久性。公司初步计划先在国内进行</w:t>
      </w:r>
      <w:r>
        <w:rPr>
          <w:rFonts w:ascii="Arial" w:eastAsia="Arial"/>
        </w:rPr>
        <w:t>IND </w:t>
      </w:r>
      <w:r>
        <w:rPr/>
        <w:t>申请。</w:t>
      </w:r>
    </w:p>
    <w:p>
      <w:pPr>
        <w:pStyle w:val="Heading2"/>
        <w:spacing w:before="60"/>
        <w:jc w:val="both"/>
      </w:pPr>
      <w:bookmarkStart w:name="_bookmark20" w:id="21"/>
      <w:bookmarkEnd w:id="21"/>
      <w:r>
        <w:rPr>
          <w:b w:val="0"/>
        </w:rPr>
      </w:r>
      <w:r>
        <w:rPr>
          <w:rFonts w:ascii="Arial" w:eastAsia="Arial"/>
          <w:color w:val="585858"/>
        </w:rPr>
        <w:t>MSLN </w:t>
      </w:r>
      <w:r>
        <w:rPr>
          <w:color w:val="585858"/>
        </w:rPr>
        <w:t>靶点具有广谱性，对多种癌症有效</w:t>
      </w:r>
    </w:p>
    <w:p>
      <w:pPr>
        <w:pStyle w:val="BodyText"/>
        <w:spacing w:line="288" w:lineRule="auto" w:before="119"/>
        <w:ind w:right="2809"/>
        <w:jc w:val="both"/>
      </w:pPr>
      <w:r>
        <w:rPr>
          <w:spacing w:val="3"/>
        </w:rPr>
        <w:t>间皮素 </w:t>
      </w:r>
      <w:r>
        <w:rPr>
          <w:rFonts w:ascii="Arial" w:eastAsia="Arial"/>
        </w:rPr>
        <w:t>(Mesothelin</w:t>
      </w:r>
      <w:r>
        <w:rPr>
          <w:rFonts w:ascii="Arial" w:eastAsia="Arial"/>
          <w:spacing w:val="2"/>
        </w:rPr>
        <w:t>) </w:t>
      </w:r>
      <w:r>
        <w:rPr>
          <w:spacing w:val="-2"/>
        </w:rPr>
        <w:t>基因位于染色体 </w:t>
      </w:r>
      <w:r>
        <w:rPr>
          <w:rFonts w:ascii="Arial" w:eastAsia="Arial"/>
          <w:spacing w:val="-3"/>
        </w:rPr>
        <w:t>16</w:t>
      </w:r>
      <w:r>
        <w:rPr>
          <w:spacing w:val="-4"/>
        </w:rPr>
        <w:t>，可编码一种分子量大小为 </w:t>
      </w:r>
      <w:r>
        <w:rPr>
          <w:rFonts w:ascii="Arial" w:eastAsia="Arial"/>
        </w:rPr>
        <w:t>71 KD </w:t>
      </w:r>
      <w:r>
        <w:rPr>
          <w:spacing w:val="-3"/>
        </w:rPr>
        <w:t>的糖蛋白，该前</w:t>
      </w:r>
      <w:r>
        <w:rPr>
          <w:spacing w:val="4"/>
        </w:rPr>
        <w:t>体蛋白可被 </w:t>
      </w:r>
      <w:r>
        <w:rPr>
          <w:rFonts w:ascii="Arial" w:eastAsia="Arial"/>
        </w:rPr>
        <w:t>Furin </w:t>
      </w:r>
      <w:r>
        <w:rPr>
          <w:spacing w:val="3"/>
        </w:rPr>
        <w:t>蛋白酶水解为两个部分：其中一个 </w:t>
      </w:r>
      <w:r>
        <w:rPr>
          <w:rFonts w:ascii="Arial" w:eastAsia="Arial"/>
        </w:rPr>
        <w:t>40 kDa </w:t>
      </w:r>
      <w:r>
        <w:rPr>
          <w:spacing w:val="3"/>
        </w:rPr>
        <w:t>的膜结合蛋白即为间皮素</w:t>
      </w:r>
      <w:r>
        <w:rPr>
          <w:rFonts w:ascii="Arial" w:eastAsia="Arial"/>
          <w:spacing w:val="3"/>
        </w:rPr>
        <w:t>(MSLN)</w:t>
      </w:r>
      <w:r>
        <w:rPr>
          <w:spacing w:val="-2"/>
        </w:rPr>
        <w:t>，另一个分子量为 </w:t>
      </w:r>
      <w:r>
        <w:rPr>
          <w:rFonts w:ascii="Arial" w:eastAsia="Arial"/>
        </w:rPr>
        <w:t>31kDa </w:t>
      </w:r>
      <w:r>
        <w:rPr>
          <w:spacing w:val="-5"/>
        </w:rPr>
        <w:t>的片段为巨核细胞集落刺激因子 </w:t>
      </w:r>
      <w:r>
        <w:rPr>
          <w:rFonts w:ascii="Arial" w:eastAsia="Arial"/>
        </w:rPr>
        <w:t>(MPF)</w:t>
      </w:r>
      <w:r>
        <w:rPr/>
        <w:t>。</w:t>
      </w:r>
      <w:r>
        <w:rPr>
          <w:rFonts w:ascii="Arial" w:eastAsia="Arial"/>
        </w:rPr>
        <w:t>MSLN </w:t>
      </w:r>
      <w:r>
        <w:rPr>
          <w:spacing w:val="-5"/>
        </w:rPr>
        <w:t>具备特异</w:t>
      </w:r>
      <w:r>
        <w:rPr/>
        <w:t>性表达的特点，因此是一个理想的肿瘤免疫治疗靶点。在健康组织中，</w:t>
      </w:r>
      <w:r>
        <w:rPr>
          <w:rFonts w:ascii="Arial" w:eastAsia="Arial"/>
        </w:rPr>
        <w:t>MSLN </w:t>
      </w:r>
      <w:r>
        <w:rPr/>
        <w:t>仅表达于腹膜、胸膜及心包的间皮细胞，而在重要器官中没有表达；在肿瘤组织中，</w:t>
      </w:r>
      <w:r>
        <w:rPr>
          <w:rFonts w:ascii="Arial" w:eastAsia="Arial"/>
        </w:rPr>
        <w:t>MSLN </w:t>
      </w:r>
      <w:r>
        <w:rPr/>
        <w:t>在卵巢癌</w:t>
      </w:r>
      <w:r>
        <w:rPr>
          <w:rFonts w:ascii="Arial" w:eastAsia="Arial"/>
        </w:rPr>
        <w:t>(60%~65%)</w:t>
      </w:r>
      <w:r>
        <w:rPr>
          <w:spacing w:val="-2"/>
        </w:rPr>
        <w:t>、胰腺癌 </w:t>
      </w:r>
      <w:r>
        <w:rPr>
          <w:rFonts w:ascii="Arial" w:eastAsia="Arial"/>
        </w:rPr>
        <w:t>(80%~85%)</w:t>
      </w:r>
      <w:r>
        <w:rPr>
          <w:spacing w:val="-2"/>
        </w:rPr>
        <w:t>、肺癌 </w:t>
      </w:r>
      <w:r>
        <w:rPr>
          <w:rFonts w:ascii="Arial" w:eastAsia="Arial"/>
        </w:rPr>
        <w:t>(60%~65%)</w:t>
      </w:r>
      <w:r>
        <w:rPr>
          <w:spacing w:val="-2"/>
        </w:rPr>
        <w:t>及间皮瘤</w:t>
      </w:r>
      <w:r>
        <w:rPr>
          <w:rFonts w:ascii="Arial" w:eastAsia="Arial"/>
        </w:rPr>
        <w:t>(85%~90%</w:t>
      </w:r>
      <w:r>
        <w:rPr>
          <w:rFonts w:ascii="Arial" w:eastAsia="Arial"/>
          <w:spacing w:val="-5"/>
        </w:rPr>
        <w:t>) </w:t>
      </w:r>
      <w:r>
        <w:rPr>
          <w:spacing w:val="-3"/>
        </w:rPr>
        <w:t>细胞中表达率较</w:t>
      </w:r>
      <w:r>
        <w:rPr>
          <w:spacing w:val="-4"/>
        </w:rPr>
        <w:t>高，因此 </w:t>
      </w:r>
      <w:r>
        <w:rPr>
          <w:rFonts w:ascii="Arial" w:eastAsia="Arial"/>
        </w:rPr>
        <w:t>MSLN </w:t>
      </w:r>
      <w:r>
        <w:rPr>
          <w:spacing w:val="-5"/>
        </w:rPr>
        <w:t>靶向药物治疗对上述肿瘤具备广谱的治疗潜力。</w:t>
      </w:r>
    </w:p>
    <w:p>
      <w:pPr>
        <w:pStyle w:val="BodyText"/>
        <w:spacing w:line="288" w:lineRule="auto" w:before="114"/>
        <w:ind w:right="2809"/>
        <w:jc w:val="both"/>
      </w:pPr>
      <w:r>
        <w:rPr>
          <w:spacing w:val="4"/>
        </w:rPr>
        <w:t>目前尚无靶向</w:t>
      </w:r>
      <w:r>
        <w:rPr>
          <w:rFonts w:ascii="Arial" w:eastAsia="Arial"/>
        </w:rPr>
        <w:t>MSLN </w:t>
      </w:r>
      <w:r>
        <w:rPr>
          <w:spacing w:val="-2"/>
        </w:rPr>
        <w:t>的药物</w:t>
      </w:r>
      <w:r>
        <w:rPr>
          <w:rFonts w:ascii="Arial" w:eastAsia="Arial"/>
        </w:rPr>
        <w:t>/</w:t>
      </w:r>
      <w:r>
        <w:rPr>
          <w:spacing w:val="-5"/>
        </w:rPr>
        <w:t>疗法获批上市，但有近三十款药物</w:t>
      </w:r>
      <w:r>
        <w:rPr>
          <w:rFonts w:ascii="Arial" w:eastAsia="Arial"/>
          <w:spacing w:val="-3"/>
        </w:rPr>
        <w:t>/</w:t>
      </w:r>
      <w:r>
        <w:rPr>
          <w:spacing w:val="-5"/>
        </w:rPr>
        <w:t>疗法处于早期临床阶段，技术路径涵盖单抗、</w:t>
      </w:r>
      <w:r>
        <w:rPr>
          <w:rFonts w:ascii="Arial" w:eastAsia="Arial"/>
        </w:rPr>
        <w:t>ADC</w:t>
      </w:r>
      <w:r>
        <w:rPr/>
        <w:t>、</w:t>
      </w:r>
      <w:r>
        <w:rPr>
          <w:rFonts w:ascii="Arial" w:eastAsia="Arial"/>
        </w:rPr>
        <w:t>CAR-T</w:t>
      </w:r>
      <w:r>
        <w:rPr/>
        <w:t>、</w:t>
      </w:r>
      <w:r>
        <w:rPr>
          <w:rFonts w:ascii="Arial" w:eastAsia="Arial"/>
        </w:rPr>
        <w:t>CAR-NK </w:t>
      </w:r>
      <w:r>
        <w:rPr>
          <w:spacing w:val="-2"/>
        </w:rPr>
        <w:t>等，其中 </w:t>
      </w:r>
      <w:r>
        <w:rPr>
          <w:rFonts w:ascii="Arial" w:eastAsia="Arial"/>
        </w:rPr>
        <w:t>16 </w:t>
      </w:r>
      <w:r>
        <w:rPr>
          <w:spacing w:val="1"/>
        </w:rPr>
        <w:t>款为 </w:t>
      </w:r>
      <w:r>
        <w:rPr>
          <w:rFonts w:ascii="Arial" w:eastAsia="Arial"/>
        </w:rPr>
        <w:t>CAR-T</w:t>
      </w:r>
      <w:r>
        <w:rPr>
          <w:spacing w:val="-1"/>
        </w:rPr>
        <w:t>。国内 </w:t>
      </w:r>
      <w:r>
        <w:rPr>
          <w:rFonts w:ascii="Arial" w:eastAsia="Arial"/>
        </w:rPr>
        <w:t>CAR-T </w:t>
      </w:r>
      <w:r>
        <w:rPr/>
        <w:t>企业涉</w:t>
      </w:r>
      <w:r>
        <w:rPr>
          <w:spacing w:val="-2"/>
        </w:rPr>
        <w:t>足 </w:t>
      </w:r>
      <w:r>
        <w:rPr>
          <w:rFonts w:ascii="Arial" w:eastAsia="Arial"/>
        </w:rPr>
        <w:t>MSLN </w:t>
      </w:r>
      <w:r>
        <w:rPr>
          <w:spacing w:val="-5"/>
        </w:rPr>
        <w:t>靶点研发的有科济生物、传奇生物等。</w:t>
      </w:r>
    </w:p>
    <w:p>
      <w:pPr>
        <w:pStyle w:val="Heading3"/>
        <w:spacing w:before="72" w:after="4"/>
      </w:pPr>
      <w:r>
        <w:rPr/>
        <w:t>图 </w:t>
      </w:r>
      <w:r>
        <w:rPr>
          <w:rFonts w:ascii="Arial" w:eastAsia="Arial"/>
        </w:rPr>
        <w:t>44: </w:t>
      </w:r>
      <w:r>
        <w:rPr/>
        <w:t>全球 </w:t>
      </w:r>
      <w:r>
        <w:rPr>
          <w:rFonts w:ascii="Arial" w:eastAsia="Arial"/>
        </w:rPr>
        <w:t>MSLN </w:t>
      </w:r>
      <w:r>
        <w:rPr/>
        <w:t>靶点相关药物</w:t>
      </w:r>
      <w:r>
        <w:rPr>
          <w:rFonts w:ascii="Arial" w:eastAsia="Arial"/>
        </w:rPr>
        <w:t>/</w:t>
      </w:r>
      <w:r>
        <w:rPr/>
        <w:t>疗法研发进展</w:t>
      </w:r>
    </w:p>
    <w:tbl>
      <w:tblPr>
        <w:tblW w:w="0" w:type="auto"/>
        <w:jc w:val="left"/>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2"/>
        <w:gridCol w:w="2185"/>
        <w:gridCol w:w="1025"/>
        <w:gridCol w:w="939"/>
        <w:gridCol w:w="2377"/>
      </w:tblGrid>
      <w:tr>
        <w:trPr>
          <w:trHeight w:val="210" w:hRule="atLeast"/>
        </w:trPr>
        <w:tc>
          <w:tcPr>
            <w:tcW w:w="1452" w:type="dxa"/>
            <w:tcBorders>
              <w:top w:val="single" w:sz="12" w:space="0" w:color="000000"/>
            </w:tcBorders>
            <w:shd w:val="clear" w:color="auto" w:fill="C00000"/>
          </w:tcPr>
          <w:p>
            <w:pPr>
              <w:pStyle w:val="TableParagraph"/>
              <w:spacing w:line="191" w:lineRule="exact"/>
              <w:ind w:left="400"/>
              <w:rPr>
                <w:rFonts w:ascii="Microsoft JhengHei UI" w:eastAsia="Microsoft JhengHei UI" w:hint="eastAsia"/>
                <w:b/>
                <w:sz w:val="14"/>
              </w:rPr>
            </w:pPr>
            <w:r>
              <w:rPr>
                <w:rFonts w:ascii="Microsoft JhengHei UI" w:eastAsia="Microsoft JhengHei UI" w:hint="eastAsia"/>
                <w:b/>
                <w:color w:val="FFFFFF"/>
                <w:sz w:val="14"/>
              </w:rPr>
              <w:t>研发机构</w:t>
            </w:r>
          </w:p>
        </w:tc>
        <w:tc>
          <w:tcPr>
            <w:tcW w:w="2185" w:type="dxa"/>
            <w:tcBorders>
              <w:top w:val="single" w:sz="12" w:space="0" w:color="000000"/>
            </w:tcBorders>
            <w:shd w:val="clear" w:color="auto" w:fill="C00000"/>
          </w:tcPr>
          <w:p>
            <w:pPr>
              <w:pStyle w:val="TableParagraph"/>
              <w:spacing w:line="191" w:lineRule="exact"/>
              <w:ind w:left="197" w:right="242"/>
              <w:jc w:val="center"/>
              <w:rPr>
                <w:rFonts w:ascii="Microsoft JhengHei UI" w:eastAsia="Microsoft JhengHei UI" w:hint="eastAsia"/>
                <w:b/>
                <w:sz w:val="14"/>
              </w:rPr>
            </w:pPr>
            <w:r>
              <w:rPr>
                <w:rFonts w:ascii="Microsoft JhengHei UI" w:eastAsia="Microsoft JhengHei UI" w:hint="eastAsia"/>
                <w:b/>
                <w:color w:val="FFFFFF"/>
                <w:sz w:val="14"/>
              </w:rPr>
              <w:t>药品名称</w:t>
            </w:r>
          </w:p>
        </w:tc>
        <w:tc>
          <w:tcPr>
            <w:tcW w:w="1025" w:type="dxa"/>
            <w:tcBorders>
              <w:top w:val="single" w:sz="12" w:space="0" w:color="000000"/>
            </w:tcBorders>
            <w:shd w:val="clear" w:color="auto" w:fill="C00000"/>
          </w:tcPr>
          <w:p>
            <w:pPr>
              <w:pStyle w:val="TableParagraph"/>
              <w:spacing w:line="191" w:lineRule="exact"/>
              <w:ind w:left="245" w:right="180"/>
              <w:jc w:val="center"/>
              <w:rPr>
                <w:rFonts w:ascii="Microsoft JhengHei UI" w:eastAsia="Microsoft JhengHei UI" w:hint="eastAsia"/>
                <w:b/>
                <w:sz w:val="14"/>
              </w:rPr>
            </w:pPr>
            <w:r>
              <w:rPr>
                <w:rFonts w:ascii="Microsoft JhengHei UI" w:eastAsia="Microsoft JhengHei UI" w:hint="eastAsia"/>
                <w:b/>
                <w:color w:val="FFFFFF"/>
                <w:sz w:val="14"/>
              </w:rPr>
              <w:t>最高阶段</w:t>
            </w:r>
          </w:p>
        </w:tc>
        <w:tc>
          <w:tcPr>
            <w:tcW w:w="939" w:type="dxa"/>
            <w:tcBorders>
              <w:top w:val="single" w:sz="12" w:space="0" w:color="000000"/>
            </w:tcBorders>
            <w:shd w:val="clear" w:color="auto" w:fill="C00000"/>
          </w:tcPr>
          <w:p>
            <w:pPr>
              <w:pStyle w:val="TableParagraph"/>
              <w:spacing w:line="191" w:lineRule="exact"/>
              <w:ind w:left="178" w:right="156"/>
              <w:jc w:val="center"/>
              <w:rPr>
                <w:rFonts w:ascii="Microsoft JhengHei UI" w:eastAsia="Microsoft JhengHei UI" w:hint="eastAsia"/>
                <w:b/>
                <w:sz w:val="14"/>
              </w:rPr>
            </w:pPr>
            <w:r>
              <w:rPr>
                <w:rFonts w:ascii="Microsoft JhengHei UI" w:eastAsia="Microsoft JhengHei UI" w:hint="eastAsia"/>
                <w:b/>
                <w:color w:val="FFFFFF"/>
                <w:sz w:val="14"/>
              </w:rPr>
              <w:t>作用机制</w:t>
            </w:r>
          </w:p>
        </w:tc>
        <w:tc>
          <w:tcPr>
            <w:tcW w:w="2377" w:type="dxa"/>
            <w:tcBorders>
              <w:top w:val="single" w:sz="12" w:space="0" w:color="000000"/>
            </w:tcBorders>
            <w:shd w:val="clear" w:color="auto" w:fill="C00000"/>
          </w:tcPr>
          <w:p>
            <w:pPr>
              <w:pStyle w:val="TableParagraph"/>
              <w:spacing w:line="191" w:lineRule="exact"/>
              <w:ind w:left="129" w:right="125"/>
              <w:jc w:val="center"/>
              <w:rPr>
                <w:rFonts w:ascii="Microsoft JhengHei UI" w:eastAsia="Microsoft JhengHei UI" w:hint="eastAsia"/>
                <w:b/>
                <w:sz w:val="14"/>
              </w:rPr>
            </w:pPr>
            <w:r>
              <w:rPr>
                <w:rFonts w:ascii="Microsoft JhengHei UI" w:eastAsia="Microsoft JhengHei UI" w:hint="eastAsia"/>
                <w:b/>
                <w:color w:val="FFFFFF"/>
                <w:sz w:val="14"/>
              </w:rPr>
              <w:t>适应症</w:t>
            </w:r>
          </w:p>
        </w:tc>
      </w:tr>
      <w:tr>
        <w:trPr>
          <w:trHeight w:val="441" w:hRule="atLeast"/>
        </w:trPr>
        <w:tc>
          <w:tcPr>
            <w:tcW w:w="1452" w:type="dxa"/>
            <w:tcBorders>
              <w:bottom w:val="dotted" w:sz="4" w:space="0" w:color="000000"/>
            </w:tcBorders>
          </w:tcPr>
          <w:p>
            <w:pPr>
              <w:pStyle w:val="TableParagraph"/>
              <w:spacing w:line="235" w:lineRule="auto" w:before="63"/>
              <w:ind w:left="492" w:hanging="236"/>
              <w:rPr>
                <w:sz w:val="14"/>
              </w:rPr>
            </w:pPr>
            <w:r>
              <w:rPr>
                <w:sz w:val="14"/>
              </w:rPr>
              <w:t>Cerus/ Anza / Aduro</w:t>
            </w:r>
          </w:p>
        </w:tc>
        <w:tc>
          <w:tcPr>
            <w:tcW w:w="2185" w:type="dxa"/>
            <w:tcBorders>
              <w:bottom w:val="dotted" w:sz="4" w:space="0" w:color="000000"/>
            </w:tcBorders>
          </w:tcPr>
          <w:p>
            <w:pPr>
              <w:pStyle w:val="TableParagraph"/>
              <w:spacing w:before="138"/>
              <w:ind w:left="188" w:right="242"/>
              <w:jc w:val="center"/>
              <w:rPr>
                <w:sz w:val="14"/>
              </w:rPr>
            </w:pPr>
            <w:r>
              <w:rPr>
                <w:sz w:val="14"/>
              </w:rPr>
              <w:t>CRS-207</w:t>
            </w:r>
          </w:p>
        </w:tc>
        <w:tc>
          <w:tcPr>
            <w:tcW w:w="1025" w:type="dxa"/>
            <w:tcBorders>
              <w:bottom w:val="dotted" w:sz="4" w:space="0" w:color="000000"/>
            </w:tcBorders>
          </w:tcPr>
          <w:p>
            <w:pPr>
              <w:pStyle w:val="TableParagraph"/>
              <w:spacing w:before="119"/>
              <w:ind w:left="245" w:right="180"/>
              <w:jc w:val="center"/>
              <w:rPr>
                <w:rFonts w:ascii="PMingLiU" w:eastAsia="PMingLiU" w:hint="eastAsia"/>
                <w:sz w:val="14"/>
              </w:rPr>
            </w:pPr>
            <w:r>
              <w:rPr>
                <w:sz w:val="14"/>
              </w:rPr>
              <w:t>II </w:t>
            </w:r>
            <w:r>
              <w:rPr>
                <w:rFonts w:ascii="PMingLiU" w:eastAsia="PMingLiU" w:hint="eastAsia"/>
                <w:sz w:val="14"/>
              </w:rPr>
              <w:t>期</w:t>
            </w:r>
          </w:p>
        </w:tc>
        <w:tc>
          <w:tcPr>
            <w:tcW w:w="939" w:type="dxa"/>
            <w:tcBorders>
              <w:bottom w:val="dotted" w:sz="4" w:space="0" w:color="000000"/>
            </w:tcBorders>
          </w:tcPr>
          <w:p>
            <w:pPr>
              <w:pStyle w:val="TableParagraph"/>
              <w:spacing w:before="119"/>
              <w:ind w:left="175" w:right="158"/>
              <w:jc w:val="center"/>
              <w:rPr>
                <w:rFonts w:ascii="PMingLiU" w:eastAsia="PMingLiU" w:hint="eastAsia"/>
                <w:sz w:val="14"/>
              </w:rPr>
            </w:pPr>
            <w:r>
              <w:rPr>
                <w:rFonts w:ascii="PMingLiU" w:eastAsia="PMingLiU" w:hint="eastAsia"/>
                <w:sz w:val="14"/>
              </w:rPr>
              <w:t>癌症疫苗</w:t>
            </w:r>
          </w:p>
        </w:tc>
        <w:tc>
          <w:tcPr>
            <w:tcW w:w="2377" w:type="dxa"/>
            <w:tcBorders>
              <w:bottom w:val="dotted" w:sz="4" w:space="0" w:color="000000"/>
            </w:tcBorders>
          </w:tcPr>
          <w:p>
            <w:pPr>
              <w:pStyle w:val="TableParagraph"/>
              <w:spacing w:line="247" w:lineRule="auto" w:before="18"/>
              <w:ind w:left="662" w:right="138" w:hanging="485"/>
              <w:rPr>
                <w:rFonts w:ascii="PMingLiU" w:eastAsia="PMingLiU" w:hint="eastAsia"/>
                <w:sz w:val="14"/>
              </w:rPr>
            </w:pPr>
            <w:r>
              <w:rPr>
                <w:rFonts w:ascii="PMingLiU" w:eastAsia="PMingLiU" w:hint="eastAsia"/>
                <w:sz w:val="14"/>
              </w:rPr>
              <w:t>输卵管癌</w:t>
            </w:r>
            <w:r>
              <w:rPr>
                <w:sz w:val="14"/>
              </w:rPr>
              <w:t>,GC/GEJ, PC, EC, </w:t>
            </w:r>
            <w:r>
              <w:rPr>
                <w:rFonts w:ascii="PMingLiU" w:eastAsia="PMingLiU" w:hint="eastAsia"/>
                <w:sz w:val="14"/>
              </w:rPr>
              <w:t>卵巢癌</w:t>
            </w:r>
            <w:r>
              <w:rPr>
                <w:sz w:val="14"/>
              </w:rPr>
              <w:t>,</w:t>
            </w:r>
            <w:r>
              <w:rPr>
                <w:rFonts w:ascii="PMingLiU" w:eastAsia="PMingLiU" w:hint="eastAsia"/>
                <w:sz w:val="14"/>
              </w:rPr>
              <w:t>间皮瘤</w:t>
            </w:r>
            <w:r>
              <w:rPr>
                <w:sz w:val="14"/>
              </w:rPr>
              <w:t>,</w:t>
            </w:r>
            <w:r>
              <w:rPr>
                <w:rFonts w:ascii="PMingLiU" w:eastAsia="PMingLiU" w:hint="eastAsia"/>
                <w:sz w:val="14"/>
              </w:rPr>
              <w:t>腹膜癌</w:t>
            </w:r>
          </w:p>
        </w:tc>
      </w:tr>
      <w:tr>
        <w:trPr>
          <w:trHeight w:val="230" w:hRule="atLeast"/>
        </w:trPr>
        <w:tc>
          <w:tcPr>
            <w:tcW w:w="1452" w:type="dxa"/>
            <w:tcBorders>
              <w:top w:val="dotted" w:sz="4" w:space="0" w:color="000000"/>
              <w:bottom w:val="dotted" w:sz="4" w:space="0" w:color="000000"/>
            </w:tcBorders>
          </w:tcPr>
          <w:p>
            <w:pPr>
              <w:pStyle w:val="TableParagraph"/>
              <w:spacing w:before="36"/>
              <w:ind w:right="299"/>
              <w:jc w:val="right"/>
              <w:rPr>
                <w:sz w:val="14"/>
              </w:rPr>
            </w:pPr>
            <w:r>
              <w:rPr>
                <w:sz w:val="14"/>
              </w:rPr>
              <w:t>Roche/ Selecta</w:t>
            </w:r>
          </w:p>
        </w:tc>
        <w:tc>
          <w:tcPr>
            <w:tcW w:w="2185" w:type="dxa"/>
            <w:tcBorders>
              <w:top w:val="dotted" w:sz="4" w:space="0" w:color="000000"/>
              <w:bottom w:val="dotted" w:sz="4" w:space="0" w:color="000000"/>
            </w:tcBorders>
          </w:tcPr>
          <w:p>
            <w:pPr>
              <w:pStyle w:val="TableParagraph"/>
              <w:spacing w:before="36"/>
              <w:ind w:left="193" w:right="242"/>
              <w:jc w:val="center"/>
              <w:rPr>
                <w:sz w:val="14"/>
              </w:rPr>
            </w:pPr>
            <w:r>
              <w:rPr>
                <w:sz w:val="14"/>
              </w:rPr>
              <w:t>SEL-403</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13"/>
              <w:ind w:left="175" w:right="158"/>
              <w:jc w:val="center"/>
              <w:rPr>
                <w:rFonts w:ascii="PMingLiU" w:eastAsia="PMingLiU" w:hint="eastAsia"/>
                <w:sz w:val="14"/>
              </w:rPr>
            </w:pPr>
            <w:r>
              <w:rPr>
                <w:rFonts w:ascii="PMingLiU" w:eastAsia="PMingLiU" w:hint="eastAsia"/>
                <w:sz w:val="14"/>
              </w:rPr>
              <w:t>免疫毒素</w:t>
            </w:r>
          </w:p>
        </w:tc>
        <w:tc>
          <w:tcPr>
            <w:tcW w:w="2377" w:type="dxa"/>
            <w:tcBorders>
              <w:top w:val="dotted" w:sz="4" w:space="0" w:color="000000"/>
              <w:bottom w:val="dotted" w:sz="4" w:space="0" w:color="000000"/>
            </w:tcBorders>
          </w:tcPr>
          <w:p>
            <w:pPr>
              <w:pStyle w:val="TableParagraph"/>
              <w:spacing w:before="13"/>
              <w:ind w:right="310"/>
              <w:jc w:val="right"/>
              <w:rPr>
                <w:rFonts w:ascii="PMingLiU" w:eastAsia="PMingLiU" w:hint="eastAsia"/>
                <w:sz w:val="14"/>
              </w:rPr>
            </w:pPr>
            <w:r>
              <w:rPr>
                <w:rFonts w:ascii="PMingLiU" w:eastAsia="PMingLiU" w:hint="eastAsia"/>
                <w:sz w:val="14"/>
              </w:rPr>
              <w:t>胰腺癌</w:t>
            </w:r>
            <w:r>
              <w:rPr>
                <w:sz w:val="14"/>
              </w:rPr>
              <w:t>,</w:t>
            </w:r>
            <w:r>
              <w:rPr>
                <w:rFonts w:ascii="PMingLiU" w:eastAsia="PMingLiU" w:hint="eastAsia"/>
                <w:sz w:val="14"/>
              </w:rPr>
              <w:t>间皮瘤</w:t>
            </w:r>
            <w:r>
              <w:rPr>
                <w:sz w:val="14"/>
              </w:rPr>
              <w:t>,</w:t>
            </w:r>
            <w:r>
              <w:rPr>
                <w:rFonts w:ascii="PMingLiU" w:eastAsia="PMingLiU" w:hint="eastAsia"/>
                <w:sz w:val="14"/>
              </w:rPr>
              <w:t>非小细胞肺癌</w:t>
            </w:r>
          </w:p>
        </w:tc>
      </w:tr>
      <w:tr>
        <w:trPr>
          <w:trHeight w:val="230" w:hRule="atLeast"/>
        </w:trPr>
        <w:tc>
          <w:tcPr>
            <w:tcW w:w="1452" w:type="dxa"/>
            <w:tcBorders>
              <w:top w:val="dotted" w:sz="4" w:space="0" w:color="000000"/>
              <w:bottom w:val="dotted" w:sz="4" w:space="0" w:color="000000"/>
            </w:tcBorders>
          </w:tcPr>
          <w:p>
            <w:pPr>
              <w:pStyle w:val="TableParagraph"/>
              <w:spacing w:before="36"/>
              <w:ind w:right="250"/>
              <w:jc w:val="right"/>
              <w:rPr>
                <w:sz w:val="14"/>
              </w:rPr>
            </w:pPr>
            <w:r>
              <w:rPr>
                <w:sz w:val="14"/>
              </w:rPr>
              <w:t>Morphotek/ Eisai</w:t>
            </w:r>
          </w:p>
        </w:tc>
        <w:tc>
          <w:tcPr>
            <w:tcW w:w="2185" w:type="dxa"/>
            <w:tcBorders>
              <w:top w:val="dotted" w:sz="4" w:space="0" w:color="000000"/>
              <w:bottom w:val="dotted" w:sz="4" w:space="0" w:color="000000"/>
            </w:tcBorders>
          </w:tcPr>
          <w:p>
            <w:pPr>
              <w:pStyle w:val="TableParagraph"/>
              <w:spacing w:before="36"/>
              <w:ind w:left="687"/>
              <w:rPr>
                <w:sz w:val="14"/>
              </w:rPr>
            </w:pPr>
            <w:r>
              <w:rPr>
                <w:sz w:val="14"/>
              </w:rPr>
              <w:t>amatuximab</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13"/>
              <w:ind w:left="175" w:right="158"/>
              <w:jc w:val="center"/>
              <w:rPr>
                <w:rFonts w:ascii="PMingLiU" w:eastAsia="PMingLiU" w:hint="eastAsia"/>
                <w:sz w:val="14"/>
              </w:rPr>
            </w:pPr>
            <w:r>
              <w:rPr>
                <w:rFonts w:ascii="PMingLiU" w:eastAsia="PMingLiU" w:hint="eastAsia"/>
                <w:sz w:val="14"/>
              </w:rPr>
              <w:t>单抗</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间皮瘤</w:t>
            </w:r>
          </w:p>
        </w:tc>
      </w:tr>
      <w:tr>
        <w:trPr>
          <w:trHeight w:val="407" w:hRule="atLeast"/>
        </w:trPr>
        <w:tc>
          <w:tcPr>
            <w:tcW w:w="1452" w:type="dxa"/>
            <w:tcBorders>
              <w:top w:val="dotted" w:sz="4" w:space="0" w:color="000000"/>
              <w:bottom w:val="dotted" w:sz="4" w:space="0" w:color="000000"/>
            </w:tcBorders>
          </w:tcPr>
          <w:p>
            <w:pPr>
              <w:pStyle w:val="TableParagraph"/>
              <w:spacing w:before="123"/>
              <w:ind w:left="295"/>
              <w:rPr>
                <w:sz w:val="14"/>
              </w:rPr>
            </w:pPr>
            <w:r>
              <w:rPr>
                <w:sz w:val="14"/>
              </w:rPr>
              <w:t>ImmunoGen</w:t>
            </w:r>
          </w:p>
        </w:tc>
        <w:tc>
          <w:tcPr>
            <w:tcW w:w="2185" w:type="dxa"/>
            <w:tcBorders>
              <w:top w:val="dotted" w:sz="4" w:space="0" w:color="000000"/>
              <w:bottom w:val="dotted" w:sz="4" w:space="0" w:color="000000"/>
            </w:tcBorders>
          </w:tcPr>
          <w:p>
            <w:pPr>
              <w:pStyle w:val="TableParagraph"/>
              <w:spacing w:before="123"/>
              <w:ind w:left="413"/>
              <w:rPr>
                <w:sz w:val="14"/>
              </w:rPr>
            </w:pPr>
            <w:r>
              <w:rPr>
                <w:sz w:val="14"/>
              </w:rPr>
              <w:t>anetumab ravtansine</w:t>
            </w:r>
          </w:p>
        </w:tc>
        <w:tc>
          <w:tcPr>
            <w:tcW w:w="1025" w:type="dxa"/>
            <w:tcBorders>
              <w:top w:val="dotted" w:sz="4" w:space="0" w:color="000000"/>
              <w:bottom w:val="dotted" w:sz="4" w:space="0" w:color="000000"/>
            </w:tcBorders>
          </w:tcPr>
          <w:p>
            <w:pPr>
              <w:pStyle w:val="TableParagraph"/>
              <w:spacing w:before="104"/>
              <w:ind w:left="245" w:right="180"/>
              <w:jc w:val="center"/>
              <w:rPr>
                <w:rFonts w:ascii="PMingLiU" w:eastAsia="PMingLiU" w:hint="eastAsia"/>
                <w:sz w:val="14"/>
              </w:rPr>
            </w:pPr>
            <w:r>
              <w:rPr>
                <w:sz w:val="14"/>
              </w:rPr>
              <w:t>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123"/>
              <w:ind w:left="170" w:right="158"/>
              <w:jc w:val="center"/>
              <w:rPr>
                <w:sz w:val="14"/>
              </w:rPr>
            </w:pPr>
            <w:r>
              <w:rPr>
                <w:sz w:val="14"/>
              </w:rPr>
              <w:t>ADC</w:t>
            </w:r>
          </w:p>
        </w:tc>
        <w:tc>
          <w:tcPr>
            <w:tcW w:w="2377" w:type="dxa"/>
            <w:tcBorders>
              <w:top w:val="dotted" w:sz="4" w:space="0" w:color="000000"/>
              <w:bottom w:val="dotted" w:sz="4" w:space="0" w:color="000000"/>
            </w:tcBorders>
          </w:tcPr>
          <w:p>
            <w:pPr>
              <w:pStyle w:val="TableParagraph"/>
              <w:spacing w:line="195" w:lineRule="exact"/>
              <w:ind w:left="129" w:right="129"/>
              <w:jc w:val="center"/>
              <w:rPr>
                <w:rFonts w:ascii="PMingLiU" w:eastAsia="PMingLiU" w:hint="eastAsia"/>
                <w:sz w:val="14"/>
              </w:rPr>
            </w:pPr>
            <w:r>
              <w:rPr>
                <w:rFonts w:ascii="PMingLiU" w:eastAsia="PMingLiU" w:hint="eastAsia"/>
                <w:sz w:val="14"/>
              </w:rPr>
              <w:t>输卵管癌</w:t>
            </w:r>
            <w:r>
              <w:rPr>
                <w:sz w:val="14"/>
              </w:rPr>
              <w:t>,</w:t>
            </w:r>
            <w:r>
              <w:rPr>
                <w:rFonts w:ascii="PMingLiU" w:eastAsia="PMingLiU" w:hint="eastAsia"/>
                <w:sz w:val="14"/>
              </w:rPr>
              <w:t>胸膜间皮瘤</w:t>
            </w:r>
            <w:r>
              <w:rPr>
                <w:sz w:val="14"/>
              </w:rPr>
              <w:t>,</w:t>
            </w:r>
            <w:r>
              <w:rPr>
                <w:rFonts w:ascii="PMingLiU" w:eastAsia="PMingLiU" w:hint="eastAsia"/>
                <w:sz w:val="14"/>
              </w:rPr>
              <w:t>胰腺癌</w:t>
            </w:r>
            <w:r>
              <w:rPr>
                <w:sz w:val="14"/>
              </w:rPr>
              <w:t>,</w:t>
            </w:r>
            <w:r>
              <w:rPr>
                <w:rFonts w:ascii="PMingLiU" w:eastAsia="PMingLiU" w:hint="eastAsia"/>
                <w:sz w:val="14"/>
              </w:rPr>
              <w:t>卵巢</w:t>
            </w:r>
          </w:p>
          <w:p>
            <w:pPr>
              <w:pStyle w:val="TableParagraph"/>
              <w:spacing w:line="182" w:lineRule="exact" w:before="10"/>
              <w:ind w:left="128" w:right="130"/>
              <w:jc w:val="center"/>
              <w:rPr>
                <w:rFonts w:ascii="PMingLiU" w:eastAsia="PMingLiU" w:hint="eastAsia"/>
                <w:sz w:val="14"/>
              </w:rPr>
            </w:pPr>
            <w:r>
              <w:rPr>
                <w:rFonts w:ascii="PMingLiU" w:eastAsia="PMingLiU" w:hint="eastAsia"/>
                <w:sz w:val="14"/>
              </w:rPr>
              <w:t>癌</w:t>
            </w:r>
            <w:r>
              <w:rPr>
                <w:sz w:val="14"/>
              </w:rPr>
              <w:t>,</w:t>
            </w:r>
            <w:r>
              <w:rPr>
                <w:rFonts w:ascii="PMingLiU" w:eastAsia="PMingLiU" w:hint="eastAsia"/>
                <w:sz w:val="14"/>
              </w:rPr>
              <w:t>腹膜癌</w:t>
            </w:r>
          </w:p>
        </w:tc>
      </w:tr>
      <w:tr>
        <w:trPr>
          <w:trHeight w:val="230" w:hRule="atLeast"/>
        </w:trPr>
        <w:tc>
          <w:tcPr>
            <w:tcW w:w="1452" w:type="dxa"/>
            <w:tcBorders>
              <w:top w:val="dotted" w:sz="4" w:space="0" w:color="000000"/>
              <w:bottom w:val="dotted" w:sz="4" w:space="0" w:color="000000"/>
            </w:tcBorders>
          </w:tcPr>
          <w:p>
            <w:pPr>
              <w:pStyle w:val="TableParagraph"/>
              <w:spacing w:before="36"/>
              <w:ind w:left="480" w:right="566"/>
              <w:jc w:val="center"/>
              <w:rPr>
                <w:sz w:val="14"/>
              </w:rPr>
            </w:pPr>
            <w:r>
              <w:rPr>
                <w:sz w:val="14"/>
              </w:rPr>
              <w:t>Atara</w:t>
            </w:r>
          </w:p>
        </w:tc>
        <w:tc>
          <w:tcPr>
            <w:tcW w:w="2185" w:type="dxa"/>
            <w:tcBorders>
              <w:top w:val="dotted" w:sz="4" w:space="0" w:color="000000"/>
              <w:bottom w:val="dotted" w:sz="4" w:space="0" w:color="000000"/>
            </w:tcBorders>
          </w:tcPr>
          <w:p>
            <w:pPr>
              <w:pStyle w:val="TableParagraph"/>
              <w:spacing w:before="36"/>
              <w:ind w:left="188" w:right="242"/>
              <w:jc w:val="center"/>
              <w:rPr>
                <w:sz w:val="14"/>
              </w:rPr>
            </w:pPr>
            <w:r>
              <w:rPr>
                <w:sz w:val="14"/>
              </w:rPr>
              <w:t>ATA2271</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3"/>
              <w:ind w:left="451"/>
              <w:rPr>
                <w:rFonts w:ascii="PMingLiU" w:eastAsia="PMingLiU" w:hint="eastAsia"/>
                <w:sz w:val="14"/>
              </w:rPr>
            </w:pPr>
            <w:r>
              <w:rPr>
                <w:rFonts w:ascii="PMingLiU" w:eastAsia="PMingLiU" w:hint="eastAsia"/>
                <w:sz w:val="14"/>
              </w:rPr>
              <w:t>肺癌</w:t>
            </w:r>
            <w:r>
              <w:rPr>
                <w:sz w:val="14"/>
              </w:rPr>
              <w:t>,</w:t>
            </w:r>
            <w:r>
              <w:rPr>
                <w:rFonts w:ascii="PMingLiU" w:eastAsia="PMingLiU" w:hint="eastAsia"/>
                <w:sz w:val="14"/>
              </w:rPr>
              <w:t>乳腺癌</w:t>
            </w:r>
            <w:r>
              <w:rPr>
                <w:sz w:val="14"/>
              </w:rPr>
              <w:t>,</w:t>
            </w:r>
            <w:r>
              <w:rPr>
                <w:rFonts w:ascii="PMingLiU" w:eastAsia="PMingLiU" w:hint="eastAsia"/>
                <w:sz w:val="14"/>
              </w:rPr>
              <w:t>胸膜间皮瘤</w:t>
            </w:r>
          </w:p>
        </w:tc>
      </w:tr>
      <w:tr>
        <w:trPr>
          <w:trHeight w:val="230" w:hRule="atLeast"/>
        </w:trPr>
        <w:tc>
          <w:tcPr>
            <w:tcW w:w="1452" w:type="dxa"/>
            <w:tcBorders>
              <w:top w:val="dotted" w:sz="4" w:space="0" w:color="000000"/>
              <w:bottom w:val="dotted" w:sz="4" w:space="0" w:color="000000"/>
            </w:tcBorders>
          </w:tcPr>
          <w:p>
            <w:pPr>
              <w:pStyle w:val="TableParagraph"/>
              <w:spacing w:before="36"/>
              <w:ind w:left="476" w:right="566"/>
              <w:jc w:val="center"/>
              <w:rPr>
                <w:sz w:val="14"/>
              </w:rPr>
            </w:pPr>
            <w:r>
              <w:rPr>
                <w:sz w:val="14"/>
              </w:rPr>
              <w:t>BMA</w:t>
            </w:r>
          </w:p>
        </w:tc>
        <w:tc>
          <w:tcPr>
            <w:tcW w:w="2185" w:type="dxa"/>
            <w:tcBorders>
              <w:top w:val="dotted" w:sz="4" w:space="0" w:color="000000"/>
              <w:bottom w:val="dotted" w:sz="4" w:space="0" w:color="000000"/>
            </w:tcBorders>
          </w:tcPr>
          <w:p>
            <w:pPr>
              <w:pStyle w:val="TableParagraph"/>
              <w:spacing w:before="36"/>
              <w:ind w:left="658"/>
              <w:rPr>
                <w:sz w:val="14"/>
              </w:rPr>
            </w:pPr>
            <w:r>
              <w:rPr>
                <w:sz w:val="14"/>
              </w:rPr>
              <w:t>BMS-986148</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0" w:right="158"/>
              <w:jc w:val="center"/>
              <w:rPr>
                <w:sz w:val="14"/>
              </w:rPr>
            </w:pPr>
            <w:r>
              <w:rPr>
                <w:sz w:val="14"/>
              </w:rPr>
              <w:t>ADC</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36"/>
              <w:ind w:left="372"/>
              <w:rPr>
                <w:sz w:val="14"/>
              </w:rPr>
            </w:pPr>
            <w:r>
              <w:rPr>
                <w:sz w:val="14"/>
              </w:rPr>
              <w:t>Enzon/AZ</w:t>
            </w:r>
          </w:p>
        </w:tc>
        <w:tc>
          <w:tcPr>
            <w:tcW w:w="2185" w:type="dxa"/>
            <w:tcBorders>
              <w:top w:val="dotted" w:sz="4" w:space="0" w:color="000000"/>
              <w:bottom w:val="dotted" w:sz="4" w:space="0" w:color="000000"/>
            </w:tcBorders>
          </w:tcPr>
          <w:p>
            <w:pPr>
              <w:pStyle w:val="TableParagraph"/>
              <w:spacing w:before="36"/>
              <w:ind w:left="197" w:right="242"/>
              <w:jc w:val="center"/>
              <w:rPr>
                <w:sz w:val="14"/>
              </w:rPr>
            </w:pPr>
            <w:r>
              <w:rPr>
                <w:sz w:val="14"/>
              </w:rPr>
              <w:t>CAT-5001</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13"/>
              <w:ind w:left="175" w:right="158"/>
              <w:jc w:val="center"/>
              <w:rPr>
                <w:rFonts w:ascii="PMingLiU" w:eastAsia="PMingLiU" w:hint="eastAsia"/>
                <w:sz w:val="14"/>
              </w:rPr>
            </w:pPr>
            <w:r>
              <w:rPr>
                <w:rFonts w:ascii="PMingLiU" w:eastAsia="PMingLiU" w:hint="eastAsia"/>
                <w:sz w:val="14"/>
              </w:rPr>
              <w:t>免疫毒素</w:t>
            </w:r>
          </w:p>
        </w:tc>
        <w:tc>
          <w:tcPr>
            <w:tcW w:w="2377" w:type="dxa"/>
            <w:tcBorders>
              <w:top w:val="dotted" w:sz="4" w:space="0" w:color="000000"/>
              <w:bottom w:val="dotted" w:sz="4" w:space="0" w:color="000000"/>
            </w:tcBorders>
          </w:tcPr>
          <w:p>
            <w:pPr>
              <w:pStyle w:val="TableParagraph"/>
              <w:spacing w:before="13"/>
              <w:ind w:left="518"/>
              <w:rPr>
                <w:rFonts w:ascii="PMingLiU" w:eastAsia="PMingLiU" w:hint="eastAsia"/>
                <w:sz w:val="14"/>
              </w:rPr>
            </w:pPr>
            <w:r>
              <w:rPr>
                <w:rFonts w:ascii="PMingLiU" w:eastAsia="PMingLiU" w:hint="eastAsia"/>
                <w:sz w:val="14"/>
              </w:rPr>
              <w:t>胰腺癌</w:t>
            </w:r>
            <w:r>
              <w:rPr>
                <w:sz w:val="14"/>
              </w:rPr>
              <w:t>,</w:t>
            </w:r>
            <w:r>
              <w:rPr>
                <w:rFonts w:ascii="PMingLiU" w:eastAsia="PMingLiU" w:hint="eastAsia"/>
                <w:sz w:val="14"/>
              </w:rPr>
              <w:t>卵巢癌</w:t>
            </w:r>
            <w:r>
              <w:rPr>
                <w:sz w:val="14"/>
              </w:rPr>
              <w:t>,</w:t>
            </w:r>
            <w:r>
              <w:rPr>
                <w:rFonts w:ascii="PMingLiU" w:eastAsia="PMingLiU" w:hint="eastAsia"/>
                <w:sz w:val="14"/>
              </w:rPr>
              <w:t>间皮瘤</w:t>
            </w:r>
          </w:p>
        </w:tc>
      </w:tr>
      <w:tr>
        <w:trPr>
          <w:trHeight w:val="321" w:hRule="atLeast"/>
        </w:trPr>
        <w:tc>
          <w:tcPr>
            <w:tcW w:w="1452" w:type="dxa"/>
            <w:tcBorders>
              <w:top w:val="dotted" w:sz="4" w:space="0" w:color="000000"/>
              <w:bottom w:val="dotted" w:sz="4" w:space="0" w:color="000000"/>
            </w:tcBorders>
          </w:tcPr>
          <w:p>
            <w:pPr>
              <w:pStyle w:val="TableParagraph"/>
              <w:spacing w:before="61"/>
              <w:ind w:right="215"/>
              <w:jc w:val="right"/>
              <w:rPr>
                <w:rFonts w:ascii="PMingLiU" w:eastAsia="PMingLiU" w:hint="eastAsia"/>
                <w:sz w:val="14"/>
              </w:rPr>
            </w:pPr>
            <w:r>
              <w:rPr>
                <w:rFonts w:ascii="PMingLiU" w:eastAsia="PMingLiU" w:hint="eastAsia"/>
                <w:sz w:val="14"/>
              </w:rPr>
              <w:t>上海细胞治疗集团</w:t>
            </w:r>
          </w:p>
        </w:tc>
        <w:tc>
          <w:tcPr>
            <w:tcW w:w="2185" w:type="dxa"/>
            <w:tcBorders>
              <w:top w:val="dotted" w:sz="4" w:space="0" w:color="000000"/>
              <w:bottom w:val="dotted" w:sz="4" w:space="0" w:color="000000"/>
            </w:tcBorders>
          </w:tcPr>
          <w:p>
            <w:pPr>
              <w:pStyle w:val="TableParagraph"/>
              <w:spacing w:line="159" w:lineRule="exact"/>
              <w:ind w:left="307"/>
              <w:rPr>
                <w:sz w:val="14"/>
              </w:rPr>
            </w:pPr>
            <w:r>
              <w:rPr>
                <w:sz w:val="14"/>
              </w:rPr>
              <w:t>CTLA-4/PD-1</w:t>
            </w:r>
            <w:r>
              <w:rPr>
                <w:spacing w:val="-10"/>
                <w:sz w:val="14"/>
              </w:rPr>
              <w:t> </w:t>
            </w:r>
            <w:r>
              <w:rPr>
                <w:sz w:val="14"/>
              </w:rPr>
              <w:t>antibodies</w:t>
            </w:r>
          </w:p>
          <w:p>
            <w:pPr>
              <w:pStyle w:val="TableParagraph"/>
              <w:spacing w:line="140" w:lineRule="exact" w:before="2"/>
              <w:ind w:left="322"/>
              <w:rPr>
                <w:sz w:val="14"/>
              </w:rPr>
            </w:pPr>
            <w:r>
              <w:rPr>
                <w:sz w:val="14"/>
              </w:rPr>
              <w:t>expressing</w:t>
            </w:r>
            <w:r>
              <w:rPr>
                <w:spacing w:val="-7"/>
                <w:sz w:val="14"/>
              </w:rPr>
              <w:t> </w:t>
            </w:r>
            <w:r>
              <w:rPr>
                <w:sz w:val="14"/>
              </w:rPr>
              <w:t>mesoCAR-T</w:t>
            </w:r>
          </w:p>
        </w:tc>
        <w:tc>
          <w:tcPr>
            <w:tcW w:w="1025" w:type="dxa"/>
            <w:tcBorders>
              <w:top w:val="dotted" w:sz="4" w:space="0" w:color="000000"/>
              <w:bottom w:val="dotted" w:sz="4" w:space="0" w:color="000000"/>
            </w:tcBorders>
          </w:tcPr>
          <w:p>
            <w:pPr>
              <w:pStyle w:val="TableParagraph"/>
              <w:spacing w:before="61"/>
              <w:ind w:left="245" w:right="180"/>
              <w:jc w:val="center"/>
              <w:rPr>
                <w:rFonts w:ascii="PMingLiU" w:eastAsia="PMingLiU" w:hint="eastAsia"/>
                <w:sz w:val="14"/>
              </w:rPr>
            </w:pPr>
            <w:r>
              <w:rPr>
                <w:sz w:val="14"/>
              </w:rPr>
              <w:t>I/II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79"/>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61"/>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36"/>
              <w:ind w:left="410"/>
              <w:rPr>
                <w:sz w:val="14"/>
              </w:rPr>
            </w:pPr>
            <w:r>
              <w:rPr>
                <w:sz w:val="14"/>
              </w:rPr>
              <w:t>Harpoon</w:t>
            </w:r>
          </w:p>
        </w:tc>
        <w:tc>
          <w:tcPr>
            <w:tcW w:w="2185" w:type="dxa"/>
            <w:tcBorders>
              <w:top w:val="dotted" w:sz="4" w:space="0" w:color="000000"/>
              <w:bottom w:val="dotted" w:sz="4" w:space="0" w:color="000000"/>
            </w:tcBorders>
          </w:tcPr>
          <w:p>
            <w:pPr>
              <w:pStyle w:val="TableParagraph"/>
              <w:spacing w:before="36"/>
              <w:ind w:left="188" w:right="242"/>
              <w:jc w:val="center"/>
              <w:rPr>
                <w:sz w:val="14"/>
              </w:rPr>
            </w:pPr>
            <w:r>
              <w:rPr>
                <w:sz w:val="14"/>
              </w:rPr>
              <w:t>HPN536</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13"/>
              <w:ind w:left="175" w:right="158"/>
              <w:jc w:val="center"/>
              <w:rPr>
                <w:rFonts w:ascii="PMingLiU" w:eastAsia="PMingLiU" w:hint="eastAsia"/>
                <w:sz w:val="14"/>
              </w:rPr>
            </w:pPr>
            <w:r>
              <w:rPr>
                <w:rFonts w:ascii="PMingLiU" w:eastAsia="PMingLiU" w:hint="eastAsia"/>
                <w:sz w:val="14"/>
              </w:rPr>
              <w:t>三抗</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卵巢癌</w:t>
            </w:r>
          </w:p>
        </w:tc>
      </w:tr>
      <w:tr>
        <w:trPr>
          <w:trHeight w:val="326" w:hRule="atLeast"/>
        </w:trPr>
        <w:tc>
          <w:tcPr>
            <w:tcW w:w="1452" w:type="dxa"/>
            <w:tcBorders>
              <w:top w:val="dotted" w:sz="4" w:space="0" w:color="000000"/>
              <w:bottom w:val="dotted" w:sz="4" w:space="0" w:color="000000"/>
            </w:tcBorders>
          </w:tcPr>
          <w:p>
            <w:pPr>
              <w:pStyle w:val="TableParagraph"/>
              <w:spacing w:before="61"/>
              <w:ind w:right="215"/>
              <w:jc w:val="right"/>
              <w:rPr>
                <w:rFonts w:ascii="PMingLiU" w:eastAsia="PMingLiU" w:hint="eastAsia"/>
                <w:sz w:val="14"/>
              </w:rPr>
            </w:pPr>
            <w:r>
              <w:rPr>
                <w:rFonts w:ascii="PMingLiU" w:eastAsia="PMingLiU" w:hint="eastAsia"/>
                <w:sz w:val="14"/>
              </w:rPr>
              <w:t>上海细胞治疗集团</w:t>
            </w:r>
          </w:p>
        </w:tc>
        <w:tc>
          <w:tcPr>
            <w:tcW w:w="2185" w:type="dxa"/>
            <w:tcBorders>
              <w:top w:val="dotted" w:sz="4" w:space="0" w:color="000000"/>
              <w:bottom w:val="dotted" w:sz="4" w:space="0" w:color="000000"/>
            </w:tcBorders>
          </w:tcPr>
          <w:p>
            <w:pPr>
              <w:pStyle w:val="TableParagraph"/>
              <w:spacing w:line="158" w:lineRule="exact"/>
              <w:ind w:left="523" w:right="315" w:hanging="260"/>
              <w:rPr>
                <w:sz w:val="14"/>
              </w:rPr>
            </w:pPr>
            <w:r>
              <w:rPr>
                <w:sz w:val="14"/>
              </w:rPr>
              <w:t>PD-1 antibody expressing mesoCAR-T cells</w:t>
            </w:r>
          </w:p>
        </w:tc>
        <w:tc>
          <w:tcPr>
            <w:tcW w:w="1025" w:type="dxa"/>
            <w:tcBorders>
              <w:top w:val="dotted" w:sz="4" w:space="0" w:color="000000"/>
              <w:bottom w:val="dotted" w:sz="4" w:space="0" w:color="000000"/>
            </w:tcBorders>
          </w:tcPr>
          <w:p>
            <w:pPr>
              <w:pStyle w:val="TableParagraph"/>
              <w:spacing w:before="61"/>
              <w:ind w:left="245" w:right="180"/>
              <w:jc w:val="center"/>
              <w:rPr>
                <w:rFonts w:ascii="PMingLiU" w:eastAsia="PMingLiU" w:hint="eastAsia"/>
                <w:sz w:val="14"/>
              </w:rPr>
            </w:pPr>
            <w:r>
              <w:rPr>
                <w:sz w:val="14"/>
              </w:rPr>
              <w:t>I/II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79"/>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61"/>
              <w:ind w:left="129" w:right="129"/>
              <w:jc w:val="center"/>
              <w:rPr>
                <w:rFonts w:ascii="PMingLiU" w:eastAsia="PMingLiU" w:hint="eastAsia"/>
                <w:sz w:val="14"/>
              </w:rPr>
            </w:pPr>
            <w:r>
              <w:rPr>
                <w:rFonts w:ascii="PMingLiU" w:eastAsia="PMingLiU" w:hint="eastAsia"/>
                <w:sz w:val="14"/>
              </w:rPr>
              <w:t>实体瘤</w:t>
            </w:r>
          </w:p>
        </w:tc>
      </w:tr>
      <w:tr>
        <w:trPr>
          <w:trHeight w:val="441" w:hRule="atLeast"/>
        </w:trPr>
        <w:tc>
          <w:tcPr>
            <w:tcW w:w="1452" w:type="dxa"/>
            <w:tcBorders>
              <w:top w:val="dotted" w:sz="4" w:space="0" w:color="000000"/>
              <w:bottom w:val="dotted" w:sz="4" w:space="0" w:color="000000"/>
            </w:tcBorders>
          </w:tcPr>
          <w:p>
            <w:pPr>
              <w:pStyle w:val="TableParagraph"/>
              <w:spacing w:before="137"/>
              <w:ind w:left="480" w:right="566"/>
              <w:jc w:val="center"/>
              <w:rPr>
                <w:sz w:val="14"/>
              </w:rPr>
            </w:pPr>
            <w:r>
              <w:rPr>
                <w:sz w:val="14"/>
              </w:rPr>
              <w:t>TCR2</w:t>
            </w:r>
          </w:p>
        </w:tc>
        <w:tc>
          <w:tcPr>
            <w:tcW w:w="2185" w:type="dxa"/>
            <w:tcBorders>
              <w:top w:val="dotted" w:sz="4" w:space="0" w:color="000000"/>
              <w:bottom w:val="dotted" w:sz="4" w:space="0" w:color="000000"/>
            </w:tcBorders>
          </w:tcPr>
          <w:p>
            <w:pPr>
              <w:pStyle w:val="TableParagraph"/>
              <w:spacing w:before="137"/>
              <w:ind w:left="198" w:right="238"/>
              <w:jc w:val="center"/>
              <w:rPr>
                <w:sz w:val="14"/>
              </w:rPr>
            </w:pPr>
            <w:r>
              <w:rPr>
                <w:sz w:val="14"/>
              </w:rPr>
              <w:t>TC-510</w:t>
            </w:r>
          </w:p>
        </w:tc>
        <w:tc>
          <w:tcPr>
            <w:tcW w:w="1025" w:type="dxa"/>
            <w:tcBorders>
              <w:top w:val="dotted" w:sz="4" w:space="0" w:color="000000"/>
              <w:bottom w:val="dotted" w:sz="4" w:space="0" w:color="000000"/>
            </w:tcBorders>
          </w:tcPr>
          <w:p>
            <w:pPr>
              <w:pStyle w:val="TableParagraph"/>
              <w:spacing w:before="119"/>
              <w:ind w:left="245" w:right="180"/>
              <w:jc w:val="center"/>
              <w:rPr>
                <w:rFonts w:ascii="PMingLiU" w:eastAsia="PMingLiU" w:hint="eastAsia"/>
                <w:sz w:val="14"/>
              </w:rPr>
            </w:pPr>
            <w:r>
              <w:rPr>
                <w:sz w:val="14"/>
              </w:rPr>
              <w:t>I/II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137"/>
              <w:ind w:left="178" w:right="153"/>
              <w:jc w:val="center"/>
              <w:rPr>
                <w:sz w:val="14"/>
              </w:rPr>
            </w:pPr>
            <w:r>
              <w:rPr>
                <w:sz w:val="14"/>
              </w:rPr>
              <w:t>TCR-T</w:t>
            </w:r>
          </w:p>
        </w:tc>
        <w:tc>
          <w:tcPr>
            <w:tcW w:w="2377" w:type="dxa"/>
            <w:tcBorders>
              <w:top w:val="dotted" w:sz="4" w:space="0" w:color="000000"/>
              <w:bottom w:val="dotted" w:sz="4" w:space="0" w:color="000000"/>
            </w:tcBorders>
          </w:tcPr>
          <w:p>
            <w:pPr>
              <w:pStyle w:val="TableParagraph"/>
              <w:spacing w:line="200" w:lineRule="atLeast" w:before="9"/>
              <w:ind w:left="682" w:right="81" w:hanging="557"/>
              <w:rPr>
                <w:rFonts w:ascii="PMingLiU" w:eastAsia="PMingLiU" w:hint="eastAsia"/>
                <w:sz w:val="14"/>
              </w:rPr>
            </w:pPr>
            <w:r>
              <w:rPr>
                <w:sz w:val="14"/>
              </w:rPr>
              <w:t>TNBC,</w:t>
            </w:r>
            <w:r>
              <w:rPr>
                <w:rFonts w:ascii="PMingLiU" w:eastAsia="PMingLiU" w:hint="eastAsia"/>
                <w:sz w:val="14"/>
              </w:rPr>
              <w:t>胸膜间皮瘤</w:t>
            </w:r>
            <w:r>
              <w:rPr>
                <w:sz w:val="14"/>
              </w:rPr>
              <w:t>,PC,</w:t>
            </w:r>
            <w:r>
              <w:rPr>
                <w:rFonts w:ascii="PMingLiU" w:eastAsia="PMingLiU" w:hint="eastAsia"/>
                <w:sz w:val="14"/>
              </w:rPr>
              <w:t>结直肠癌</w:t>
            </w:r>
            <w:r>
              <w:rPr>
                <w:sz w:val="14"/>
              </w:rPr>
              <w:t>,</w:t>
            </w:r>
            <w:r>
              <w:rPr>
                <w:rFonts w:ascii="PMingLiU" w:eastAsia="PMingLiU" w:hint="eastAsia"/>
                <w:sz w:val="14"/>
              </w:rPr>
              <w:t>腹膜间皮瘤</w:t>
            </w:r>
            <w:r>
              <w:rPr>
                <w:sz w:val="14"/>
              </w:rPr>
              <w:t>,</w:t>
            </w:r>
            <w:r>
              <w:rPr>
                <w:rFonts w:ascii="PMingLiU" w:eastAsia="PMingLiU" w:hint="eastAsia"/>
                <w:sz w:val="14"/>
              </w:rPr>
              <w:t>卵巢癌</w:t>
            </w:r>
          </w:p>
        </w:tc>
      </w:tr>
      <w:tr>
        <w:trPr>
          <w:trHeight w:val="407" w:hRule="atLeast"/>
        </w:trPr>
        <w:tc>
          <w:tcPr>
            <w:tcW w:w="1452" w:type="dxa"/>
            <w:tcBorders>
              <w:top w:val="dotted" w:sz="4" w:space="0" w:color="000000"/>
              <w:bottom w:val="dotted" w:sz="4" w:space="0" w:color="000000"/>
            </w:tcBorders>
          </w:tcPr>
          <w:p>
            <w:pPr>
              <w:pStyle w:val="TableParagraph"/>
              <w:spacing w:before="123"/>
              <w:ind w:left="480" w:right="566"/>
              <w:jc w:val="center"/>
              <w:rPr>
                <w:sz w:val="14"/>
              </w:rPr>
            </w:pPr>
            <w:r>
              <w:rPr>
                <w:sz w:val="14"/>
              </w:rPr>
              <w:t>TCR2</w:t>
            </w:r>
          </w:p>
        </w:tc>
        <w:tc>
          <w:tcPr>
            <w:tcW w:w="2185" w:type="dxa"/>
            <w:tcBorders>
              <w:top w:val="dotted" w:sz="4" w:space="0" w:color="000000"/>
              <w:bottom w:val="dotted" w:sz="4" w:space="0" w:color="000000"/>
            </w:tcBorders>
          </w:tcPr>
          <w:p>
            <w:pPr>
              <w:pStyle w:val="TableParagraph"/>
              <w:spacing w:before="123"/>
              <w:ind w:left="250"/>
              <w:rPr>
                <w:sz w:val="14"/>
              </w:rPr>
            </w:pPr>
            <w:r>
              <w:rPr>
                <w:sz w:val="14"/>
              </w:rPr>
              <w:t>gavocabtagene autoleucel</w:t>
            </w:r>
          </w:p>
        </w:tc>
        <w:tc>
          <w:tcPr>
            <w:tcW w:w="1025" w:type="dxa"/>
            <w:tcBorders>
              <w:top w:val="dotted" w:sz="4" w:space="0" w:color="000000"/>
              <w:bottom w:val="dotted" w:sz="4" w:space="0" w:color="000000"/>
            </w:tcBorders>
          </w:tcPr>
          <w:p>
            <w:pPr>
              <w:pStyle w:val="TableParagraph"/>
              <w:spacing w:before="104"/>
              <w:ind w:left="245" w:right="180"/>
              <w:jc w:val="center"/>
              <w:rPr>
                <w:rFonts w:ascii="PMingLiU" w:eastAsia="PMingLiU" w:hint="eastAsia"/>
                <w:sz w:val="14"/>
              </w:rPr>
            </w:pPr>
            <w:r>
              <w:rPr>
                <w:sz w:val="14"/>
              </w:rPr>
              <w:t>I/II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123"/>
              <w:ind w:left="178" w:right="153"/>
              <w:jc w:val="center"/>
              <w:rPr>
                <w:sz w:val="14"/>
              </w:rPr>
            </w:pPr>
            <w:r>
              <w:rPr>
                <w:sz w:val="14"/>
              </w:rPr>
              <w:t>TCR-T</w:t>
            </w:r>
          </w:p>
        </w:tc>
        <w:tc>
          <w:tcPr>
            <w:tcW w:w="2377" w:type="dxa"/>
            <w:tcBorders>
              <w:top w:val="dotted" w:sz="4" w:space="0" w:color="000000"/>
              <w:bottom w:val="dotted" w:sz="4" w:space="0" w:color="000000"/>
            </w:tcBorders>
          </w:tcPr>
          <w:p>
            <w:pPr>
              <w:pStyle w:val="TableParagraph"/>
              <w:spacing w:line="195" w:lineRule="exact"/>
              <w:ind w:left="128" w:right="130"/>
              <w:jc w:val="center"/>
              <w:rPr>
                <w:rFonts w:ascii="PMingLiU" w:eastAsia="PMingLiU" w:hint="eastAsia"/>
                <w:sz w:val="14"/>
              </w:rPr>
            </w:pPr>
            <w:r>
              <w:rPr>
                <w:rFonts w:ascii="PMingLiU" w:eastAsia="PMingLiU" w:hint="eastAsia"/>
                <w:sz w:val="14"/>
              </w:rPr>
              <w:t>胆管癌</w:t>
            </w:r>
            <w:r>
              <w:rPr>
                <w:sz w:val="14"/>
              </w:rPr>
              <w:t>,</w:t>
            </w:r>
            <w:r>
              <w:rPr>
                <w:rFonts w:ascii="PMingLiU" w:eastAsia="PMingLiU" w:hint="eastAsia"/>
                <w:sz w:val="14"/>
              </w:rPr>
              <w:t>卵巢癌</w:t>
            </w:r>
            <w:r>
              <w:rPr>
                <w:sz w:val="14"/>
              </w:rPr>
              <w:t>,</w:t>
            </w:r>
            <w:r>
              <w:rPr>
                <w:rFonts w:ascii="PMingLiU" w:eastAsia="PMingLiU" w:hint="eastAsia"/>
                <w:sz w:val="14"/>
              </w:rPr>
              <w:t>腹膜间皮瘤</w:t>
            </w:r>
            <w:r>
              <w:rPr>
                <w:sz w:val="14"/>
              </w:rPr>
              <w:t>,</w:t>
            </w:r>
            <w:r>
              <w:rPr>
                <w:rFonts w:ascii="PMingLiU" w:eastAsia="PMingLiU" w:hint="eastAsia"/>
                <w:sz w:val="14"/>
              </w:rPr>
              <w:t>非小细</w:t>
            </w:r>
          </w:p>
          <w:p>
            <w:pPr>
              <w:pStyle w:val="TableParagraph"/>
              <w:spacing w:line="182" w:lineRule="exact" w:before="10"/>
              <w:ind w:left="129" w:right="129"/>
              <w:jc w:val="center"/>
              <w:rPr>
                <w:rFonts w:ascii="PMingLiU" w:eastAsia="PMingLiU" w:hint="eastAsia"/>
                <w:sz w:val="14"/>
              </w:rPr>
            </w:pPr>
            <w:r>
              <w:rPr>
                <w:rFonts w:ascii="PMingLiU" w:eastAsia="PMingLiU" w:hint="eastAsia"/>
                <w:sz w:val="14"/>
              </w:rPr>
              <w:t>胞肺癌</w:t>
            </w:r>
          </w:p>
        </w:tc>
      </w:tr>
      <w:tr>
        <w:trPr>
          <w:trHeight w:val="230" w:hRule="atLeast"/>
        </w:trPr>
        <w:tc>
          <w:tcPr>
            <w:tcW w:w="1452" w:type="dxa"/>
            <w:tcBorders>
              <w:top w:val="dotted" w:sz="4" w:space="0" w:color="000000"/>
              <w:bottom w:val="dotted" w:sz="4" w:space="0" w:color="000000"/>
            </w:tcBorders>
          </w:tcPr>
          <w:p>
            <w:pPr>
              <w:pStyle w:val="TableParagraph"/>
              <w:spacing w:before="36"/>
              <w:ind w:left="338"/>
              <w:rPr>
                <w:sz w:val="14"/>
              </w:rPr>
            </w:pPr>
            <w:r>
              <w:rPr>
                <w:sz w:val="14"/>
              </w:rPr>
              <w:t>J&amp;J/ Aduro</w:t>
            </w:r>
          </w:p>
        </w:tc>
        <w:tc>
          <w:tcPr>
            <w:tcW w:w="2185" w:type="dxa"/>
            <w:tcBorders>
              <w:top w:val="dotted" w:sz="4" w:space="0" w:color="000000"/>
              <w:bottom w:val="dotted" w:sz="4" w:space="0" w:color="000000"/>
            </w:tcBorders>
          </w:tcPr>
          <w:p>
            <w:pPr>
              <w:pStyle w:val="TableParagraph"/>
              <w:spacing w:before="36"/>
              <w:ind w:left="288"/>
              <w:rPr>
                <w:sz w:val="14"/>
              </w:rPr>
            </w:pPr>
            <w:r>
              <w:rPr>
                <w:sz w:val="14"/>
              </w:rPr>
              <w:t>pemlimogene merolisbac</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I/II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13"/>
              <w:ind w:left="175" w:right="158"/>
              <w:jc w:val="center"/>
              <w:rPr>
                <w:rFonts w:ascii="PMingLiU" w:eastAsia="PMingLiU" w:hint="eastAsia"/>
                <w:sz w:val="14"/>
              </w:rPr>
            </w:pPr>
            <w:r>
              <w:rPr>
                <w:rFonts w:ascii="PMingLiU" w:eastAsia="PMingLiU" w:hint="eastAsia"/>
                <w:sz w:val="14"/>
              </w:rPr>
              <w:t>癌症疫苗</w:t>
            </w:r>
          </w:p>
        </w:tc>
        <w:tc>
          <w:tcPr>
            <w:tcW w:w="2377" w:type="dxa"/>
            <w:tcBorders>
              <w:top w:val="dotted" w:sz="4" w:space="0" w:color="000000"/>
              <w:bottom w:val="dotted" w:sz="4" w:space="0" w:color="000000"/>
            </w:tcBorders>
          </w:tcPr>
          <w:p>
            <w:pPr>
              <w:pStyle w:val="TableParagraph"/>
              <w:spacing w:before="13"/>
              <w:ind w:left="768"/>
              <w:rPr>
                <w:rFonts w:ascii="PMingLiU" w:eastAsia="PMingLiU" w:hint="eastAsia"/>
                <w:sz w:val="14"/>
              </w:rPr>
            </w:pPr>
            <w:r>
              <w:rPr>
                <w:rFonts w:ascii="PMingLiU" w:eastAsia="PMingLiU" w:hint="eastAsia"/>
                <w:sz w:val="14"/>
              </w:rPr>
              <w:t>非小细胞肺癌</w:t>
            </w:r>
          </w:p>
        </w:tc>
      </w:tr>
      <w:tr>
        <w:trPr>
          <w:trHeight w:val="230" w:hRule="atLeast"/>
        </w:trPr>
        <w:tc>
          <w:tcPr>
            <w:tcW w:w="1452" w:type="dxa"/>
            <w:tcBorders>
              <w:top w:val="dotted" w:sz="4" w:space="0" w:color="000000"/>
              <w:bottom w:val="dotted" w:sz="4" w:space="0" w:color="000000"/>
            </w:tcBorders>
          </w:tcPr>
          <w:p>
            <w:pPr>
              <w:pStyle w:val="TableParagraph"/>
              <w:spacing w:before="36"/>
              <w:ind w:left="453"/>
              <w:rPr>
                <w:sz w:val="14"/>
              </w:rPr>
            </w:pPr>
            <w:r>
              <w:rPr>
                <w:sz w:val="14"/>
              </w:rPr>
              <w:t>AbbVie</w:t>
            </w:r>
          </w:p>
        </w:tc>
        <w:tc>
          <w:tcPr>
            <w:tcW w:w="2185" w:type="dxa"/>
            <w:tcBorders>
              <w:top w:val="dotted" w:sz="4" w:space="0" w:color="000000"/>
              <w:bottom w:val="dotted" w:sz="4" w:space="0" w:color="000000"/>
            </w:tcBorders>
          </w:tcPr>
          <w:p>
            <w:pPr>
              <w:pStyle w:val="TableParagraph"/>
              <w:spacing w:before="36"/>
              <w:ind w:left="188" w:right="242"/>
              <w:jc w:val="center"/>
              <w:rPr>
                <w:sz w:val="14"/>
              </w:rPr>
            </w:pPr>
            <w:r>
              <w:rPr>
                <w:sz w:val="14"/>
              </w:rPr>
              <w:t>ABBV-428</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13"/>
              <w:ind w:left="175" w:right="158"/>
              <w:jc w:val="center"/>
              <w:rPr>
                <w:rFonts w:ascii="PMingLiU" w:eastAsia="PMingLiU" w:hint="eastAsia"/>
                <w:sz w:val="14"/>
              </w:rPr>
            </w:pPr>
            <w:r>
              <w:rPr>
                <w:rFonts w:ascii="PMingLiU" w:eastAsia="PMingLiU" w:hint="eastAsia"/>
                <w:sz w:val="14"/>
              </w:rPr>
              <w:t>双抗</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13"/>
              <w:ind w:left="400"/>
              <w:rPr>
                <w:rFonts w:ascii="PMingLiU" w:eastAsia="PMingLiU" w:hint="eastAsia"/>
                <w:sz w:val="14"/>
              </w:rPr>
            </w:pPr>
            <w:r>
              <w:rPr>
                <w:rFonts w:ascii="PMingLiU" w:eastAsia="PMingLiU" w:hint="eastAsia"/>
                <w:sz w:val="14"/>
              </w:rPr>
              <w:t>宾德生物</w:t>
            </w:r>
          </w:p>
        </w:tc>
        <w:tc>
          <w:tcPr>
            <w:tcW w:w="2185" w:type="dxa"/>
            <w:tcBorders>
              <w:top w:val="dotted" w:sz="4" w:space="0" w:color="000000"/>
              <w:bottom w:val="dotted" w:sz="4" w:space="0" w:color="000000"/>
            </w:tcBorders>
          </w:tcPr>
          <w:p>
            <w:pPr>
              <w:pStyle w:val="TableParagraph"/>
              <w:spacing w:before="36"/>
              <w:ind w:left="523"/>
              <w:rPr>
                <w:sz w:val="14"/>
              </w:rPr>
            </w:pPr>
            <w:r>
              <w:rPr>
                <w:sz w:val="14"/>
              </w:rPr>
              <w:t>CART-meso cells</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胰腺癌</w:t>
            </w:r>
          </w:p>
        </w:tc>
      </w:tr>
      <w:tr>
        <w:trPr>
          <w:trHeight w:val="230" w:hRule="atLeast"/>
        </w:trPr>
        <w:tc>
          <w:tcPr>
            <w:tcW w:w="1452" w:type="dxa"/>
            <w:tcBorders>
              <w:top w:val="dotted" w:sz="4" w:space="0" w:color="000000"/>
              <w:bottom w:val="dotted" w:sz="4" w:space="0" w:color="000000"/>
            </w:tcBorders>
          </w:tcPr>
          <w:p>
            <w:pPr>
              <w:pStyle w:val="TableParagraph"/>
              <w:spacing w:before="36"/>
              <w:ind w:right="257"/>
              <w:jc w:val="right"/>
              <w:rPr>
                <w:sz w:val="14"/>
              </w:rPr>
            </w:pPr>
            <w:r>
              <w:rPr>
                <w:sz w:val="14"/>
              </w:rPr>
              <w:t>Fred Hutchinson</w:t>
            </w:r>
          </w:p>
        </w:tc>
        <w:tc>
          <w:tcPr>
            <w:tcW w:w="2185" w:type="dxa"/>
            <w:tcBorders>
              <w:top w:val="dotted" w:sz="4" w:space="0" w:color="000000"/>
              <w:bottom w:val="dotted" w:sz="4" w:space="0" w:color="000000"/>
            </w:tcBorders>
          </w:tcPr>
          <w:p>
            <w:pPr>
              <w:pStyle w:val="TableParagraph"/>
              <w:spacing w:before="36"/>
              <w:ind w:left="590"/>
              <w:rPr>
                <w:sz w:val="14"/>
                <w:szCs w:val="14"/>
              </w:rPr>
            </w:pPr>
            <w:r>
              <w:rPr>
                <w:sz w:val="14"/>
                <w:szCs w:val="14"/>
              </w:rPr>
              <w:t>FH-TCR-Tᴍsʟɴ</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3"/>
              <w:jc w:val="center"/>
              <w:rPr>
                <w:sz w:val="14"/>
              </w:rPr>
            </w:pPr>
            <w:r>
              <w:rPr>
                <w:sz w:val="14"/>
              </w:rPr>
              <w:t>TCR-T</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胰腺癌</w:t>
            </w:r>
          </w:p>
        </w:tc>
      </w:tr>
      <w:tr>
        <w:trPr>
          <w:trHeight w:val="230" w:hRule="atLeast"/>
        </w:trPr>
        <w:tc>
          <w:tcPr>
            <w:tcW w:w="1452" w:type="dxa"/>
            <w:tcBorders>
              <w:top w:val="dotted" w:sz="4" w:space="0" w:color="000000"/>
              <w:bottom w:val="dotted" w:sz="4" w:space="0" w:color="000000"/>
            </w:tcBorders>
          </w:tcPr>
          <w:p>
            <w:pPr>
              <w:pStyle w:val="TableParagraph"/>
              <w:spacing w:before="13"/>
              <w:ind w:left="400"/>
              <w:rPr>
                <w:rFonts w:ascii="PMingLiU" w:eastAsia="PMingLiU" w:hint="eastAsia"/>
                <w:sz w:val="14"/>
              </w:rPr>
            </w:pPr>
            <w:r>
              <w:rPr>
                <w:rFonts w:ascii="PMingLiU" w:eastAsia="PMingLiU" w:hint="eastAsia"/>
                <w:sz w:val="14"/>
              </w:rPr>
              <w:t>亘喜生物</w:t>
            </w:r>
          </w:p>
        </w:tc>
        <w:tc>
          <w:tcPr>
            <w:tcW w:w="2185" w:type="dxa"/>
            <w:tcBorders>
              <w:top w:val="dotted" w:sz="4" w:space="0" w:color="000000"/>
              <w:bottom w:val="dotted" w:sz="4" w:space="0" w:color="000000"/>
            </w:tcBorders>
          </w:tcPr>
          <w:p>
            <w:pPr>
              <w:pStyle w:val="TableParagraph"/>
              <w:spacing w:before="36"/>
              <w:ind w:left="193" w:right="242"/>
              <w:jc w:val="center"/>
              <w:rPr>
                <w:sz w:val="14"/>
              </w:rPr>
            </w:pPr>
            <w:r>
              <w:rPr>
                <w:sz w:val="14"/>
              </w:rPr>
              <w:t>GC008t</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13"/>
              <w:ind w:left="400"/>
              <w:rPr>
                <w:rFonts w:ascii="PMingLiU" w:eastAsia="PMingLiU" w:hint="eastAsia"/>
                <w:sz w:val="14"/>
              </w:rPr>
            </w:pPr>
            <w:r>
              <w:rPr>
                <w:rFonts w:ascii="PMingLiU" w:eastAsia="PMingLiU" w:hint="eastAsia"/>
                <w:sz w:val="14"/>
              </w:rPr>
              <w:t>亘喜生物</w:t>
            </w:r>
          </w:p>
        </w:tc>
        <w:tc>
          <w:tcPr>
            <w:tcW w:w="2185" w:type="dxa"/>
            <w:tcBorders>
              <w:top w:val="dotted" w:sz="4" w:space="0" w:color="000000"/>
              <w:bottom w:val="dotted" w:sz="4" w:space="0" w:color="000000"/>
            </w:tcBorders>
          </w:tcPr>
          <w:p>
            <w:pPr>
              <w:pStyle w:val="TableParagraph"/>
              <w:spacing w:before="36"/>
              <w:ind w:left="193" w:right="242"/>
              <w:jc w:val="center"/>
              <w:rPr>
                <w:sz w:val="14"/>
              </w:rPr>
            </w:pPr>
            <w:r>
              <w:rPr>
                <w:sz w:val="14"/>
              </w:rPr>
              <w:t>GC503</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13"/>
              <w:ind w:left="400"/>
              <w:rPr>
                <w:rFonts w:ascii="PMingLiU" w:eastAsia="PMingLiU" w:hint="eastAsia"/>
                <w:sz w:val="14"/>
              </w:rPr>
            </w:pPr>
            <w:r>
              <w:rPr>
                <w:rFonts w:ascii="PMingLiU" w:eastAsia="PMingLiU" w:hint="eastAsia"/>
                <w:sz w:val="14"/>
              </w:rPr>
              <w:t>传奇生物</w:t>
            </w:r>
          </w:p>
        </w:tc>
        <w:tc>
          <w:tcPr>
            <w:tcW w:w="2185" w:type="dxa"/>
            <w:tcBorders>
              <w:top w:val="dotted" w:sz="4" w:space="0" w:color="000000"/>
              <w:bottom w:val="dotted" w:sz="4" w:space="0" w:color="000000"/>
            </w:tcBorders>
          </w:tcPr>
          <w:p>
            <w:pPr>
              <w:pStyle w:val="TableParagraph"/>
              <w:spacing w:before="36"/>
              <w:ind w:left="193" w:right="242"/>
              <w:jc w:val="center"/>
              <w:rPr>
                <w:sz w:val="14"/>
              </w:rPr>
            </w:pPr>
            <w:r>
              <w:rPr>
                <w:sz w:val="14"/>
              </w:rPr>
              <w:t>LB1902</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卵巢癌</w:t>
            </w:r>
          </w:p>
        </w:tc>
      </w:tr>
      <w:tr>
        <w:trPr>
          <w:trHeight w:val="230" w:hRule="atLeast"/>
        </w:trPr>
        <w:tc>
          <w:tcPr>
            <w:tcW w:w="1452" w:type="dxa"/>
            <w:tcBorders>
              <w:top w:val="dotted" w:sz="4" w:space="0" w:color="000000"/>
              <w:bottom w:val="dotted" w:sz="4" w:space="0" w:color="000000"/>
            </w:tcBorders>
          </w:tcPr>
          <w:p>
            <w:pPr>
              <w:pStyle w:val="TableParagraph"/>
              <w:spacing w:before="36"/>
              <w:ind w:left="405"/>
              <w:rPr>
                <w:sz w:val="14"/>
              </w:rPr>
            </w:pPr>
            <w:r>
              <w:rPr>
                <w:sz w:val="14"/>
              </w:rPr>
              <w:t>MaxCyte</w:t>
            </w:r>
          </w:p>
        </w:tc>
        <w:tc>
          <w:tcPr>
            <w:tcW w:w="2185" w:type="dxa"/>
            <w:tcBorders>
              <w:top w:val="dotted" w:sz="4" w:space="0" w:color="000000"/>
              <w:bottom w:val="dotted" w:sz="4" w:space="0" w:color="000000"/>
            </w:tcBorders>
          </w:tcPr>
          <w:p>
            <w:pPr>
              <w:pStyle w:val="TableParagraph"/>
              <w:spacing w:before="36"/>
              <w:ind w:left="193" w:right="242"/>
              <w:jc w:val="center"/>
              <w:rPr>
                <w:sz w:val="14"/>
              </w:rPr>
            </w:pPr>
            <w:r>
              <w:rPr>
                <w:sz w:val="14"/>
              </w:rPr>
              <w:t>MCY-M11</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3"/>
              <w:ind w:left="610"/>
              <w:rPr>
                <w:rFonts w:ascii="PMingLiU" w:eastAsia="PMingLiU" w:hint="eastAsia"/>
                <w:sz w:val="14"/>
              </w:rPr>
            </w:pPr>
            <w:r>
              <w:rPr>
                <w:rFonts w:ascii="PMingLiU" w:eastAsia="PMingLiU" w:hint="eastAsia"/>
                <w:sz w:val="14"/>
              </w:rPr>
              <w:t>卵巢癌</w:t>
            </w:r>
            <w:r>
              <w:rPr>
                <w:sz w:val="14"/>
              </w:rPr>
              <w:t>,</w:t>
            </w:r>
            <w:r>
              <w:rPr>
                <w:rFonts w:ascii="PMingLiU" w:eastAsia="PMingLiU" w:hint="eastAsia"/>
                <w:sz w:val="14"/>
              </w:rPr>
              <w:t>腹膜间皮瘤</w:t>
            </w:r>
          </w:p>
        </w:tc>
      </w:tr>
      <w:tr>
        <w:trPr>
          <w:trHeight w:val="230" w:hRule="atLeast"/>
        </w:trPr>
        <w:tc>
          <w:tcPr>
            <w:tcW w:w="1452" w:type="dxa"/>
            <w:tcBorders>
              <w:top w:val="dotted" w:sz="4" w:space="0" w:color="000000"/>
              <w:bottom w:val="dotted" w:sz="4" w:space="0" w:color="000000"/>
            </w:tcBorders>
          </w:tcPr>
          <w:p>
            <w:pPr>
              <w:pStyle w:val="TableParagraph"/>
              <w:spacing w:before="36"/>
              <w:ind w:left="424"/>
              <w:rPr>
                <w:sz w:val="14"/>
              </w:rPr>
            </w:pPr>
            <w:r>
              <w:rPr>
                <w:sz w:val="14"/>
              </w:rPr>
              <w:t>Novartis</w:t>
            </w:r>
          </w:p>
        </w:tc>
        <w:tc>
          <w:tcPr>
            <w:tcW w:w="2185" w:type="dxa"/>
            <w:tcBorders>
              <w:top w:val="dotted" w:sz="4" w:space="0" w:color="000000"/>
              <w:bottom w:val="dotted" w:sz="4" w:space="0" w:color="000000"/>
            </w:tcBorders>
          </w:tcPr>
          <w:p>
            <w:pPr>
              <w:pStyle w:val="TableParagraph"/>
              <w:spacing w:before="36"/>
              <w:ind w:left="192" w:right="242"/>
              <w:jc w:val="center"/>
              <w:rPr>
                <w:sz w:val="14"/>
              </w:rPr>
            </w:pPr>
            <w:r>
              <w:rPr>
                <w:sz w:val="14"/>
              </w:rPr>
              <w:t>Meso-CIR</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3"/>
              <w:ind w:left="610"/>
              <w:rPr>
                <w:rFonts w:ascii="PMingLiU" w:eastAsia="PMingLiU" w:hint="eastAsia"/>
                <w:sz w:val="14"/>
              </w:rPr>
            </w:pPr>
            <w:r>
              <w:rPr>
                <w:rFonts w:ascii="PMingLiU" w:eastAsia="PMingLiU" w:hint="eastAsia"/>
                <w:sz w:val="14"/>
              </w:rPr>
              <w:t>胸膜间皮瘤</w:t>
            </w:r>
            <w:r>
              <w:rPr>
                <w:sz w:val="14"/>
              </w:rPr>
              <w:t>,</w:t>
            </w:r>
            <w:r>
              <w:rPr>
                <w:rFonts w:ascii="PMingLiU" w:eastAsia="PMingLiU" w:hint="eastAsia"/>
                <w:sz w:val="14"/>
              </w:rPr>
              <w:t>胰腺癌</w:t>
            </w:r>
          </w:p>
        </w:tc>
      </w:tr>
      <w:tr>
        <w:trPr>
          <w:trHeight w:val="230" w:hRule="atLeast"/>
        </w:trPr>
        <w:tc>
          <w:tcPr>
            <w:tcW w:w="1452" w:type="dxa"/>
            <w:tcBorders>
              <w:top w:val="dotted" w:sz="4" w:space="0" w:color="000000"/>
              <w:bottom w:val="dotted" w:sz="4" w:space="0" w:color="000000"/>
            </w:tcBorders>
          </w:tcPr>
          <w:p>
            <w:pPr>
              <w:pStyle w:val="TableParagraph"/>
              <w:spacing w:before="13"/>
              <w:ind w:left="400"/>
              <w:rPr>
                <w:rFonts w:ascii="PMingLiU" w:eastAsia="PMingLiU" w:hint="eastAsia"/>
                <w:sz w:val="14"/>
              </w:rPr>
            </w:pPr>
            <w:r>
              <w:rPr>
                <w:rFonts w:ascii="PMingLiU" w:eastAsia="PMingLiU" w:hint="eastAsia"/>
                <w:sz w:val="14"/>
              </w:rPr>
              <w:t>茂行生物</w:t>
            </w:r>
          </w:p>
        </w:tc>
        <w:tc>
          <w:tcPr>
            <w:tcW w:w="2185" w:type="dxa"/>
            <w:tcBorders>
              <w:top w:val="dotted" w:sz="4" w:space="0" w:color="000000"/>
              <w:bottom w:val="dotted" w:sz="4" w:space="0" w:color="000000"/>
            </w:tcBorders>
          </w:tcPr>
          <w:p>
            <w:pPr>
              <w:pStyle w:val="TableParagraph"/>
              <w:spacing w:before="36"/>
              <w:ind w:left="446"/>
              <w:rPr>
                <w:sz w:val="14"/>
              </w:rPr>
            </w:pPr>
            <w:r>
              <w:rPr>
                <w:sz w:val="14"/>
              </w:rPr>
              <w:t>Mesothelin UCAR-T</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36"/>
              <w:ind w:left="324"/>
              <w:rPr>
                <w:sz w:val="14"/>
              </w:rPr>
            </w:pPr>
            <w:r>
              <w:rPr>
                <w:sz w:val="14"/>
              </w:rPr>
              <w:t>Light Chain</w:t>
            </w:r>
          </w:p>
        </w:tc>
        <w:tc>
          <w:tcPr>
            <w:tcW w:w="2185" w:type="dxa"/>
            <w:tcBorders>
              <w:top w:val="dotted" w:sz="4" w:space="0" w:color="000000"/>
              <w:bottom w:val="dotted" w:sz="4" w:space="0" w:color="000000"/>
            </w:tcBorders>
          </w:tcPr>
          <w:p>
            <w:pPr>
              <w:pStyle w:val="TableParagraph"/>
              <w:spacing w:before="36"/>
              <w:ind w:left="188" w:right="242"/>
              <w:jc w:val="center"/>
              <w:rPr>
                <w:sz w:val="14"/>
              </w:rPr>
            </w:pPr>
            <w:r>
              <w:rPr>
                <w:sz w:val="14"/>
              </w:rPr>
              <w:t>NI-1801</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13"/>
              <w:ind w:left="175" w:right="158"/>
              <w:jc w:val="center"/>
              <w:rPr>
                <w:rFonts w:ascii="PMingLiU" w:eastAsia="PMingLiU" w:hint="eastAsia"/>
                <w:sz w:val="14"/>
              </w:rPr>
            </w:pPr>
            <w:r>
              <w:rPr>
                <w:rFonts w:ascii="PMingLiU" w:eastAsia="PMingLiU" w:hint="eastAsia"/>
                <w:sz w:val="14"/>
              </w:rPr>
              <w:t>双抗</w:t>
            </w:r>
          </w:p>
        </w:tc>
        <w:tc>
          <w:tcPr>
            <w:tcW w:w="2377" w:type="dxa"/>
            <w:tcBorders>
              <w:top w:val="dotted" w:sz="4" w:space="0" w:color="000000"/>
              <w:bottom w:val="dotted" w:sz="4" w:space="0" w:color="000000"/>
            </w:tcBorders>
          </w:tcPr>
          <w:p>
            <w:pPr>
              <w:pStyle w:val="TableParagraph"/>
              <w:spacing w:before="13"/>
              <w:ind w:right="377"/>
              <w:jc w:val="right"/>
              <w:rPr>
                <w:sz w:val="14"/>
              </w:rPr>
            </w:pPr>
            <w:r>
              <w:rPr>
                <w:sz w:val="14"/>
              </w:rPr>
              <w:t>TNBC,</w:t>
            </w:r>
            <w:r>
              <w:rPr>
                <w:rFonts w:ascii="PMingLiU" w:eastAsia="PMingLiU" w:hint="eastAsia"/>
                <w:sz w:val="14"/>
              </w:rPr>
              <w:t>卵巢癌</w:t>
            </w:r>
            <w:r>
              <w:rPr>
                <w:sz w:val="14"/>
              </w:rPr>
              <w:t>,nsq-NSCLC</w:t>
            </w:r>
          </w:p>
        </w:tc>
      </w:tr>
      <w:tr>
        <w:trPr>
          <w:trHeight w:val="230" w:hRule="atLeast"/>
        </w:trPr>
        <w:tc>
          <w:tcPr>
            <w:tcW w:w="1452" w:type="dxa"/>
            <w:tcBorders>
              <w:top w:val="dotted" w:sz="4" w:space="0" w:color="000000"/>
              <w:bottom w:val="dotted" w:sz="4" w:space="0" w:color="000000"/>
            </w:tcBorders>
          </w:tcPr>
          <w:p>
            <w:pPr>
              <w:pStyle w:val="TableParagraph"/>
              <w:spacing w:before="37"/>
              <w:ind w:left="424"/>
              <w:rPr>
                <w:sz w:val="14"/>
              </w:rPr>
            </w:pPr>
            <w:r>
              <w:rPr>
                <w:sz w:val="14"/>
              </w:rPr>
              <w:t>Novartis</w:t>
            </w:r>
          </w:p>
        </w:tc>
        <w:tc>
          <w:tcPr>
            <w:tcW w:w="2185" w:type="dxa"/>
            <w:tcBorders>
              <w:top w:val="dotted" w:sz="4" w:space="0" w:color="000000"/>
              <w:bottom w:val="dotted" w:sz="4" w:space="0" w:color="000000"/>
            </w:tcBorders>
          </w:tcPr>
          <w:p>
            <w:pPr>
              <w:pStyle w:val="TableParagraph"/>
              <w:spacing w:before="37"/>
              <w:ind w:left="193" w:right="242"/>
              <w:jc w:val="center"/>
              <w:rPr>
                <w:sz w:val="14"/>
              </w:rPr>
            </w:pPr>
            <w:r>
              <w:rPr>
                <w:sz w:val="14"/>
              </w:rPr>
              <w:t>NIU440</w:t>
            </w:r>
          </w:p>
        </w:tc>
        <w:tc>
          <w:tcPr>
            <w:tcW w:w="1025" w:type="dxa"/>
            <w:tcBorders>
              <w:top w:val="dotted" w:sz="4" w:space="0" w:color="000000"/>
              <w:bottom w:val="dotted" w:sz="4" w:space="0" w:color="000000"/>
            </w:tcBorders>
          </w:tcPr>
          <w:p>
            <w:pPr>
              <w:pStyle w:val="TableParagraph"/>
              <w:spacing w:before="14"/>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7"/>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4"/>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13"/>
              <w:ind w:left="400"/>
              <w:rPr>
                <w:rFonts w:ascii="PMingLiU" w:eastAsia="PMingLiU" w:hint="eastAsia"/>
                <w:sz w:val="14"/>
              </w:rPr>
            </w:pPr>
            <w:r>
              <w:rPr>
                <w:rFonts w:ascii="PMingLiU" w:eastAsia="PMingLiU" w:hint="eastAsia"/>
                <w:sz w:val="14"/>
              </w:rPr>
              <w:t>荣昌生物</w:t>
            </w:r>
          </w:p>
        </w:tc>
        <w:tc>
          <w:tcPr>
            <w:tcW w:w="2185" w:type="dxa"/>
            <w:tcBorders>
              <w:top w:val="dotted" w:sz="4" w:space="0" w:color="000000"/>
              <w:bottom w:val="dotted" w:sz="4" w:space="0" w:color="000000"/>
            </w:tcBorders>
          </w:tcPr>
          <w:p>
            <w:pPr>
              <w:pStyle w:val="TableParagraph"/>
              <w:spacing w:before="36"/>
              <w:ind w:left="193" w:right="242"/>
              <w:jc w:val="center"/>
              <w:rPr>
                <w:sz w:val="14"/>
              </w:rPr>
            </w:pPr>
            <w:r>
              <w:rPr>
                <w:sz w:val="14"/>
              </w:rPr>
              <w:t>RC88</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0" w:right="158"/>
              <w:jc w:val="center"/>
              <w:rPr>
                <w:sz w:val="14"/>
              </w:rPr>
            </w:pPr>
            <w:r>
              <w:rPr>
                <w:sz w:val="14"/>
              </w:rPr>
              <w:t>ADC</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13"/>
              <w:ind w:left="400"/>
              <w:rPr>
                <w:rFonts w:ascii="PMingLiU" w:eastAsia="PMingLiU" w:hint="eastAsia"/>
                <w:sz w:val="14"/>
              </w:rPr>
            </w:pPr>
            <w:r>
              <w:rPr>
                <w:rFonts w:ascii="PMingLiU" w:eastAsia="PMingLiU" w:hint="eastAsia"/>
                <w:sz w:val="14"/>
              </w:rPr>
              <w:t>驯鹿医疗</w:t>
            </w:r>
          </w:p>
        </w:tc>
        <w:tc>
          <w:tcPr>
            <w:tcW w:w="2185" w:type="dxa"/>
            <w:tcBorders>
              <w:top w:val="dotted" w:sz="4" w:space="0" w:color="000000"/>
              <w:bottom w:val="dotted" w:sz="4" w:space="0" w:color="000000"/>
            </w:tcBorders>
          </w:tcPr>
          <w:p>
            <w:pPr>
              <w:pStyle w:val="TableParagraph"/>
              <w:spacing w:before="36"/>
              <w:ind w:left="193" w:right="242"/>
              <w:jc w:val="center"/>
              <w:rPr>
                <w:sz w:val="14"/>
              </w:rPr>
            </w:pPr>
            <w:r>
              <w:rPr>
                <w:sz w:val="14"/>
              </w:rPr>
              <w:t>RD133</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36"/>
              <w:ind w:left="477"/>
              <w:rPr>
                <w:sz w:val="14"/>
              </w:rPr>
            </w:pPr>
            <w:r>
              <w:rPr>
                <w:sz w:val="14"/>
              </w:rPr>
              <w:t>Roche</w:t>
            </w:r>
          </w:p>
        </w:tc>
        <w:tc>
          <w:tcPr>
            <w:tcW w:w="2185" w:type="dxa"/>
            <w:tcBorders>
              <w:top w:val="dotted" w:sz="4" w:space="0" w:color="000000"/>
              <w:bottom w:val="dotted" w:sz="4" w:space="0" w:color="000000"/>
            </w:tcBorders>
          </w:tcPr>
          <w:p>
            <w:pPr>
              <w:pStyle w:val="TableParagraph"/>
              <w:spacing w:before="36"/>
              <w:ind w:left="193" w:right="242"/>
              <w:jc w:val="center"/>
              <w:rPr>
                <w:sz w:val="14"/>
              </w:rPr>
            </w:pPr>
            <w:r>
              <w:rPr>
                <w:sz w:val="14"/>
              </w:rPr>
              <w:t>RG7600</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0" w:right="158"/>
              <w:jc w:val="center"/>
              <w:rPr>
                <w:sz w:val="14"/>
              </w:rPr>
            </w:pPr>
            <w:r>
              <w:rPr>
                <w:sz w:val="14"/>
              </w:rPr>
              <w:t>ADC</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卵巢癌</w:t>
            </w:r>
          </w:p>
        </w:tc>
      </w:tr>
      <w:tr>
        <w:trPr>
          <w:trHeight w:val="321" w:hRule="atLeast"/>
        </w:trPr>
        <w:tc>
          <w:tcPr>
            <w:tcW w:w="1452" w:type="dxa"/>
            <w:tcBorders>
              <w:top w:val="dotted" w:sz="4" w:space="0" w:color="000000"/>
              <w:bottom w:val="dotted" w:sz="4" w:space="0" w:color="000000"/>
            </w:tcBorders>
          </w:tcPr>
          <w:p>
            <w:pPr>
              <w:pStyle w:val="TableParagraph"/>
              <w:spacing w:before="79"/>
              <w:ind w:right="221"/>
              <w:jc w:val="right"/>
              <w:rPr>
                <w:sz w:val="14"/>
              </w:rPr>
            </w:pPr>
            <w:r>
              <w:rPr>
                <w:sz w:val="14"/>
              </w:rPr>
              <w:t>Bayer,MorphoSys</w:t>
            </w:r>
          </w:p>
        </w:tc>
        <w:tc>
          <w:tcPr>
            <w:tcW w:w="2185" w:type="dxa"/>
            <w:tcBorders>
              <w:top w:val="dotted" w:sz="4" w:space="0" w:color="000000"/>
              <w:bottom w:val="dotted" w:sz="4" w:space="0" w:color="000000"/>
            </w:tcBorders>
          </w:tcPr>
          <w:p>
            <w:pPr>
              <w:pStyle w:val="TableParagraph"/>
              <w:spacing w:line="159" w:lineRule="exact"/>
              <w:ind w:left="198" w:right="242"/>
              <w:jc w:val="center"/>
              <w:rPr>
                <w:sz w:val="14"/>
              </w:rPr>
            </w:pPr>
            <w:r>
              <w:rPr>
                <w:sz w:val="14"/>
              </w:rPr>
              <w:t>Thorium (227Th) anetumab</w:t>
            </w:r>
          </w:p>
          <w:p>
            <w:pPr>
              <w:pStyle w:val="TableParagraph"/>
              <w:spacing w:line="140" w:lineRule="exact" w:before="2"/>
              <w:ind w:left="188" w:right="242"/>
              <w:jc w:val="center"/>
              <w:rPr>
                <w:sz w:val="14"/>
              </w:rPr>
            </w:pPr>
            <w:r>
              <w:rPr>
                <w:sz w:val="14"/>
              </w:rPr>
              <w:t>corixetan</w:t>
            </w:r>
          </w:p>
        </w:tc>
        <w:tc>
          <w:tcPr>
            <w:tcW w:w="1025" w:type="dxa"/>
            <w:tcBorders>
              <w:top w:val="dotted" w:sz="4" w:space="0" w:color="000000"/>
              <w:bottom w:val="dotted" w:sz="4" w:space="0" w:color="000000"/>
            </w:tcBorders>
          </w:tcPr>
          <w:p>
            <w:pPr>
              <w:pStyle w:val="TableParagraph"/>
              <w:spacing w:before="61"/>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61"/>
              <w:ind w:left="175" w:right="158"/>
              <w:jc w:val="center"/>
              <w:rPr>
                <w:rFonts w:ascii="PMingLiU" w:eastAsia="PMingLiU" w:hint="eastAsia"/>
                <w:sz w:val="14"/>
              </w:rPr>
            </w:pPr>
            <w:r>
              <w:rPr>
                <w:rFonts w:ascii="PMingLiU" w:eastAsia="PMingLiU" w:hint="eastAsia"/>
                <w:sz w:val="14"/>
              </w:rPr>
              <w:t>放射疗法</w:t>
            </w:r>
          </w:p>
        </w:tc>
        <w:tc>
          <w:tcPr>
            <w:tcW w:w="2377" w:type="dxa"/>
            <w:tcBorders>
              <w:top w:val="dotted" w:sz="4" w:space="0" w:color="000000"/>
              <w:bottom w:val="dotted" w:sz="4" w:space="0" w:color="000000"/>
            </w:tcBorders>
          </w:tcPr>
          <w:p>
            <w:pPr>
              <w:pStyle w:val="TableParagraph"/>
              <w:spacing w:before="61"/>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13"/>
              <w:ind w:left="400"/>
              <w:rPr>
                <w:rFonts w:ascii="PMingLiU" w:eastAsia="PMingLiU" w:hint="eastAsia"/>
                <w:sz w:val="14"/>
              </w:rPr>
            </w:pPr>
            <w:r>
              <w:rPr>
                <w:rFonts w:ascii="PMingLiU" w:eastAsia="PMingLiU" w:hint="eastAsia"/>
                <w:sz w:val="14"/>
              </w:rPr>
              <w:t>优替济生</w:t>
            </w:r>
          </w:p>
        </w:tc>
        <w:tc>
          <w:tcPr>
            <w:tcW w:w="2185" w:type="dxa"/>
            <w:tcBorders>
              <w:top w:val="dotted" w:sz="4" w:space="0" w:color="000000"/>
              <w:bottom w:val="dotted" w:sz="4" w:space="0" w:color="000000"/>
            </w:tcBorders>
          </w:tcPr>
          <w:p>
            <w:pPr>
              <w:pStyle w:val="TableParagraph"/>
              <w:spacing w:before="36"/>
              <w:ind w:left="336"/>
              <w:rPr>
                <w:sz w:val="14"/>
              </w:rPr>
            </w:pPr>
            <w:r>
              <w:rPr>
                <w:sz w:val="14"/>
              </w:rPr>
              <w:t>anti-MESO CAR T cells</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bottom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实体瘤</w:t>
            </w:r>
          </w:p>
        </w:tc>
      </w:tr>
      <w:tr>
        <w:trPr>
          <w:trHeight w:val="230" w:hRule="atLeast"/>
        </w:trPr>
        <w:tc>
          <w:tcPr>
            <w:tcW w:w="1452" w:type="dxa"/>
            <w:tcBorders>
              <w:top w:val="dotted" w:sz="4" w:space="0" w:color="000000"/>
              <w:bottom w:val="dotted" w:sz="4" w:space="0" w:color="000000"/>
            </w:tcBorders>
          </w:tcPr>
          <w:p>
            <w:pPr>
              <w:pStyle w:val="TableParagraph"/>
              <w:spacing w:before="13"/>
              <w:ind w:left="400"/>
              <w:rPr>
                <w:rFonts w:ascii="PMingLiU" w:eastAsia="PMingLiU" w:hint="eastAsia"/>
                <w:sz w:val="14"/>
              </w:rPr>
            </w:pPr>
            <w:r>
              <w:rPr>
                <w:rFonts w:ascii="PMingLiU" w:eastAsia="PMingLiU" w:hint="eastAsia"/>
                <w:sz w:val="14"/>
              </w:rPr>
              <w:t>恒润达生</w:t>
            </w:r>
          </w:p>
        </w:tc>
        <w:tc>
          <w:tcPr>
            <w:tcW w:w="2185" w:type="dxa"/>
            <w:tcBorders>
              <w:top w:val="dotted" w:sz="4" w:space="0" w:color="000000"/>
              <w:bottom w:val="dotted" w:sz="4" w:space="0" w:color="000000"/>
            </w:tcBorders>
          </w:tcPr>
          <w:p>
            <w:pPr>
              <w:pStyle w:val="TableParagraph"/>
              <w:spacing w:before="36"/>
              <w:ind w:left="514"/>
              <w:rPr>
                <w:sz w:val="14"/>
              </w:rPr>
            </w:pPr>
            <w:r>
              <w:rPr>
                <w:sz w:val="14"/>
              </w:rPr>
              <w:t>anti-MESO CART</w:t>
            </w:r>
          </w:p>
        </w:tc>
        <w:tc>
          <w:tcPr>
            <w:tcW w:w="1025" w:type="dxa"/>
            <w:tcBorders>
              <w:top w:val="dotted" w:sz="4" w:space="0" w:color="000000"/>
              <w:bottom w:val="dotted" w:sz="4" w:space="0" w:color="000000"/>
            </w:tcBorders>
          </w:tcPr>
          <w:p>
            <w:pPr>
              <w:pStyle w:val="TableParagraph"/>
              <w:spacing w:before="13"/>
              <w:ind w:left="245" w:right="180"/>
              <w:jc w:val="center"/>
              <w:rPr>
                <w:rFonts w:ascii="PMingLiU" w:eastAsia="PMingLiU" w:hint="eastAsia"/>
                <w:sz w:val="14"/>
              </w:rPr>
            </w:pPr>
            <w:r>
              <w:rPr>
                <w:sz w:val="14"/>
              </w:rPr>
              <w:t>I </w:t>
            </w:r>
            <w:r>
              <w:rPr>
                <w:rFonts w:ascii="PMingLiU" w:eastAsia="PMingLiU" w:hint="eastAsia"/>
                <w:sz w:val="14"/>
              </w:rPr>
              <w:t>期</w:t>
            </w:r>
          </w:p>
        </w:tc>
        <w:tc>
          <w:tcPr>
            <w:tcW w:w="939" w:type="dxa"/>
            <w:tcBorders>
              <w:top w:val="dotted" w:sz="4" w:space="0" w:color="000000"/>
              <w:bottom w:val="dotted" w:sz="4" w:space="0" w:color="000000"/>
            </w:tcBorders>
          </w:tcPr>
          <w:p>
            <w:pPr>
              <w:pStyle w:val="TableParagraph"/>
              <w:spacing w:before="36"/>
              <w:ind w:left="178" w:right="157"/>
              <w:jc w:val="center"/>
              <w:rPr>
                <w:sz w:val="14"/>
              </w:rPr>
            </w:pPr>
            <w:r>
              <w:rPr>
                <w:sz w:val="14"/>
              </w:rPr>
              <w:t>CAR-T</w:t>
            </w:r>
          </w:p>
        </w:tc>
        <w:tc>
          <w:tcPr>
            <w:tcW w:w="2377" w:type="dxa"/>
            <w:tcBorders>
              <w:top w:val="dotted" w:sz="4" w:space="0" w:color="000000"/>
            </w:tcBorders>
          </w:tcPr>
          <w:p>
            <w:pPr>
              <w:pStyle w:val="TableParagraph"/>
              <w:spacing w:before="13"/>
              <w:ind w:left="129" w:right="129"/>
              <w:jc w:val="center"/>
              <w:rPr>
                <w:rFonts w:ascii="PMingLiU" w:eastAsia="PMingLiU" w:hint="eastAsia"/>
                <w:sz w:val="14"/>
              </w:rPr>
            </w:pPr>
            <w:r>
              <w:rPr>
                <w:rFonts w:ascii="PMingLiU" w:eastAsia="PMingLiU" w:hint="eastAsia"/>
                <w:sz w:val="14"/>
              </w:rPr>
              <w:t>卵巢癌</w:t>
            </w:r>
          </w:p>
        </w:tc>
      </w:tr>
    </w:tbl>
    <w:p>
      <w:pPr>
        <w:spacing w:after="0"/>
        <w:jc w:val="center"/>
        <w:rPr>
          <w:rFonts w:ascii="PMingLiU" w:eastAsia="PMingLiU" w:hint="eastAsia"/>
          <w:sz w:val="14"/>
        </w:rPr>
        <w:sectPr>
          <w:pgSz w:w="11910" w:h="16840"/>
          <w:pgMar w:header="682" w:footer="358" w:top="1380" w:bottom="540" w:left="640" w:right="300"/>
        </w:sectPr>
      </w:pPr>
    </w:p>
    <w:tbl>
      <w:tblPr>
        <w:tblW w:w="0" w:type="auto"/>
        <w:jc w:val="left"/>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1"/>
        <w:gridCol w:w="2445"/>
        <w:gridCol w:w="821"/>
        <w:gridCol w:w="1288"/>
        <w:gridCol w:w="2112"/>
      </w:tblGrid>
      <w:tr>
        <w:trPr>
          <w:trHeight w:val="520" w:hRule="atLeast"/>
        </w:trPr>
        <w:tc>
          <w:tcPr>
            <w:tcW w:w="1321" w:type="dxa"/>
            <w:tcBorders>
              <w:bottom w:val="dotted" w:sz="4" w:space="0" w:color="000000"/>
            </w:tcBorders>
          </w:tcPr>
          <w:p>
            <w:pPr>
              <w:pStyle w:val="TableParagraph"/>
              <w:spacing w:before="1"/>
              <w:rPr>
                <w:rFonts w:ascii="Microsoft JhengHei UI"/>
                <w:b/>
                <w:sz w:val="17"/>
              </w:rPr>
            </w:pPr>
          </w:p>
          <w:p>
            <w:pPr>
              <w:pStyle w:val="TableParagraph"/>
              <w:ind w:right="353"/>
              <w:jc w:val="right"/>
              <w:rPr>
                <w:rFonts w:ascii="PMingLiU" w:eastAsia="PMingLiU" w:hint="eastAsia"/>
                <w:sz w:val="14"/>
              </w:rPr>
            </w:pPr>
            <w:r>
              <w:rPr>
                <w:rFonts w:ascii="PMingLiU" w:eastAsia="PMingLiU" w:hint="eastAsia"/>
                <w:sz w:val="14"/>
              </w:rPr>
              <w:t>昭泰医疗</w:t>
            </w:r>
          </w:p>
        </w:tc>
        <w:tc>
          <w:tcPr>
            <w:tcW w:w="2445" w:type="dxa"/>
            <w:tcBorders>
              <w:bottom w:val="dotted" w:sz="4" w:space="0" w:color="000000"/>
            </w:tcBorders>
          </w:tcPr>
          <w:p>
            <w:pPr>
              <w:pStyle w:val="TableParagraph"/>
              <w:spacing w:before="2"/>
              <w:rPr>
                <w:rFonts w:ascii="Microsoft JhengHei UI"/>
                <w:b/>
                <w:sz w:val="18"/>
              </w:rPr>
            </w:pPr>
          </w:p>
          <w:p>
            <w:pPr>
              <w:pStyle w:val="TableParagraph"/>
              <w:ind w:left="266" w:right="299"/>
              <w:jc w:val="center"/>
              <w:rPr>
                <w:sz w:val="14"/>
              </w:rPr>
            </w:pPr>
            <w:r>
              <w:rPr>
                <w:sz w:val="14"/>
              </w:rPr>
              <w:t>anti-MSLN-7×19 CAR-T</w:t>
            </w:r>
          </w:p>
        </w:tc>
        <w:tc>
          <w:tcPr>
            <w:tcW w:w="821" w:type="dxa"/>
            <w:tcBorders>
              <w:bottom w:val="dotted" w:sz="4" w:space="0" w:color="000000"/>
            </w:tcBorders>
          </w:tcPr>
          <w:p>
            <w:pPr>
              <w:pStyle w:val="TableParagraph"/>
              <w:spacing w:before="1"/>
              <w:rPr>
                <w:rFonts w:ascii="Microsoft JhengHei UI"/>
                <w:b/>
                <w:sz w:val="17"/>
              </w:rPr>
            </w:pPr>
          </w:p>
          <w:p>
            <w:pPr>
              <w:pStyle w:val="TableParagraph"/>
              <w:ind w:left="295" w:right="268"/>
              <w:jc w:val="center"/>
              <w:rPr>
                <w:rFonts w:ascii="PMingLiU" w:eastAsia="PMingLiU" w:hint="eastAsia"/>
                <w:sz w:val="14"/>
              </w:rPr>
            </w:pPr>
            <w:r>
              <w:rPr>
                <w:sz w:val="14"/>
              </w:rPr>
              <w:t>I </w:t>
            </w:r>
            <w:r>
              <w:rPr>
                <w:rFonts w:ascii="PMingLiU" w:eastAsia="PMingLiU" w:hint="eastAsia"/>
                <w:sz w:val="14"/>
              </w:rPr>
              <w:t>期</w:t>
            </w:r>
          </w:p>
        </w:tc>
        <w:tc>
          <w:tcPr>
            <w:tcW w:w="1288" w:type="dxa"/>
            <w:tcBorders>
              <w:bottom w:val="dotted" w:sz="4" w:space="0" w:color="000000"/>
            </w:tcBorders>
          </w:tcPr>
          <w:p>
            <w:pPr>
              <w:pStyle w:val="TableParagraph"/>
              <w:spacing w:before="2"/>
              <w:rPr>
                <w:rFonts w:ascii="Microsoft JhengHei UI"/>
                <w:b/>
                <w:sz w:val="18"/>
              </w:rPr>
            </w:pPr>
          </w:p>
          <w:p>
            <w:pPr>
              <w:pStyle w:val="TableParagraph"/>
              <w:ind w:left="272" w:right="431"/>
              <w:jc w:val="center"/>
              <w:rPr>
                <w:sz w:val="14"/>
              </w:rPr>
            </w:pPr>
            <w:r>
              <w:rPr>
                <w:sz w:val="14"/>
              </w:rPr>
              <w:t>CAR-T</w:t>
            </w:r>
          </w:p>
        </w:tc>
        <w:tc>
          <w:tcPr>
            <w:tcW w:w="2112" w:type="dxa"/>
            <w:tcBorders>
              <w:bottom w:val="dotted" w:sz="4" w:space="0" w:color="000000"/>
            </w:tcBorders>
          </w:tcPr>
          <w:p>
            <w:pPr>
              <w:pStyle w:val="TableParagraph"/>
              <w:spacing w:before="1"/>
              <w:rPr>
                <w:rFonts w:ascii="Microsoft JhengHei UI"/>
                <w:b/>
                <w:sz w:val="17"/>
              </w:rPr>
            </w:pPr>
          </w:p>
          <w:p>
            <w:pPr>
              <w:pStyle w:val="TableParagraph"/>
              <w:ind w:left="437" w:right="701"/>
              <w:jc w:val="center"/>
              <w:rPr>
                <w:rFonts w:ascii="PMingLiU" w:eastAsia="PMingLiU" w:hint="eastAsia"/>
                <w:sz w:val="14"/>
              </w:rPr>
            </w:pPr>
            <w:r>
              <w:rPr>
                <w:rFonts w:ascii="PMingLiU" w:eastAsia="PMingLiU" w:hint="eastAsia"/>
                <w:sz w:val="14"/>
              </w:rPr>
              <w:t>胰腺癌</w:t>
            </w:r>
          </w:p>
        </w:tc>
      </w:tr>
      <w:tr>
        <w:trPr>
          <w:trHeight w:val="230" w:hRule="atLeast"/>
        </w:trPr>
        <w:tc>
          <w:tcPr>
            <w:tcW w:w="1321" w:type="dxa"/>
            <w:tcBorders>
              <w:top w:val="dotted" w:sz="4" w:space="0" w:color="000000"/>
              <w:bottom w:val="dotted" w:sz="4" w:space="0" w:color="000000"/>
            </w:tcBorders>
          </w:tcPr>
          <w:p>
            <w:pPr>
              <w:pStyle w:val="TableParagraph"/>
              <w:spacing w:before="13"/>
              <w:ind w:right="353"/>
              <w:jc w:val="right"/>
              <w:rPr>
                <w:rFonts w:ascii="PMingLiU" w:eastAsia="PMingLiU" w:hint="eastAsia"/>
                <w:sz w:val="14"/>
              </w:rPr>
            </w:pPr>
            <w:r>
              <w:rPr>
                <w:rFonts w:ascii="PMingLiU" w:eastAsia="PMingLiU" w:hint="eastAsia"/>
                <w:sz w:val="14"/>
              </w:rPr>
              <w:t>呈诺医学</w:t>
            </w:r>
          </w:p>
        </w:tc>
        <w:tc>
          <w:tcPr>
            <w:tcW w:w="2445" w:type="dxa"/>
            <w:tcBorders>
              <w:top w:val="dotted" w:sz="4" w:space="0" w:color="000000"/>
              <w:bottom w:val="dotted" w:sz="4" w:space="0" w:color="000000"/>
            </w:tcBorders>
          </w:tcPr>
          <w:p>
            <w:pPr>
              <w:pStyle w:val="TableParagraph"/>
              <w:spacing w:before="31"/>
              <w:ind w:left="268" w:right="299"/>
              <w:jc w:val="center"/>
              <w:rPr>
                <w:sz w:val="14"/>
              </w:rPr>
            </w:pPr>
            <w:r>
              <w:rPr>
                <w:sz w:val="14"/>
              </w:rPr>
              <w:t>anti-mesothelin CAR NK cells</w:t>
            </w:r>
          </w:p>
        </w:tc>
        <w:tc>
          <w:tcPr>
            <w:tcW w:w="821" w:type="dxa"/>
            <w:tcBorders>
              <w:top w:val="dotted" w:sz="4" w:space="0" w:color="000000"/>
              <w:bottom w:val="dotted" w:sz="4" w:space="0" w:color="000000"/>
            </w:tcBorders>
          </w:tcPr>
          <w:p>
            <w:pPr>
              <w:pStyle w:val="TableParagraph"/>
              <w:spacing w:before="13"/>
              <w:ind w:left="295" w:right="268"/>
              <w:jc w:val="center"/>
              <w:rPr>
                <w:rFonts w:ascii="PMingLiU" w:eastAsia="PMingLiU" w:hint="eastAsia"/>
                <w:sz w:val="14"/>
              </w:rPr>
            </w:pPr>
            <w:r>
              <w:rPr>
                <w:sz w:val="14"/>
              </w:rPr>
              <w:t>I </w:t>
            </w:r>
            <w:r>
              <w:rPr>
                <w:rFonts w:ascii="PMingLiU" w:eastAsia="PMingLiU" w:hint="eastAsia"/>
                <w:sz w:val="14"/>
              </w:rPr>
              <w:t>期</w:t>
            </w:r>
          </w:p>
        </w:tc>
        <w:tc>
          <w:tcPr>
            <w:tcW w:w="1288" w:type="dxa"/>
            <w:tcBorders>
              <w:top w:val="dotted" w:sz="4" w:space="0" w:color="000000"/>
              <w:bottom w:val="dotted" w:sz="4" w:space="0" w:color="000000"/>
            </w:tcBorders>
          </w:tcPr>
          <w:p>
            <w:pPr>
              <w:pStyle w:val="TableParagraph"/>
              <w:spacing w:before="31"/>
              <w:ind w:left="272" w:right="438"/>
              <w:jc w:val="center"/>
              <w:rPr>
                <w:sz w:val="14"/>
              </w:rPr>
            </w:pPr>
            <w:r>
              <w:rPr>
                <w:sz w:val="14"/>
              </w:rPr>
              <w:t>CAR-NK</w:t>
            </w:r>
          </w:p>
        </w:tc>
        <w:tc>
          <w:tcPr>
            <w:tcW w:w="2112" w:type="dxa"/>
            <w:tcBorders>
              <w:top w:val="dotted" w:sz="4" w:space="0" w:color="000000"/>
              <w:bottom w:val="dotted" w:sz="4" w:space="0" w:color="000000"/>
            </w:tcBorders>
          </w:tcPr>
          <w:p>
            <w:pPr>
              <w:pStyle w:val="TableParagraph"/>
              <w:spacing w:before="13"/>
              <w:ind w:left="437" w:right="701"/>
              <w:jc w:val="center"/>
              <w:rPr>
                <w:rFonts w:ascii="PMingLiU" w:eastAsia="PMingLiU" w:hint="eastAsia"/>
                <w:sz w:val="14"/>
              </w:rPr>
            </w:pPr>
            <w:r>
              <w:rPr>
                <w:rFonts w:ascii="PMingLiU" w:eastAsia="PMingLiU" w:hint="eastAsia"/>
                <w:sz w:val="14"/>
              </w:rPr>
              <w:t>卵巢癌</w:t>
            </w:r>
          </w:p>
        </w:tc>
      </w:tr>
      <w:tr>
        <w:trPr>
          <w:trHeight w:val="230" w:hRule="atLeast"/>
        </w:trPr>
        <w:tc>
          <w:tcPr>
            <w:tcW w:w="1321" w:type="dxa"/>
            <w:tcBorders>
              <w:top w:val="dotted" w:sz="4" w:space="0" w:color="000000"/>
              <w:bottom w:val="dotted" w:sz="4" w:space="0" w:color="000000"/>
            </w:tcBorders>
          </w:tcPr>
          <w:p>
            <w:pPr>
              <w:pStyle w:val="TableParagraph"/>
              <w:spacing w:before="13"/>
              <w:ind w:right="286"/>
              <w:jc w:val="right"/>
              <w:rPr>
                <w:rFonts w:ascii="PMingLiU" w:eastAsia="PMingLiU" w:hint="eastAsia"/>
                <w:sz w:val="14"/>
              </w:rPr>
            </w:pPr>
            <w:r>
              <w:rPr>
                <w:rFonts w:ascii="PMingLiU" w:eastAsia="PMingLiU" w:hint="eastAsia"/>
                <w:sz w:val="14"/>
              </w:rPr>
              <w:t>马力喏生物</w:t>
            </w:r>
          </w:p>
        </w:tc>
        <w:tc>
          <w:tcPr>
            <w:tcW w:w="2445" w:type="dxa"/>
            <w:tcBorders>
              <w:top w:val="dotted" w:sz="4" w:space="0" w:color="000000"/>
              <w:bottom w:val="dotted" w:sz="4" w:space="0" w:color="000000"/>
            </w:tcBorders>
          </w:tcPr>
          <w:p>
            <w:pPr>
              <w:pStyle w:val="TableParagraph"/>
              <w:spacing w:before="31"/>
              <w:ind w:left="268" w:right="299"/>
              <w:jc w:val="center"/>
              <w:rPr>
                <w:sz w:val="14"/>
              </w:rPr>
            </w:pPr>
            <w:r>
              <w:rPr>
                <w:sz w:val="14"/>
              </w:rPr>
              <w:t>anti-mesothelin CAR T cells</w:t>
            </w:r>
          </w:p>
        </w:tc>
        <w:tc>
          <w:tcPr>
            <w:tcW w:w="821" w:type="dxa"/>
            <w:tcBorders>
              <w:top w:val="dotted" w:sz="4" w:space="0" w:color="000000"/>
              <w:bottom w:val="dotted" w:sz="4" w:space="0" w:color="000000"/>
            </w:tcBorders>
          </w:tcPr>
          <w:p>
            <w:pPr>
              <w:pStyle w:val="TableParagraph"/>
              <w:spacing w:before="13"/>
              <w:ind w:left="295" w:right="268"/>
              <w:jc w:val="center"/>
              <w:rPr>
                <w:rFonts w:ascii="PMingLiU" w:eastAsia="PMingLiU" w:hint="eastAsia"/>
                <w:sz w:val="14"/>
              </w:rPr>
            </w:pPr>
            <w:r>
              <w:rPr>
                <w:sz w:val="14"/>
              </w:rPr>
              <w:t>I </w:t>
            </w:r>
            <w:r>
              <w:rPr>
                <w:rFonts w:ascii="PMingLiU" w:eastAsia="PMingLiU" w:hint="eastAsia"/>
                <w:sz w:val="14"/>
              </w:rPr>
              <w:t>期</w:t>
            </w:r>
          </w:p>
        </w:tc>
        <w:tc>
          <w:tcPr>
            <w:tcW w:w="1288" w:type="dxa"/>
            <w:tcBorders>
              <w:top w:val="dotted" w:sz="4" w:space="0" w:color="000000"/>
              <w:bottom w:val="dotted" w:sz="4" w:space="0" w:color="000000"/>
            </w:tcBorders>
          </w:tcPr>
          <w:p>
            <w:pPr>
              <w:pStyle w:val="TableParagraph"/>
              <w:spacing w:before="31"/>
              <w:ind w:left="272" w:right="431"/>
              <w:jc w:val="center"/>
              <w:rPr>
                <w:sz w:val="14"/>
              </w:rPr>
            </w:pPr>
            <w:r>
              <w:rPr>
                <w:sz w:val="14"/>
              </w:rPr>
              <w:t>CAR-T</w:t>
            </w:r>
          </w:p>
        </w:tc>
        <w:tc>
          <w:tcPr>
            <w:tcW w:w="2112" w:type="dxa"/>
            <w:tcBorders>
              <w:top w:val="dotted" w:sz="4" w:space="0" w:color="000000"/>
              <w:bottom w:val="dotted" w:sz="4" w:space="0" w:color="000000"/>
            </w:tcBorders>
          </w:tcPr>
          <w:p>
            <w:pPr>
              <w:pStyle w:val="TableParagraph"/>
              <w:spacing w:before="13"/>
              <w:ind w:left="437" w:right="696"/>
              <w:jc w:val="center"/>
              <w:rPr>
                <w:rFonts w:ascii="PMingLiU" w:eastAsia="PMingLiU" w:hint="eastAsia"/>
                <w:sz w:val="14"/>
              </w:rPr>
            </w:pPr>
            <w:r>
              <w:rPr>
                <w:rFonts w:ascii="PMingLiU" w:eastAsia="PMingLiU" w:hint="eastAsia"/>
                <w:sz w:val="14"/>
              </w:rPr>
              <w:t>癌症</w:t>
            </w:r>
          </w:p>
        </w:tc>
      </w:tr>
      <w:tr>
        <w:trPr>
          <w:trHeight w:val="230" w:hRule="atLeast"/>
        </w:trPr>
        <w:tc>
          <w:tcPr>
            <w:tcW w:w="1321" w:type="dxa"/>
            <w:tcBorders>
              <w:top w:val="dotted" w:sz="4" w:space="0" w:color="000000"/>
              <w:bottom w:val="single" w:sz="12" w:space="0" w:color="000000"/>
            </w:tcBorders>
          </w:tcPr>
          <w:p>
            <w:pPr>
              <w:pStyle w:val="TableParagraph"/>
              <w:spacing w:before="14"/>
              <w:ind w:right="353"/>
              <w:jc w:val="right"/>
              <w:rPr>
                <w:rFonts w:ascii="PMingLiU" w:eastAsia="PMingLiU" w:hint="eastAsia"/>
                <w:sz w:val="14"/>
              </w:rPr>
            </w:pPr>
            <w:r>
              <w:rPr>
                <w:rFonts w:ascii="PMingLiU" w:eastAsia="PMingLiU" w:hint="eastAsia"/>
                <w:sz w:val="14"/>
              </w:rPr>
              <w:t>吉凯基因</w:t>
            </w:r>
          </w:p>
        </w:tc>
        <w:tc>
          <w:tcPr>
            <w:tcW w:w="2445" w:type="dxa"/>
            <w:tcBorders>
              <w:top w:val="dotted" w:sz="4" w:space="0" w:color="000000"/>
              <w:bottom w:val="single" w:sz="12" w:space="0" w:color="000000"/>
            </w:tcBorders>
          </w:tcPr>
          <w:p>
            <w:pPr>
              <w:pStyle w:val="TableParagraph"/>
              <w:spacing w:before="32"/>
              <w:ind w:left="266" w:right="299"/>
              <w:jc w:val="center"/>
              <w:rPr>
                <w:sz w:val="14"/>
              </w:rPr>
            </w:pPr>
            <w:r>
              <w:rPr>
                <w:sz w:val="14"/>
              </w:rPr>
              <w:t>meso-CART</w:t>
            </w:r>
          </w:p>
        </w:tc>
        <w:tc>
          <w:tcPr>
            <w:tcW w:w="821" w:type="dxa"/>
            <w:tcBorders>
              <w:top w:val="dotted" w:sz="4" w:space="0" w:color="000000"/>
              <w:bottom w:val="single" w:sz="12" w:space="0" w:color="000000"/>
            </w:tcBorders>
          </w:tcPr>
          <w:p>
            <w:pPr>
              <w:pStyle w:val="TableParagraph"/>
              <w:spacing w:before="14"/>
              <w:ind w:left="295" w:right="268"/>
              <w:jc w:val="center"/>
              <w:rPr>
                <w:rFonts w:ascii="PMingLiU" w:eastAsia="PMingLiU" w:hint="eastAsia"/>
                <w:sz w:val="14"/>
              </w:rPr>
            </w:pPr>
            <w:r>
              <w:rPr>
                <w:sz w:val="14"/>
              </w:rPr>
              <w:t>I </w:t>
            </w:r>
            <w:r>
              <w:rPr>
                <w:rFonts w:ascii="PMingLiU" w:eastAsia="PMingLiU" w:hint="eastAsia"/>
                <w:sz w:val="14"/>
              </w:rPr>
              <w:t>期</w:t>
            </w:r>
          </w:p>
        </w:tc>
        <w:tc>
          <w:tcPr>
            <w:tcW w:w="1288" w:type="dxa"/>
            <w:tcBorders>
              <w:top w:val="dotted" w:sz="4" w:space="0" w:color="000000"/>
              <w:bottom w:val="single" w:sz="12" w:space="0" w:color="000000"/>
            </w:tcBorders>
          </w:tcPr>
          <w:p>
            <w:pPr>
              <w:pStyle w:val="TableParagraph"/>
              <w:spacing w:before="32"/>
              <w:ind w:left="272" w:right="431"/>
              <w:jc w:val="center"/>
              <w:rPr>
                <w:sz w:val="14"/>
              </w:rPr>
            </w:pPr>
            <w:r>
              <w:rPr>
                <w:sz w:val="14"/>
              </w:rPr>
              <w:t>CAR-T</w:t>
            </w:r>
          </w:p>
        </w:tc>
        <w:tc>
          <w:tcPr>
            <w:tcW w:w="2112" w:type="dxa"/>
            <w:tcBorders>
              <w:top w:val="dotted" w:sz="4" w:space="0" w:color="000000"/>
              <w:bottom w:val="single" w:sz="12" w:space="0" w:color="000000"/>
            </w:tcBorders>
          </w:tcPr>
          <w:p>
            <w:pPr>
              <w:pStyle w:val="TableParagraph"/>
              <w:spacing w:before="14"/>
              <w:ind w:left="437" w:right="701"/>
              <w:jc w:val="center"/>
              <w:rPr>
                <w:sz w:val="14"/>
              </w:rPr>
            </w:pPr>
            <w:r>
              <w:rPr>
                <w:rFonts w:ascii="PMingLiU" w:eastAsia="PMingLiU" w:hint="eastAsia"/>
                <w:sz w:val="14"/>
              </w:rPr>
              <w:t>胸膜间皮瘤</w:t>
            </w:r>
            <w:r>
              <w:rPr>
                <w:sz w:val="14"/>
              </w:rPr>
              <w:t>,PC</w:t>
            </w:r>
          </w:p>
        </w:tc>
      </w:tr>
    </w:tbl>
    <w:p>
      <w:pPr>
        <w:spacing w:before="17"/>
        <w:ind w:left="210" w:right="0" w:firstLine="0"/>
        <w:jc w:val="left"/>
        <w:rPr>
          <w:sz w:val="16"/>
        </w:rPr>
      </w:pPr>
      <w:r>
        <w:rPr>
          <w:sz w:val="16"/>
        </w:rPr>
        <w:t>资料来源</w:t>
      </w:r>
      <w:r>
        <w:rPr>
          <w:rFonts w:ascii="Arial" w:eastAsia="Arial"/>
          <w:sz w:val="16"/>
        </w:rPr>
        <w:t>: </w:t>
      </w:r>
      <w:r>
        <w:rPr>
          <w:sz w:val="16"/>
        </w:rPr>
        <w:t>医药魔方</w:t>
      </w:r>
      <w:r>
        <w:rPr>
          <w:rFonts w:ascii="Arial" w:eastAsia="Arial"/>
          <w:sz w:val="16"/>
        </w:rPr>
        <w:t>, </w:t>
      </w:r>
      <w:r>
        <w:rPr>
          <w:sz w:val="16"/>
        </w:rPr>
        <w:t>招银国际证券</w:t>
      </w:r>
    </w:p>
    <w:p>
      <w:pPr>
        <w:pStyle w:val="BodyText"/>
        <w:spacing w:before="6"/>
        <w:ind w:left="0"/>
        <w:rPr>
          <w:sz w:val="21"/>
        </w:rPr>
      </w:pPr>
    </w:p>
    <w:p>
      <w:pPr>
        <w:pStyle w:val="BodyText"/>
        <w:spacing w:line="288" w:lineRule="auto" w:before="99"/>
        <w:ind w:right="2809"/>
        <w:jc w:val="both"/>
      </w:pPr>
      <w:r>
        <w:rPr>
          <w:spacing w:val="-2"/>
        </w:rPr>
        <w:t>目前 </w:t>
      </w:r>
      <w:r>
        <w:rPr>
          <w:rFonts w:ascii="Arial" w:eastAsia="Arial"/>
        </w:rPr>
        <w:t>MSLN </w:t>
      </w:r>
      <w:r>
        <w:rPr>
          <w:spacing w:val="-5"/>
        </w:rPr>
        <w:t>靶向治疗领域已有药物进入 </w:t>
      </w:r>
      <w:r>
        <w:rPr>
          <w:rFonts w:ascii="Arial" w:eastAsia="Arial"/>
        </w:rPr>
        <w:t>II </w:t>
      </w:r>
      <w:r>
        <w:rPr>
          <w:spacing w:val="-3"/>
        </w:rPr>
        <w:t>期，</w:t>
      </w:r>
      <w:r>
        <w:rPr>
          <w:rFonts w:ascii="Arial" w:eastAsia="Arial"/>
        </w:rPr>
        <w:t>Anetumab ravtansine </w:t>
      </w:r>
      <w:r>
        <w:rPr>
          <w:spacing w:val="-4"/>
        </w:rPr>
        <w:t>是拜耳公司研发的由全</w:t>
      </w:r>
      <w:r>
        <w:rPr>
          <w:spacing w:val="8"/>
        </w:rPr>
        <w:t>人抗 </w:t>
      </w:r>
      <w:r>
        <w:rPr>
          <w:rFonts w:ascii="Arial" w:eastAsia="Arial"/>
        </w:rPr>
        <w:t>MSLN </w:t>
      </w:r>
      <w:r>
        <w:rPr>
          <w:spacing w:val="2"/>
        </w:rPr>
        <w:t>的单克隆抗体 </w:t>
      </w:r>
      <w:r>
        <w:rPr>
          <w:rFonts w:ascii="Arial" w:eastAsia="Arial"/>
        </w:rPr>
        <w:t>Anetumab </w:t>
      </w:r>
      <w:r>
        <w:rPr>
          <w:spacing w:val="-3"/>
        </w:rPr>
        <w:t>通过氨基偶联与微管抑制剂美登素 </w:t>
      </w:r>
      <w:r>
        <w:rPr>
          <w:rFonts w:ascii="Arial" w:eastAsia="Arial"/>
          <w:spacing w:val="-3"/>
        </w:rPr>
        <w:t>DM4 </w:t>
      </w:r>
      <w:r>
        <w:rPr>
          <w:spacing w:val="-2"/>
        </w:rPr>
        <w:t>相连而成的</w:t>
      </w:r>
      <w:r>
        <w:rPr>
          <w:rFonts w:ascii="Arial" w:eastAsia="Arial"/>
          <w:spacing w:val="-2"/>
        </w:rPr>
        <w:t>ADC</w:t>
      </w:r>
      <w:r>
        <w:rPr>
          <w:spacing w:val="-2"/>
        </w:rPr>
        <w:t>，</w:t>
      </w:r>
      <w:r>
        <w:rPr>
          <w:rFonts w:ascii="Arial" w:eastAsia="Arial"/>
          <w:spacing w:val="-2"/>
        </w:rPr>
        <w:t>I </w:t>
      </w:r>
      <w:r>
        <w:rPr/>
        <w:t>期临床共入组 </w:t>
      </w:r>
      <w:r>
        <w:rPr>
          <w:rFonts w:ascii="Arial" w:eastAsia="Arial"/>
        </w:rPr>
        <w:t>77 </w:t>
      </w:r>
      <w:r>
        <w:rPr>
          <w:spacing w:val="-2"/>
        </w:rPr>
        <w:t>例肿瘤病人，其中 </w:t>
      </w:r>
      <w:r>
        <w:rPr>
          <w:rFonts w:ascii="Arial" w:eastAsia="Arial"/>
        </w:rPr>
        <w:t>21 </w:t>
      </w:r>
      <w:r>
        <w:rPr>
          <w:spacing w:val="-2"/>
        </w:rPr>
        <w:t>例间皮瘤、</w:t>
      </w:r>
      <w:r>
        <w:rPr>
          <w:rFonts w:ascii="Arial" w:eastAsia="Arial"/>
        </w:rPr>
        <w:t>9 </w:t>
      </w:r>
      <w:r>
        <w:rPr>
          <w:spacing w:val="-2"/>
        </w:rPr>
        <w:t>例胰腺癌、</w:t>
      </w:r>
      <w:r>
        <w:rPr>
          <w:rFonts w:ascii="Arial" w:eastAsia="Arial"/>
        </w:rPr>
        <w:t>5 </w:t>
      </w:r>
      <w:r>
        <w:rPr>
          <w:spacing w:val="-3"/>
        </w:rPr>
        <w:t>例乳腺癌、</w:t>
      </w:r>
      <w:r>
        <w:rPr>
          <w:rFonts w:ascii="Arial" w:eastAsia="Arial"/>
        </w:rPr>
        <w:t>4 </w:t>
      </w:r>
      <w:r>
        <w:rPr/>
        <w:t>例</w:t>
      </w:r>
      <w:r>
        <w:rPr>
          <w:spacing w:val="6"/>
        </w:rPr>
        <w:t>卵巢癌及 </w:t>
      </w:r>
      <w:r>
        <w:rPr>
          <w:rFonts w:ascii="Arial" w:eastAsia="Arial"/>
        </w:rPr>
        <w:t>6 </w:t>
      </w:r>
      <w:r>
        <w:rPr>
          <w:spacing w:val="-3"/>
        </w:rPr>
        <w:t>例其他肿瘤，试验结果显示最大耐受剂量为 </w:t>
      </w:r>
      <w:r>
        <w:rPr>
          <w:rFonts w:ascii="Arial" w:eastAsia="Arial"/>
        </w:rPr>
        <w:t>6.5mg/kg</w:t>
      </w:r>
      <w:r>
        <w:rPr>
          <w:spacing w:val="2"/>
        </w:rPr>
        <w:t>。在所有入组的 </w:t>
      </w:r>
      <w:r>
        <w:rPr>
          <w:rFonts w:ascii="Arial" w:eastAsia="Arial"/>
        </w:rPr>
        <w:t>77 </w:t>
      </w:r>
      <w:r>
        <w:rPr>
          <w:spacing w:val="-5"/>
        </w:rPr>
        <w:t>例患</w:t>
      </w:r>
      <w:r>
        <w:rPr>
          <w:spacing w:val="2"/>
        </w:rPr>
        <w:t>者中共有 </w:t>
      </w:r>
      <w:r>
        <w:rPr>
          <w:rFonts w:ascii="Arial" w:eastAsia="Arial"/>
        </w:rPr>
        <w:t>38 </w:t>
      </w:r>
      <w:r>
        <w:rPr>
          <w:spacing w:val="16"/>
        </w:rPr>
        <w:t>例 </w:t>
      </w:r>
      <w:r>
        <w:rPr>
          <w:rFonts w:ascii="Arial" w:eastAsia="Arial"/>
        </w:rPr>
        <w:t>(16 </w:t>
      </w:r>
      <w:r>
        <w:rPr>
          <w:spacing w:val="-2"/>
        </w:rPr>
        <w:t>例间皮瘤、</w:t>
      </w:r>
      <w:r>
        <w:rPr>
          <w:rFonts w:ascii="Arial" w:eastAsia="Arial"/>
        </w:rPr>
        <w:t>21 </w:t>
      </w:r>
      <w:r>
        <w:rPr/>
        <w:t>例卵巢癌及 </w:t>
      </w:r>
      <w:r>
        <w:rPr>
          <w:rFonts w:ascii="Arial" w:eastAsia="Arial"/>
        </w:rPr>
        <w:t>1 </w:t>
      </w:r>
      <w:r>
        <w:rPr>
          <w:spacing w:val="-3"/>
        </w:rPr>
        <w:t>例乳腺癌</w:t>
      </w:r>
      <w:r>
        <w:rPr>
          <w:rFonts w:ascii="Arial" w:eastAsia="Arial"/>
          <w:spacing w:val="17"/>
        </w:rPr>
        <w:t>) </w:t>
      </w:r>
      <w:r>
        <w:rPr>
          <w:spacing w:val="1"/>
        </w:rPr>
        <w:t>接受了 </w:t>
      </w:r>
      <w:r>
        <w:rPr>
          <w:rFonts w:ascii="Arial" w:eastAsia="Arial"/>
        </w:rPr>
        <w:t>6.5mg/kg </w:t>
      </w:r>
      <w:r>
        <w:rPr>
          <w:spacing w:val="9"/>
        </w:rPr>
        <w:t>的 </w:t>
      </w:r>
      <w:r>
        <w:rPr>
          <w:rFonts w:ascii="Arial" w:eastAsia="Arial"/>
        </w:rPr>
        <w:t>anetumab ravtansine </w:t>
      </w:r>
      <w:r>
        <w:rPr>
          <w:spacing w:val="-1"/>
        </w:rPr>
        <w:t>治疗，其中 </w:t>
      </w:r>
      <w:r>
        <w:rPr>
          <w:rFonts w:ascii="Arial" w:eastAsia="Arial"/>
        </w:rPr>
        <w:t>6 </w:t>
      </w:r>
      <w:r>
        <w:rPr>
          <w:spacing w:val="3"/>
        </w:rPr>
        <w:t>例 </w:t>
      </w:r>
      <w:r>
        <w:rPr>
          <w:rFonts w:ascii="Arial" w:eastAsia="Arial"/>
        </w:rPr>
        <w:t>(19%</w:t>
      </w:r>
      <w:r>
        <w:rPr>
          <w:rFonts w:ascii="Arial" w:eastAsia="Arial"/>
          <w:spacing w:val="-2"/>
        </w:rPr>
        <w:t>) </w:t>
      </w:r>
      <w:r>
        <w:rPr>
          <w:spacing w:val="-3"/>
        </w:rPr>
        <w:t>患者出现 </w:t>
      </w:r>
      <w:r>
        <w:rPr>
          <w:rFonts w:ascii="Arial" w:eastAsia="Arial"/>
        </w:rPr>
        <w:t>PR</w:t>
      </w:r>
      <w:r>
        <w:rPr/>
        <w:t>，</w:t>
      </w:r>
      <w:r>
        <w:rPr>
          <w:rFonts w:ascii="Arial" w:eastAsia="Arial"/>
        </w:rPr>
        <w:t>18 </w:t>
      </w:r>
      <w:r>
        <w:rPr/>
        <w:t>例 </w:t>
      </w:r>
      <w:r>
        <w:rPr>
          <w:rFonts w:ascii="Arial" w:eastAsia="Arial"/>
        </w:rPr>
        <w:t>(47%) SD</w:t>
      </w:r>
      <w:r>
        <w:rPr/>
        <w:t>。</w:t>
      </w:r>
    </w:p>
    <w:p>
      <w:pPr>
        <w:pStyle w:val="BodyText"/>
        <w:spacing w:line="288" w:lineRule="auto" w:before="118"/>
        <w:ind w:right="2810"/>
        <w:jc w:val="both"/>
      </w:pPr>
      <w:r>
        <w:rPr>
          <w:rFonts w:ascii="Arial" w:eastAsia="Arial"/>
        </w:rPr>
        <w:t>ATA2271 </w:t>
      </w:r>
      <w:r>
        <w:rPr>
          <w:spacing w:val="5"/>
        </w:rPr>
        <w:t>是由 </w:t>
      </w:r>
      <w:r>
        <w:rPr>
          <w:rFonts w:ascii="Arial" w:eastAsia="Arial"/>
        </w:rPr>
        <w:t>Atara </w:t>
      </w:r>
      <w:r>
        <w:rPr>
          <w:spacing w:val="3"/>
        </w:rPr>
        <w:t>开发 </w:t>
      </w:r>
      <w:r>
        <w:rPr>
          <w:rFonts w:ascii="Arial" w:eastAsia="Arial"/>
        </w:rPr>
        <w:t>MSLN CAR-T </w:t>
      </w:r>
      <w:r>
        <w:rPr>
          <w:spacing w:val="-5"/>
        </w:rPr>
        <w:t>疗法，目前开发进度领先。</w:t>
      </w:r>
      <w:r>
        <w:rPr>
          <w:rFonts w:ascii="Arial" w:eastAsia="Arial"/>
        </w:rPr>
        <w:t>ATA2271 </w:t>
      </w:r>
      <w:r>
        <w:rPr>
          <w:spacing w:val="-2"/>
        </w:rPr>
        <w:t>为针对靶向</w:t>
      </w:r>
      <w:r>
        <w:rPr>
          <w:spacing w:val="1"/>
        </w:rPr>
        <w:t>间皮素的下一代自体</w:t>
      </w:r>
      <w:r>
        <w:rPr>
          <w:rFonts w:ascii="Arial" w:eastAsia="Arial"/>
        </w:rPr>
        <w:t>CAR-T</w:t>
      </w:r>
      <w:r>
        <w:rPr>
          <w:spacing w:val="1"/>
        </w:rPr>
        <w:t>，以 </w:t>
      </w:r>
      <w:r>
        <w:rPr>
          <w:rFonts w:ascii="Arial" w:eastAsia="Arial"/>
        </w:rPr>
        <w:t>PD-1 </w:t>
      </w:r>
      <w:r>
        <w:rPr>
          <w:rFonts w:ascii="Arial" w:eastAsia="Arial"/>
          <w:spacing w:val="-3"/>
        </w:rPr>
        <w:t>DNR(</w:t>
      </w:r>
      <w:r>
        <w:rPr>
          <w:spacing w:val="-3"/>
        </w:rPr>
        <w:t>完全阻断性受体</w:t>
      </w:r>
      <w:r>
        <w:rPr>
          <w:rFonts w:ascii="Arial" w:eastAsia="Arial"/>
        </w:rPr>
        <w:t>)</w:t>
      </w:r>
      <w:r>
        <w:rPr>
          <w:spacing w:val="-2"/>
        </w:rPr>
        <w:t>构建体结合了 </w:t>
      </w:r>
      <w:r>
        <w:rPr>
          <w:rFonts w:ascii="Arial" w:eastAsia="Arial"/>
          <w:spacing w:val="-3"/>
        </w:rPr>
        <w:t>1XX </w:t>
      </w:r>
      <w:r>
        <w:rPr>
          <w:rFonts w:ascii="Arial" w:eastAsia="Arial"/>
        </w:rPr>
        <w:t>CAR </w:t>
      </w:r>
      <w:r>
        <w:rPr/>
        <w:t>共刺</w:t>
      </w:r>
      <w:r>
        <w:rPr>
          <w:spacing w:val="-4"/>
        </w:rPr>
        <w:t>激信号域技术，旨在克服检查点介导的肿瘤抑制作用，增强 </w:t>
      </w:r>
      <w:r>
        <w:rPr>
          <w:rFonts w:ascii="Arial" w:eastAsia="Arial"/>
        </w:rPr>
        <w:t>CAR-T </w:t>
      </w:r>
      <w:r>
        <w:rPr>
          <w:spacing w:val="-4"/>
        </w:rPr>
        <w:t>细胞的扩增和功能持久性。</w:t>
      </w:r>
      <w:r>
        <w:rPr>
          <w:rFonts w:ascii="Arial" w:eastAsia="Arial"/>
          <w:spacing w:val="-4"/>
        </w:rPr>
        <w:t>2022 </w:t>
      </w:r>
      <w:r>
        <w:rPr>
          <w:spacing w:val="16"/>
        </w:rPr>
        <w:t>年 </w:t>
      </w:r>
      <w:r>
        <w:rPr>
          <w:rFonts w:ascii="Arial" w:eastAsia="Arial"/>
        </w:rPr>
        <w:t>1 </w:t>
      </w:r>
      <w:r>
        <w:rPr>
          <w:spacing w:val="-4"/>
        </w:rPr>
        <w:t>月，在四名之前至少接受了四种治疗方案的患者中正在进行的 </w:t>
      </w:r>
      <w:r>
        <w:rPr>
          <w:rFonts w:ascii="Arial" w:eastAsia="Arial"/>
        </w:rPr>
        <w:t>I </w:t>
      </w:r>
      <w:r>
        <w:rPr>
          <w:spacing w:val="-2"/>
        </w:rPr>
        <w:t>期剂量研究中发现，</w:t>
      </w:r>
      <w:r>
        <w:rPr>
          <w:rFonts w:ascii="Arial" w:eastAsia="Arial"/>
          <w:spacing w:val="-2"/>
        </w:rPr>
        <w:t>ATA2271 </w:t>
      </w:r>
      <w:r>
        <w:rPr>
          <w:rFonts w:ascii="Arial" w:eastAsia="Arial"/>
        </w:rPr>
        <w:t>CAR-T </w:t>
      </w:r>
      <w:r>
        <w:rPr>
          <w:spacing w:val="-6"/>
        </w:rPr>
        <w:t>细胞在患者外周血中持续存在超过四周，并且与效应细胞因子上</w:t>
      </w:r>
      <w:r>
        <w:rPr/>
        <w:t>调有关。此外 </w:t>
      </w:r>
      <w:r>
        <w:rPr>
          <w:rFonts w:ascii="Arial" w:eastAsia="Arial"/>
        </w:rPr>
        <w:t>ATA2271 </w:t>
      </w:r>
      <w:r>
        <w:rPr>
          <w:spacing w:val="-5"/>
        </w:rPr>
        <w:t>胸腔内给药在最低剂量水平下耐受性良好，没有观察到</w:t>
      </w:r>
      <w:r>
        <w:rPr>
          <w:rFonts w:ascii="Arial" w:eastAsia="Arial"/>
        </w:rPr>
        <w:t>&gt;2 </w:t>
      </w:r>
      <w:r>
        <w:rPr>
          <w:spacing w:val="-2"/>
        </w:rPr>
        <w:t>级及以</w:t>
      </w:r>
      <w:r>
        <w:rPr>
          <w:spacing w:val="23"/>
        </w:rPr>
        <w:t>上的</w:t>
      </w:r>
      <w:r>
        <w:rPr>
          <w:rFonts w:ascii="Arial" w:eastAsia="Arial"/>
        </w:rPr>
        <w:t>CAR T </w:t>
      </w:r>
      <w:r>
        <w:rPr>
          <w:spacing w:val="-2"/>
        </w:rPr>
        <w:t>细胞相关 </w:t>
      </w:r>
      <w:r>
        <w:rPr>
          <w:rFonts w:ascii="Arial" w:eastAsia="Arial"/>
          <w:spacing w:val="-3"/>
        </w:rPr>
        <w:t>AEs</w:t>
      </w:r>
      <w:r>
        <w:rPr/>
        <w:t>。然而 </w:t>
      </w:r>
      <w:r>
        <w:rPr>
          <w:rFonts w:ascii="Arial" w:eastAsia="Arial"/>
        </w:rPr>
        <w:t>2022 </w:t>
      </w:r>
      <w:r>
        <w:rPr/>
        <w:t>年 </w:t>
      </w:r>
      <w:r>
        <w:rPr>
          <w:rFonts w:ascii="Arial" w:eastAsia="Arial"/>
        </w:rPr>
        <w:t>2 </w:t>
      </w:r>
      <w:r>
        <w:rPr/>
        <w:t>月，</w:t>
      </w:r>
      <w:r>
        <w:rPr>
          <w:rFonts w:ascii="Arial" w:eastAsia="Arial"/>
        </w:rPr>
        <w:t>Atara </w:t>
      </w:r>
      <w:r>
        <w:rPr/>
        <w:t>公告 </w:t>
      </w:r>
      <w:r>
        <w:rPr>
          <w:rFonts w:ascii="Arial" w:eastAsia="Arial"/>
        </w:rPr>
        <w:t>ATA2271 </w:t>
      </w:r>
      <w:r>
        <w:rPr>
          <w:spacing w:val="-3"/>
        </w:rPr>
        <w:t>已自愿暂停新患者招</w:t>
      </w:r>
      <w:r>
        <w:rPr>
          <w:spacing w:val="7"/>
        </w:rPr>
        <w:t>募，原因是</w:t>
      </w:r>
      <w:r>
        <w:rPr>
          <w:rFonts w:ascii="Arial" w:eastAsia="Arial"/>
        </w:rPr>
        <w:t>ATA2271 </w:t>
      </w:r>
      <w:r>
        <w:rPr>
          <w:spacing w:val="48"/>
        </w:rPr>
        <w:t>在</w:t>
      </w:r>
      <w:r>
        <w:rPr>
          <w:rFonts w:ascii="Arial" w:eastAsia="Arial"/>
        </w:rPr>
        <w:t>I </w:t>
      </w:r>
      <w:r>
        <w:rPr>
          <w:spacing w:val="-5"/>
        </w:rPr>
        <w:t>期临床试验中发生了一例患者死亡的 </w:t>
      </w:r>
      <w:r>
        <w:rPr>
          <w:rFonts w:ascii="Arial" w:eastAsia="Arial"/>
          <w:spacing w:val="-3"/>
        </w:rPr>
        <w:t>SAE</w:t>
      </w:r>
      <w:r>
        <w:rPr/>
        <w:t>。</w:t>
      </w:r>
    </w:p>
    <w:p>
      <w:pPr>
        <w:pStyle w:val="BodyText"/>
        <w:spacing w:line="288" w:lineRule="auto" w:before="115"/>
        <w:ind w:right="2809"/>
        <w:jc w:val="both"/>
      </w:pPr>
      <w:r>
        <w:rPr>
          <w:rFonts w:ascii="Arial" w:hAnsi="Arial" w:eastAsia="Arial"/>
        </w:rPr>
        <w:t>2021 </w:t>
      </w:r>
      <w:r>
        <w:rPr/>
        <w:t>年 </w:t>
      </w:r>
      <w:r>
        <w:rPr>
          <w:rFonts w:ascii="Arial" w:hAnsi="Arial" w:eastAsia="Arial"/>
        </w:rPr>
        <w:t>11 </w:t>
      </w:r>
      <w:r>
        <w:rPr/>
        <w:t>月，法国</w:t>
      </w:r>
      <w:r>
        <w:rPr>
          <w:rFonts w:ascii="Arial" w:hAnsi="Arial" w:eastAsia="Arial"/>
        </w:rPr>
        <w:t>Cellectis </w:t>
      </w:r>
      <w:r>
        <w:rPr/>
        <w:t>公司在</w:t>
      </w:r>
      <w:r>
        <w:rPr>
          <w:rFonts w:ascii="Arial" w:hAnsi="Arial" w:eastAsia="Arial"/>
        </w:rPr>
        <w:t>SITC </w:t>
      </w:r>
      <w:r>
        <w:rPr/>
        <w:t>年会上宣布了靶向</w:t>
      </w:r>
      <w:r>
        <w:rPr>
          <w:rFonts w:ascii="Arial" w:hAnsi="Arial" w:eastAsia="Arial"/>
        </w:rPr>
        <w:t>MSLN </w:t>
      </w:r>
      <w:r>
        <w:rPr/>
        <w:t>的同种异体</w:t>
      </w:r>
      <w:r>
        <w:rPr>
          <w:rFonts w:ascii="Arial" w:hAnsi="Arial" w:eastAsia="Arial"/>
        </w:rPr>
        <w:t>CAR-T </w:t>
      </w:r>
      <w:r>
        <w:rPr/>
        <w:t>细胞候选产品</w:t>
      </w:r>
      <w:r>
        <w:rPr>
          <w:rFonts w:ascii="Arial" w:hAnsi="Arial" w:eastAsia="Arial"/>
        </w:rPr>
        <w:t>UCARTMESO </w:t>
      </w:r>
      <w:r>
        <w:rPr/>
        <w:t>用于治疗胰腺癌、间皮瘤的第一个临床前数据，利用免疫缺陷间皮瘤模型小鼠评估</w:t>
      </w:r>
      <w:r>
        <w:rPr>
          <w:rFonts w:ascii="Arial" w:hAnsi="Arial" w:eastAsia="Arial"/>
        </w:rPr>
        <w:t>TGFβR2 </w:t>
      </w:r>
      <w:r>
        <w:rPr/>
        <w:t>敲除的</w:t>
      </w:r>
      <w:r>
        <w:rPr>
          <w:rFonts w:ascii="Arial" w:hAnsi="Arial" w:eastAsia="Arial"/>
        </w:rPr>
        <w:t>MESO CAR-T </w:t>
      </w:r>
      <w:r>
        <w:rPr/>
        <w:t>细胞的体内活性，在所有接受</w:t>
      </w:r>
      <w:r>
        <w:rPr>
          <w:rFonts w:ascii="Arial" w:hAnsi="Arial" w:eastAsia="Arial"/>
        </w:rPr>
        <w:t>CAR-T </w:t>
      </w:r>
      <w:r>
        <w:rPr/>
        <w:t>治疗的小鼠中观察到肿瘤消退和生存率增加。</w:t>
      </w:r>
    </w:p>
    <w:p>
      <w:pPr>
        <w:spacing w:after="0" w:line="288" w:lineRule="auto"/>
        <w:jc w:val="both"/>
        <w:sectPr>
          <w:pgSz w:w="11910" w:h="16840"/>
          <w:pgMar w:header="682" w:footer="358" w:top="1360" w:bottom="540" w:left="640" w:right="300"/>
        </w:sectPr>
      </w:pPr>
    </w:p>
    <w:p>
      <w:pPr>
        <w:pStyle w:val="BodyText"/>
        <w:spacing w:before="9"/>
        <w:ind w:left="0"/>
        <w:rPr>
          <w:sz w:val="12"/>
        </w:rPr>
      </w:pPr>
    </w:p>
    <w:p>
      <w:pPr>
        <w:pStyle w:val="Heading1"/>
      </w:pPr>
      <w:bookmarkStart w:name="_bookmark21" w:id="22"/>
      <w:bookmarkEnd w:id="22"/>
      <w:r>
        <w:rPr>
          <w:b w:val="0"/>
        </w:rPr>
      </w:r>
      <w:r>
        <w:rPr>
          <w:color w:val="C00000"/>
        </w:rPr>
        <w:t>技术前瞻篇：有望解决核心难题，异体 </w:t>
      </w:r>
      <w:r>
        <w:rPr>
          <w:rFonts w:ascii="Arial" w:eastAsia="Arial"/>
          <w:color w:val="C00000"/>
        </w:rPr>
        <w:t>CAR-T </w:t>
      </w:r>
      <w:r>
        <w:rPr>
          <w:color w:val="C00000"/>
        </w:rPr>
        <w:t>百花齐放</w:t>
      </w:r>
    </w:p>
    <w:p>
      <w:pPr>
        <w:pStyle w:val="Heading2"/>
        <w:spacing w:before="106"/>
      </w:pPr>
      <w:bookmarkStart w:name="_bookmark22" w:id="23"/>
      <w:bookmarkEnd w:id="23"/>
      <w:r>
        <w:rPr>
          <w:b w:val="0"/>
        </w:rPr>
      </w:r>
      <w:r>
        <w:rPr>
          <w:color w:val="585858"/>
        </w:rPr>
        <w:t>自体 </w:t>
      </w:r>
      <w:r>
        <w:rPr>
          <w:rFonts w:ascii="Arial" w:eastAsia="Arial"/>
          <w:color w:val="585858"/>
        </w:rPr>
        <w:t>CAR-T </w:t>
      </w:r>
      <w:r>
        <w:rPr>
          <w:color w:val="585858"/>
        </w:rPr>
        <w:t>疗效虽佳，但仍有较大改进空间</w:t>
      </w:r>
    </w:p>
    <w:p>
      <w:pPr>
        <w:pStyle w:val="BodyText"/>
        <w:spacing w:line="288" w:lineRule="auto" w:before="119"/>
        <w:ind w:right="2814"/>
        <w:jc w:val="both"/>
      </w:pPr>
      <w:r>
        <w:rPr/>
        <w:t>目前已获批的 </w:t>
      </w:r>
      <w:r>
        <w:rPr>
          <w:rFonts w:ascii="Arial" w:eastAsia="Arial"/>
        </w:rPr>
        <w:t>CAR-T </w:t>
      </w:r>
      <w:r>
        <w:rPr>
          <w:spacing w:val="-4"/>
        </w:rPr>
        <w:t>疗法均为自体来源，需要使用患者的 </w:t>
      </w:r>
      <w:r>
        <w:rPr>
          <w:rFonts w:ascii="Arial" w:eastAsia="Arial"/>
        </w:rPr>
        <w:t>T </w:t>
      </w:r>
      <w:r>
        <w:rPr>
          <w:spacing w:val="-5"/>
        </w:rPr>
        <w:t>细胞进行定制化生产，制备流</w:t>
      </w:r>
      <w:r>
        <w:rPr>
          <w:spacing w:val="-4"/>
        </w:rPr>
        <w:t>程繁琐，成本高昂，患者可及性较差，因此自首款 </w:t>
      </w:r>
      <w:r>
        <w:rPr>
          <w:rFonts w:ascii="Arial" w:eastAsia="Arial"/>
        </w:rPr>
        <w:t>CAR-T </w:t>
      </w:r>
      <w:r>
        <w:rPr>
          <w:spacing w:val="-6"/>
        </w:rPr>
        <w:t>上市以来，销售放量速度较慢。</w:t>
      </w:r>
      <w:r>
        <w:rPr>
          <w:spacing w:val="9"/>
        </w:rPr>
        <w:t>现阶段自体</w:t>
      </w:r>
      <w:r>
        <w:rPr>
          <w:rFonts w:ascii="Arial" w:eastAsia="Arial"/>
        </w:rPr>
        <w:t>CAR-T </w:t>
      </w:r>
      <w:r>
        <w:rPr>
          <w:spacing w:val="-5"/>
        </w:rPr>
        <w:t>疗法存在的主要挑战包括：</w:t>
      </w:r>
    </w:p>
    <w:p>
      <w:pPr>
        <w:pStyle w:val="BodyText"/>
        <w:spacing w:line="283" w:lineRule="auto" w:before="63"/>
        <w:ind w:right="2811"/>
        <w:jc w:val="both"/>
      </w:pPr>
      <w:r>
        <w:rPr>
          <w:rFonts w:ascii="Microsoft JhengHei UI" w:eastAsia="Microsoft JhengHei UI" w:hint="eastAsia"/>
          <w:b/>
          <w:spacing w:val="-3"/>
        </w:rPr>
        <w:t>复发难治患者已经过多线治疗，</w:t>
      </w:r>
      <w:r>
        <w:rPr>
          <w:rFonts w:ascii="Arial" w:eastAsia="Arial"/>
          <w:b/>
        </w:rPr>
        <w:t>T </w:t>
      </w:r>
      <w:r>
        <w:rPr>
          <w:rFonts w:ascii="Microsoft JhengHei UI" w:eastAsia="Microsoft JhengHei UI" w:hint="eastAsia"/>
          <w:b/>
          <w:spacing w:val="-2"/>
        </w:rPr>
        <w:t>细胞功能障碍或将影响自体 </w:t>
      </w:r>
      <w:r>
        <w:rPr>
          <w:rFonts w:ascii="Arial" w:eastAsia="Arial"/>
          <w:b/>
          <w:spacing w:val="-4"/>
        </w:rPr>
        <w:t>CAR-T </w:t>
      </w:r>
      <w:r>
        <w:rPr>
          <w:rFonts w:ascii="Microsoft JhengHei UI" w:eastAsia="Microsoft JhengHei UI" w:hint="eastAsia"/>
          <w:b/>
        </w:rPr>
        <w:t>疗效。</w:t>
      </w:r>
      <w:r>
        <w:rPr>
          <w:spacing w:val="-3"/>
        </w:rPr>
        <w:t>患者在选择接</w:t>
      </w:r>
      <w:r>
        <w:rPr>
          <w:spacing w:val="5"/>
        </w:rPr>
        <w:t>受 </w:t>
      </w:r>
      <w:r>
        <w:rPr>
          <w:rFonts w:ascii="Arial" w:eastAsia="Arial"/>
        </w:rPr>
        <w:t>CAR-T </w:t>
      </w:r>
      <w:r>
        <w:rPr>
          <w:spacing w:val="-5"/>
        </w:rPr>
        <w:t>治疗前往往已经接受过多次化疗，前线治疗的细胞毒性导致 </w:t>
      </w:r>
      <w:r>
        <w:rPr>
          <w:rFonts w:ascii="Arial" w:eastAsia="Arial"/>
        </w:rPr>
        <w:t>T </w:t>
      </w:r>
      <w:r>
        <w:rPr>
          <w:spacing w:val="-3"/>
        </w:rPr>
        <w:t>细胞数量下降，可</w:t>
      </w:r>
      <w:r>
        <w:rPr>
          <w:spacing w:val="-2"/>
        </w:rPr>
        <w:t>能难以采集到足够数量的外周血</w:t>
      </w:r>
      <w:r>
        <w:rPr>
          <w:rFonts w:ascii="Arial" w:eastAsia="Arial"/>
        </w:rPr>
        <w:t>T </w:t>
      </w:r>
      <w:r>
        <w:rPr>
          <w:spacing w:val="8"/>
        </w:rPr>
        <w:t>细胞以进行</w:t>
      </w:r>
      <w:r>
        <w:rPr>
          <w:rFonts w:ascii="Arial" w:eastAsia="Arial"/>
        </w:rPr>
        <w:t>CAR-T </w:t>
      </w:r>
      <w:r>
        <w:rPr>
          <w:spacing w:val="8"/>
        </w:rPr>
        <w:t>生产。除了</w:t>
      </w:r>
      <w:r>
        <w:rPr>
          <w:rFonts w:ascii="Arial" w:eastAsia="Arial"/>
        </w:rPr>
        <w:t>T </w:t>
      </w:r>
      <w:r>
        <w:rPr>
          <w:spacing w:val="-4"/>
        </w:rPr>
        <w:t>细胞数量外，后线患者</w:t>
      </w:r>
      <w:r>
        <w:rPr>
          <w:spacing w:val="6"/>
        </w:rPr>
        <w:t>的 </w:t>
      </w:r>
      <w:r>
        <w:rPr>
          <w:rFonts w:ascii="Arial" w:eastAsia="Arial"/>
        </w:rPr>
        <w:t>T </w:t>
      </w:r>
      <w:r>
        <w:rPr>
          <w:spacing w:val="-4"/>
        </w:rPr>
        <w:t>细胞质量也难以保证。首先化疗暴露可能会导致 </w:t>
      </w:r>
      <w:r>
        <w:rPr>
          <w:rFonts w:ascii="Arial" w:eastAsia="Arial"/>
        </w:rPr>
        <w:t>T </w:t>
      </w:r>
      <w:r>
        <w:rPr>
          <w:spacing w:val="-3"/>
        </w:rPr>
        <w:t>细胞功能受损，继而影响到 </w:t>
      </w:r>
      <w:r>
        <w:rPr>
          <w:rFonts w:ascii="Arial" w:eastAsia="Arial"/>
          <w:spacing w:val="-4"/>
        </w:rPr>
        <w:t>CAR-T </w:t>
      </w:r>
      <w:r>
        <w:rPr>
          <w:spacing w:val="-2"/>
        </w:rPr>
        <w:t>的疗效；其次长期处于肿瘤微环境中可能会导致 </w:t>
      </w:r>
      <w:r>
        <w:rPr>
          <w:rFonts w:ascii="Arial" w:eastAsia="Arial"/>
        </w:rPr>
        <w:t>T</w:t>
      </w:r>
      <w:r>
        <w:rPr>
          <w:rFonts w:ascii="Arial" w:eastAsia="Arial"/>
          <w:spacing w:val="53"/>
        </w:rPr>
        <w:t> </w:t>
      </w:r>
      <w:r>
        <w:rPr>
          <w:spacing w:val="-5"/>
        </w:rPr>
        <w:t>细胞功能障碍，效应细胞因子的表达降</w:t>
      </w:r>
      <w:r>
        <w:rPr>
          <w:spacing w:val="-3"/>
        </w:rPr>
        <w:t>低，抑制性免疫检查点受体的表达增加，自体</w:t>
      </w:r>
      <w:r>
        <w:rPr>
          <w:rFonts w:ascii="Arial" w:eastAsia="Arial"/>
        </w:rPr>
        <w:t>T </w:t>
      </w:r>
      <w:r>
        <w:rPr>
          <w:spacing w:val="1"/>
        </w:rPr>
        <w:t>细胞的耗竭也将削弱</w:t>
      </w:r>
      <w:r>
        <w:rPr>
          <w:rFonts w:ascii="Arial" w:eastAsia="Arial"/>
        </w:rPr>
        <w:t>CAR-T </w:t>
      </w:r>
      <w:r>
        <w:rPr>
          <w:spacing w:val="-2"/>
        </w:rPr>
        <w:t>作用。</w:t>
      </w:r>
    </w:p>
    <w:p>
      <w:pPr>
        <w:pStyle w:val="BodyText"/>
        <w:spacing w:line="278" w:lineRule="auto" w:before="62"/>
        <w:ind w:right="2814"/>
        <w:jc w:val="both"/>
        <w:rPr>
          <w:rFonts w:ascii="Arial" w:eastAsia="Arial"/>
        </w:rPr>
      </w:pPr>
      <w:r>
        <w:rPr>
          <w:rFonts w:ascii="Microsoft JhengHei UI" w:eastAsia="Microsoft JhengHei UI" w:hint="eastAsia"/>
          <w:b/>
          <w:spacing w:val="15"/>
        </w:rPr>
        <w:t>自体 </w:t>
      </w:r>
      <w:r>
        <w:rPr>
          <w:rFonts w:ascii="Arial" w:eastAsia="Arial"/>
          <w:b/>
          <w:spacing w:val="-3"/>
        </w:rPr>
        <w:t>CAR-T</w:t>
      </w:r>
      <w:r>
        <w:rPr>
          <w:rFonts w:ascii="Arial" w:eastAsia="Arial"/>
          <w:b/>
          <w:spacing w:val="37"/>
        </w:rPr>
        <w:t> </w:t>
      </w:r>
      <w:r>
        <w:rPr>
          <w:rFonts w:ascii="Microsoft JhengHei UI" w:eastAsia="Microsoft JhengHei UI" w:hint="eastAsia"/>
          <w:b/>
          <w:spacing w:val="-5"/>
        </w:rPr>
        <w:t>制备周期长，患者在等待中可能发生疾病进展。</w:t>
      </w:r>
      <w:r>
        <w:rPr>
          <w:spacing w:val="-1"/>
        </w:rPr>
        <w:t>作为定制化产品，自体 </w:t>
      </w:r>
      <w:r>
        <w:rPr>
          <w:rFonts w:ascii="Arial" w:eastAsia="Arial"/>
        </w:rPr>
        <w:t>CAR- T</w:t>
      </w:r>
      <w:r>
        <w:rPr>
          <w:rFonts w:ascii="Arial" w:eastAsia="Arial"/>
          <w:spacing w:val="29"/>
        </w:rPr>
        <w:t> </w:t>
      </w:r>
      <w:r>
        <w:rPr>
          <w:spacing w:val="-4"/>
        </w:rPr>
        <w:t>无法做到现货式储备，每个患者在单采血后要等待制备周期结束才可以进行回输。</w:t>
      </w:r>
      <w:r>
        <w:rPr>
          <w:rFonts w:ascii="Arial" w:eastAsia="Arial"/>
          <w:spacing w:val="-5"/>
        </w:rPr>
        <w:t>CAR- </w:t>
      </w:r>
      <w:r>
        <w:rPr>
          <w:rFonts w:ascii="Arial" w:eastAsia="Arial"/>
        </w:rPr>
        <w:t>T</w:t>
      </w:r>
      <w:r>
        <w:rPr>
          <w:rFonts w:ascii="Arial" w:eastAsia="Arial"/>
          <w:spacing w:val="28"/>
        </w:rPr>
        <w:t> </w:t>
      </w:r>
      <w:r>
        <w:rPr/>
        <w:t>的制备周期包括生产制备、质量控制和放行质检，根据患者疾病情况不同，细胞扩增的</w:t>
      </w:r>
      <w:r>
        <w:rPr>
          <w:spacing w:val="-4"/>
        </w:rPr>
        <w:t>时间存在较大区别，通常需要 </w:t>
      </w:r>
      <w:r>
        <w:rPr>
          <w:rFonts w:ascii="Arial" w:eastAsia="Arial"/>
        </w:rPr>
        <w:t>2~4 </w:t>
      </w:r>
      <w:r>
        <w:rPr>
          <w:spacing w:val="-4"/>
        </w:rPr>
        <w:t>周。目前，除新近获批的二线 </w:t>
      </w:r>
      <w:r>
        <w:rPr>
          <w:rFonts w:ascii="Arial" w:eastAsia="Arial"/>
        </w:rPr>
        <w:t>LBCL </w:t>
      </w:r>
      <w:r>
        <w:rPr>
          <w:spacing w:val="-2"/>
        </w:rPr>
        <w:t>适应症以外，</w:t>
      </w:r>
      <w:r>
        <w:rPr>
          <w:rFonts w:ascii="Arial" w:eastAsia="Arial"/>
        </w:rPr>
        <w:t>CAR-</w:t>
      </w:r>
    </w:p>
    <w:p>
      <w:pPr>
        <w:pStyle w:val="BodyText"/>
        <w:spacing w:before="7"/>
        <w:jc w:val="both"/>
      </w:pPr>
      <w:r>
        <w:rPr>
          <w:rFonts w:ascii="Arial" w:eastAsia="Arial"/>
        </w:rPr>
        <w:t>T </w:t>
      </w:r>
      <w:r>
        <w:rPr/>
        <w:t>产品仍主要面向三线及以上患者的治疗，病人在等待中出现疾病进展的风险较高。</w:t>
      </w:r>
    </w:p>
    <w:p>
      <w:pPr>
        <w:pStyle w:val="BodyText"/>
        <w:spacing w:line="283" w:lineRule="auto" w:before="123"/>
        <w:ind w:right="2613"/>
      </w:pPr>
      <w:r>
        <w:rPr>
          <w:rFonts w:ascii="Microsoft JhengHei UI" w:hAnsi="Microsoft JhengHei UI" w:eastAsia="Microsoft JhengHei UI" w:hint="eastAsia"/>
          <w:b/>
        </w:rPr>
        <w:t>生产要求苛刻，质检成本较高，生产成本居高不下。</w:t>
      </w:r>
      <w:r>
        <w:rPr>
          <w:rFonts w:ascii="Arial" w:hAnsi="Arial" w:eastAsia="Arial"/>
        </w:rPr>
        <w:t>CAR-T</w:t>
      </w:r>
      <w:r>
        <w:rPr>
          <w:rFonts w:ascii="Arial" w:hAnsi="Arial" w:eastAsia="Arial"/>
          <w:spacing w:val="24"/>
        </w:rPr>
        <w:t>  </w:t>
      </w:r>
      <w:r>
        <w:rPr/>
        <w:t>作为一种“</w:t>
      </w:r>
      <w:r>
        <w:rPr>
          <w:rFonts w:ascii="Arial" w:hAnsi="Arial" w:eastAsia="Arial"/>
        </w:rPr>
        <w:t>living-drug</w:t>
      </w:r>
      <w:r>
        <w:rPr/>
        <w:t>”，在制</w:t>
      </w:r>
      <w:r>
        <w:rPr>
          <w:spacing w:val="-3"/>
        </w:rPr>
        <w:t>备过程中需要保证全程无菌，因此其生产设施的建设和运营成本高昂。另外，</w:t>
      </w:r>
      <w:r>
        <w:rPr>
          <w:rFonts w:ascii="Arial" w:hAnsi="Arial" w:eastAsia="Arial"/>
        </w:rPr>
        <w:t>CAR-T</w:t>
      </w:r>
      <w:r>
        <w:rPr>
          <w:rFonts w:ascii="Arial" w:hAnsi="Arial" w:eastAsia="Arial"/>
          <w:spacing w:val="16"/>
        </w:rPr>
        <w:t>  </w:t>
      </w:r>
      <w:r>
        <w:rPr>
          <w:spacing w:val="1"/>
        </w:rPr>
        <w:t>生产中</w:t>
      </w:r>
      <w:r>
        <w:rPr/>
        <w:t>，需要对关键特性，如细胞活率、细胞数、细胞表型等进行监测。对于终产品，也需  进行</w:t>
      </w:r>
      <w:r>
        <w:rPr>
          <w:spacing w:val="-5"/>
        </w:rPr>
        <w:t>包括一般理化项目、安全项目及有效性项目等全面检测。对于 </w:t>
      </w:r>
      <w:r>
        <w:rPr>
          <w:rFonts w:ascii="Arial" w:hAnsi="Arial" w:eastAsia="Arial"/>
        </w:rPr>
        <w:t>off-the-shelf </w:t>
      </w:r>
      <w:r>
        <w:rPr>
          <w:spacing w:val="-3"/>
        </w:rPr>
        <w:t>的抗体药物， 质检成本会随着量产分摊而降低，相比之下自体 </w:t>
      </w:r>
      <w:r>
        <w:rPr>
          <w:rFonts w:ascii="Arial" w:hAnsi="Arial" w:eastAsia="Arial"/>
        </w:rPr>
        <w:t>CAR-T </w:t>
      </w:r>
      <w:r>
        <w:rPr>
          <w:spacing w:val="-5"/>
        </w:rPr>
        <w:t>作为单独批次进行生产，质检成本难以</w:t>
      </w:r>
      <w:r>
        <w:rPr>
          <w:spacing w:val="-1"/>
        </w:rPr>
        <w:t>分摊。综上，高成本导致了 </w:t>
      </w:r>
      <w:r>
        <w:rPr>
          <w:rFonts w:ascii="Arial" w:hAnsi="Arial" w:eastAsia="Arial"/>
        </w:rPr>
        <w:t>CAR-T </w:t>
      </w:r>
      <w:r>
        <w:rPr>
          <w:spacing w:val="-5"/>
        </w:rPr>
        <w:t>产品的高昂定价，限制了患者的可及性。另外，海外患者</w:t>
      </w:r>
      <w:r>
        <w:rPr>
          <w:spacing w:val="21"/>
        </w:rPr>
        <w:t>输注</w:t>
      </w:r>
      <w:r>
        <w:rPr>
          <w:rFonts w:ascii="Arial" w:hAnsi="Arial" w:eastAsia="Arial"/>
        </w:rPr>
        <w:t>CAR-T </w:t>
      </w:r>
      <w:r>
        <w:rPr>
          <w:spacing w:val="-5"/>
        </w:rPr>
        <w:t>时还需支付高昂的住院费用，患者负担进一步加重。</w:t>
      </w:r>
    </w:p>
    <w:p>
      <w:pPr>
        <w:pStyle w:val="Heading2"/>
        <w:spacing w:before="55"/>
      </w:pPr>
      <w:bookmarkStart w:name="_bookmark23" w:id="24"/>
      <w:bookmarkEnd w:id="24"/>
      <w:r>
        <w:rPr>
          <w:b w:val="0"/>
        </w:rPr>
      </w:r>
      <w:r>
        <w:rPr>
          <w:color w:val="585858"/>
          <w:w w:val="110"/>
        </w:rPr>
        <w:t>“通用型”</w:t>
      </w:r>
      <w:r>
        <w:rPr>
          <w:rFonts w:ascii="Arial" w:hAnsi="Arial" w:eastAsia="Arial"/>
          <w:color w:val="585858"/>
          <w:w w:val="110"/>
        </w:rPr>
        <w:t>CAR-T </w:t>
      </w:r>
      <w:r>
        <w:rPr>
          <w:color w:val="585858"/>
          <w:w w:val="110"/>
        </w:rPr>
        <w:t>需要克服免疫排斥，基因编辑是 </w:t>
      </w:r>
      <w:r>
        <w:rPr>
          <w:rFonts w:ascii="Arial" w:hAnsi="Arial" w:eastAsia="Arial"/>
          <w:color w:val="585858"/>
          <w:w w:val="110"/>
        </w:rPr>
        <w:t>UCAR-T </w:t>
      </w:r>
      <w:r>
        <w:rPr>
          <w:color w:val="585858"/>
          <w:w w:val="110"/>
        </w:rPr>
        <w:t>的关键技术</w:t>
      </w:r>
    </w:p>
    <w:p>
      <w:pPr>
        <w:pStyle w:val="BodyText"/>
        <w:spacing w:line="288" w:lineRule="auto" w:before="120"/>
        <w:ind w:right="2808"/>
        <w:jc w:val="both"/>
      </w:pPr>
      <w:r>
        <w:rPr/>
        <w:t>为解决自体 </w:t>
      </w:r>
      <w:r>
        <w:rPr>
          <w:rFonts w:ascii="Arial" w:hAnsi="Arial" w:eastAsia="Arial"/>
        </w:rPr>
        <w:t>CAR-T </w:t>
      </w:r>
      <w:r>
        <w:rPr/>
        <w:t>的不足，科学家提出了 </w:t>
      </w:r>
      <w:r>
        <w:rPr>
          <w:rFonts w:ascii="Arial" w:hAnsi="Arial" w:eastAsia="Arial"/>
        </w:rPr>
        <w:t>Universal CAR-T (UCAR-T</w:t>
      </w:r>
      <w:r>
        <w:rPr/>
        <w:t>，即通用型 </w:t>
      </w:r>
      <w:r>
        <w:rPr>
          <w:rFonts w:ascii="Arial" w:hAnsi="Arial" w:eastAsia="Arial"/>
        </w:rPr>
        <w:t>CAR-T) </w:t>
      </w:r>
      <w:r>
        <w:rPr/>
        <w:t>的概念。</w:t>
      </w:r>
      <w:r>
        <w:rPr>
          <w:rFonts w:ascii="Arial" w:hAnsi="Arial" w:eastAsia="Arial"/>
        </w:rPr>
        <w:t>UCAR-T </w:t>
      </w:r>
      <w:r>
        <w:rPr/>
        <w:t>从健康供体获得 </w:t>
      </w:r>
      <w:r>
        <w:rPr>
          <w:rFonts w:ascii="Arial" w:hAnsi="Arial" w:eastAsia="Arial"/>
        </w:rPr>
        <w:t>T </w:t>
      </w:r>
      <w:r>
        <w:rPr/>
        <w:t>细胞，采用基因编辑技术对其进行改造，并采用液氮等手段长期保存。作为一种“现货”疗法，</w:t>
      </w:r>
      <w:r>
        <w:rPr>
          <w:rFonts w:ascii="Arial" w:hAnsi="Arial" w:eastAsia="Arial"/>
        </w:rPr>
        <w:t>UCAR-T </w:t>
      </w:r>
      <w:r>
        <w:rPr/>
        <w:t>使用了标准质控的批量生产模式，成本大幅降低的同时可以做到随用随取，治疗周期显著缩短，给患者带来更大获益。</w:t>
      </w:r>
    </w:p>
    <w:p>
      <w:pPr>
        <w:pStyle w:val="BodyText"/>
        <w:spacing w:line="288" w:lineRule="auto" w:before="117"/>
        <w:ind w:right="2809"/>
        <w:jc w:val="both"/>
      </w:pPr>
      <w:r>
        <w:rPr>
          <w:spacing w:val="14"/>
        </w:rPr>
        <w:t>虽然 </w:t>
      </w:r>
      <w:r>
        <w:rPr>
          <w:rFonts w:ascii="Arial" w:eastAsia="Arial"/>
        </w:rPr>
        <w:t>UCAR-T </w:t>
      </w:r>
      <w:r>
        <w:rPr>
          <w:spacing w:val="-5"/>
        </w:rPr>
        <w:t>具备多种潜在优势，但目前该技术尚未在临床中完全得到验证。</w:t>
      </w:r>
      <w:r>
        <w:rPr>
          <w:rFonts w:ascii="Arial" w:eastAsia="Arial"/>
        </w:rPr>
        <w:t>UCAR-T </w:t>
      </w:r>
      <w:r>
        <w:rPr/>
        <w:t>最</w:t>
      </w:r>
      <w:r>
        <w:rPr>
          <w:spacing w:val="-2"/>
        </w:rPr>
        <w:t>大的挑战在于，</w:t>
      </w:r>
      <w:r>
        <w:rPr>
          <w:rFonts w:ascii="Arial" w:eastAsia="Arial"/>
        </w:rPr>
        <w:t>1</w:t>
      </w:r>
      <w:r>
        <w:rPr>
          <w:rFonts w:ascii="Arial" w:eastAsia="Arial"/>
          <w:spacing w:val="8"/>
        </w:rPr>
        <w:t>) </w:t>
      </w:r>
      <w:r>
        <w:rPr>
          <w:rFonts w:ascii="Arial" w:eastAsia="Arial"/>
        </w:rPr>
        <w:t>UCAR-T </w:t>
      </w:r>
      <w:r>
        <w:rPr>
          <w:spacing w:val="8"/>
        </w:rPr>
        <w:t>细胞表面的</w:t>
      </w:r>
      <w:r>
        <w:rPr>
          <w:rFonts w:ascii="Arial" w:eastAsia="Arial"/>
        </w:rPr>
        <w:t>TCR </w:t>
      </w:r>
      <w:r>
        <w:rPr>
          <w:spacing w:val="-5"/>
        </w:rPr>
        <w:t>可以识别宿主细胞抗原，引发移植物抗宿主反</w:t>
      </w:r>
      <w:r>
        <w:rPr>
          <w:spacing w:val="43"/>
        </w:rPr>
        <w:t>应</w:t>
      </w:r>
      <w:r>
        <w:rPr>
          <w:rFonts w:ascii="Arial" w:eastAsia="Arial"/>
        </w:rPr>
        <w:t>(GVHD)</w:t>
      </w:r>
      <w:r>
        <w:rPr/>
        <w:t>；</w:t>
      </w:r>
      <w:r>
        <w:rPr>
          <w:rFonts w:ascii="Arial" w:eastAsia="Arial"/>
        </w:rPr>
        <w:t>2</w:t>
      </w:r>
      <w:r>
        <w:rPr>
          <w:rFonts w:ascii="Arial" w:eastAsia="Arial"/>
          <w:spacing w:val="-3"/>
        </w:rPr>
        <w:t>) </w:t>
      </w:r>
      <w:r>
        <w:rPr>
          <w:rFonts w:ascii="Arial" w:eastAsia="Arial"/>
        </w:rPr>
        <w:t>UCAR-T </w:t>
      </w:r>
      <w:r>
        <w:rPr>
          <w:spacing w:val="7"/>
        </w:rPr>
        <w:t>细胞表面的</w:t>
      </w:r>
      <w:r>
        <w:rPr>
          <w:rFonts w:ascii="Arial" w:eastAsia="Arial"/>
        </w:rPr>
        <w:t>HLA </w:t>
      </w:r>
      <w:r>
        <w:rPr>
          <w:spacing w:val="9"/>
        </w:rPr>
        <w:t>诱发宿主</w:t>
      </w:r>
      <w:r>
        <w:rPr>
          <w:rFonts w:ascii="Arial" w:eastAsia="Arial"/>
        </w:rPr>
        <w:t>TCR </w:t>
      </w:r>
      <w:r>
        <w:rPr>
          <w:spacing w:val="-4"/>
        </w:rPr>
        <w:t>识别，引起免疫排斥，产生宿主抗</w:t>
      </w:r>
      <w:r>
        <w:rPr>
          <w:spacing w:val="4"/>
        </w:rPr>
        <w:t>移植物反应 </w:t>
      </w:r>
      <w:r>
        <w:rPr>
          <w:rFonts w:ascii="Arial" w:eastAsia="Arial"/>
        </w:rPr>
        <w:t>(HVGR)</w:t>
      </w:r>
      <w:r>
        <w:rPr>
          <w:spacing w:val="-4"/>
        </w:rPr>
        <w:t>。为避免免疫排斥，可以通过基因编辑等手段敲除 </w:t>
      </w:r>
      <w:r>
        <w:rPr>
          <w:rFonts w:ascii="Arial" w:eastAsia="Arial"/>
        </w:rPr>
        <w:t>T </w:t>
      </w:r>
      <w:r>
        <w:rPr>
          <w:spacing w:val="-2"/>
        </w:rPr>
        <w:t>细胞表面的免疫</w:t>
      </w:r>
      <w:r>
        <w:rPr>
          <w:spacing w:val="-4"/>
        </w:rPr>
        <w:t>排异反应相关基因。常用的基因编辑方法包括使用锌指核糖核酸酶 </w:t>
      </w:r>
      <w:r>
        <w:rPr>
          <w:rFonts w:ascii="Arial" w:eastAsia="Arial"/>
        </w:rPr>
        <w:t>(ZFNs)</w:t>
      </w:r>
      <w:r>
        <w:rPr/>
        <w:t>，转录激活因子</w:t>
      </w:r>
      <w:r>
        <w:rPr>
          <w:spacing w:val="-2"/>
        </w:rPr>
        <w:t>样效应因子核酸酶 </w:t>
      </w:r>
      <w:r>
        <w:rPr>
          <w:rFonts w:ascii="Arial" w:eastAsia="Arial"/>
        </w:rPr>
        <w:t>(TALENs</w:t>
      </w:r>
      <w:r>
        <w:rPr>
          <w:rFonts w:ascii="Arial" w:eastAsia="Arial"/>
          <w:spacing w:val="1"/>
        </w:rPr>
        <w:t>) </w:t>
      </w:r>
      <w:r>
        <w:rPr>
          <w:spacing w:val="48"/>
        </w:rPr>
        <w:t>和</w:t>
      </w:r>
      <w:r>
        <w:rPr>
          <w:rFonts w:ascii="Arial" w:eastAsia="Arial"/>
        </w:rPr>
        <w:t>CRISPR/Cas9</w:t>
      </w:r>
      <w:r>
        <w:rPr/>
        <w:t>。</w:t>
      </w:r>
    </w:p>
    <w:p>
      <w:pPr>
        <w:pStyle w:val="BodyText"/>
        <w:spacing w:line="288" w:lineRule="auto" w:before="118"/>
        <w:ind w:right="2809"/>
        <w:jc w:val="both"/>
      </w:pPr>
      <w:r>
        <w:rPr>
          <w:rFonts w:ascii="Arial" w:eastAsia="Arial"/>
        </w:rPr>
        <w:t>2012 </w:t>
      </w:r>
      <w:r>
        <w:rPr/>
        <w:t>年，</w:t>
      </w:r>
      <w:r>
        <w:rPr>
          <w:rFonts w:ascii="Arial" w:eastAsia="Arial"/>
        </w:rPr>
        <w:t>ZFNs </w:t>
      </w:r>
      <w:r>
        <w:rPr/>
        <w:t>首次被用于敲除</w:t>
      </w:r>
      <w:r>
        <w:rPr>
          <w:rFonts w:ascii="Arial" w:eastAsia="Arial"/>
        </w:rPr>
        <w:t>CAR-T </w:t>
      </w:r>
      <w:r>
        <w:rPr/>
        <w:t>细胞表面的</w:t>
      </w:r>
      <w:r>
        <w:rPr>
          <w:rFonts w:ascii="Arial" w:eastAsia="Arial"/>
        </w:rPr>
        <w:t>TCR</w:t>
      </w:r>
      <w:r>
        <w:rPr/>
        <w:t>，然而 </w:t>
      </w:r>
      <w:r>
        <w:rPr>
          <w:rFonts w:ascii="Arial" w:eastAsia="Arial"/>
        </w:rPr>
        <w:t>ZFNs </w:t>
      </w:r>
      <w:r>
        <w:rPr/>
        <w:t>的脱靶率相对高，而脱靶切割可能会导致细胞毒性，因此 </w:t>
      </w:r>
      <w:r>
        <w:rPr>
          <w:rFonts w:ascii="Arial" w:eastAsia="Arial"/>
        </w:rPr>
        <w:t>ZFNs </w:t>
      </w:r>
      <w:r>
        <w:rPr/>
        <w:t>并未被大规模应用于 </w:t>
      </w:r>
      <w:r>
        <w:rPr>
          <w:rFonts w:ascii="Arial" w:eastAsia="Arial"/>
        </w:rPr>
        <w:t>UCAR-T </w:t>
      </w:r>
      <w:r>
        <w:rPr/>
        <w:t>的临床制备。相较于 </w:t>
      </w:r>
      <w:r>
        <w:rPr>
          <w:rFonts w:ascii="Arial" w:eastAsia="Arial"/>
        </w:rPr>
        <w:t>ZFNs</w:t>
      </w:r>
      <w:r>
        <w:rPr/>
        <w:t>，</w:t>
      </w:r>
      <w:r>
        <w:rPr>
          <w:rFonts w:ascii="Arial" w:eastAsia="Arial"/>
        </w:rPr>
        <w:t>TALENs </w:t>
      </w:r>
      <w:r>
        <w:rPr/>
        <w:t>技术特异性和编辑效率都得到了提高，脱靶率和成本降低，已经被用</w:t>
      </w:r>
    </w:p>
    <w:p>
      <w:pPr>
        <w:spacing w:after="0" w:line="288" w:lineRule="auto"/>
        <w:jc w:val="both"/>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14"/>
        <w:jc w:val="both"/>
      </w:pPr>
      <w:r>
        <w:rPr>
          <w:spacing w:val="3"/>
        </w:rPr>
        <w:t>于若干 </w:t>
      </w:r>
      <w:r>
        <w:rPr>
          <w:rFonts w:ascii="Arial" w:eastAsia="Arial"/>
        </w:rPr>
        <w:t>UCAR-T </w:t>
      </w:r>
      <w:r>
        <w:rPr>
          <w:spacing w:val="-3"/>
        </w:rPr>
        <w:t>产品的研发。</w:t>
      </w:r>
      <w:r>
        <w:rPr>
          <w:rFonts w:ascii="Arial" w:eastAsia="Arial"/>
        </w:rPr>
        <w:t>CRISPR/Cas9 </w:t>
      </w:r>
      <w:r>
        <w:rPr>
          <w:spacing w:val="-4"/>
        </w:rPr>
        <w:t>是一种新型基因编辑技术，对目的 </w:t>
      </w:r>
      <w:r>
        <w:rPr>
          <w:rFonts w:ascii="Arial" w:eastAsia="Arial"/>
        </w:rPr>
        <w:t>DNA </w:t>
      </w:r>
      <w:r>
        <w:rPr>
          <w:spacing w:val="-5"/>
        </w:rPr>
        <w:t>的编辑效率更高，实验操作简单易行，费用低廉，且脱靶发生概率极低，因此也被 </w:t>
      </w:r>
      <w:r>
        <w:rPr>
          <w:rFonts w:ascii="Arial" w:eastAsia="Arial"/>
        </w:rPr>
        <w:t>CRISPR </w:t>
      </w:r>
      <w:r>
        <w:rPr>
          <w:spacing w:val="-12"/>
        </w:rPr>
        <w:t>等</w:t>
      </w:r>
      <w:r>
        <w:rPr>
          <w:spacing w:val="6"/>
        </w:rPr>
        <w:t>公司用于开发</w:t>
      </w:r>
      <w:r>
        <w:rPr>
          <w:rFonts w:ascii="Arial" w:eastAsia="Arial"/>
        </w:rPr>
        <w:t>UCAR-T</w:t>
      </w:r>
      <w:r>
        <w:rPr/>
        <w:t>。</w:t>
      </w:r>
    </w:p>
    <w:p>
      <w:pPr>
        <w:pStyle w:val="Heading3"/>
        <w:spacing w:after="4"/>
      </w:pPr>
      <w:r>
        <w:rPr/>
        <w:t>图 </w:t>
      </w:r>
      <w:r>
        <w:rPr>
          <w:rFonts w:ascii="Arial" w:eastAsia="Arial"/>
        </w:rPr>
        <w:t>45: </w:t>
      </w:r>
      <w:r>
        <w:rPr/>
        <w:t>三种基因编辑技术比较</w:t>
      </w:r>
    </w:p>
    <w:tbl>
      <w:tblPr>
        <w:tblW w:w="0" w:type="auto"/>
        <w:jc w:val="left"/>
        <w:tblInd w:w="21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997"/>
        <w:gridCol w:w="1988"/>
        <w:gridCol w:w="1988"/>
        <w:gridCol w:w="2003"/>
      </w:tblGrid>
      <w:tr>
        <w:trPr>
          <w:trHeight w:val="313" w:hRule="atLeast"/>
        </w:trPr>
        <w:tc>
          <w:tcPr>
            <w:tcW w:w="1997" w:type="dxa"/>
            <w:tcBorders>
              <w:left w:val="nil"/>
              <w:bottom w:val="single" w:sz="4" w:space="0" w:color="000000"/>
              <w:right w:val="single" w:sz="4" w:space="0" w:color="000000"/>
            </w:tcBorders>
            <w:shd w:val="clear" w:color="auto" w:fill="C00000"/>
          </w:tcPr>
          <w:p>
            <w:pPr>
              <w:pStyle w:val="TableParagraph"/>
              <w:spacing w:line="280" w:lineRule="exact"/>
              <w:ind w:left="466" w:right="452"/>
              <w:jc w:val="center"/>
              <w:rPr>
                <w:rFonts w:ascii="Microsoft JhengHei UI" w:eastAsia="Microsoft JhengHei UI" w:hint="eastAsia"/>
                <w:b/>
                <w:sz w:val="16"/>
              </w:rPr>
            </w:pPr>
            <w:r>
              <w:rPr>
                <w:rFonts w:ascii="Microsoft JhengHei UI" w:eastAsia="Microsoft JhengHei UI" w:hint="eastAsia"/>
                <w:b/>
                <w:color w:val="FFFFFF"/>
                <w:sz w:val="16"/>
              </w:rPr>
              <w:t>项目</w:t>
            </w:r>
          </w:p>
        </w:tc>
        <w:tc>
          <w:tcPr>
            <w:tcW w:w="1988" w:type="dxa"/>
            <w:tcBorders>
              <w:left w:val="single" w:sz="4" w:space="0" w:color="000000"/>
              <w:bottom w:val="single" w:sz="4" w:space="0" w:color="000000"/>
              <w:right w:val="single" w:sz="4" w:space="0" w:color="000000"/>
            </w:tcBorders>
            <w:shd w:val="clear" w:color="auto" w:fill="C00000"/>
          </w:tcPr>
          <w:p>
            <w:pPr>
              <w:pStyle w:val="TableParagraph"/>
              <w:spacing w:before="62"/>
              <w:ind w:left="529" w:right="520"/>
              <w:jc w:val="center"/>
              <w:rPr>
                <w:b/>
                <w:sz w:val="16"/>
              </w:rPr>
            </w:pPr>
            <w:r>
              <w:rPr>
                <w:b/>
                <w:color w:val="FFFFFF"/>
                <w:sz w:val="16"/>
              </w:rPr>
              <w:t>ZFN</w:t>
            </w:r>
          </w:p>
        </w:tc>
        <w:tc>
          <w:tcPr>
            <w:tcW w:w="1988" w:type="dxa"/>
            <w:tcBorders>
              <w:left w:val="single" w:sz="4" w:space="0" w:color="000000"/>
              <w:bottom w:val="single" w:sz="4" w:space="0" w:color="000000"/>
              <w:right w:val="single" w:sz="4" w:space="0" w:color="000000"/>
            </w:tcBorders>
            <w:shd w:val="clear" w:color="auto" w:fill="C00000"/>
          </w:tcPr>
          <w:p>
            <w:pPr>
              <w:pStyle w:val="TableParagraph"/>
              <w:spacing w:before="62"/>
              <w:ind w:left="529" w:right="525"/>
              <w:jc w:val="center"/>
              <w:rPr>
                <w:b/>
                <w:sz w:val="16"/>
              </w:rPr>
            </w:pPr>
            <w:r>
              <w:rPr>
                <w:b/>
                <w:color w:val="FFFFFF"/>
                <w:sz w:val="16"/>
              </w:rPr>
              <w:t>TALEN</w:t>
            </w:r>
          </w:p>
        </w:tc>
        <w:tc>
          <w:tcPr>
            <w:tcW w:w="2003" w:type="dxa"/>
            <w:tcBorders>
              <w:left w:val="single" w:sz="4" w:space="0" w:color="000000"/>
              <w:bottom w:val="single" w:sz="4" w:space="0" w:color="000000"/>
              <w:right w:val="nil"/>
            </w:tcBorders>
            <w:shd w:val="clear" w:color="auto" w:fill="C00000"/>
          </w:tcPr>
          <w:p>
            <w:pPr>
              <w:pStyle w:val="TableParagraph"/>
              <w:spacing w:before="62"/>
              <w:ind w:left="435" w:right="447"/>
              <w:jc w:val="center"/>
              <w:rPr>
                <w:b/>
                <w:sz w:val="16"/>
              </w:rPr>
            </w:pPr>
            <w:r>
              <w:rPr>
                <w:b/>
                <w:color w:val="FFFFFF"/>
                <w:sz w:val="16"/>
              </w:rPr>
              <w:t>CRISPR/ Cas9</w:t>
            </w:r>
          </w:p>
        </w:tc>
      </w:tr>
      <w:tr>
        <w:trPr>
          <w:trHeight w:val="311" w:hRule="atLeast"/>
        </w:trPr>
        <w:tc>
          <w:tcPr>
            <w:tcW w:w="1997" w:type="dxa"/>
            <w:tcBorders>
              <w:top w:val="single" w:sz="4" w:space="0" w:color="000000"/>
              <w:left w:val="nil"/>
              <w:bottom w:val="single" w:sz="4" w:space="0" w:color="000000"/>
              <w:right w:val="single" w:sz="4" w:space="0" w:color="000000"/>
            </w:tcBorders>
          </w:tcPr>
          <w:p>
            <w:pPr>
              <w:pStyle w:val="TableParagraph"/>
              <w:spacing w:before="36"/>
              <w:ind w:left="466" w:right="462"/>
              <w:jc w:val="center"/>
              <w:rPr>
                <w:rFonts w:ascii="PMingLiU" w:eastAsia="PMingLiU" w:hint="eastAsia"/>
                <w:sz w:val="16"/>
              </w:rPr>
            </w:pPr>
            <w:r>
              <w:rPr>
                <w:sz w:val="16"/>
              </w:rPr>
              <w:t>DNA </w:t>
            </w:r>
            <w:r>
              <w:rPr>
                <w:rFonts w:ascii="PMingLiU" w:eastAsia="PMingLiU" w:hint="eastAsia"/>
                <w:sz w:val="16"/>
              </w:rPr>
              <w:t>结合部位</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before="36"/>
              <w:ind w:left="529" w:right="524"/>
              <w:jc w:val="center"/>
              <w:rPr>
                <w:rFonts w:ascii="PMingLiU" w:eastAsia="PMingLiU" w:hint="eastAsia"/>
                <w:sz w:val="16"/>
              </w:rPr>
            </w:pPr>
            <w:r>
              <w:rPr>
                <w:sz w:val="16"/>
              </w:rPr>
              <w:t>ZFN </w:t>
            </w:r>
            <w:r>
              <w:rPr>
                <w:rFonts w:ascii="PMingLiU" w:eastAsia="PMingLiU" w:hint="eastAsia"/>
                <w:sz w:val="16"/>
              </w:rPr>
              <w:t>蛋白</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before="36"/>
              <w:ind w:left="529" w:right="528"/>
              <w:jc w:val="center"/>
              <w:rPr>
                <w:rFonts w:ascii="PMingLiU" w:eastAsia="PMingLiU" w:hint="eastAsia"/>
                <w:sz w:val="16"/>
              </w:rPr>
            </w:pPr>
            <w:r>
              <w:rPr>
                <w:sz w:val="16"/>
              </w:rPr>
              <w:t>TALEN </w:t>
            </w:r>
            <w:r>
              <w:rPr>
                <w:rFonts w:ascii="PMingLiU" w:eastAsia="PMingLiU" w:hint="eastAsia"/>
                <w:sz w:val="16"/>
              </w:rPr>
              <w:t>蛋白</w:t>
            </w:r>
          </w:p>
        </w:tc>
        <w:tc>
          <w:tcPr>
            <w:tcW w:w="2003" w:type="dxa"/>
            <w:tcBorders>
              <w:top w:val="single" w:sz="4" w:space="0" w:color="000000"/>
              <w:left w:val="single" w:sz="4" w:space="0" w:color="000000"/>
              <w:bottom w:val="single" w:sz="4" w:space="0" w:color="000000"/>
              <w:right w:val="nil"/>
            </w:tcBorders>
          </w:tcPr>
          <w:p>
            <w:pPr>
              <w:pStyle w:val="TableParagraph"/>
              <w:spacing w:before="61"/>
              <w:ind w:left="435" w:right="447"/>
              <w:jc w:val="center"/>
              <w:rPr>
                <w:sz w:val="16"/>
              </w:rPr>
            </w:pPr>
            <w:r>
              <w:rPr>
                <w:sz w:val="16"/>
              </w:rPr>
              <w:t>sgRNA</w:t>
            </w:r>
          </w:p>
        </w:tc>
      </w:tr>
      <w:tr>
        <w:trPr>
          <w:trHeight w:val="312" w:hRule="atLeast"/>
        </w:trPr>
        <w:tc>
          <w:tcPr>
            <w:tcW w:w="1997" w:type="dxa"/>
            <w:tcBorders>
              <w:top w:val="single" w:sz="4" w:space="0" w:color="000000"/>
              <w:left w:val="nil"/>
              <w:bottom w:val="single" w:sz="4" w:space="0" w:color="000000"/>
              <w:right w:val="single" w:sz="4" w:space="0" w:color="000000"/>
            </w:tcBorders>
          </w:tcPr>
          <w:p>
            <w:pPr>
              <w:pStyle w:val="TableParagraph"/>
              <w:spacing w:before="41"/>
              <w:ind w:left="466" w:right="462"/>
              <w:jc w:val="center"/>
              <w:rPr>
                <w:rFonts w:ascii="PMingLiU" w:eastAsia="PMingLiU" w:hint="eastAsia"/>
                <w:sz w:val="16"/>
              </w:rPr>
            </w:pPr>
            <w:r>
              <w:rPr>
                <w:rFonts w:ascii="PMingLiU" w:eastAsia="PMingLiU" w:hint="eastAsia"/>
                <w:sz w:val="16"/>
              </w:rPr>
              <w:t>编辑有效率</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before="65"/>
              <w:ind w:left="529" w:right="524"/>
              <w:jc w:val="center"/>
              <w:rPr>
                <w:sz w:val="16"/>
              </w:rPr>
            </w:pPr>
            <w:r>
              <w:rPr>
                <w:sz w:val="16"/>
              </w:rPr>
              <w:t>30%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before="65"/>
              <w:ind w:left="529" w:right="527"/>
              <w:jc w:val="center"/>
              <w:rPr>
                <w:sz w:val="16"/>
              </w:rPr>
            </w:pPr>
            <w:r>
              <w:rPr>
                <w:sz w:val="16"/>
              </w:rPr>
              <w:t>30%~50%</w:t>
            </w:r>
          </w:p>
        </w:tc>
        <w:tc>
          <w:tcPr>
            <w:tcW w:w="2003" w:type="dxa"/>
            <w:tcBorders>
              <w:top w:val="single" w:sz="4" w:space="0" w:color="000000"/>
              <w:left w:val="single" w:sz="4" w:space="0" w:color="000000"/>
              <w:bottom w:val="single" w:sz="4" w:space="0" w:color="000000"/>
              <w:right w:val="nil"/>
            </w:tcBorders>
          </w:tcPr>
          <w:p>
            <w:pPr>
              <w:pStyle w:val="TableParagraph"/>
              <w:spacing w:before="41"/>
              <w:ind w:left="435" w:right="445"/>
              <w:jc w:val="center"/>
              <w:rPr>
                <w:sz w:val="16"/>
              </w:rPr>
            </w:pPr>
            <w:r>
              <w:rPr>
                <w:rFonts w:ascii="PMingLiU" w:eastAsia="PMingLiU" w:hint="eastAsia"/>
                <w:sz w:val="16"/>
              </w:rPr>
              <w:t>＞</w:t>
            </w:r>
            <w:r>
              <w:rPr>
                <w:sz w:val="16"/>
              </w:rPr>
              <w:t>50%</w:t>
            </w:r>
          </w:p>
        </w:tc>
      </w:tr>
      <w:tr>
        <w:trPr>
          <w:trHeight w:val="316" w:hRule="atLeast"/>
        </w:trPr>
        <w:tc>
          <w:tcPr>
            <w:tcW w:w="1997" w:type="dxa"/>
            <w:tcBorders>
              <w:top w:val="single" w:sz="4" w:space="0" w:color="000000"/>
              <w:left w:val="nil"/>
              <w:bottom w:val="single" w:sz="4" w:space="0" w:color="000000"/>
              <w:right w:val="single" w:sz="4" w:space="0" w:color="000000"/>
            </w:tcBorders>
          </w:tcPr>
          <w:p>
            <w:pPr>
              <w:pStyle w:val="TableParagraph"/>
              <w:spacing w:before="41"/>
              <w:ind w:left="466" w:right="462"/>
              <w:jc w:val="center"/>
              <w:rPr>
                <w:rFonts w:ascii="PMingLiU" w:eastAsia="PMingLiU" w:hint="eastAsia"/>
                <w:sz w:val="16"/>
              </w:rPr>
            </w:pPr>
            <w:r>
              <w:rPr>
                <w:rFonts w:ascii="PMingLiU" w:eastAsia="PMingLiU" w:hint="eastAsia"/>
                <w:sz w:val="16"/>
              </w:rPr>
              <w:t>脱靶效应</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before="41"/>
              <w:ind w:left="528" w:right="528"/>
              <w:jc w:val="center"/>
              <w:rPr>
                <w:rFonts w:ascii="PMingLiU" w:eastAsia="PMingLiU" w:hint="eastAsia"/>
                <w:sz w:val="16"/>
              </w:rPr>
            </w:pPr>
            <w:r>
              <w:rPr>
                <w:rFonts w:ascii="PMingLiU" w:eastAsia="PMingLiU" w:hint="eastAsia"/>
                <w:sz w:val="16"/>
              </w:rPr>
              <w:t>较高</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before="41"/>
              <w:ind w:left="529" w:right="528"/>
              <w:jc w:val="center"/>
              <w:rPr>
                <w:rFonts w:ascii="PMingLiU" w:eastAsia="PMingLiU" w:hint="eastAsia"/>
                <w:sz w:val="16"/>
              </w:rPr>
            </w:pPr>
            <w:r>
              <w:rPr>
                <w:rFonts w:ascii="PMingLiU" w:eastAsia="PMingLiU" w:hint="eastAsia"/>
                <w:sz w:val="16"/>
              </w:rPr>
              <w:t>稍高</w:t>
            </w:r>
          </w:p>
        </w:tc>
        <w:tc>
          <w:tcPr>
            <w:tcW w:w="2003" w:type="dxa"/>
            <w:tcBorders>
              <w:top w:val="single" w:sz="4" w:space="0" w:color="000000"/>
              <w:left w:val="single" w:sz="4" w:space="0" w:color="000000"/>
              <w:bottom w:val="single" w:sz="4" w:space="0" w:color="000000"/>
              <w:right w:val="nil"/>
            </w:tcBorders>
          </w:tcPr>
          <w:p>
            <w:pPr>
              <w:pStyle w:val="TableParagraph"/>
              <w:spacing w:before="41"/>
              <w:ind w:left="435" w:right="441"/>
              <w:jc w:val="center"/>
              <w:rPr>
                <w:rFonts w:ascii="PMingLiU" w:eastAsia="PMingLiU" w:hint="eastAsia"/>
                <w:sz w:val="16"/>
              </w:rPr>
            </w:pPr>
            <w:r>
              <w:rPr>
                <w:rFonts w:ascii="PMingLiU" w:eastAsia="PMingLiU" w:hint="eastAsia"/>
                <w:sz w:val="16"/>
              </w:rPr>
              <w:t>较低</w:t>
            </w:r>
          </w:p>
        </w:tc>
      </w:tr>
      <w:tr>
        <w:trPr>
          <w:trHeight w:val="311" w:hRule="atLeast"/>
        </w:trPr>
        <w:tc>
          <w:tcPr>
            <w:tcW w:w="1997" w:type="dxa"/>
            <w:tcBorders>
              <w:top w:val="single" w:sz="4" w:space="0" w:color="000000"/>
              <w:left w:val="nil"/>
              <w:bottom w:val="single" w:sz="4" w:space="0" w:color="000000"/>
              <w:right w:val="single" w:sz="4" w:space="0" w:color="000000"/>
            </w:tcBorders>
          </w:tcPr>
          <w:p>
            <w:pPr>
              <w:pStyle w:val="TableParagraph"/>
              <w:spacing w:before="36"/>
              <w:ind w:left="466" w:right="462"/>
              <w:jc w:val="center"/>
              <w:rPr>
                <w:rFonts w:ascii="PMingLiU" w:eastAsia="PMingLiU" w:hint="eastAsia"/>
                <w:sz w:val="16"/>
              </w:rPr>
            </w:pPr>
            <w:r>
              <w:rPr>
                <w:rFonts w:ascii="PMingLiU" w:eastAsia="PMingLiU" w:hint="eastAsia"/>
                <w:sz w:val="16"/>
              </w:rPr>
              <w:t>系统设计</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before="36"/>
              <w:ind w:left="526" w:right="528"/>
              <w:jc w:val="center"/>
              <w:rPr>
                <w:rFonts w:ascii="PMingLiU" w:eastAsia="PMingLiU" w:hint="eastAsia"/>
                <w:sz w:val="16"/>
              </w:rPr>
            </w:pPr>
            <w:r>
              <w:rPr>
                <w:rFonts w:ascii="PMingLiU" w:eastAsia="PMingLiU" w:hint="eastAsia"/>
                <w:sz w:val="16"/>
              </w:rPr>
              <w:t>较复杂</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before="36"/>
              <w:ind w:left="529" w:right="528"/>
              <w:jc w:val="center"/>
              <w:rPr>
                <w:rFonts w:ascii="PMingLiU" w:eastAsia="PMingLiU" w:hint="eastAsia"/>
                <w:sz w:val="16"/>
              </w:rPr>
            </w:pPr>
            <w:r>
              <w:rPr>
                <w:rFonts w:ascii="PMingLiU" w:eastAsia="PMingLiU" w:hint="eastAsia"/>
                <w:sz w:val="16"/>
              </w:rPr>
              <w:t>复杂</w:t>
            </w:r>
          </w:p>
        </w:tc>
        <w:tc>
          <w:tcPr>
            <w:tcW w:w="2003" w:type="dxa"/>
            <w:tcBorders>
              <w:top w:val="single" w:sz="4" w:space="0" w:color="000000"/>
              <w:left w:val="single" w:sz="4" w:space="0" w:color="000000"/>
              <w:bottom w:val="single" w:sz="4" w:space="0" w:color="000000"/>
              <w:right w:val="nil"/>
            </w:tcBorders>
          </w:tcPr>
          <w:p>
            <w:pPr>
              <w:pStyle w:val="TableParagraph"/>
              <w:spacing w:before="36"/>
              <w:ind w:left="435" w:right="441"/>
              <w:jc w:val="center"/>
              <w:rPr>
                <w:rFonts w:ascii="PMingLiU" w:eastAsia="PMingLiU" w:hint="eastAsia"/>
                <w:sz w:val="16"/>
              </w:rPr>
            </w:pPr>
            <w:r>
              <w:rPr>
                <w:rFonts w:ascii="PMingLiU" w:eastAsia="PMingLiU" w:hint="eastAsia"/>
                <w:sz w:val="16"/>
              </w:rPr>
              <w:t>简单</w:t>
            </w:r>
          </w:p>
        </w:tc>
      </w:tr>
      <w:tr>
        <w:trPr>
          <w:trHeight w:val="311" w:hRule="atLeast"/>
        </w:trPr>
        <w:tc>
          <w:tcPr>
            <w:tcW w:w="1997" w:type="dxa"/>
            <w:tcBorders>
              <w:top w:val="single" w:sz="4" w:space="0" w:color="000000"/>
              <w:left w:val="nil"/>
              <w:bottom w:val="single" w:sz="4" w:space="0" w:color="000000"/>
              <w:right w:val="single" w:sz="4" w:space="0" w:color="000000"/>
            </w:tcBorders>
          </w:tcPr>
          <w:p>
            <w:pPr>
              <w:pStyle w:val="TableParagraph"/>
              <w:spacing w:before="36"/>
              <w:ind w:left="466" w:right="462"/>
              <w:jc w:val="center"/>
              <w:rPr>
                <w:rFonts w:ascii="PMingLiU" w:eastAsia="PMingLiU" w:hint="eastAsia"/>
                <w:sz w:val="16"/>
              </w:rPr>
            </w:pPr>
            <w:r>
              <w:rPr>
                <w:rFonts w:ascii="PMingLiU" w:eastAsia="PMingLiU" w:hint="eastAsia"/>
                <w:sz w:val="16"/>
              </w:rPr>
              <w:t>费用</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before="36"/>
              <w:ind w:left="5"/>
              <w:jc w:val="center"/>
              <w:rPr>
                <w:rFonts w:ascii="PMingLiU" w:eastAsia="PMingLiU" w:hint="eastAsia"/>
                <w:sz w:val="16"/>
              </w:rPr>
            </w:pPr>
            <w:r>
              <w:rPr>
                <w:rFonts w:ascii="PMingLiU" w:eastAsia="PMingLiU" w:hint="eastAsia"/>
                <w:w w:val="99"/>
                <w:sz w:val="16"/>
              </w:rPr>
              <w:t>高</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before="36"/>
              <w:ind w:left="5"/>
              <w:jc w:val="center"/>
              <w:rPr>
                <w:rFonts w:ascii="PMingLiU" w:eastAsia="PMingLiU" w:hint="eastAsia"/>
                <w:sz w:val="16"/>
              </w:rPr>
            </w:pPr>
            <w:r>
              <w:rPr>
                <w:rFonts w:ascii="PMingLiU" w:eastAsia="PMingLiU" w:hint="eastAsia"/>
                <w:w w:val="99"/>
                <w:sz w:val="16"/>
              </w:rPr>
              <w:t>中</w:t>
            </w:r>
          </w:p>
        </w:tc>
        <w:tc>
          <w:tcPr>
            <w:tcW w:w="2003" w:type="dxa"/>
            <w:tcBorders>
              <w:top w:val="single" w:sz="4" w:space="0" w:color="000000"/>
              <w:left w:val="single" w:sz="4" w:space="0" w:color="000000"/>
              <w:bottom w:val="single" w:sz="4" w:space="0" w:color="000000"/>
              <w:right w:val="nil"/>
            </w:tcBorders>
          </w:tcPr>
          <w:p>
            <w:pPr>
              <w:pStyle w:val="TableParagraph"/>
              <w:spacing w:before="36"/>
              <w:ind w:right="2"/>
              <w:jc w:val="center"/>
              <w:rPr>
                <w:rFonts w:ascii="PMingLiU" w:eastAsia="PMingLiU" w:hint="eastAsia"/>
                <w:sz w:val="16"/>
              </w:rPr>
            </w:pPr>
            <w:r>
              <w:rPr>
                <w:rFonts w:ascii="PMingLiU" w:eastAsia="PMingLiU" w:hint="eastAsia"/>
                <w:w w:val="99"/>
                <w:sz w:val="16"/>
              </w:rPr>
              <w:t>低</w:t>
            </w:r>
          </w:p>
        </w:tc>
      </w:tr>
      <w:tr>
        <w:trPr>
          <w:trHeight w:val="316" w:hRule="atLeast"/>
        </w:trPr>
        <w:tc>
          <w:tcPr>
            <w:tcW w:w="1997" w:type="dxa"/>
            <w:tcBorders>
              <w:top w:val="single" w:sz="4" w:space="0" w:color="000000"/>
              <w:left w:val="nil"/>
              <w:bottom w:val="single" w:sz="12" w:space="0" w:color="000000"/>
              <w:right w:val="single" w:sz="4" w:space="0" w:color="000000"/>
            </w:tcBorders>
          </w:tcPr>
          <w:p>
            <w:pPr>
              <w:pStyle w:val="TableParagraph"/>
              <w:spacing w:before="41"/>
              <w:ind w:left="462" w:right="462"/>
              <w:jc w:val="center"/>
              <w:rPr>
                <w:rFonts w:ascii="PMingLiU" w:eastAsia="PMingLiU" w:hint="eastAsia"/>
                <w:sz w:val="16"/>
              </w:rPr>
            </w:pPr>
            <w:r>
              <w:rPr>
                <w:rFonts w:ascii="PMingLiU" w:eastAsia="PMingLiU" w:hint="eastAsia"/>
                <w:sz w:val="16"/>
              </w:rPr>
              <w:t>复杂编辑能力</w:t>
            </w:r>
          </w:p>
        </w:tc>
        <w:tc>
          <w:tcPr>
            <w:tcW w:w="1988" w:type="dxa"/>
            <w:tcBorders>
              <w:top w:val="single" w:sz="4" w:space="0" w:color="000000"/>
              <w:left w:val="single" w:sz="4" w:space="0" w:color="000000"/>
              <w:bottom w:val="single" w:sz="12" w:space="0" w:color="000000"/>
              <w:right w:val="single" w:sz="4" w:space="0" w:color="000000"/>
            </w:tcBorders>
          </w:tcPr>
          <w:p>
            <w:pPr>
              <w:pStyle w:val="TableParagraph"/>
              <w:spacing w:before="41"/>
              <w:ind w:left="5"/>
              <w:jc w:val="center"/>
              <w:rPr>
                <w:rFonts w:ascii="PMingLiU" w:eastAsia="PMingLiU" w:hint="eastAsia"/>
                <w:sz w:val="16"/>
              </w:rPr>
            </w:pPr>
            <w:r>
              <w:rPr>
                <w:rFonts w:ascii="PMingLiU" w:eastAsia="PMingLiU" w:hint="eastAsia"/>
                <w:w w:val="99"/>
                <w:sz w:val="16"/>
              </w:rPr>
              <w:t>低</w:t>
            </w:r>
          </w:p>
        </w:tc>
        <w:tc>
          <w:tcPr>
            <w:tcW w:w="1988" w:type="dxa"/>
            <w:tcBorders>
              <w:top w:val="single" w:sz="4" w:space="0" w:color="000000"/>
              <w:left w:val="single" w:sz="4" w:space="0" w:color="000000"/>
              <w:bottom w:val="single" w:sz="12" w:space="0" w:color="000000"/>
              <w:right w:val="single" w:sz="4" w:space="0" w:color="000000"/>
            </w:tcBorders>
          </w:tcPr>
          <w:p>
            <w:pPr>
              <w:pStyle w:val="TableParagraph"/>
              <w:spacing w:before="41"/>
              <w:ind w:left="5"/>
              <w:jc w:val="center"/>
              <w:rPr>
                <w:rFonts w:ascii="PMingLiU" w:eastAsia="PMingLiU" w:hint="eastAsia"/>
                <w:sz w:val="16"/>
              </w:rPr>
            </w:pPr>
            <w:r>
              <w:rPr>
                <w:rFonts w:ascii="PMingLiU" w:eastAsia="PMingLiU" w:hint="eastAsia"/>
                <w:w w:val="99"/>
                <w:sz w:val="16"/>
              </w:rPr>
              <w:t>低</w:t>
            </w:r>
          </w:p>
        </w:tc>
        <w:tc>
          <w:tcPr>
            <w:tcW w:w="2003" w:type="dxa"/>
            <w:tcBorders>
              <w:top w:val="single" w:sz="4" w:space="0" w:color="000000"/>
              <w:left w:val="single" w:sz="4" w:space="0" w:color="000000"/>
              <w:bottom w:val="single" w:sz="12" w:space="0" w:color="000000"/>
              <w:right w:val="nil"/>
            </w:tcBorders>
          </w:tcPr>
          <w:p>
            <w:pPr>
              <w:pStyle w:val="TableParagraph"/>
              <w:spacing w:before="41"/>
              <w:ind w:right="2"/>
              <w:jc w:val="center"/>
              <w:rPr>
                <w:rFonts w:ascii="PMingLiU" w:eastAsia="PMingLiU" w:hint="eastAsia"/>
                <w:sz w:val="16"/>
              </w:rPr>
            </w:pPr>
            <w:r>
              <w:rPr>
                <w:rFonts w:ascii="PMingLiU" w:eastAsia="PMingLiU" w:hint="eastAsia"/>
                <w:w w:val="99"/>
                <w:sz w:val="16"/>
              </w:rPr>
              <w:t>高</w:t>
            </w:r>
          </w:p>
        </w:tc>
      </w:tr>
    </w:tbl>
    <w:p>
      <w:pPr>
        <w:spacing w:before="17"/>
        <w:ind w:left="210" w:right="0" w:firstLine="0"/>
        <w:jc w:val="both"/>
        <w:rPr>
          <w:sz w:val="16"/>
        </w:rPr>
      </w:pPr>
      <w:r>
        <w:rPr>
          <w:sz w:val="16"/>
        </w:rPr>
        <w:t>资料来源</w:t>
      </w:r>
      <w:r>
        <w:rPr>
          <w:rFonts w:ascii="Arial" w:eastAsia="Arial"/>
          <w:sz w:val="16"/>
        </w:rPr>
        <w:t>: </w:t>
      </w:r>
      <w:r>
        <w:rPr>
          <w:sz w:val="16"/>
        </w:rPr>
        <w:t>李成功 中国肿瘤生物治疗杂志 </w:t>
      </w:r>
      <w:r>
        <w:rPr>
          <w:rFonts w:ascii="Arial" w:eastAsia="Arial"/>
          <w:sz w:val="16"/>
        </w:rPr>
        <w:t>2019, </w:t>
      </w:r>
      <w:r>
        <w:rPr>
          <w:sz w:val="16"/>
        </w:rPr>
        <w:t>招银国际证券</w:t>
      </w:r>
    </w:p>
    <w:p>
      <w:pPr>
        <w:pStyle w:val="BodyText"/>
        <w:spacing w:before="12"/>
        <w:ind w:left="0"/>
        <w:rPr>
          <w:sz w:val="21"/>
        </w:rPr>
      </w:pPr>
    </w:p>
    <w:p>
      <w:pPr>
        <w:pStyle w:val="Heading2"/>
        <w:jc w:val="both"/>
      </w:pPr>
      <w:bookmarkStart w:name="_bookmark24" w:id="25"/>
      <w:bookmarkEnd w:id="25"/>
      <w:r>
        <w:rPr>
          <w:b w:val="0"/>
        </w:rPr>
      </w:r>
      <w:r>
        <w:rPr>
          <w:color w:val="585858"/>
        </w:rPr>
        <w:t>多家公司积极布局通用型 </w:t>
      </w:r>
      <w:r>
        <w:rPr>
          <w:rFonts w:ascii="Arial" w:eastAsia="Arial"/>
          <w:color w:val="585858"/>
        </w:rPr>
        <w:t>CAR-T</w:t>
      </w:r>
      <w:r>
        <w:rPr>
          <w:color w:val="585858"/>
        </w:rPr>
        <w:t>，临床进展尚在早期</w:t>
      </w:r>
    </w:p>
    <w:p>
      <w:pPr>
        <w:pStyle w:val="BodyText"/>
        <w:spacing w:line="288" w:lineRule="auto" w:before="120"/>
        <w:ind w:right="2809"/>
        <w:jc w:val="both"/>
        <w:rPr>
          <w:rFonts w:ascii="Arial" w:eastAsia="Arial"/>
        </w:rPr>
      </w:pPr>
      <w:r>
        <w:rPr>
          <w:spacing w:val="4"/>
        </w:rPr>
        <w:t>目前有 </w:t>
      </w:r>
      <w:r>
        <w:rPr>
          <w:rFonts w:ascii="Arial" w:eastAsia="Arial"/>
        </w:rPr>
        <w:t>UCAR-T</w:t>
      </w:r>
      <w:r>
        <w:rPr>
          <w:rFonts w:ascii="Arial" w:eastAsia="Arial"/>
          <w:spacing w:val="53"/>
        </w:rPr>
        <w:t> </w:t>
      </w:r>
      <w:r>
        <w:rPr>
          <w:spacing w:val="-6"/>
        </w:rPr>
        <w:t>产品进入临床阶段的公司尚且较少，这些企业分别掌握了不同的底层的基</w:t>
      </w:r>
      <w:r>
        <w:rPr>
          <w:spacing w:val="-3"/>
        </w:rPr>
        <w:t>因编辑技术。为避免 </w:t>
      </w:r>
      <w:r>
        <w:rPr>
          <w:rFonts w:ascii="Arial" w:eastAsia="Arial"/>
        </w:rPr>
        <w:t>GvHD</w:t>
      </w:r>
      <w:r>
        <w:rPr>
          <w:spacing w:val="-5"/>
        </w:rPr>
        <w:t>，目前主流的做法是直接敲除 </w:t>
      </w:r>
      <w:r>
        <w:rPr>
          <w:rFonts w:ascii="Arial" w:eastAsia="Arial"/>
        </w:rPr>
        <w:t>TCR</w:t>
      </w:r>
      <w:r>
        <w:rPr>
          <w:spacing w:val="-2"/>
        </w:rPr>
        <w:t>，或转入表达 </w:t>
      </w:r>
      <w:r>
        <w:rPr>
          <w:rFonts w:ascii="Arial" w:eastAsia="Arial"/>
        </w:rPr>
        <w:t>TCR </w:t>
      </w:r>
      <w:r>
        <w:rPr>
          <w:spacing w:val="-2"/>
        </w:rPr>
        <w:t>抑制性分</w:t>
      </w:r>
      <w:r>
        <w:rPr>
          <w:spacing w:val="2"/>
        </w:rPr>
        <w:t>子的基因，以减少</w:t>
      </w:r>
      <w:r>
        <w:rPr>
          <w:rFonts w:ascii="Arial" w:eastAsia="Arial"/>
        </w:rPr>
        <w:t>TCR </w:t>
      </w:r>
      <w:r>
        <w:rPr>
          <w:spacing w:val="-4"/>
        </w:rPr>
        <w:t>的形成。目前几乎没有公司在克服 </w:t>
      </w:r>
      <w:r>
        <w:rPr>
          <w:rFonts w:ascii="Arial" w:eastAsia="Arial"/>
        </w:rPr>
        <w:t>GvHD </w:t>
      </w:r>
      <w:r>
        <w:rPr>
          <w:spacing w:val="-5"/>
        </w:rPr>
        <w:t>方面出现问题，主要待解</w:t>
      </w:r>
      <w:r>
        <w:rPr>
          <w:spacing w:val="-1"/>
        </w:rPr>
        <w:t>决的难题在于攻克 </w:t>
      </w:r>
      <w:r>
        <w:rPr>
          <w:rFonts w:ascii="Arial" w:eastAsia="Arial"/>
        </w:rPr>
        <w:t>HVGR</w:t>
      </w:r>
      <w:r>
        <w:rPr/>
        <w:t>。</w:t>
      </w:r>
      <w:r>
        <w:rPr>
          <w:rFonts w:ascii="Arial" w:eastAsia="Arial"/>
        </w:rPr>
        <w:t>HvGR </w:t>
      </w:r>
      <w:r>
        <w:rPr>
          <w:spacing w:val="-5"/>
        </w:rPr>
        <w:t>指患者的免疫细胞对输入体内的异体 </w:t>
      </w:r>
      <w:r>
        <w:rPr>
          <w:rFonts w:ascii="Arial" w:eastAsia="Arial"/>
        </w:rPr>
        <w:t>CAR-T </w:t>
      </w:r>
      <w:r>
        <w:rPr>
          <w:spacing w:val="-3"/>
        </w:rPr>
        <w:t>的攻击，其</w:t>
      </w:r>
      <w:r>
        <w:rPr>
          <w:spacing w:val="14"/>
        </w:rPr>
        <w:t>中患者</w:t>
      </w:r>
      <w:r>
        <w:rPr>
          <w:rFonts w:ascii="Arial" w:eastAsia="Arial"/>
        </w:rPr>
        <w:t>T </w:t>
      </w:r>
      <w:r>
        <w:rPr>
          <w:spacing w:val="8"/>
        </w:rPr>
        <w:t>细胞表面的</w:t>
      </w:r>
      <w:r>
        <w:rPr>
          <w:rFonts w:ascii="Arial" w:eastAsia="Arial"/>
        </w:rPr>
        <w:t>TCR </w:t>
      </w:r>
      <w:r>
        <w:rPr>
          <w:spacing w:val="-1"/>
        </w:rPr>
        <w:t>通过识别异体 </w:t>
      </w:r>
      <w:r>
        <w:rPr>
          <w:rFonts w:ascii="Arial" w:eastAsia="Arial"/>
        </w:rPr>
        <w:t>CAR-T </w:t>
      </w:r>
      <w:r>
        <w:rPr/>
        <w:t>表面的 </w:t>
      </w:r>
      <w:r>
        <w:rPr>
          <w:rFonts w:ascii="Arial" w:eastAsia="Arial"/>
        </w:rPr>
        <w:t>HLA </w:t>
      </w:r>
      <w:r>
        <w:rPr>
          <w:spacing w:val="-5"/>
        </w:rPr>
        <w:t>以确认攻击对象，然而全部敲</w:t>
      </w:r>
      <w:r>
        <w:rPr>
          <w:spacing w:val="-6"/>
        </w:rPr>
        <w:t>除 </w:t>
      </w:r>
      <w:r>
        <w:rPr>
          <w:rFonts w:ascii="Arial" w:eastAsia="Arial"/>
        </w:rPr>
        <w:t>HLA </w:t>
      </w:r>
      <w:r>
        <w:rPr>
          <w:spacing w:val="-1"/>
        </w:rPr>
        <w:t>又会导致患者 </w:t>
      </w:r>
      <w:r>
        <w:rPr>
          <w:rFonts w:ascii="Arial" w:eastAsia="Arial"/>
        </w:rPr>
        <w:t>NK </w:t>
      </w:r>
      <w:r>
        <w:rPr>
          <w:spacing w:val="-6"/>
        </w:rPr>
        <w:t>细胞因为识别不到回输细胞表面的 </w:t>
      </w:r>
      <w:r>
        <w:rPr>
          <w:rFonts w:ascii="Arial" w:eastAsia="Arial"/>
        </w:rPr>
        <w:t>HLA-1 </w:t>
      </w:r>
      <w:r>
        <w:rPr>
          <w:spacing w:val="4"/>
        </w:rPr>
        <w:t>分子，而开展对</w:t>
      </w:r>
      <w:r>
        <w:rPr>
          <w:rFonts w:ascii="Arial" w:eastAsia="Arial"/>
        </w:rPr>
        <w:t>UCAR-</w:t>
      </w:r>
    </w:p>
    <w:p>
      <w:pPr>
        <w:pStyle w:val="BodyText"/>
        <w:spacing w:line="273" w:lineRule="exact"/>
        <w:jc w:val="both"/>
      </w:pPr>
      <w:r>
        <w:rPr>
          <w:rFonts w:ascii="Arial" w:eastAsia="Arial"/>
        </w:rPr>
        <w:t>T </w:t>
      </w:r>
      <w:r>
        <w:rPr/>
        <w:t>细胞的杀伤。综上，同时避免</w:t>
      </w:r>
      <w:r>
        <w:rPr>
          <w:rFonts w:ascii="Arial" w:eastAsia="Arial"/>
        </w:rPr>
        <w:t>T </w:t>
      </w:r>
      <w:r>
        <w:rPr/>
        <w:t>细胞和 </w:t>
      </w:r>
      <w:r>
        <w:rPr>
          <w:rFonts w:ascii="Arial" w:eastAsia="Arial"/>
        </w:rPr>
        <w:t>NK </w:t>
      </w:r>
      <w:r>
        <w:rPr/>
        <w:t>细胞的杀伤是一个比较大的难题。</w:t>
      </w:r>
    </w:p>
    <w:p>
      <w:pPr>
        <w:pStyle w:val="BodyText"/>
        <w:spacing w:line="280" w:lineRule="auto" w:before="122"/>
        <w:ind w:right="2809"/>
        <w:jc w:val="both"/>
        <w:rPr>
          <w:rFonts w:ascii="Arial" w:hAnsi="Arial" w:eastAsia="Arial"/>
        </w:rPr>
      </w:pPr>
      <w:r>
        <w:rPr>
          <w:rFonts w:ascii="Microsoft JhengHei UI" w:hAnsi="Microsoft JhengHei UI" w:eastAsia="Microsoft JhengHei UI" w:hint="eastAsia"/>
          <w:b/>
        </w:rPr>
        <w:t>使用 </w:t>
      </w:r>
      <w:r>
        <w:rPr>
          <w:rFonts w:ascii="Arial" w:hAnsi="Arial" w:eastAsia="Arial"/>
          <w:b/>
        </w:rPr>
        <w:t>TALEN </w:t>
      </w:r>
      <w:r>
        <w:rPr>
          <w:rFonts w:ascii="Microsoft JhengHei UI" w:hAnsi="Microsoft JhengHei UI" w:eastAsia="Microsoft JhengHei UI" w:hint="eastAsia"/>
          <w:b/>
        </w:rPr>
        <w:t>基因编辑技术，</w:t>
      </w:r>
      <w:r>
        <w:rPr>
          <w:rFonts w:ascii="Arial" w:hAnsi="Arial" w:eastAsia="Arial"/>
          <w:b/>
        </w:rPr>
        <w:t>Cellectis</w:t>
      </w:r>
      <w:r>
        <w:rPr>
          <w:rFonts w:ascii="Microsoft JhengHei UI" w:hAnsi="Microsoft JhengHei UI" w:eastAsia="Microsoft JhengHei UI" w:hint="eastAsia"/>
          <w:b/>
        </w:rPr>
        <w:t>（</w:t>
      </w:r>
      <w:r>
        <w:rPr>
          <w:rFonts w:ascii="Arial" w:hAnsi="Arial" w:eastAsia="Arial"/>
          <w:b/>
        </w:rPr>
        <w:t>CLLS US</w:t>
      </w:r>
      <w:r>
        <w:rPr>
          <w:rFonts w:ascii="Microsoft JhengHei UI" w:hAnsi="Microsoft JhengHei UI" w:eastAsia="Microsoft JhengHei UI" w:hint="eastAsia"/>
          <w:b/>
        </w:rPr>
        <w:t>）敲除 </w:t>
      </w:r>
      <w:r>
        <w:rPr>
          <w:rFonts w:ascii="Arial" w:hAnsi="Arial" w:eastAsia="Arial"/>
          <w:b/>
        </w:rPr>
        <w:t>TCR</w:t>
      </w:r>
      <w:r>
        <w:rPr>
          <w:rFonts w:ascii="Microsoft JhengHei UI" w:hAnsi="Microsoft JhengHei UI" w:eastAsia="Microsoft JhengHei UI" w:hint="eastAsia"/>
          <w:b/>
        </w:rPr>
        <w:t>α和 </w:t>
      </w:r>
      <w:r>
        <w:rPr>
          <w:rFonts w:ascii="Arial" w:hAnsi="Arial" w:eastAsia="Arial"/>
          <w:b/>
        </w:rPr>
        <w:t>CD52/ CS1</w:t>
      </w:r>
      <w:r>
        <w:rPr>
          <w:rFonts w:ascii="Microsoft JhengHei UI" w:hAnsi="Microsoft JhengHei UI" w:eastAsia="Microsoft JhengHei UI" w:hint="eastAsia"/>
          <w:b/>
        </w:rPr>
        <w:t>。</w:t>
      </w:r>
      <w:r>
        <w:rPr>
          <w:rFonts w:ascii="Arial" w:hAnsi="Arial" w:eastAsia="Arial"/>
        </w:rPr>
        <w:t>Cellectis </w:t>
      </w:r>
      <w:r>
        <w:rPr/>
        <w:t>的核心技术平台包括</w:t>
      </w:r>
      <w:r>
        <w:rPr>
          <w:rFonts w:ascii="Arial" w:hAnsi="Arial" w:eastAsia="Arial"/>
        </w:rPr>
        <w:t>TALEN </w:t>
      </w:r>
      <w:r>
        <w:rPr/>
        <w:t>基因编辑技术和 </w:t>
      </w:r>
      <w:r>
        <w:rPr>
          <w:rFonts w:ascii="Arial" w:hAnsi="Arial" w:eastAsia="Arial"/>
        </w:rPr>
        <w:t>PulseAgile </w:t>
      </w:r>
      <w:r>
        <w:rPr/>
        <w:t>电穿孔技术。在获得健康供体的</w:t>
      </w:r>
      <w:r>
        <w:rPr>
          <w:rFonts w:ascii="Arial" w:hAnsi="Arial" w:eastAsia="Arial"/>
        </w:rPr>
        <w:t>T </w:t>
      </w:r>
      <w:r>
        <w:rPr/>
        <w:t>细胞后，</w:t>
      </w:r>
      <w:r>
        <w:rPr>
          <w:rFonts w:ascii="Arial" w:hAnsi="Arial" w:eastAsia="Arial"/>
        </w:rPr>
        <w:t>Cellectis </w:t>
      </w:r>
      <w:r>
        <w:rPr/>
        <w:t>使用 </w:t>
      </w:r>
      <w:r>
        <w:rPr>
          <w:rFonts w:ascii="Arial" w:hAnsi="Arial" w:eastAsia="Arial"/>
        </w:rPr>
        <w:t>PulseAgile </w:t>
      </w:r>
      <w:r>
        <w:rPr/>
        <w:t>将 </w:t>
      </w:r>
      <w:r>
        <w:rPr>
          <w:rFonts w:ascii="Arial" w:hAnsi="Arial" w:eastAsia="Arial"/>
        </w:rPr>
        <w:t>TALEN mRNA </w:t>
      </w:r>
      <w:r>
        <w:rPr/>
        <w:t>导入，特异性破坏供体 </w:t>
      </w:r>
      <w:r>
        <w:rPr>
          <w:rFonts w:ascii="Arial" w:hAnsi="Arial" w:eastAsia="Arial"/>
        </w:rPr>
        <w:t>T </w:t>
      </w:r>
      <w:r>
        <w:rPr/>
        <w:t>细胞上的</w:t>
      </w:r>
      <w:r>
        <w:rPr>
          <w:rFonts w:ascii="Arial" w:hAnsi="Arial" w:eastAsia="Arial"/>
        </w:rPr>
        <w:t>TCR-α </w:t>
      </w:r>
      <w:r>
        <w:rPr/>
        <w:t>链和 </w:t>
      </w:r>
      <w:r>
        <w:rPr>
          <w:rFonts w:ascii="Arial" w:hAnsi="Arial" w:eastAsia="Arial"/>
        </w:rPr>
        <w:t>CD52 </w:t>
      </w:r>
      <w:r>
        <w:rPr/>
        <w:t>基因座，再使用慢病毒转导</w:t>
      </w:r>
      <w:r>
        <w:rPr>
          <w:rFonts w:ascii="Arial" w:hAnsi="Arial" w:eastAsia="Arial"/>
        </w:rPr>
        <w:t>CAR </w:t>
      </w:r>
      <w:r>
        <w:rPr/>
        <w:t>基因，获得</w:t>
      </w:r>
      <w:r>
        <w:rPr>
          <w:rFonts w:ascii="Arial" w:hAnsi="Arial" w:eastAsia="Arial"/>
        </w:rPr>
        <w:t>UCAR-T</w:t>
      </w:r>
      <w:r>
        <w:rPr/>
        <w:t>。其中 </w:t>
      </w:r>
      <w:r>
        <w:rPr>
          <w:rFonts w:ascii="Arial" w:hAnsi="Arial" w:eastAsia="Arial"/>
        </w:rPr>
        <w:t>TCRα </w:t>
      </w:r>
      <w:r>
        <w:rPr/>
        <w:t>基因的敲除可以最小化 </w:t>
      </w:r>
      <w:r>
        <w:rPr>
          <w:rFonts w:ascii="Arial" w:hAnsi="Arial" w:eastAsia="Arial"/>
        </w:rPr>
        <w:t>GvHD </w:t>
      </w:r>
      <w:r>
        <w:rPr/>
        <w:t>的发生，</w:t>
      </w:r>
      <w:r>
        <w:rPr>
          <w:rFonts w:ascii="Arial" w:hAnsi="Arial" w:eastAsia="Arial"/>
        </w:rPr>
        <w:t>CD52 </w:t>
      </w:r>
      <w:r>
        <w:rPr/>
        <w:t>基因的敲除可在 </w:t>
      </w:r>
      <w:r>
        <w:rPr>
          <w:rFonts w:ascii="Arial" w:hAnsi="Arial" w:eastAsia="Arial"/>
        </w:rPr>
        <w:t>CD52 </w:t>
      </w:r>
      <w:r>
        <w:rPr/>
        <w:t>单抗的输注下提高 </w:t>
      </w:r>
      <w:r>
        <w:rPr>
          <w:rFonts w:ascii="Arial" w:hAnsi="Arial" w:eastAsia="Arial"/>
        </w:rPr>
        <w:t>UCAR-</w:t>
      </w:r>
    </w:p>
    <w:p>
      <w:pPr>
        <w:pStyle w:val="BodyText"/>
        <w:spacing w:before="5"/>
        <w:jc w:val="both"/>
      </w:pPr>
      <w:r>
        <w:rPr>
          <w:rFonts w:ascii="Arial" w:eastAsia="Arial"/>
        </w:rPr>
        <w:t>T </w:t>
      </w:r>
      <w:r>
        <w:rPr/>
        <w:t>的持久性。</w:t>
      </w:r>
    </w:p>
    <w:p>
      <w:pPr>
        <w:pStyle w:val="Heading3"/>
        <w:spacing w:before="127" w:after="4"/>
      </w:pPr>
      <w:r>
        <w:rPr/>
        <w:t>图 </w:t>
      </w:r>
      <w:r>
        <w:rPr>
          <w:rFonts w:ascii="Arial" w:eastAsia="Arial"/>
        </w:rPr>
        <w:t>46: Cellectis </w:t>
      </w:r>
      <w:r>
        <w:rPr/>
        <w:t>的 </w:t>
      </w:r>
      <w:r>
        <w:rPr>
          <w:rFonts w:ascii="Arial" w:eastAsia="Arial"/>
        </w:rPr>
        <w:t>UCAR-T </w:t>
      </w:r>
      <w:r>
        <w:rPr/>
        <w:t>技术平台</w:t>
      </w:r>
    </w:p>
    <w:p>
      <w:pPr>
        <w:pStyle w:val="BodyText"/>
        <w:ind w:left="181"/>
        <w:rPr>
          <w:rFonts w:ascii="Microsoft JhengHei UI"/>
        </w:rPr>
      </w:pPr>
      <w:r>
        <w:rPr>
          <w:rFonts w:ascii="Microsoft JhengHei UI"/>
        </w:rPr>
        <w:pict>
          <v:group style="width:400.05pt;height:143.85pt;mso-position-horizontal-relative:char;mso-position-vertical-relative:line" coordorigin="0,0" coordsize="8001,2877">
            <v:shape style="position:absolute;left:0;top:0;width:8001;height:2877" coordorigin="0,0" coordsize="8001,2877" path="m8000,2847l0,2847,0,2876,8000,2876,8000,2847xm8000,0l0,0,0,29,8000,29,8000,0xe" filled="true" fillcolor="#000000" stroked="false">
              <v:path arrowok="t"/>
              <v:fill type="solid"/>
            </v:shape>
            <v:shape style="position:absolute;left:139;top:25;width:6706;height:2804" type="#_x0000_t75" stroked="false">
              <v:imagedata r:id="rId50" o:title=""/>
            </v:shape>
          </v:group>
        </w:pict>
      </w:r>
      <w:r>
        <w:rPr>
          <w:rFonts w:ascii="Microsoft JhengHei UI"/>
        </w:rPr>
      </w:r>
    </w:p>
    <w:p>
      <w:pPr>
        <w:spacing w:line="213" w:lineRule="exact" w:before="0"/>
        <w:ind w:left="210" w:right="0" w:firstLine="0"/>
        <w:jc w:val="left"/>
        <w:rPr>
          <w:sz w:val="16"/>
        </w:rPr>
      </w:pPr>
      <w:r>
        <w:rPr>
          <w:sz w:val="16"/>
        </w:rPr>
        <w:t>资料来源</w:t>
      </w:r>
      <w:r>
        <w:rPr>
          <w:rFonts w:ascii="Arial" w:eastAsia="Arial"/>
          <w:sz w:val="16"/>
        </w:rPr>
        <w:t>: </w:t>
      </w:r>
      <w:r>
        <w:rPr>
          <w:sz w:val="16"/>
        </w:rPr>
        <w:t>公司官网，招银国际证券</w:t>
      </w:r>
    </w:p>
    <w:p>
      <w:pPr>
        <w:spacing w:after="0" w:line="213" w:lineRule="exact"/>
        <w:jc w:val="left"/>
        <w:rPr>
          <w:sz w:val="16"/>
        </w:rPr>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612"/>
      </w:pPr>
      <w:r>
        <w:rPr>
          <w:spacing w:val="14"/>
        </w:rPr>
        <w:t>目前</w:t>
      </w:r>
      <w:r>
        <w:rPr>
          <w:rFonts w:ascii="Arial" w:eastAsia="Arial"/>
        </w:rPr>
        <w:t>Cellectis</w:t>
      </w:r>
      <w:r>
        <w:rPr>
          <w:spacing w:val="2"/>
        </w:rPr>
        <w:t>的管线内包括</w:t>
      </w:r>
      <w:r>
        <w:rPr>
          <w:rFonts w:ascii="Arial" w:eastAsia="Arial"/>
        </w:rPr>
        <w:t>6</w:t>
      </w:r>
      <w:r>
        <w:rPr>
          <w:rFonts w:ascii="Arial" w:eastAsia="Arial"/>
          <w:spacing w:val="-20"/>
        </w:rPr>
        <w:t> </w:t>
      </w:r>
      <w:r>
        <w:rPr>
          <w:spacing w:val="28"/>
        </w:rPr>
        <w:t>款</w:t>
      </w:r>
      <w:r>
        <w:rPr>
          <w:rFonts w:ascii="Arial" w:eastAsia="Arial"/>
        </w:rPr>
        <w:t>UCAR-T</w:t>
      </w:r>
      <w:r>
        <w:rPr>
          <w:rFonts w:ascii="Arial" w:eastAsia="Arial"/>
          <w:spacing w:val="-13"/>
        </w:rPr>
        <w:t> </w:t>
      </w:r>
      <w:r>
        <w:rPr>
          <w:spacing w:val="-2"/>
        </w:rPr>
        <w:t>产品，其中自有管线包括</w:t>
      </w:r>
      <w:r>
        <w:rPr>
          <w:rFonts w:ascii="Arial" w:eastAsia="Arial"/>
        </w:rPr>
        <w:t>UCART123</w:t>
      </w:r>
      <w:r>
        <w:rPr/>
        <w:t>、</w:t>
      </w:r>
      <w:r>
        <w:rPr>
          <w:rFonts w:ascii="Arial" w:eastAsia="Arial"/>
        </w:rPr>
        <w:t>UCART22</w:t>
      </w:r>
      <w:r>
        <w:rPr/>
        <w:t>、</w:t>
      </w:r>
      <w:r>
        <w:rPr>
          <w:rFonts w:ascii="Arial" w:eastAsia="Arial"/>
        </w:rPr>
        <w:t>UCARTCS1</w:t>
      </w:r>
      <w:r>
        <w:rPr>
          <w:rFonts w:ascii="Arial" w:eastAsia="Arial"/>
          <w:spacing w:val="-26"/>
        </w:rPr>
        <w:t> </w:t>
      </w:r>
      <w:r>
        <w:rPr>
          <w:spacing w:val="38"/>
        </w:rPr>
        <w:t>和</w:t>
      </w:r>
      <w:r>
        <w:rPr>
          <w:rFonts w:ascii="Arial" w:eastAsia="Arial"/>
        </w:rPr>
        <w:t>UCART20x22</w:t>
      </w:r>
      <w:r>
        <w:rPr>
          <w:spacing w:val="-6"/>
        </w:rPr>
        <w:t>，前三款产品目前处于 </w:t>
      </w:r>
      <w:r>
        <w:rPr>
          <w:rFonts w:ascii="Arial" w:eastAsia="Arial"/>
        </w:rPr>
        <w:t>I</w:t>
      </w:r>
      <w:r>
        <w:rPr>
          <w:rFonts w:ascii="Arial" w:eastAsia="Arial"/>
          <w:spacing w:val="-23"/>
        </w:rPr>
        <w:t> </w:t>
      </w:r>
      <w:r>
        <w:rPr>
          <w:spacing w:val="-4"/>
        </w:rPr>
        <w:t>期临床剂量扩展阶段，</w:t>
      </w:r>
      <w:r>
        <w:rPr>
          <w:rFonts w:ascii="Arial" w:eastAsia="Arial"/>
        </w:rPr>
        <w:t>UCART20x22 </w:t>
      </w:r>
      <w:r>
        <w:rPr>
          <w:spacing w:val="48"/>
        </w:rPr>
        <w:t>的</w:t>
      </w:r>
      <w:r>
        <w:rPr>
          <w:rFonts w:ascii="Arial" w:eastAsia="Arial"/>
        </w:rPr>
        <w:t>IND</w:t>
      </w:r>
      <w:r>
        <w:rPr>
          <w:rFonts w:ascii="Arial" w:eastAsia="Arial"/>
          <w:spacing w:val="-14"/>
        </w:rPr>
        <w:t> </w:t>
      </w:r>
      <w:r>
        <w:rPr>
          <w:spacing w:val="-1"/>
        </w:rPr>
        <w:t>申请于 </w:t>
      </w:r>
      <w:r>
        <w:rPr>
          <w:rFonts w:ascii="Arial" w:eastAsia="Arial"/>
        </w:rPr>
        <w:t>2022</w:t>
      </w:r>
      <w:r>
        <w:rPr>
          <w:rFonts w:ascii="Arial" w:eastAsia="Arial"/>
          <w:spacing w:val="-15"/>
        </w:rPr>
        <w:t> </w:t>
      </w:r>
      <w:r>
        <w:rPr>
          <w:spacing w:val="-1"/>
        </w:rPr>
        <w:t>年 </w:t>
      </w:r>
      <w:r>
        <w:rPr>
          <w:rFonts w:ascii="Arial" w:eastAsia="Arial"/>
        </w:rPr>
        <w:t>8</w:t>
      </w:r>
      <w:r>
        <w:rPr>
          <w:rFonts w:ascii="Arial" w:eastAsia="Arial"/>
          <w:spacing w:val="-14"/>
        </w:rPr>
        <w:t> </w:t>
      </w:r>
      <w:r>
        <w:rPr>
          <w:spacing w:val="24"/>
        </w:rPr>
        <w:t>月获</w:t>
      </w:r>
      <w:r>
        <w:rPr>
          <w:rFonts w:ascii="Arial" w:eastAsia="Arial"/>
        </w:rPr>
        <w:t>FDA</w:t>
      </w:r>
      <w:r>
        <w:rPr>
          <w:rFonts w:ascii="Arial" w:eastAsia="Arial"/>
          <w:spacing w:val="-12"/>
        </w:rPr>
        <w:t> </w:t>
      </w:r>
      <w:r>
        <w:rPr>
          <w:spacing w:val="-2"/>
        </w:rPr>
        <w:t>批准，公司计划于 </w:t>
      </w:r>
      <w:r>
        <w:rPr>
          <w:rFonts w:ascii="Arial" w:eastAsia="Arial"/>
          <w:spacing w:val="-3"/>
        </w:rPr>
        <w:t>2H22</w:t>
      </w:r>
      <w:r>
        <w:rPr>
          <w:rFonts w:ascii="Arial" w:eastAsia="Arial"/>
          <w:spacing w:val="-14"/>
        </w:rPr>
        <w:t> </w:t>
      </w:r>
      <w:r>
        <w:rPr>
          <w:spacing w:val="-1"/>
        </w:rPr>
        <w:t>开始患者招募。</w:t>
      </w:r>
    </w:p>
    <w:p>
      <w:pPr>
        <w:pStyle w:val="Heading3"/>
        <w:spacing w:after="9"/>
        <w:jc w:val="left"/>
      </w:pPr>
      <w:r>
        <w:rPr/>
        <w:t>图 </w:t>
      </w:r>
      <w:r>
        <w:rPr>
          <w:rFonts w:ascii="Arial" w:eastAsia="Arial"/>
        </w:rPr>
        <w:t>47: Cellectis </w:t>
      </w:r>
      <w:r>
        <w:rPr/>
        <w:t>临床阶段产品管线</w:t>
      </w:r>
    </w:p>
    <w:p>
      <w:pPr>
        <w:pStyle w:val="BodyText"/>
        <w:ind w:left="181"/>
        <w:rPr>
          <w:rFonts w:ascii="Microsoft JhengHei UI"/>
        </w:rPr>
      </w:pPr>
      <w:r>
        <w:rPr>
          <w:rFonts w:ascii="Microsoft JhengHei UI"/>
        </w:rPr>
        <w:drawing>
          <wp:inline distT="0" distB="0" distL="0" distR="0">
            <wp:extent cx="5074900" cy="2281237"/>
            <wp:effectExtent l="0" t="0" r="0" b="0"/>
            <wp:docPr id="43" name="image33.png"/>
            <wp:cNvGraphicFramePr>
              <a:graphicFrameLocks noChangeAspect="1"/>
            </wp:cNvGraphicFramePr>
            <a:graphic>
              <a:graphicData uri="http://schemas.openxmlformats.org/drawingml/2006/picture">
                <pic:pic>
                  <pic:nvPicPr>
                    <pic:cNvPr id="44" name="image33.png"/>
                    <pic:cNvPicPr/>
                  </pic:nvPicPr>
                  <pic:blipFill>
                    <a:blip r:embed="rId51" cstate="print"/>
                    <a:stretch>
                      <a:fillRect/>
                    </a:stretch>
                  </pic:blipFill>
                  <pic:spPr>
                    <a:xfrm>
                      <a:off x="0" y="0"/>
                      <a:ext cx="5074900" cy="2281237"/>
                    </a:xfrm>
                    <a:prstGeom prst="rect">
                      <a:avLst/>
                    </a:prstGeom>
                  </pic:spPr>
                </pic:pic>
              </a:graphicData>
            </a:graphic>
          </wp:inline>
        </w:drawing>
      </w:r>
      <w:r>
        <w:rPr>
          <w:rFonts w:ascii="Microsoft JhengHei UI"/>
        </w:rPr>
      </w:r>
    </w:p>
    <w:p>
      <w:pPr>
        <w:spacing w:before="20"/>
        <w:ind w:left="210" w:right="0" w:firstLine="0"/>
        <w:jc w:val="left"/>
        <w:rPr>
          <w:sz w:val="16"/>
        </w:rPr>
      </w:pPr>
      <w:r>
        <w:rPr>
          <w:sz w:val="16"/>
        </w:rPr>
        <w:t>资料来源</w:t>
      </w:r>
      <w:r>
        <w:rPr>
          <w:rFonts w:ascii="Arial" w:eastAsia="Arial"/>
          <w:sz w:val="16"/>
        </w:rPr>
        <w:t>: </w:t>
      </w:r>
      <w:r>
        <w:rPr>
          <w:sz w:val="16"/>
        </w:rPr>
        <w:t>公司官网，招银国际证券</w:t>
      </w:r>
    </w:p>
    <w:p>
      <w:pPr>
        <w:pStyle w:val="BodyText"/>
        <w:spacing w:before="7"/>
        <w:ind w:left="0"/>
        <w:rPr>
          <w:sz w:val="21"/>
        </w:rPr>
      </w:pPr>
    </w:p>
    <w:p>
      <w:pPr>
        <w:spacing w:line="244" w:lineRule="auto" w:before="45"/>
        <w:ind w:left="210" w:right="2809" w:firstLine="0"/>
        <w:jc w:val="both"/>
        <w:rPr>
          <w:rFonts w:ascii="Arial" w:hAnsi="Arial" w:eastAsia="Arial"/>
          <w:sz w:val="20"/>
        </w:rPr>
      </w:pPr>
      <w:r>
        <w:rPr>
          <w:rFonts w:ascii="Microsoft JhengHei UI" w:hAnsi="Microsoft JhengHei UI" w:eastAsia="Microsoft JhengHei UI" w:hint="eastAsia"/>
          <w:b/>
          <w:spacing w:val="48"/>
          <w:sz w:val="20"/>
        </w:rPr>
        <w:t>自</w:t>
      </w:r>
      <w:r>
        <w:rPr>
          <w:rFonts w:ascii="Arial" w:hAnsi="Arial" w:eastAsia="Arial"/>
          <w:b/>
          <w:sz w:val="20"/>
        </w:rPr>
        <w:t>Cellectis</w:t>
      </w:r>
      <w:r>
        <w:rPr>
          <w:rFonts w:ascii="Arial" w:hAnsi="Arial" w:eastAsia="Arial"/>
          <w:b/>
          <w:spacing w:val="-16"/>
          <w:sz w:val="20"/>
        </w:rPr>
        <w:t> </w:t>
      </w:r>
      <w:r>
        <w:rPr>
          <w:rFonts w:ascii="Microsoft JhengHei UI" w:hAnsi="Microsoft JhengHei UI" w:eastAsia="Microsoft JhengHei UI" w:hint="eastAsia"/>
          <w:b/>
          <w:spacing w:val="21"/>
          <w:sz w:val="20"/>
        </w:rPr>
        <w:t>获得</w:t>
      </w:r>
      <w:r>
        <w:rPr>
          <w:rFonts w:ascii="Arial" w:hAnsi="Arial" w:eastAsia="Arial"/>
          <w:b/>
          <w:sz w:val="20"/>
        </w:rPr>
        <w:t>TALEN</w:t>
      </w:r>
      <w:r>
        <w:rPr>
          <w:rFonts w:ascii="Arial" w:hAnsi="Arial" w:eastAsia="Arial"/>
          <w:b/>
          <w:spacing w:val="-17"/>
          <w:sz w:val="20"/>
        </w:rPr>
        <w:t> </w:t>
      </w:r>
      <w:r>
        <w:rPr>
          <w:rFonts w:ascii="Microsoft JhengHei UI" w:hAnsi="Microsoft JhengHei UI" w:eastAsia="Microsoft JhengHei UI" w:hint="eastAsia"/>
          <w:b/>
          <w:sz w:val="20"/>
        </w:rPr>
        <w:t>授权，</w:t>
      </w:r>
      <w:r>
        <w:rPr>
          <w:rFonts w:ascii="Arial" w:hAnsi="Arial" w:eastAsia="Arial"/>
          <w:b/>
          <w:sz w:val="20"/>
        </w:rPr>
        <w:t>Allogene</w:t>
      </w:r>
      <w:r>
        <w:rPr>
          <w:rFonts w:ascii="Microsoft JhengHei UI" w:hAnsi="Microsoft JhengHei UI" w:eastAsia="Microsoft JhengHei UI" w:hint="eastAsia"/>
          <w:b/>
          <w:sz w:val="20"/>
        </w:rPr>
        <w:t>（</w:t>
      </w:r>
      <w:r>
        <w:rPr>
          <w:rFonts w:ascii="Arial" w:hAnsi="Arial" w:eastAsia="Arial"/>
          <w:b/>
          <w:sz w:val="20"/>
        </w:rPr>
        <w:t>ALLO</w:t>
      </w:r>
      <w:r>
        <w:rPr>
          <w:rFonts w:ascii="Arial" w:hAnsi="Arial" w:eastAsia="Arial"/>
          <w:b/>
          <w:spacing w:val="-7"/>
          <w:sz w:val="20"/>
        </w:rPr>
        <w:t> </w:t>
      </w:r>
      <w:r>
        <w:rPr>
          <w:rFonts w:ascii="Arial" w:hAnsi="Arial" w:eastAsia="Arial"/>
          <w:b/>
          <w:spacing w:val="-2"/>
          <w:sz w:val="20"/>
        </w:rPr>
        <w:t>US</w:t>
      </w:r>
      <w:r>
        <w:rPr>
          <w:rFonts w:ascii="Microsoft JhengHei UI" w:hAnsi="Microsoft JhengHei UI" w:eastAsia="Microsoft JhengHei UI" w:hint="eastAsia"/>
          <w:b/>
          <w:spacing w:val="-2"/>
          <w:sz w:val="20"/>
        </w:rPr>
        <w:t>）</w:t>
      </w:r>
      <w:r>
        <w:rPr>
          <w:rFonts w:ascii="Microsoft JhengHei UI" w:hAnsi="Microsoft JhengHei UI" w:eastAsia="Microsoft JhengHei UI" w:hint="eastAsia"/>
          <w:b/>
          <w:spacing w:val="8"/>
          <w:sz w:val="20"/>
        </w:rPr>
        <w:t>的核心产品</w:t>
      </w:r>
      <w:r>
        <w:rPr>
          <w:rFonts w:ascii="Arial" w:hAnsi="Arial" w:eastAsia="Arial"/>
          <w:b/>
          <w:spacing w:val="-3"/>
          <w:sz w:val="20"/>
        </w:rPr>
        <w:t>ALLO-501A</w:t>
      </w:r>
      <w:r>
        <w:rPr>
          <w:rFonts w:ascii="Arial" w:hAnsi="Arial" w:eastAsia="Arial"/>
          <w:b/>
          <w:spacing w:val="-16"/>
          <w:sz w:val="20"/>
        </w:rPr>
        <w:t> </w:t>
      </w:r>
      <w:r>
        <w:rPr>
          <w:rFonts w:ascii="Microsoft JhengHei UI" w:hAnsi="Microsoft JhengHei UI" w:eastAsia="Microsoft JhengHei UI" w:hint="eastAsia"/>
          <w:b/>
          <w:sz w:val="20"/>
        </w:rPr>
        <w:t>临床进度靠前。</w:t>
      </w:r>
      <w:r>
        <w:rPr>
          <w:rFonts w:ascii="Arial" w:hAnsi="Arial" w:eastAsia="Arial"/>
          <w:sz w:val="20"/>
        </w:rPr>
        <w:t>Allogene</w:t>
      </w:r>
      <w:r>
        <w:rPr>
          <w:rFonts w:ascii="Arial" w:hAnsi="Arial" w:eastAsia="Arial"/>
          <w:spacing w:val="3"/>
          <w:sz w:val="20"/>
        </w:rPr>
        <w:t> </w:t>
      </w:r>
      <w:r>
        <w:rPr>
          <w:spacing w:val="3"/>
          <w:sz w:val="20"/>
        </w:rPr>
        <w:t>由两位 </w:t>
      </w:r>
      <w:r>
        <w:rPr>
          <w:rFonts w:ascii="Arial" w:hAnsi="Arial" w:eastAsia="Arial"/>
          <w:sz w:val="20"/>
        </w:rPr>
        <w:t>Kite</w:t>
      </w:r>
      <w:r>
        <w:rPr>
          <w:rFonts w:ascii="Arial" w:hAnsi="Arial" w:eastAsia="Arial"/>
          <w:spacing w:val="3"/>
          <w:sz w:val="20"/>
        </w:rPr>
        <w:t> </w:t>
      </w:r>
      <w:r>
        <w:rPr>
          <w:spacing w:val="-4"/>
          <w:sz w:val="20"/>
        </w:rPr>
        <w:t>的前高管创立，其进展最快的 </w:t>
      </w:r>
      <w:r>
        <w:rPr>
          <w:rFonts w:ascii="Arial" w:hAnsi="Arial" w:eastAsia="Arial"/>
          <w:sz w:val="20"/>
        </w:rPr>
        <w:t>UCAR-T</w:t>
      </w:r>
      <w:r>
        <w:rPr>
          <w:rFonts w:ascii="Arial" w:hAnsi="Arial" w:eastAsia="Arial"/>
          <w:spacing w:val="2"/>
          <w:sz w:val="20"/>
        </w:rPr>
        <w:t> </w:t>
      </w:r>
      <w:r>
        <w:rPr>
          <w:spacing w:val="4"/>
          <w:sz w:val="20"/>
        </w:rPr>
        <w:t>产品 </w:t>
      </w:r>
      <w:r>
        <w:rPr>
          <w:rFonts w:ascii="Arial" w:hAnsi="Arial" w:eastAsia="Arial"/>
          <w:sz w:val="20"/>
        </w:rPr>
        <w:t>ALLO-501A </w:t>
      </w:r>
      <w:r>
        <w:rPr>
          <w:sz w:val="20"/>
        </w:rPr>
        <w:t>使用</w:t>
      </w:r>
      <w:r>
        <w:rPr>
          <w:rFonts w:ascii="Arial" w:hAnsi="Arial" w:eastAsia="Arial"/>
          <w:sz w:val="20"/>
        </w:rPr>
        <w:t>TALEN</w:t>
      </w:r>
      <w:r>
        <w:rPr>
          <w:rFonts w:ascii="Arial" w:hAnsi="Arial" w:eastAsia="Arial"/>
          <w:spacing w:val="-18"/>
          <w:sz w:val="20"/>
        </w:rPr>
        <w:t> </w:t>
      </w:r>
      <w:r>
        <w:rPr>
          <w:spacing w:val="-3"/>
          <w:sz w:val="20"/>
        </w:rPr>
        <w:t>技术敲除了 </w:t>
      </w:r>
      <w:r>
        <w:rPr>
          <w:rFonts w:ascii="Arial" w:hAnsi="Arial" w:eastAsia="Arial"/>
          <w:sz w:val="20"/>
        </w:rPr>
        <w:t>T</w:t>
      </w:r>
      <w:r>
        <w:rPr>
          <w:rFonts w:ascii="Arial" w:hAnsi="Arial" w:eastAsia="Arial"/>
          <w:spacing w:val="-15"/>
          <w:sz w:val="20"/>
        </w:rPr>
        <w:t> </w:t>
      </w:r>
      <w:r>
        <w:rPr>
          <w:spacing w:val="-2"/>
          <w:sz w:val="20"/>
        </w:rPr>
        <w:t>细胞受体</w:t>
      </w:r>
      <w:r>
        <w:rPr>
          <w:w w:val="90"/>
          <w:sz w:val="20"/>
        </w:rPr>
        <w:t>α</w:t>
      </w:r>
      <w:r>
        <w:rPr>
          <w:spacing w:val="4"/>
          <w:sz w:val="20"/>
        </w:rPr>
        <w:t>恒定区 </w:t>
      </w:r>
      <w:r>
        <w:rPr>
          <w:rFonts w:ascii="Arial" w:hAnsi="Arial" w:eastAsia="Arial"/>
          <w:sz w:val="20"/>
        </w:rPr>
        <w:t>(TRAC</w:t>
      </w:r>
      <w:r>
        <w:rPr>
          <w:rFonts w:ascii="Arial" w:hAnsi="Arial" w:eastAsia="Arial"/>
          <w:spacing w:val="8"/>
          <w:sz w:val="20"/>
        </w:rPr>
        <w:t>) </w:t>
      </w:r>
      <w:r>
        <w:rPr>
          <w:spacing w:val="-2"/>
          <w:sz w:val="20"/>
        </w:rPr>
        <w:t>和 </w:t>
      </w:r>
      <w:r>
        <w:rPr>
          <w:rFonts w:ascii="Arial" w:hAnsi="Arial" w:eastAsia="Arial"/>
          <w:sz w:val="20"/>
        </w:rPr>
        <w:t>CD52</w:t>
      </w:r>
      <w:r>
        <w:rPr>
          <w:rFonts w:ascii="Arial" w:hAnsi="Arial" w:eastAsia="Arial"/>
          <w:spacing w:val="-18"/>
          <w:sz w:val="20"/>
        </w:rPr>
        <w:t> </w:t>
      </w:r>
      <w:r>
        <w:rPr>
          <w:sz w:val="20"/>
        </w:rPr>
        <w:t>基因。</w:t>
      </w:r>
      <w:r>
        <w:rPr>
          <w:rFonts w:ascii="Arial" w:hAnsi="Arial" w:eastAsia="Arial"/>
          <w:sz w:val="20"/>
        </w:rPr>
        <w:t>2022</w:t>
      </w:r>
      <w:r>
        <w:rPr>
          <w:rFonts w:ascii="Arial" w:hAnsi="Arial" w:eastAsia="Arial"/>
          <w:spacing w:val="-19"/>
          <w:sz w:val="20"/>
        </w:rPr>
        <w:t> </w:t>
      </w:r>
      <w:r>
        <w:rPr>
          <w:spacing w:val="-2"/>
          <w:sz w:val="20"/>
        </w:rPr>
        <w:t>年 </w:t>
      </w:r>
      <w:r>
        <w:rPr>
          <w:rFonts w:ascii="Arial" w:hAnsi="Arial" w:eastAsia="Arial"/>
          <w:sz w:val="20"/>
        </w:rPr>
        <w:t>6</w:t>
      </w:r>
      <w:r>
        <w:rPr>
          <w:rFonts w:ascii="Arial" w:hAnsi="Arial" w:eastAsia="Arial"/>
          <w:spacing w:val="-18"/>
          <w:sz w:val="20"/>
        </w:rPr>
        <w:t> </w:t>
      </w:r>
      <w:r>
        <w:rPr>
          <w:spacing w:val="-2"/>
          <w:sz w:val="20"/>
        </w:rPr>
        <w:t>月 </w:t>
      </w:r>
      <w:r>
        <w:rPr>
          <w:rFonts w:ascii="Arial" w:hAnsi="Arial" w:eastAsia="Arial"/>
          <w:sz w:val="20"/>
        </w:rPr>
        <w:t>8</w:t>
      </w:r>
      <w:r>
        <w:rPr>
          <w:rFonts w:ascii="Arial" w:hAnsi="Arial" w:eastAsia="Arial"/>
          <w:spacing w:val="-18"/>
          <w:sz w:val="20"/>
        </w:rPr>
        <w:t> </w:t>
      </w:r>
      <w:r>
        <w:rPr>
          <w:sz w:val="20"/>
        </w:rPr>
        <w:t>日，</w:t>
      </w:r>
      <w:r>
        <w:rPr>
          <w:rFonts w:ascii="Arial" w:hAnsi="Arial" w:eastAsia="Arial"/>
          <w:sz w:val="20"/>
        </w:rPr>
        <w:t>ALLO-</w:t>
      </w:r>
    </w:p>
    <w:p>
      <w:pPr>
        <w:pStyle w:val="BodyText"/>
        <w:spacing w:line="288" w:lineRule="auto" w:before="51"/>
        <w:ind w:right="2814"/>
        <w:jc w:val="both"/>
      </w:pPr>
      <w:r>
        <w:rPr>
          <w:rFonts w:ascii="Arial" w:eastAsia="Arial"/>
        </w:rPr>
        <w:t>501A </w:t>
      </w:r>
      <w:r>
        <w:rPr>
          <w:spacing w:val="5"/>
        </w:rPr>
        <w:t>获 </w:t>
      </w:r>
      <w:r>
        <w:rPr>
          <w:rFonts w:ascii="Arial" w:eastAsia="Arial"/>
        </w:rPr>
        <w:t>FDA </w:t>
      </w:r>
      <w:r>
        <w:rPr>
          <w:spacing w:val="1"/>
        </w:rPr>
        <w:t>授予 </w:t>
      </w:r>
      <w:r>
        <w:rPr>
          <w:rFonts w:ascii="Arial" w:eastAsia="Arial"/>
        </w:rPr>
        <w:t>RMAT </w:t>
      </w:r>
      <w:r>
        <w:rPr>
          <w:spacing w:val="-3"/>
        </w:rPr>
        <w:t>资格认定，用于治疗 </w:t>
      </w:r>
      <w:r>
        <w:rPr>
          <w:rFonts w:ascii="Arial" w:eastAsia="Arial"/>
        </w:rPr>
        <w:t>r/r </w:t>
      </w:r>
      <w:r>
        <w:rPr>
          <w:rFonts w:ascii="Arial" w:eastAsia="Arial"/>
          <w:spacing w:val="-3"/>
        </w:rPr>
        <w:t>LBCL</w:t>
      </w:r>
      <w:r>
        <w:rPr>
          <w:spacing w:val="-4"/>
        </w:rPr>
        <w:t>，目前公司已经在筹备 </w:t>
      </w:r>
      <w:r>
        <w:rPr>
          <w:rFonts w:ascii="Arial" w:eastAsia="Arial"/>
        </w:rPr>
        <w:t>II </w:t>
      </w:r>
      <w:r>
        <w:rPr>
          <w:spacing w:val="-2"/>
        </w:rPr>
        <w:t>期关键临</w:t>
      </w:r>
      <w:r>
        <w:rPr>
          <w:spacing w:val="7"/>
        </w:rPr>
        <w:t>床。然而</w:t>
      </w:r>
      <w:r>
        <w:rPr>
          <w:rFonts w:ascii="Arial" w:eastAsia="Arial"/>
        </w:rPr>
        <w:t>ALLO-501A </w:t>
      </w:r>
      <w:r>
        <w:rPr>
          <w:spacing w:val="-3"/>
        </w:rPr>
        <w:t>的临床开展并非一帆风顺。</w:t>
      </w:r>
      <w:r>
        <w:rPr>
          <w:rFonts w:ascii="Arial" w:eastAsia="Arial"/>
        </w:rPr>
        <w:t>2021 </w:t>
      </w:r>
      <w:r>
        <w:rPr>
          <w:spacing w:val="-3"/>
        </w:rPr>
        <w:t>年 </w:t>
      </w:r>
      <w:r>
        <w:rPr>
          <w:rFonts w:ascii="Arial" w:eastAsia="Arial"/>
        </w:rPr>
        <w:t>10 </w:t>
      </w:r>
      <w:r>
        <w:rPr/>
        <w:t>月，</w:t>
      </w:r>
      <w:r>
        <w:rPr>
          <w:rFonts w:ascii="Arial" w:eastAsia="Arial"/>
        </w:rPr>
        <w:t>FDA </w:t>
      </w:r>
      <w:r>
        <w:rPr>
          <w:spacing w:val="-3"/>
        </w:rPr>
        <w:t>曾基于染色体异常的</w:t>
      </w:r>
      <w:r>
        <w:rPr>
          <w:spacing w:val="-2"/>
        </w:rPr>
        <w:t>风险，暂停了 </w:t>
      </w:r>
      <w:r>
        <w:rPr>
          <w:rFonts w:ascii="Arial" w:eastAsia="Arial"/>
        </w:rPr>
        <w:t>ALLO-501A </w:t>
      </w:r>
      <w:r>
        <w:rPr>
          <w:spacing w:val="-4"/>
        </w:rPr>
        <w:t>的临床研究，后续调查发现 </w:t>
      </w:r>
      <w:r>
        <w:rPr>
          <w:rFonts w:ascii="Arial" w:eastAsia="Arial"/>
        </w:rPr>
        <w:t>CAR-T </w:t>
      </w:r>
      <w:r>
        <w:rPr>
          <w:spacing w:val="-4"/>
        </w:rPr>
        <w:t>与染色体异常无关，</w:t>
      </w:r>
      <w:r>
        <w:rPr>
          <w:rFonts w:ascii="Arial" w:eastAsia="Arial"/>
        </w:rPr>
        <w:t>FDA </w:t>
      </w:r>
      <w:r>
        <w:rPr/>
        <w:t>于</w:t>
      </w:r>
      <w:r>
        <w:rPr>
          <w:rFonts w:ascii="Arial" w:eastAsia="Arial"/>
        </w:rPr>
        <w:t>2022 </w:t>
      </w:r>
      <w:r>
        <w:rPr>
          <w:spacing w:val="4"/>
        </w:rPr>
        <w:t>年 </w:t>
      </w:r>
      <w:r>
        <w:rPr>
          <w:rFonts w:ascii="Arial" w:eastAsia="Arial"/>
        </w:rPr>
        <w:t>1 </w:t>
      </w:r>
      <w:r>
        <w:rPr>
          <w:spacing w:val="-4"/>
        </w:rPr>
        <w:t>月解除临床暂停。此外，</w:t>
      </w:r>
      <w:r>
        <w:rPr>
          <w:rFonts w:ascii="Arial" w:eastAsia="Arial"/>
        </w:rPr>
        <w:t>2022 </w:t>
      </w:r>
      <w:r>
        <w:rPr>
          <w:spacing w:val="4"/>
        </w:rPr>
        <w:t>年 </w:t>
      </w:r>
      <w:r>
        <w:rPr>
          <w:rFonts w:ascii="Arial" w:eastAsia="Arial"/>
        </w:rPr>
        <w:t>9 </w:t>
      </w:r>
      <w:r>
        <w:rPr>
          <w:spacing w:val="4"/>
        </w:rPr>
        <w:t>月 </w:t>
      </w:r>
      <w:r>
        <w:rPr>
          <w:rFonts w:ascii="Arial" w:eastAsia="Arial"/>
        </w:rPr>
        <w:t>22 </w:t>
      </w:r>
      <w:r>
        <w:rPr>
          <w:spacing w:val="-3"/>
        </w:rPr>
        <w:t>日，</w:t>
      </w:r>
      <w:r>
        <w:rPr>
          <w:rFonts w:ascii="Arial" w:eastAsia="Arial"/>
        </w:rPr>
        <w:t>Servier </w:t>
      </w:r>
      <w:r>
        <w:rPr/>
        <w:t>终止与 </w:t>
      </w:r>
      <w:r>
        <w:rPr>
          <w:rFonts w:ascii="Arial" w:eastAsia="Arial"/>
        </w:rPr>
        <w:t>Allogene </w:t>
      </w:r>
      <w:r>
        <w:rPr>
          <w:spacing w:val="-2"/>
        </w:rPr>
        <w:t>的两项合</w:t>
      </w:r>
      <w:r>
        <w:rPr>
          <w:spacing w:val="10"/>
        </w:rPr>
        <w:t>作，放弃</w:t>
      </w:r>
      <w:r>
        <w:rPr>
          <w:rFonts w:ascii="Arial" w:eastAsia="Arial"/>
        </w:rPr>
        <w:t>ALLO-501A </w:t>
      </w:r>
      <w:r>
        <w:rPr>
          <w:spacing w:val="48"/>
        </w:rPr>
        <w:t>和</w:t>
      </w:r>
      <w:r>
        <w:rPr>
          <w:rFonts w:ascii="Arial" w:eastAsia="Arial"/>
        </w:rPr>
        <w:t>ALLO-501 </w:t>
      </w:r>
      <w:r>
        <w:rPr>
          <w:spacing w:val="-5"/>
        </w:rPr>
        <w:t>两款产品的美国以外地区商业化权益。</w:t>
      </w:r>
    </w:p>
    <w:p>
      <w:pPr>
        <w:pStyle w:val="BodyText"/>
        <w:spacing w:line="288" w:lineRule="auto" w:before="113"/>
        <w:ind w:right="2612"/>
      </w:pPr>
      <w:r>
        <w:rPr/>
        <w:t>此前，</w:t>
      </w:r>
      <w:r>
        <w:rPr>
          <w:rFonts w:ascii="Arial" w:eastAsia="Arial"/>
        </w:rPr>
        <w:t>Allogene</w:t>
      </w:r>
      <w:r>
        <w:rPr>
          <w:rFonts w:ascii="Arial" w:eastAsia="Arial"/>
          <w:spacing w:val="-4"/>
        </w:rPr>
        <w:t> </w:t>
      </w:r>
      <w:r>
        <w:rPr>
          <w:spacing w:val="2"/>
        </w:rPr>
        <w:t>在 </w:t>
      </w:r>
      <w:r>
        <w:rPr>
          <w:rFonts w:ascii="Arial" w:eastAsia="Arial"/>
        </w:rPr>
        <w:t>ASH</w:t>
      </w:r>
      <w:r>
        <w:rPr>
          <w:rFonts w:ascii="Arial" w:eastAsia="Arial"/>
          <w:spacing w:val="35"/>
        </w:rPr>
        <w:t> </w:t>
      </w:r>
      <w:r>
        <w:rPr>
          <w:rFonts w:ascii="Arial" w:eastAsia="Arial"/>
        </w:rPr>
        <w:t>2021</w:t>
      </w:r>
      <w:r>
        <w:rPr>
          <w:rFonts w:ascii="Arial" w:eastAsia="Arial"/>
          <w:spacing w:val="-4"/>
        </w:rPr>
        <w:t> </w:t>
      </w:r>
      <w:r>
        <w:rPr>
          <w:spacing w:val="-1"/>
        </w:rPr>
        <w:t>上公布了 </w:t>
      </w:r>
      <w:r>
        <w:rPr>
          <w:rFonts w:ascii="Arial" w:eastAsia="Arial"/>
        </w:rPr>
        <w:t>ALLO-501A</w:t>
      </w:r>
      <w:r>
        <w:rPr>
          <w:rFonts w:ascii="Arial" w:eastAsia="Arial"/>
          <w:spacing w:val="-3"/>
        </w:rPr>
        <w:t> </w:t>
      </w:r>
      <w:r>
        <w:rPr>
          <w:spacing w:val="-3"/>
        </w:rPr>
        <w:t>的早期临床数据，在 </w:t>
      </w:r>
      <w:r>
        <w:rPr>
          <w:rFonts w:ascii="Arial" w:eastAsia="Arial"/>
        </w:rPr>
        <w:t>12</w:t>
      </w:r>
      <w:r>
        <w:rPr>
          <w:rFonts w:ascii="Arial" w:eastAsia="Arial"/>
          <w:spacing w:val="-4"/>
        </w:rPr>
        <w:t> </w:t>
      </w:r>
      <w:r>
        <w:rPr>
          <w:spacing w:val="-2"/>
        </w:rPr>
        <w:t>例可评价患者 </w:t>
      </w:r>
      <w:r>
        <w:rPr>
          <w:spacing w:val="10"/>
        </w:rPr>
        <w:t>中，总体</w:t>
      </w:r>
      <w:r>
        <w:rPr>
          <w:rFonts w:ascii="Arial" w:eastAsia="Arial"/>
        </w:rPr>
        <w:t>ORR</w:t>
      </w:r>
      <w:r>
        <w:rPr>
          <w:rFonts w:ascii="Arial" w:eastAsia="Arial"/>
          <w:spacing w:val="-2"/>
        </w:rPr>
        <w:t> </w:t>
      </w:r>
      <w:r>
        <w:rPr>
          <w:spacing w:val="4"/>
        </w:rPr>
        <w:t>和 </w:t>
      </w:r>
      <w:r>
        <w:rPr>
          <w:rFonts w:ascii="Arial" w:eastAsia="Arial"/>
          <w:spacing w:val="-4"/>
        </w:rPr>
        <w:t>CR</w:t>
      </w:r>
      <w:r>
        <w:rPr>
          <w:rFonts w:ascii="Arial" w:eastAsia="Arial"/>
          <w:spacing w:val="-2"/>
        </w:rPr>
        <w:t> </w:t>
      </w:r>
      <w:r>
        <w:rPr>
          <w:spacing w:val="3"/>
        </w:rPr>
        <w:t>均为 </w:t>
      </w:r>
      <w:r>
        <w:rPr>
          <w:rFonts w:ascii="Arial" w:eastAsia="Arial"/>
          <w:spacing w:val="-3"/>
        </w:rPr>
        <w:t>50%</w:t>
      </w:r>
      <w:r>
        <w:rPr>
          <w:spacing w:val="-4"/>
        </w:rPr>
        <w:t>，其中巩固剂量组的 </w:t>
      </w:r>
      <w:r>
        <w:rPr>
          <w:rFonts w:ascii="Arial" w:eastAsia="Arial"/>
          <w:spacing w:val="-2"/>
        </w:rPr>
        <w:t>ORR </w:t>
      </w:r>
      <w:r>
        <w:rPr>
          <w:spacing w:val="4"/>
        </w:rPr>
        <w:t>和 </w:t>
      </w:r>
      <w:r>
        <w:rPr>
          <w:rFonts w:ascii="Arial" w:eastAsia="Arial"/>
        </w:rPr>
        <w:t>CR</w:t>
      </w:r>
      <w:r>
        <w:rPr>
          <w:rFonts w:ascii="Arial" w:eastAsia="Arial"/>
          <w:spacing w:val="-2"/>
        </w:rPr>
        <w:t> </w:t>
      </w:r>
      <w:r>
        <w:rPr/>
        <w:t>率均为 </w:t>
      </w:r>
      <w:r>
        <w:rPr>
          <w:rFonts w:ascii="Arial" w:eastAsia="Arial"/>
        </w:rPr>
        <w:t>66.7%</w:t>
      </w:r>
      <w:r>
        <w:rPr>
          <w:spacing w:val="-2"/>
        </w:rPr>
        <w:t>；单剂量组中，</w:t>
      </w:r>
      <w:r>
        <w:rPr>
          <w:rFonts w:ascii="Arial" w:eastAsia="Arial"/>
          <w:spacing w:val="-2"/>
        </w:rPr>
        <w:t>2</w:t>
      </w:r>
      <w:r>
        <w:rPr>
          <w:rFonts w:ascii="Arial" w:eastAsia="Arial"/>
          <w:spacing w:val="-16"/>
        </w:rPr>
        <w:t> </w:t>
      </w:r>
      <w:r>
        <w:rPr>
          <w:spacing w:val="7"/>
        </w:rPr>
        <w:t>名患者在</w:t>
      </w:r>
      <w:r>
        <w:rPr>
          <w:rFonts w:ascii="Arial" w:eastAsia="Arial"/>
        </w:rPr>
        <w:t>9</w:t>
      </w:r>
      <w:r>
        <w:rPr>
          <w:rFonts w:ascii="Arial" w:eastAsia="Arial"/>
          <w:spacing w:val="-15"/>
        </w:rPr>
        <w:t> </w:t>
      </w:r>
      <w:r>
        <w:rPr>
          <w:spacing w:val="9"/>
        </w:rPr>
        <w:t>个月和</w:t>
      </w:r>
      <w:r>
        <w:rPr>
          <w:rFonts w:ascii="Arial" w:eastAsia="Arial"/>
        </w:rPr>
        <w:t>12+</w:t>
      </w:r>
      <w:r>
        <w:rPr>
          <w:spacing w:val="5"/>
        </w:rPr>
        <w:t>月时持续</w:t>
      </w:r>
      <w:r>
        <w:rPr>
          <w:rFonts w:ascii="Arial" w:eastAsia="Arial"/>
        </w:rPr>
        <w:t>CR</w:t>
      </w:r>
      <w:r>
        <w:rPr>
          <w:spacing w:val="-3"/>
        </w:rPr>
        <w:t>。安全性方面，巩固剂量组未发生</w:t>
      </w:r>
      <w:r>
        <w:rPr>
          <w:rFonts w:ascii="Arial" w:eastAsia="Arial"/>
        </w:rPr>
        <w:t>CRS</w:t>
      </w:r>
      <w:r>
        <w:rPr>
          <w:rFonts w:ascii="Arial" w:eastAsia="Arial"/>
          <w:spacing w:val="-20"/>
        </w:rPr>
        <w:t> </w:t>
      </w:r>
      <w:r>
        <w:rPr>
          <w:spacing w:val="33"/>
        </w:rPr>
        <w:t>和</w:t>
      </w:r>
      <w:r>
        <w:rPr>
          <w:rFonts w:ascii="Arial" w:eastAsia="Arial"/>
        </w:rPr>
        <w:t>ICANS</w:t>
      </w:r>
      <w:r>
        <w:rPr/>
        <w:t>， </w:t>
      </w:r>
      <w:r>
        <w:rPr>
          <w:spacing w:val="-1"/>
        </w:rPr>
        <w:t>也没有 </w:t>
      </w:r>
      <w:r>
        <w:rPr>
          <w:rFonts w:ascii="Arial" w:eastAsia="Arial"/>
        </w:rPr>
        <w:t>GvHD</w:t>
      </w:r>
      <w:r>
        <w:rPr>
          <w:rFonts w:ascii="Arial" w:eastAsia="Arial"/>
          <w:spacing w:val="-13"/>
        </w:rPr>
        <w:t> </w:t>
      </w:r>
      <w:r>
        <w:rPr>
          <w:spacing w:val="-3"/>
        </w:rPr>
        <w:t>发生，最常见的 </w:t>
      </w:r>
      <w:r>
        <w:rPr>
          <w:rFonts w:ascii="Arial" w:eastAsia="Arial"/>
        </w:rPr>
        <w:t>AE</w:t>
      </w:r>
      <w:r>
        <w:rPr>
          <w:rFonts w:ascii="Arial" w:eastAsia="Arial"/>
          <w:spacing w:val="-17"/>
        </w:rPr>
        <w:t> </w:t>
      </w:r>
      <w:r>
        <w:rPr>
          <w:spacing w:val="-4"/>
        </w:rPr>
        <w:t>为血细胞减少症，发生率为 </w:t>
      </w:r>
      <w:r>
        <w:rPr>
          <w:rFonts w:ascii="Arial" w:eastAsia="Arial"/>
          <w:spacing w:val="-2"/>
        </w:rPr>
        <w:t>72%</w:t>
      </w:r>
      <w:r>
        <w:rPr/>
        <w:t>。</w:t>
      </w:r>
    </w:p>
    <w:p>
      <w:pPr>
        <w:pStyle w:val="Heading3"/>
        <w:spacing w:after="9"/>
      </w:pPr>
      <w:r>
        <w:rPr/>
        <w:t>图 </w:t>
      </w:r>
      <w:r>
        <w:rPr>
          <w:rFonts w:ascii="Arial" w:eastAsia="Arial"/>
        </w:rPr>
        <w:t>48: Allogene </w:t>
      </w:r>
      <w:r>
        <w:rPr/>
        <w:t>临床阶段产品管线</w:t>
      </w:r>
    </w:p>
    <w:p>
      <w:pPr>
        <w:pStyle w:val="BodyText"/>
        <w:ind w:left="181"/>
        <w:rPr>
          <w:rFonts w:ascii="Microsoft JhengHei UI"/>
        </w:rPr>
      </w:pPr>
      <w:r>
        <w:rPr>
          <w:rFonts w:ascii="Microsoft JhengHei UI"/>
        </w:rPr>
        <w:drawing>
          <wp:inline distT="0" distB="0" distL="0" distR="0">
            <wp:extent cx="5071174" cy="2057400"/>
            <wp:effectExtent l="0" t="0" r="0" b="0"/>
            <wp:docPr id="45" name="image34.png"/>
            <wp:cNvGraphicFramePr>
              <a:graphicFrameLocks noChangeAspect="1"/>
            </wp:cNvGraphicFramePr>
            <a:graphic>
              <a:graphicData uri="http://schemas.openxmlformats.org/drawingml/2006/picture">
                <pic:pic>
                  <pic:nvPicPr>
                    <pic:cNvPr id="46" name="image34.png"/>
                    <pic:cNvPicPr/>
                  </pic:nvPicPr>
                  <pic:blipFill>
                    <a:blip r:embed="rId52" cstate="print"/>
                    <a:stretch>
                      <a:fillRect/>
                    </a:stretch>
                  </pic:blipFill>
                  <pic:spPr>
                    <a:xfrm>
                      <a:off x="0" y="0"/>
                      <a:ext cx="5071174" cy="2057400"/>
                    </a:xfrm>
                    <a:prstGeom prst="rect">
                      <a:avLst/>
                    </a:prstGeom>
                  </pic:spPr>
                </pic:pic>
              </a:graphicData>
            </a:graphic>
          </wp:inline>
        </w:drawing>
      </w:r>
      <w:r>
        <w:rPr>
          <w:rFonts w:ascii="Microsoft JhengHei UI"/>
        </w:rPr>
      </w:r>
    </w:p>
    <w:p>
      <w:pPr>
        <w:spacing w:before="23"/>
        <w:ind w:left="210" w:right="0" w:firstLine="0"/>
        <w:jc w:val="left"/>
        <w:rPr>
          <w:sz w:val="16"/>
        </w:rPr>
      </w:pPr>
      <w:r>
        <w:rPr>
          <w:sz w:val="16"/>
        </w:rPr>
        <w:t>资料来源</w:t>
      </w:r>
      <w:r>
        <w:rPr>
          <w:rFonts w:ascii="Arial" w:eastAsia="Arial"/>
          <w:sz w:val="16"/>
        </w:rPr>
        <w:t>: </w:t>
      </w:r>
      <w:r>
        <w:rPr>
          <w:sz w:val="16"/>
        </w:rPr>
        <w:t>公司官网，招银国际证券</w:t>
      </w:r>
    </w:p>
    <w:p>
      <w:pPr>
        <w:spacing w:after="0"/>
        <w:jc w:val="left"/>
        <w:rPr>
          <w:sz w:val="16"/>
        </w:rPr>
        <w:sectPr>
          <w:pgSz w:w="11910" w:h="16840"/>
          <w:pgMar w:header="682" w:footer="358" w:top="1380" w:bottom="540" w:left="640" w:right="300"/>
        </w:sectPr>
      </w:pPr>
    </w:p>
    <w:p>
      <w:pPr>
        <w:pStyle w:val="BodyText"/>
        <w:ind w:left="0"/>
      </w:pPr>
    </w:p>
    <w:p>
      <w:pPr>
        <w:pStyle w:val="BodyText"/>
        <w:spacing w:before="10"/>
        <w:ind w:left="0"/>
        <w:rPr>
          <w:sz w:val="19"/>
        </w:rPr>
      </w:pPr>
    </w:p>
    <w:p>
      <w:pPr>
        <w:spacing w:line="244" w:lineRule="auto" w:before="45"/>
        <w:ind w:left="210" w:right="2790" w:firstLine="0"/>
        <w:jc w:val="both"/>
        <w:rPr>
          <w:sz w:val="20"/>
        </w:rPr>
      </w:pPr>
      <w:r>
        <w:rPr>
          <w:rFonts w:ascii="Microsoft JhengHei UI" w:eastAsia="Microsoft JhengHei UI" w:hint="eastAsia"/>
          <w:b/>
          <w:spacing w:val="1"/>
          <w:sz w:val="20"/>
        </w:rPr>
        <w:t>采用 </w:t>
      </w:r>
      <w:r>
        <w:rPr>
          <w:rFonts w:ascii="Arial" w:eastAsia="Arial"/>
          <w:b/>
          <w:sz w:val="20"/>
        </w:rPr>
        <w:t>CRISPR/</w:t>
      </w:r>
      <w:r>
        <w:rPr>
          <w:rFonts w:ascii="Arial" w:eastAsia="Arial"/>
          <w:b/>
          <w:spacing w:val="11"/>
          <w:sz w:val="20"/>
        </w:rPr>
        <w:t> </w:t>
      </w:r>
      <w:r>
        <w:rPr>
          <w:rFonts w:ascii="Arial" w:eastAsia="Arial"/>
          <w:b/>
          <w:sz w:val="20"/>
        </w:rPr>
        <w:t>Cas9</w:t>
      </w:r>
      <w:r>
        <w:rPr>
          <w:rFonts w:ascii="Arial" w:eastAsia="Arial"/>
          <w:b/>
          <w:spacing w:val="-12"/>
          <w:sz w:val="20"/>
        </w:rPr>
        <w:t> </w:t>
      </w:r>
      <w:r>
        <w:rPr>
          <w:rFonts w:ascii="Microsoft JhengHei UI" w:eastAsia="Microsoft JhengHei UI" w:hint="eastAsia"/>
          <w:b/>
          <w:spacing w:val="-1"/>
          <w:sz w:val="20"/>
        </w:rPr>
        <w:t>基因编辑方法，</w:t>
      </w:r>
      <w:r>
        <w:rPr>
          <w:rFonts w:ascii="Arial" w:eastAsia="Arial"/>
          <w:b/>
          <w:sz w:val="20"/>
        </w:rPr>
        <w:t>CRISPR</w:t>
      </w:r>
      <w:r>
        <w:rPr>
          <w:rFonts w:ascii="Microsoft JhengHei UI" w:eastAsia="Microsoft JhengHei UI" w:hint="eastAsia"/>
          <w:b/>
          <w:sz w:val="20"/>
        </w:rPr>
        <w:t>（</w:t>
      </w:r>
      <w:r>
        <w:rPr>
          <w:rFonts w:ascii="Arial" w:eastAsia="Arial"/>
          <w:b/>
          <w:sz w:val="20"/>
        </w:rPr>
        <w:t>CRSP</w:t>
      </w:r>
      <w:r>
        <w:rPr>
          <w:rFonts w:ascii="Arial" w:eastAsia="Arial"/>
          <w:b/>
          <w:spacing w:val="4"/>
          <w:sz w:val="20"/>
        </w:rPr>
        <w:t> </w:t>
      </w:r>
      <w:r>
        <w:rPr>
          <w:rFonts w:ascii="Arial" w:eastAsia="Arial"/>
          <w:b/>
          <w:sz w:val="20"/>
        </w:rPr>
        <w:t>US</w:t>
      </w:r>
      <w:r>
        <w:rPr>
          <w:rFonts w:ascii="Microsoft JhengHei UI" w:eastAsia="Microsoft JhengHei UI" w:hint="eastAsia"/>
          <w:b/>
          <w:sz w:val="20"/>
        </w:rPr>
        <w:t>）</w:t>
      </w:r>
      <w:r>
        <w:rPr>
          <w:rFonts w:ascii="Microsoft JhengHei UI" w:eastAsia="Microsoft JhengHei UI" w:hint="eastAsia"/>
          <w:b/>
          <w:spacing w:val="3"/>
          <w:sz w:val="20"/>
        </w:rPr>
        <w:t>的 </w:t>
      </w:r>
      <w:r>
        <w:rPr>
          <w:rFonts w:ascii="Arial" w:eastAsia="Arial"/>
          <w:b/>
          <w:sz w:val="20"/>
        </w:rPr>
        <w:t>CTX110</w:t>
      </w:r>
      <w:r>
        <w:rPr>
          <w:rFonts w:ascii="Arial" w:eastAsia="Arial"/>
          <w:b/>
          <w:spacing w:val="-11"/>
          <w:sz w:val="20"/>
        </w:rPr>
        <w:t> </w:t>
      </w:r>
      <w:r>
        <w:rPr>
          <w:rFonts w:ascii="Microsoft JhengHei UI" w:eastAsia="Microsoft JhengHei UI" w:hint="eastAsia"/>
          <w:b/>
          <w:spacing w:val="-1"/>
          <w:sz w:val="20"/>
        </w:rPr>
        <w:t>已经开始关键临床患者给药。</w:t>
      </w:r>
      <w:r>
        <w:rPr>
          <w:rFonts w:ascii="Arial" w:eastAsia="Arial"/>
          <w:spacing w:val="-1"/>
          <w:sz w:val="20"/>
        </w:rPr>
        <w:t>CRISPR</w:t>
      </w:r>
      <w:r>
        <w:rPr>
          <w:rFonts w:ascii="Arial" w:eastAsia="Arial"/>
          <w:spacing w:val="8"/>
          <w:sz w:val="20"/>
        </w:rPr>
        <w:t> </w:t>
      </w:r>
      <w:r>
        <w:rPr>
          <w:rFonts w:ascii="Arial" w:eastAsia="Arial"/>
          <w:sz w:val="20"/>
        </w:rPr>
        <w:t>Therapeutics</w:t>
      </w:r>
      <w:r>
        <w:rPr>
          <w:rFonts w:ascii="Arial" w:eastAsia="Arial"/>
          <w:spacing w:val="-15"/>
          <w:sz w:val="20"/>
        </w:rPr>
        <w:t> </w:t>
      </w:r>
      <w:r>
        <w:rPr>
          <w:spacing w:val="7"/>
          <w:sz w:val="20"/>
        </w:rPr>
        <w:t>由诺奖获得者</w:t>
      </w:r>
      <w:r>
        <w:rPr>
          <w:rFonts w:ascii="Arial" w:eastAsia="Arial"/>
          <w:sz w:val="20"/>
        </w:rPr>
        <w:t>Emmanuelle</w:t>
      </w:r>
      <w:r>
        <w:rPr>
          <w:rFonts w:ascii="Arial" w:eastAsia="Arial"/>
          <w:spacing w:val="12"/>
          <w:sz w:val="20"/>
        </w:rPr>
        <w:t> </w:t>
      </w:r>
      <w:r>
        <w:rPr>
          <w:rFonts w:ascii="Arial" w:eastAsia="Arial"/>
          <w:sz w:val="20"/>
        </w:rPr>
        <w:t>Charpentier</w:t>
      </w:r>
      <w:r>
        <w:rPr>
          <w:rFonts w:ascii="Arial" w:eastAsia="Arial"/>
          <w:spacing w:val="-9"/>
          <w:sz w:val="20"/>
        </w:rPr>
        <w:t> </w:t>
      </w:r>
      <w:r>
        <w:rPr>
          <w:spacing w:val="-3"/>
          <w:sz w:val="20"/>
        </w:rPr>
        <w:t>联合创立，目前</w:t>
      </w:r>
      <w:r>
        <w:rPr>
          <w:spacing w:val="10"/>
          <w:sz w:val="20"/>
        </w:rPr>
        <w:t>公司利用  </w:t>
      </w:r>
      <w:r>
        <w:rPr>
          <w:rFonts w:ascii="Arial" w:eastAsia="Arial"/>
          <w:sz w:val="20"/>
        </w:rPr>
        <w:t>CRISPR</w:t>
      </w:r>
      <w:r>
        <w:rPr>
          <w:rFonts w:ascii="Arial" w:eastAsia="Arial"/>
          <w:spacing w:val="48"/>
          <w:sz w:val="20"/>
        </w:rPr>
        <w:t> </w:t>
      </w:r>
      <w:r>
        <w:rPr>
          <w:spacing w:val="10"/>
          <w:sz w:val="20"/>
        </w:rPr>
        <w:t>技术开发了  </w:t>
      </w:r>
      <w:r>
        <w:rPr>
          <w:rFonts w:ascii="Arial" w:eastAsia="Arial"/>
          <w:sz w:val="20"/>
        </w:rPr>
        <w:t>5</w:t>
      </w:r>
      <w:r>
        <w:rPr>
          <w:rFonts w:ascii="Arial" w:eastAsia="Arial"/>
          <w:spacing w:val="53"/>
          <w:sz w:val="20"/>
        </w:rPr>
        <w:t> </w:t>
      </w:r>
      <w:r>
        <w:rPr>
          <w:spacing w:val="5"/>
          <w:sz w:val="20"/>
        </w:rPr>
        <w:t>款  </w:t>
      </w:r>
      <w:r>
        <w:rPr>
          <w:rFonts w:ascii="Arial" w:eastAsia="Arial"/>
          <w:sz w:val="20"/>
        </w:rPr>
        <w:t>UCAR-T</w:t>
      </w:r>
      <w:r>
        <w:rPr>
          <w:rFonts w:ascii="Arial" w:eastAsia="Arial"/>
          <w:spacing w:val="51"/>
          <w:sz w:val="20"/>
        </w:rPr>
        <w:t> </w:t>
      </w:r>
      <w:r>
        <w:rPr>
          <w:spacing w:val="4"/>
          <w:sz w:val="20"/>
        </w:rPr>
        <w:t>产品， 其操作原理基本一致： </w:t>
      </w:r>
      <w:r>
        <w:rPr>
          <w:rFonts w:ascii="Arial" w:eastAsia="Arial"/>
          <w:sz w:val="20"/>
        </w:rPr>
        <w:t>1</w:t>
      </w:r>
      <w:r>
        <w:rPr>
          <w:rFonts w:ascii="Arial" w:eastAsia="Arial"/>
          <w:spacing w:val="22"/>
          <w:sz w:val="20"/>
        </w:rPr>
        <w:t>) </w:t>
      </w:r>
      <w:r>
        <w:rPr>
          <w:spacing w:val="19"/>
          <w:sz w:val="20"/>
        </w:rPr>
        <w:t>使用</w:t>
      </w:r>
    </w:p>
    <w:p>
      <w:pPr>
        <w:pStyle w:val="BodyText"/>
        <w:spacing w:before="51"/>
        <w:jc w:val="both"/>
      </w:pPr>
      <w:r>
        <w:rPr>
          <w:rFonts w:ascii="Arial" w:eastAsia="Arial"/>
        </w:rPr>
        <w:t>CRISPR/Cas9</w:t>
      </w:r>
      <w:r>
        <w:rPr>
          <w:rFonts w:ascii="Arial" w:eastAsia="Arial"/>
          <w:spacing w:val="-13"/>
        </w:rPr>
        <w:t> </w:t>
      </w:r>
      <w:r>
        <w:rPr>
          <w:spacing w:val="14"/>
        </w:rPr>
        <w:t>系统将</w:t>
      </w:r>
      <w:r>
        <w:rPr>
          <w:rFonts w:ascii="Arial" w:eastAsia="Arial"/>
          <w:spacing w:val="-3"/>
        </w:rPr>
        <w:t>CAR</w:t>
      </w:r>
      <w:r>
        <w:rPr>
          <w:rFonts w:ascii="Arial" w:eastAsia="Arial"/>
          <w:spacing w:val="-13"/>
        </w:rPr>
        <w:t> </w:t>
      </w:r>
      <w:r>
        <w:rPr>
          <w:spacing w:val="3"/>
        </w:rPr>
        <w:t>基因定点插入到</w:t>
      </w:r>
      <w:r>
        <w:rPr>
          <w:rFonts w:ascii="Arial" w:eastAsia="Arial"/>
        </w:rPr>
        <w:t>TRAC</w:t>
      </w:r>
      <w:r>
        <w:rPr>
          <w:rFonts w:ascii="Arial" w:eastAsia="Arial"/>
          <w:spacing w:val="-14"/>
        </w:rPr>
        <w:t> </w:t>
      </w:r>
      <w:r>
        <w:rPr>
          <w:spacing w:val="-4"/>
        </w:rPr>
        <w:t>位点；</w:t>
      </w:r>
      <w:r>
        <w:rPr>
          <w:rFonts w:ascii="Arial" w:eastAsia="Arial"/>
        </w:rPr>
        <w:t>2</w:t>
      </w:r>
      <w:r>
        <w:rPr>
          <w:rFonts w:ascii="Arial" w:eastAsia="Arial"/>
          <w:spacing w:val="-3"/>
        </w:rPr>
        <w:t>) </w:t>
      </w:r>
      <w:r>
        <w:rPr>
          <w:spacing w:val="-3"/>
        </w:rPr>
        <w:t>敲除 </w:t>
      </w:r>
      <w:r>
        <w:rPr>
          <w:rFonts w:ascii="Arial" w:eastAsia="Arial"/>
        </w:rPr>
        <w:t>TCR</w:t>
      </w:r>
      <w:r>
        <w:rPr>
          <w:rFonts w:ascii="Arial" w:eastAsia="Arial"/>
          <w:spacing w:val="-13"/>
        </w:rPr>
        <w:t> </w:t>
      </w:r>
      <w:r>
        <w:rPr>
          <w:spacing w:val="-4"/>
        </w:rPr>
        <w:t>基因以降低 </w:t>
      </w:r>
      <w:r>
        <w:rPr>
          <w:rFonts w:ascii="Arial" w:eastAsia="Arial"/>
        </w:rPr>
        <w:t>GvHD</w:t>
      </w:r>
      <w:r>
        <w:rPr/>
        <w:t>；</w:t>
      </w:r>
    </w:p>
    <w:p>
      <w:pPr>
        <w:pStyle w:val="ListParagraph"/>
        <w:numPr>
          <w:ilvl w:val="0"/>
          <w:numId w:val="4"/>
        </w:numPr>
        <w:tabs>
          <w:tab w:pos="475" w:val="left" w:leader="none"/>
        </w:tabs>
        <w:spacing w:line="288" w:lineRule="auto" w:before="52" w:after="0"/>
        <w:ind w:left="210" w:right="2814" w:firstLine="0"/>
        <w:jc w:val="both"/>
        <w:rPr>
          <w:sz w:val="20"/>
        </w:rPr>
      </w:pPr>
      <w:r>
        <w:rPr>
          <w:spacing w:val="-3"/>
          <w:w w:val="100"/>
          <w:sz w:val="20"/>
        </w:rPr>
        <w:t>敲除编码</w:t>
      </w:r>
      <w:r>
        <w:rPr>
          <w:spacing w:val="2"/>
          <w:w w:val="49"/>
          <w:sz w:val="20"/>
        </w:rPr>
        <w:t>β</w:t>
      </w:r>
      <w:r>
        <w:rPr>
          <w:rFonts w:ascii="Arial" w:hAnsi="Arial" w:eastAsia="Arial"/>
          <w:spacing w:val="-2"/>
          <w:w w:val="100"/>
          <w:sz w:val="20"/>
        </w:rPr>
        <w:t>2</w:t>
      </w:r>
      <w:r>
        <w:rPr>
          <w:rFonts w:ascii="Arial" w:hAnsi="Arial" w:eastAsia="Arial"/>
          <w:w w:val="100"/>
          <w:sz w:val="20"/>
        </w:rPr>
        <w:t>-</w:t>
      </w:r>
      <w:r>
        <w:rPr>
          <w:spacing w:val="-2"/>
          <w:w w:val="100"/>
          <w:sz w:val="20"/>
        </w:rPr>
        <w:t>微球蛋白</w:t>
      </w:r>
      <w:r>
        <w:rPr>
          <w:spacing w:val="-11"/>
          <w:sz w:val="20"/>
        </w:rPr>
        <w:t>  </w:t>
      </w:r>
      <w:r>
        <w:rPr>
          <w:rFonts w:ascii="Arial" w:hAnsi="Arial" w:eastAsia="Arial"/>
          <w:w w:val="100"/>
          <w:sz w:val="20"/>
        </w:rPr>
        <w:t>(B</w:t>
      </w:r>
      <w:r>
        <w:rPr>
          <w:rFonts w:ascii="Arial" w:hAnsi="Arial" w:eastAsia="Arial"/>
          <w:spacing w:val="-2"/>
          <w:w w:val="100"/>
          <w:sz w:val="20"/>
        </w:rPr>
        <w:t>2</w:t>
      </w:r>
      <w:r>
        <w:rPr>
          <w:rFonts w:ascii="Arial" w:hAnsi="Arial" w:eastAsia="Arial"/>
          <w:w w:val="100"/>
          <w:sz w:val="20"/>
        </w:rPr>
        <w:t>M)</w:t>
      </w:r>
      <w:r>
        <w:rPr>
          <w:rFonts w:ascii="Arial" w:hAnsi="Arial" w:eastAsia="Arial"/>
          <w:spacing w:val="26"/>
          <w:sz w:val="20"/>
        </w:rPr>
        <w:t> </w:t>
      </w:r>
      <w:r>
        <w:rPr>
          <w:spacing w:val="-3"/>
          <w:w w:val="100"/>
          <w:sz w:val="20"/>
        </w:rPr>
        <w:t>的基因。由于</w:t>
      </w:r>
      <w:r>
        <w:rPr>
          <w:spacing w:val="1"/>
          <w:sz w:val="20"/>
        </w:rPr>
        <w:t> </w:t>
      </w:r>
      <w:r>
        <w:rPr>
          <w:rFonts w:ascii="Arial" w:hAnsi="Arial" w:eastAsia="Arial"/>
          <w:spacing w:val="-2"/>
          <w:w w:val="100"/>
          <w:sz w:val="20"/>
        </w:rPr>
        <w:t>HL</w:t>
      </w:r>
      <w:r>
        <w:rPr>
          <w:rFonts w:ascii="Arial" w:hAnsi="Arial" w:eastAsia="Arial"/>
          <w:w w:val="100"/>
          <w:sz w:val="20"/>
        </w:rPr>
        <w:t>A</w:t>
      </w:r>
      <w:r>
        <w:rPr>
          <w:rFonts w:ascii="Arial" w:hAnsi="Arial" w:eastAsia="Arial"/>
          <w:w w:val="100"/>
          <w:sz w:val="20"/>
        </w:rPr>
        <w:t>-</w:t>
      </w:r>
      <w:r>
        <w:rPr>
          <w:rFonts w:ascii="Arial" w:hAnsi="Arial" w:eastAsia="Arial"/>
          <w:w w:val="100"/>
          <w:sz w:val="20"/>
        </w:rPr>
        <w:t>1</w:t>
      </w:r>
      <w:r>
        <w:rPr>
          <w:rFonts w:ascii="Arial" w:hAnsi="Arial" w:eastAsia="Arial"/>
          <w:spacing w:val="-15"/>
          <w:sz w:val="20"/>
        </w:rPr>
        <w:t> </w:t>
      </w:r>
      <w:r>
        <w:rPr>
          <w:spacing w:val="-3"/>
          <w:w w:val="100"/>
          <w:sz w:val="20"/>
        </w:rPr>
        <w:t>类分子主要依赖</w:t>
      </w:r>
      <w:r>
        <w:rPr>
          <w:spacing w:val="1"/>
          <w:sz w:val="20"/>
        </w:rPr>
        <w:t> </w:t>
      </w:r>
      <w:r>
        <w:rPr>
          <w:rFonts w:ascii="Arial" w:hAnsi="Arial" w:eastAsia="Arial"/>
          <w:w w:val="100"/>
          <w:sz w:val="20"/>
        </w:rPr>
        <w:t>α</w:t>
      </w:r>
      <w:r>
        <w:rPr>
          <w:rFonts w:ascii="Arial" w:hAnsi="Arial" w:eastAsia="Arial"/>
          <w:spacing w:val="-14"/>
          <w:sz w:val="20"/>
        </w:rPr>
        <w:t> </w:t>
      </w:r>
      <w:r>
        <w:rPr>
          <w:spacing w:val="-3"/>
          <w:w w:val="100"/>
          <w:sz w:val="20"/>
        </w:rPr>
        <w:t>链和</w:t>
      </w:r>
      <w:r>
        <w:rPr>
          <w:spacing w:val="1"/>
          <w:sz w:val="20"/>
        </w:rPr>
        <w:t> </w:t>
      </w:r>
      <w:r>
        <w:rPr>
          <w:rFonts w:ascii="Arial" w:hAnsi="Arial" w:eastAsia="Arial"/>
          <w:w w:val="100"/>
          <w:sz w:val="20"/>
        </w:rPr>
        <w:t>β</w:t>
      </w:r>
      <w:r>
        <w:rPr>
          <w:rFonts w:ascii="Arial" w:hAnsi="Arial" w:eastAsia="Arial"/>
          <w:spacing w:val="-14"/>
          <w:sz w:val="20"/>
        </w:rPr>
        <w:t> </w:t>
      </w:r>
      <w:r>
        <w:rPr>
          <w:spacing w:val="-2"/>
          <w:w w:val="100"/>
          <w:sz w:val="20"/>
        </w:rPr>
        <w:t>链形成的异</w:t>
      </w:r>
      <w:r>
        <w:rPr>
          <w:spacing w:val="-3"/>
          <w:sz w:val="20"/>
        </w:rPr>
        <w:t>源二聚体，敲除 </w:t>
      </w:r>
      <w:r>
        <w:rPr>
          <w:rFonts w:ascii="Arial" w:hAnsi="Arial" w:eastAsia="Arial"/>
          <w:sz w:val="20"/>
        </w:rPr>
        <w:t>B2M</w:t>
      </w:r>
      <w:r>
        <w:rPr>
          <w:rFonts w:ascii="Arial" w:hAnsi="Arial" w:eastAsia="Arial"/>
          <w:spacing w:val="-7"/>
          <w:sz w:val="20"/>
        </w:rPr>
        <w:t> </w:t>
      </w:r>
      <w:r>
        <w:rPr>
          <w:spacing w:val="-3"/>
          <w:sz w:val="20"/>
        </w:rPr>
        <w:t>对应的基因后，</w:t>
      </w:r>
      <w:r>
        <w:rPr>
          <w:rFonts w:ascii="Arial" w:hAnsi="Arial" w:eastAsia="Arial"/>
          <w:sz w:val="20"/>
        </w:rPr>
        <w:t>β</w:t>
      </w:r>
      <w:r>
        <w:rPr>
          <w:rFonts w:ascii="Arial" w:hAnsi="Arial" w:eastAsia="Arial"/>
          <w:spacing w:val="-13"/>
          <w:sz w:val="20"/>
        </w:rPr>
        <w:t> </w:t>
      </w:r>
      <w:r>
        <w:rPr>
          <w:spacing w:val="-5"/>
          <w:sz w:val="20"/>
        </w:rPr>
        <w:t>链无法翻译，二聚体无法形成，敲除 </w:t>
      </w:r>
      <w:r>
        <w:rPr>
          <w:rFonts w:ascii="Arial" w:hAnsi="Arial" w:eastAsia="Arial"/>
          <w:spacing w:val="-3"/>
          <w:sz w:val="20"/>
        </w:rPr>
        <w:t>B2M</w:t>
      </w:r>
      <w:r>
        <w:rPr>
          <w:rFonts w:ascii="Arial" w:hAnsi="Arial" w:eastAsia="Arial"/>
          <w:spacing w:val="-7"/>
          <w:sz w:val="20"/>
        </w:rPr>
        <w:t> </w:t>
      </w:r>
      <w:r>
        <w:rPr>
          <w:spacing w:val="-5"/>
          <w:sz w:val="20"/>
        </w:rPr>
        <w:t>基因意味</w:t>
      </w:r>
      <w:r>
        <w:rPr>
          <w:spacing w:val="-3"/>
          <w:sz w:val="20"/>
        </w:rPr>
        <w:t>着细胞膜上不会再存在 </w:t>
      </w:r>
      <w:r>
        <w:rPr>
          <w:rFonts w:ascii="Arial" w:hAnsi="Arial" w:eastAsia="Arial"/>
          <w:sz w:val="20"/>
        </w:rPr>
        <w:t>HLA-1</w:t>
      </w:r>
      <w:r>
        <w:rPr>
          <w:sz w:val="20"/>
        </w:rPr>
        <w:t>。</w:t>
      </w:r>
    </w:p>
    <w:p>
      <w:pPr>
        <w:pStyle w:val="Heading3"/>
        <w:spacing w:before="72" w:after="4"/>
      </w:pPr>
      <w:r>
        <w:rPr/>
        <w:t>图 </w:t>
      </w:r>
      <w:r>
        <w:rPr>
          <w:rFonts w:ascii="Arial" w:eastAsia="Arial"/>
        </w:rPr>
        <w:t>49: CRISPR Therapeutics </w:t>
      </w:r>
      <w:r>
        <w:rPr/>
        <w:t>的 </w:t>
      </w:r>
      <w:r>
        <w:rPr>
          <w:rFonts w:ascii="Arial" w:eastAsia="Arial"/>
        </w:rPr>
        <w:t>UCAR-T </w:t>
      </w:r>
      <w:r>
        <w:rPr/>
        <w:t>技术平台</w:t>
      </w:r>
    </w:p>
    <w:p>
      <w:pPr>
        <w:pStyle w:val="BodyText"/>
        <w:ind w:left="181"/>
        <w:rPr>
          <w:rFonts w:ascii="Microsoft JhengHei UI"/>
        </w:rPr>
      </w:pPr>
      <w:r>
        <w:rPr>
          <w:rFonts w:ascii="Microsoft JhengHei UI"/>
        </w:rPr>
        <w:drawing>
          <wp:inline distT="0" distB="0" distL="0" distR="0">
            <wp:extent cx="5073591" cy="1824037"/>
            <wp:effectExtent l="0" t="0" r="0" b="0"/>
            <wp:docPr id="47" name="image35.png"/>
            <wp:cNvGraphicFramePr>
              <a:graphicFrameLocks noChangeAspect="1"/>
            </wp:cNvGraphicFramePr>
            <a:graphic>
              <a:graphicData uri="http://schemas.openxmlformats.org/drawingml/2006/picture">
                <pic:pic>
                  <pic:nvPicPr>
                    <pic:cNvPr id="48" name="image35.png"/>
                    <pic:cNvPicPr/>
                  </pic:nvPicPr>
                  <pic:blipFill>
                    <a:blip r:embed="rId53" cstate="print"/>
                    <a:stretch>
                      <a:fillRect/>
                    </a:stretch>
                  </pic:blipFill>
                  <pic:spPr>
                    <a:xfrm>
                      <a:off x="0" y="0"/>
                      <a:ext cx="5073591" cy="1824037"/>
                    </a:xfrm>
                    <a:prstGeom prst="rect">
                      <a:avLst/>
                    </a:prstGeom>
                  </pic:spPr>
                </pic:pic>
              </a:graphicData>
            </a:graphic>
          </wp:inline>
        </w:drawing>
      </w:r>
      <w:r>
        <w:rPr>
          <w:rFonts w:ascii="Microsoft JhengHei UI"/>
        </w:rPr>
      </w:r>
    </w:p>
    <w:p>
      <w:pPr>
        <w:spacing w:before="20"/>
        <w:ind w:left="210" w:right="0" w:firstLine="0"/>
        <w:jc w:val="both"/>
        <w:rPr>
          <w:sz w:val="16"/>
        </w:rPr>
      </w:pPr>
      <w:r>
        <w:rPr>
          <w:sz w:val="16"/>
        </w:rPr>
        <w:t>资料来源</w:t>
      </w:r>
      <w:r>
        <w:rPr>
          <w:rFonts w:ascii="Arial" w:eastAsia="Arial"/>
          <w:sz w:val="16"/>
        </w:rPr>
        <w:t>: </w:t>
      </w:r>
      <w:r>
        <w:rPr>
          <w:sz w:val="16"/>
        </w:rPr>
        <w:t>公司官网，招银国际证券</w:t>
      </w:r>
    </w:p>
    <w:p>
      <w:pPr>
        <w:pStyle w:val="BodyText"/>
        <w:spacing w:before="7"/>
        <w:ind w:left="0"/>
        <w:rPr>
          <w:sz w:val="21"/>
        </w:rPr>
      </w:pPr>
    </w:p>
    <w:p>
      <w:pPr>
        <w:pStyle w:val="BodyText"/>
        <w:spacing w:line="288" w:lineRule="auto" w:before="98"/>
        <w:ind w:right="2617"/>
        <w:jc w:val="both"/>
        <w:rPr>
          <w:rFonts w:ascii="Arial" w:eastAsia="Arial"/>
        </w:rPr>
      </w:pPr>
      <w:r>
        <w:rPr>
          <w:spacing w:val="-5"/>
        </w:rPr>
        <w:t>目前该平台已有两款产品进入临床，分别是靶向 </w:t>
      </w:r>
      <w:r>
        <w:rPr>
          <w:rFonts w:ascii="Arial" w:eastAsia="Arial"/>
        </w:rPr>
        <w:t>CD19 </w:t>
      </w:r>
      <w:r>
        <w:rPr>
          <w:spacing w:val="38"/>
        </w:rPr>
        <w:t>的</w:t>
      </w:r>
      <w:r>
        <w:rPr>
          <w:rFonts w:ascii="Arial" w:eastAsia="Arial"/>
        </w:rPr>
        <w:t>CTX110 </w:t>
      </w:r>
      <w:r>
        <w:rPr>
          <w:spacing w:val="12"/>
        </w:rPr>
        <w:t>和靶向</w:t>
      </w:r>
      <w:r>
        <w:rPr>
          <w:rFonts w:ascii="Arial" w:eastAsia="Arial"/>
        </w:rPr>
        <w:t>CD70 </w:t>
      </w:r>
      <w:r>
        <w:rPr>
          <w:spacing w:val="38"/>
        </w:rPr>
        <w:t>的</w:t>
      </w:r>
      <w:r>
        <w:rPr>
          <w:rFonts w:ascii="Arial" w:eastAsia="Arial"/>
          <w:spacing w:val="-3"/>
        </w:rPr>
        <w:t>CTX130</w:t>
      </w:r>
      <w:r>
        <w:rPr/>
        <w:t>。</w:t>
      </w:r>
      <w:r>
        <w:rPr>
          <w:rFonts w:ascii="Arial" w:eastAsia="Arial"/>
        </w:rPr>
        <w:t>CTX110 </w:t>
      </w:r>
      <w:r>
        <w:rPr>
          <w:spacing w:val="-1"/>
        </w:rPr>
        <w:t>拟用于治疗 </w:t>
      </w:r>
      <w:r>
        <w:rPr>
          <w:rFonts w:ascii="Arial" w:eastAsia="Arial"/>
        </w:rPr>
        <w:t>3L</w:t>
      </w:r>
      <w:r>
        <w:rPr>
          <w:rFonts w:ascii="Arial" w:eastAsia="Arial"/>
          <w:spacing w:val="-4"/>
        </w:rPr>
        <w:t>+ </w:t>
      </w:r>
      <w:r>
        <w:rPr>
          <w:rFonts w:ascii="Arial" w:eastAsia="Arial"/>
        </w:rPr>
        <w:t>LBCL</w:t>
      </w:r>
      <w:r>
        <w:rPr>
          <w:spacing w:val="-2"/>
        </w:rPr>
        <w:t>，根据公司在 </w:t>
      </w:r>
      <w:r>
        <w:rPr>
          <w:rFonts w:ascii="Arial" w:eastAsia="Arial"/>
        </w:rPr>
        <w:t>2022 </w:t>
      </w:r>
      <w:r>
        <w:rPr>
          <w:spacing w:val="-1"/>
        </w:rPr>
        <w:t>年 </w:t>
      </w:r>
      <w:r>
        <w:rPr>
          <w:rFonts w:ascii="Arial" w:eastAsia="Arial"/>
        </w:rPr>
        <w:t>9 </w:t>
      </w:r>
      <w:r>
        <w:rPr/>
        <w:t>月发布的临床数据，在输注</w:t>
      </w:r>
      <w:r>
        <w:rPr>
          <w:rFonts w:ascii="Arial" w:eastAsia="Arial"/>
        </w:rPr>
        <w:t>UCAR-</w:t>
      </w:r>
    </w:p>
    <w:p>
      <w:pPr>
        <w:pStyle w:val="BodyText"/>
        <w:spacing w:line="285" w:lineRule="auto" w:before="2"/>
        <w:ind w:right="2814"/>
        <w:jc w:val="both"/>
      </w:pPr>
      <w:r>
        <w:rPr>
          <w:rFonts w:ascii="Arial" w:eastAsia="Arial"/>
        </w:rPr>
        <w:t>T </w:t>
      </w:r>
      <w:r>
        <w:rPr/>
        <w:t>剂量水平 </w:t>
      </w:r>
      <w:r>
        <w:rPr>
          <w:rFonts w:ascii="Arial" w:eastAsia="Arial"/>
        </w:rPr>
        <w:t>DL2 </w:t>
      </w:r>
      <w:r>
        <w:rPr/>
        <w:t>以上的 </w:t>
      </w:r>
      <w:r>
        <w:rPr>
          <w:rFonts w:ascii="Arial" w:eastAsia="Arial"/>
        </w:rPr>
        <w:t>24 </w:t>
      </w:r>
      <w:r>
        <w:rPr/>
        <w:t>例患者中，</w:t>
      </w:r>
      <w:r>
        <w:rPr>
          <w:rFonts w:ascii="Arial" w:eastAsia="Arial"/>
        </w:rPr>
        <w:t>ORR </w:t>
      </w:r>
      <w:r>
        <w:rPr/>
        <w:t>达 </w:t>
      </w:r>
      <w:r>
        <w:rPr>
          <w:rFonts w:ascii="Arial" w:eastAsia="Arial"/>
        </w:rPr>
        <w:t>58%</w:t>
      </w:r>
      <w:r>
        <w:rPr/>
        <w:t>，</w:t>
      </w:r>
      <w:r>
        <w:rPr>
          <w:rFonts w:ascii="Arial" w:eastAsia="Arial"/>
        </w:rPr>
        <w:t>CR </w:t>
      </w:r>
      <w:r>
        <w:rPr/>
        <w:t>达 </w:t>
      </w:r>
      <w:r>
        <w:rPr>
          <w:rFonts w:ascii="Arial" w:eastAsia="Arial"/>
        </w:rPr>
        <w:t>38%</w:t>
      </w:r>
      <w:r>
        <w:rPr/>
        <w:t>。对于获得 </w:t>
      </w:r>
      <w:r>
        <w:rPr>
          <w:rFonts w:ascii="Arial" w:eastAsia="Arial"/>
        </w:rPr>
        <w:t>CR </w:t>
      </w:r>
      <w:r>
        <w:rPr/>
        <w:t>的患者， </w:t>
      </w:r>
      <w:r>
        <w:rPr>
          <w:rFonts w:ascii="Arial" w:eastAsia="Arial"/>
        </w:rPr>
        <w:t>CTX110 </w:t>
      </w:r>
      <w:r>
        <w:rPr/>
        <w:t>展现了良好的长期疗效，病人在 </w:t>
      </w:r>
      <w:r>
        <w:rPr>
          <w:rFonts w:ascii="Arial" w:eastAsia="Arial"/>
        </w:rPr>
        <w:t>6 </w:t>
      </w:r>
      <w:r>
        <w:rPr/>
        <w:t>个月后依然保持着较好的治疗效果。然而就目前数据而言，</w:t>
      </w:r>
      <w:r>
        <w:rPr>
          <w:rFonts w:ascii="Arial" w:eastAsia="Arial"/>
        </w:rPr>
        <w:t>CTX110 </w:t>
      </w:r>
      <w:r>
        <w:rPr/>
        <w:t>对于所有回输患者的长期疗效可能落后于自体</w:t>
      </w:r>
      <w:r>
        <w:rPr>
          <w:rFonts w:ascii="Arial" w:eastAsia="Arial"/>
        </w:rPr>
        <w:t>CAR-T </w:t>
      </w:r>
      <w:r>
        <w:rPr/>
        <w:t>疗法。</w:t>
      </w:r>
    </w:p>
    <w:p>
      <w:pPr>
        <w:pStyle w:val="Heading3"/>
        <w:spacing w:before="75" w:after="4"/>
      </w:pPr>
      <w:r>
        <w:rPr/>
        <w:t>图 </w:t>
      </w:r>
      <w:r>
        <w:rPr>
          <w:rFonts w:ascii="Arial" w:eastAsia="Arial"/>
        </w:rPr>
        <w:t>50: </w:t>
      </w:r>
      <w:r>
        <w:rPr/>
        <w:t>接受 </w:t>
      </w:r>
      <w:r>
        <w:rPr>
          <w:rFonts w:ascii="Arial" w:eastAsia="Arial"/>
        </w:rPr>
        <w:t>CTX110 </w:t>
      </w:r>
      <w:r>
        <w:rPr/>
        <w:t>治疗患者的长期随访结果</w:t>
      </w:r>
    </w:p>
    <w:p>
      <w:pPr>
        <w:pStyle w:val="BodyText"/>
        <w:ind w:left="181"/>
        <w:rPr>
          <w:rFonts w:ascii="Microsoft JhengHei UI"/>
        </w:rPr>
      </w:pPr>
      <w:r>
        <w:rPr>
          <w:rFonts w:ascii="Microsoft JhengHei UI"/>
        </w:rPr>
        <w:drawing>
          <wp:inline distT="0" distB="0" distL="0" distR="0">
            <wp:extent cx="5079527" cy="2152650"/>
            <wp:effectExtent l="0" t="0" r="0" b="0"/>
            <wp:docPr id="49" name="image36.png"/>
            <wp:cNvGraphicFramePr>
              <a:graphicFrameLocks noChangeAspect="1"/>
            </wp:cNvGraphicFramePr>
            <a:graphic>
              <a:graphicData uri="http://schemas.openxmlformats.org/drawingml/2006/picture">
                <pic:pic>
                  <pic:nvPicPr>
                    <pic:cNvPr id="50" name="image36.png"/>
                    <pic:cNvPicPr/>
                  </pic:nvPicPr>
                  <pic:blipFill>
                    <a:blip r:embed="rId54" cstate="print"/>
                    <a:stretch>
                      <a:fillRect/>
                    </a:stretch>
                  </pic:blipFill>
                  <pic:spPr>
                    <a:xfrm>
                      <a:off x="0" y="0"/>
                      <a:ext cx="5079527" cy="2152650"/>
                    </a:xfrm>
                    <a:prstGeom prst="rect">
                      <a:avLst/>
                    </a:prstGeom>
                  </pic:spPr>
                </pic:pic>
              </a:graphicData>
            </a:graphic>
          </wp:inline>
        </w:drawing>
      </w:r>
      <w:r>
        <w:rPr>
          <w:rFonts w:ascii="Microsoft JhengHei UI"/>
        </w:rPr>
      </w:r>
    </w:p>
    <w:p>
      <w:pPr>
        <w:spacing w:before="18"/>
        <w:ind w:left="210" w:right="0" w:firstLine="0"/>
        <w:jc w:val="both"/>
        <w:rPr>
          <w:sz w:val="16"/>
        </w:rPr>
      </w:pPr>
      <w:r>
        <w:rPr>
          <w:sz w:val="16"/>
        </w:rPr>
        <w:t>资料来源</w:t>
      </w:r>
      <w:r>
        <w:rPr>
          <w:rFonts w:ascii="Arial" w:eastAsia="Arial"/>
          <w:sz w:val="16"/>
        </w:rPr>
        <w:t>: </w:t>
      </w:r>
      <w:r>
        <w:rPr>
          <w:sz w:val="16"/>
        </w:rPr>
        <w:t>公司官网，招银国际证券</w:t>
      </w:r>
    </w:p>
    <w:p>
      <w:pPr>
        <w:pStyle w:val="BodyText"/>
        <w:spacing w:before="6"/>
        <w:ind w:left="0"/>
        <w:rPr>
          <w:sz w:val="21"/>
        </w:rPr>
      </w:pPr>
    </w:p>
    <w:p>
      <w:pPr>
        <w:pStyle w:val="BodyText"/>
        <w:spacing w:before="99"/>
        <w:rPr>
          <w:rFonts w:ascii="Arial" w:eastAsia="Arial"/>
        </w:rPr>
      </w:pPr>
      <w:r>
        <w:rPr>
          <w:rFonts w:ascii="Arial" w:eastAsia="Arial"/>
        </w:rPr>
        <w:t>2022</w:t>
      </w:r>
      <w:r>
        <w:rPr>
          <w:rFonts w:ascii="Arial" w:eastAsia="Arial"/>
          <w:spacing w:val="-29"/>
        </w:rPr>
        <w:t> </w:t>
      </w:r>
      <w:r>
        <w:rPr>
          <w:spacing w:val="33"/>
        </w:rPr>
        <w:t>年</w:t>
      </w:r>
      <w:r>
        <w:rPr>
          <w:rFonts w:ascii="Arial" w:eastAsia="Arial"/>
        </w:rPr>
        <w:t>6</w:t>
      </w:r>
      <w:r>
        <w:rPr>
          <w:rFonts w:ascii="Arial" w:eastAsia="Arial"/>
          <w:spacing w:val="-28"/>
        </w:rPr>
        <w:t> </w:t>
      </w:r>
      <w:r>
        <w:rPr>
          <w:spacing w:val="34"/>
        </w:rPr>
        <w:t>月</w:t>
      </w:r>
      <w:r>
        <w:rPr>
          <w:rFonts w:ascii="Arial" w:eastAsia="Arial"/>
        </w:rPr>
        <w:t>11</w:t>
      </w:r>
      <w:r>
        <w:rPr>
          <w:rFonts w:ascii="Arial" w:eastAsia="Arial"/>
          <w:spacing w:val="-28"/>
        </w:rPr>
        <w:t> </w:t>
      </w:r>
      <w:r>
        <w:rPr/>
        <w:t>日，</w:t>
      </w:r>
      <w:r>
        <w:rPr>
          <w:rFonts w:ascii="Arial" w:eastAsia="Arial"/>
        </w:rPr>
        <w:t>CRISPR</w:t>
      </w:r>
      <w:r>
        <w:rPr>
          <w:rFonts w:ascii="Arial" w:eastAsia="Arial"/>
          <w:spacing w:val="-33"/>
        </w:rPr>
        <w:t> </w:t>
      </w:r>
      <w:r>
        <w:rPr>
          <w:spacing w:val="33"/>
        </w:rPr>
        <w:t>在</w:t>
      </w:r>
      <w:r>
        <w:rPr>
          <w:rFonts w:ascii="Arial" w:eastAsia="Arial"/>
        </w:rPr>
        <w:t>EHA</w:t>
      </w:r>
      <w:r>
        <w:rPr>
          <w:rFonts w:ascii="Arial" w:eastAsia="Arial"/>
          <w:spacing w:val="-16"/>
        </w:rPr>
        <w:t> </w:t>
      </w:r>
      <w:r>
        <w:rPr>
          <w:rFonts w:ascii="Arial" w:eastAsia="Arial"/>
        </w:rPr>
        <w:t>2022</w:t>
      </w:r>
      <w:r>
        <w:rPr>
          <w:rFonts w:ascii="Arial" w:eastAsia="Arial"/>
          <w:spacing w:val="-28"/>
        </w:rPr>
        <w:t> </w:t>
      </w:r>
      <w:r>
        <w:rPr>
          <w:spacing w:val="16"/>
        </w:rPr>
        <w:t>公布</w:t>
      </w:r>
      <w:r>
        <w:rPr>
          <w:rFonts w:ascii="Arial" w:eastAsia="Arial"/>
        </w:rPr>
        <w:t>CD70</w:t>
      </w:r>
      <w:r>
        <w:rPr>
          <w:rFonts w:ascii="Arial" w:eastAsia="Arial"/>
          <w:spacing w:val="-14"/>
        </w:rPr>
        <w:t> </w:t>
      </w:r>
      <w:r>
        <w:rPr>
          <w:rFonts w:ascii="Arial" w:eastAsia="Arial"/>
        </w:rPr>
        <w:t>UCAR-T</w:t>
      </w:r>
      <w:r>
        <w:rPr>
          <w:rFonts w:ascii="Arial" w:eastAsia="Arial"/>
          <w:spacing w:val="-25"/>
        </w:rPr>
        <w:t> </w:t>
      </w:r>
      <w:r>
        <w:rPr>
          <w:spacing w:val="14"/>
        </w:rPr>
        <w:t>疗法</w:t>
      </w:r>
      <w:r>
        <w:rPr>
          <w:rFonts w:ascii="Arial" w:eastAsia="Arial"/>
        </w:rPr>
        <w:t>CTX130</w:t>
      </w:r>
      <w:r>
        <w:rPr>
          <w:rFonts w:ascii="Arial" w:eastAsia="Arial"/>
          <w:spacing w:val="-29"/>
        </w:rPr>
        <w:t> </w:t>
      </w:r>
      <w:r>
        <w:rPr>
          <w:spacing w:val="17"/>
        </w:rPr>
        <w:t>的在</w:t>
      </w:r>
      <w:r>
        <w:rPr>
          <w:rFonts w:ascii="Arial" w:eastAsia="Arial"/>
        </w:rPr>
        <w:t>COBALT-</w:t>
      </w:r>
    </w:p>
    <w:p>
      <w:pPr>
        <w:pStyle w:val="BodyText"/>
        <w:spacing w:before="56"/>
        <w:rPr>
          <w:rFonts w:ascii="Arial" w:eastAsia="Arial"/>
        </w:rPr>
      </w:pPr>
      <w:r>
        <w:rPr>
          <w:rFonts w:ascii="Arial" w:eastAsia="Arial"/>
        </w:rPr>
        <w:t>LYM</w:t>
      </w:r>
      <w:r>
        <w:rPr>
          <w:rFonts w:ascii="Arial" w:eastAsia="Arial"/>
          <w:spacing w:val="-5"/>
        </w:rPr>
        <w:t> </w:t>
      </w:r>
      <w:r>
        <w:rPr>
          <w:spacing w:val="-5"/>
        </w:rPr>
        <w:t>研究中的早期结果，在接受输注剂量 </w:t>
      </w:r>
      <w:r>
        <w:rPr>
          <w:rFonts w:ascii="Arial" w:eastAsia="Arial"/>
          <w:spacing w:val="-3"/>
        </w:rPr>
        <w:t>DL3</w:t>
      </w:r>
      <w:r>
        <w:rPr>
          <w:rFonts w:ascii="Arial" w:eastAsia="Arial"/>
          <w:spacing w:val="-6"/>
        </w:rPr>
        <w:t> </w:t>
      </w:r>
      <w:r>
        <w:rPr>
          <w:spacing w:val="2"/>
        </w:rPr>
        <w:t>和 </w:t>
      </w:r>
      <w:r>
        <w:rPr>
          <w:rFonts w:ascii="Arial" w:eastAsia="Arial"/>
        </w:rPr>
        <w:t>DL4</w:t>
      </w:r>
      <w:r>
        <w:rPr>
          <w:rFonts w:ascii="Arial" w:eastAsia="Arial"/>
          <w:spacing w:val="-12"/>
        </w:rPr>
        <w:t> </w:t>
      </w:r>
      <w:r>
        <w:rPr>
          <w:spacing w:val="2"/>
        </w:rPr>
        <w:t>的 </w:t>
      </w:r>
      <w:r>
        <w:rPr>
          <w:rFonts w:ascii="Arial" w:eastAsia="Arial"/>
        </w:rPr>
        <w:t>10</w:t>
      </w:r>
      <w:r>
        <w:rPr>
          <w:rFonts w:ascii="Arial" w:eastAsia="Arial"/>
          <w:spacing w:val="-7"/>
        </w:rPr>
        <w:t> </w:t>
      </w:r>
      <w:r>
        <w:rPr>
          <w:spacing w:val="-2"/>
        </w:rPr>
        <w:t>名患者中，</w:t>
      </w:r>
      <w:r>
        <w:rPr>
          <w:rFonts w:ascii="Arial" w:eastAsia="Arial"/>
        </w:rPr>
        <w:t>ORR</w:t>
      </w:r>
      <w:r>
        <w:rPr>
          <w:rFonts w:ascii="Arial" w:eastAsia="Arial"/>
          <w:spacing w:val="-10"/>
        </w:rPr>
        <w:t> </w:t>
      </w:r>
      <w:r>
        <w:rPr>
          <w:spacing w:val="2"/>
        </w:rPr>
        <w:t>为 </w:t>
      </w:r>
      <w:r>
        <w:rPr>
          <w:rFonts w:ascii="Arial" w:eastAsia="Arial"/>
        </w:rPr>
        <w:t>70%</w:t>
      </w:r>
      <w:r>
        <w:rPr/>
        <w:t>，</w:t>
      </w:r>
      <w:r>
        <w:rPr>
          <w:rFonts w:ascii="Arial" w:eastAsia="Arial"/>
        </w:rPr>
        <w:t>CR</w:t>
      </w:r>
    </w:p>
    <w:p>
      <w:pPr>
        <w:spacing w:after="0"/>
        <w:rPr>
          <w:rFonts w:ascii="Arial" w:eastAsia="Arial"/>
        </w:rPr>
        <w:sectPr>
          <w:pgSz w:w="11910" w:h="16840"/>
          <w:pgMar w:header="682" w:footer="358" w:top="1380" w:bottom="540" w:left="640" w:right="300"/>
        </w:sectPr>
      </w:pPr>
    </w:p>
    <w:p>
      <w:pPr>
        <w:pStyle w:val="BodyText"/>
        <w:spacing w:before="10"/>
        <w:ind w:left="0"/>
        <w:rPr>
          <w:rFonts w:ascii="Arial"/>
          <w:sz w:val="14"/>
        </w:rPr>
      </w:pPr>
    </w:p>
    <w:p>
      <w:pPr>
        <w:pStyle w:val="BodyText"/>
        <w:spacing w:line="288" w:lineRule="auto" w:before="99"/>
        <w:ind w:right="2814"/>
        <w:jc w:val="both"/>
      </w:pPr>
      <w:r>
        <w:rPr>
          <w:spacing w:val="1"/>
        </w:rPr>
        <w:t>率为 </w:t>
      </w:r>
      <w:r>
        <w:rPr>
          <w:rFonts w:ascii="Arial" w:eastAsia="Arial"/>
          <w:spacing w:val="-2"/>
        </w:rPr>
        <w:t>30%</w:t>
      </w:r>
      <w:r>
        <w:rPr>
          <w:spacing w:val="-3"/>
        </w:rPr>
        <w:t>。安全性方面，接受 </w:t>
      </w:r>
      <w:r>
        <w:rPr>
          <w:rFonts w:ascii="Arial" w:eastAsia="Arial"/>
        </w:rPr>
        <w:t>DL3 </w:t>
      </w:r>
      <w:r>
        <w:rPr>
          <w:spacing w:val="1"/>
        </w:rPr>
        <w:t>输注的 </w:t>
      </w:r>
      <w:r>
        <w:rPr>
          <w:rFonts w:ascii="Arial" w:eastAsia="Arial"/>
        </w:rPr>
        <w:t>5 </w:t>
      </w:r>
      <w:r>
        <w:rPr>
          <w:spacing w:val="-2"/>
        </w:rPr>
        <w:t>名患者中，出现 </w:t>
      </w:r>
      <w:r>
        <w:rPr>
          <w:rFonts w:ascii="Arial" w:eastAsia="Arial"/>
        </w:rPr>
        <w:t>4 </w:t>
      </w:r>
      <w:r>
        <w:rPr>
          <w:spacing w:val="2"/>
        </w:rPr>
        <w:t>例 </w:t>
      </w:r>
      <w:r>
        <w:rPr>
          <w:rFonts w:ascii="Arial" w:eastAsia="Arial"/>
          <w:spacing w:val="-3"/>
        </w:rPr>
        <w:t>CRS </w:t>
      </w:r>
      <w:r>
        <w:rPr>
          <w:spacing w:val="2"/>
        </w:rPr>
        <w:t>和 </w:t>
      </w:r>
      <w:r>
        <w:rPr>
          <w:rFonts w:ascii="Arial" w:eastAsia="Arial"/>
        </w:rPr>
        <w:t>3 </w:t>
      </w:r>
      <w:r>
        <w:rPr>
          <w:spacing w:val="3"/>
        </w:rPr>
        <w:t>例 </w:t>
      </w:r>
      <w:r>
        <w:rPr>
          <w:rFonts w:ascii="Arial" w:eastAsia="Arial"/>
        </w:rPr>
        <w:t>ICANS</w:t>
      </w:r>
      <w:r>
        <w:rPr/>
        <w:t>，接</w:t>
      </w:r>
      <w:r>
        <w:rPr>
          <w:spacing w:val="43"/>
        </w:rPr>
        <w:t>受</w:t>
      </w:r>
      <w:r>
        <w:rPr>
          <w:rFonts w:ascii="Arial" w:eastAsia="Arial"/>
        </w:rPr>
        <w:t>DL4 </w:t>
      </w:r>
      <w:r>
        <w:rPr>
          <w:spacing w:val="-1"/>
        </w:rPr>
        <w:t>输注的 </w:t>
      </w:r>
      <w:r>
        <w:rPr>
          <w:rFonts w:ascii="Arial" w:eastAsia="Arial"/>
        </w:rPr>
        <w:t>5 </w:t>
      </w:r>
      <w:r>
        <w:rPr>
          <w:spacing w:val="-1"/>
        </w:rPr>
        <w:t>名患者中也出现 </w:t>
      </w:r>
      <w:r>
        <w:rPr>
          <w:rFonts w:ascii="Arial" w:eastAsia="Arial"/>
        </w:rPr>
        <w:t>4 </w:t>
      </w:r>
      <w:r>
        <w:rPr>
          <w:spacing w:val="43"/>
        </w:rPr>
        <w:t>例</w:t>
      </w:r>
      <w:r>
        <w:rPr>
          <w:rFonts w:ascii="Arial" w:eastAsia="Arial"/>
        </w:rPr>
        <w:t>CRS</w:t>
      </w:r>
      <w:r>
        <w:rPr>
          <w:spacing w:val="-4"/>
        </w:rPr>
        <w:t>，上述不良反应均为 </w:t>
      </w:r>
      <w:r>
        <w:rPr>
          <w:rFonts w:ascii="Arial" w:eastAsia="Arial"/>
        </w:rPr>
        <w:t>1~2 </w:t>
      </w:r>
      <w:r>
        <w:rPr>
          <w:spacing w:val="-4"/>
        </w:rPr>
        <w:t>级。从已披露的数据来看，</w:t>
      </w:r>
      <w:r>
        <w:rPr>
          <w:rFonts w:ascii="Arial" w:eastAsia="Arial"/>
          <w:spacing w:val="-4"/>
        </w:rPr>
        <w:t>CTX130 </w:t>
      </w:r>
      <w:r>
        <w:rPr>
          <w:spacing w:val="-5"/>
        </w:rPr>
        <w:t>的长期疗效可能不佳，患者出现复发的比例较高，缓解持续时间较短。</w:t>
      </w:r>
    </w:p>
    <w:p>
      <w:pPr>
        <w:pStyle w:val="Heading3"/>
        <w:spacing w:after="9"/>
      </w:pPr>
      <w:r>
        <w:rPr/>
        <w:t>图 </w:t>
      </w:r>
      <w:r>
        <w:rPr>
          <w:rFonts w:ascii="Arial" w:eastAsia="Arial"/>
        </w:rPr>
        <w:t>51: CRISPR Therapeutics </w:t>
      </w:r>
      <w:r>
        <w:rPr/>
        <w:t>的 </w:t>
      </w:r>
      <w:r>
        <w:rPr>
          <w:rFonts w:ascii="Arial" w:eastAsia="Arial"/>
        </w:rPr>
        <w:t>CAR-T </w:t>
      </w:r>
      <w:r>
        <w:rPr/>
        <w:t>产品管线</w:t>
      </w:r>
    </w:p>
    <w:p>
      <w:pPr>
        <w:pStyle w:val="BodyText"/>
        <w:ind w:left="181"/>
        <w:rPr>
          <w:rFonts w:ascii="Microsoft JhengHei UI"/>
        </w:rPr>
      </w:pPr>
      <w:r>
        <w:rPr>
          <w:rFonts w:ascii="Microsoft JhengHei UI"/>
        </w:rPr>
        <w:drawing>
          <wp:inline distT="0" distB="0" distL="0" distR="0">
            <wp:extent cx="5072645" cy="2109787"/>
            <wp:effectExtent l="0" t="0" r="0" b="0"/>
            <wp:docPr id="51" name="image37.png"/>
            <wp:cNvGraphicFramePr>
              <a:graphicFrameLocks noChangeAspect="1"/>
            </wp:cNvGraphicFramePr>
            <a:graphic>
              <a:graphicData uri="http://schemas.openxmlformats.org/drawingml/2006/picture">
                <pic:pic>
                  <pic:nvPicPr>
                    <pic:cNvPr id="52" name="image37.png"/>
                    <pic:cNvPicPr/>
                  </pic:nvPicPr>
                  <pic:blipFill>
                    <a:blip r:embed="rId55" cstate="print"/>
                    <a:stretch>
                      <a:fillRect/>
                    </a:stretch>
                  </pic:blipFill>
                  <pic:spPr>
                    <a:xfrm>
                      <a:off x="0" y="0"/>
                      <a:ext cx="5072645" cy="2109787"/>
                    </a:xfrm>
                    <a:prstGeom prst="rect">
                      <a:avLst/>
                    </a:prstGeom>
                  </pic:spPr>
                </pic:pic>
              </a:graphicData>
            </a:graphic>
          </wp:inline>
        </w:drawing>
      </w:r>
      <w:r>
        <w:rPr>
          <w:rFonts w:ascii="Microsoft JhengHei UI"/>
        </w:rPr>
      </w:r>
    </w:p>
    <w:p>
      <w:pPr>
        <w:spacing w:before="22"/>
        <w:ind w:left="210" w:right="0" w:firstLine="0"/>
        <w:jc w:val="both"/>
        <w:rPr>
          <w:sz w:val="16"/>
        </w:rPr>
      </w:pPr>
      <w:r>
        <w:rPr>
          <w:sz w:val="16"/>
        </w:rPr>
        <w:t>资料来源</w:t>
      </w:r>
      <w:r>
        <w:rPr>
          <w:rFonts w:ascii="Arial" w:eastAsia="Arial"/>
          <w:sz w:val="16"/>
        </w:rPr>
        <w:t>: </w:t>
      </w:r>
      <w:r>
        <w:rPr>
          <w:sz w:val="16"/>
        </w:rPr>
        <w:t>公司官网，招银国际证券</w:t>
      </w:r>
    </w:p>
    <w:p>
      <w:pPr>
        <w:pStyle w:val="BodyText"/>
        <w:spacing w:before="6"/>
        <w:ind w:left="0"/>
        <w:rPr>
          <w:sz w:val="21"/>
        </w:rPr>
      </w:pPr>
    </w:p>
    <w:p>
      <w:pPr>
        <w:spacing w:line="242" w:lineRule="auto" w:before="45"/>
        <w:ind w:left="210" w:right="2810" w:firstLine="0"/>
        <w:jc w:val="both"/>
        <w:rPr>
          <w:sz w:val="20"/>
        </w:rPr>
      </w:pPr>
      <w:r>
        <w:rPr>
          <w:rFonts w:ascii="Microsoft JhengHei UI" w:eastAsia="Microsoft JhengHei UI" w:hint="eastAsia"/>
          <w:b/>
          <w:sz w:val="20"/>
        </w:rPr>
        <w:t>利用 </w:t>
      </w:r>
      <w:r>
        <w:rPr>
          <w:rFonts w:ascii="Arial" w:eastAsia="Arial"/>
          <w:b/>
          <w:sz w:val="20"/>
        </w:rPr>
        <w:t>ARCUS </w:t>
      </w:r>
      <w:r>
        <w:rPr>
          <w:rFonts w:ascii="Microsoft JhengHei UI" w:eastAsia="Microsoft JhengHei UI" w:hint="eastAsia"/>
          <w:b/>
          <w:sz w:val="20"/>
        </w:rPr>
        <w:t>平台进行递送，</w:t>
      </w:r>
      <w:r>
        <w:rPr>
          <w:rFonts w:ascii="Arial" w:eastAsia="Arial"/>
          <w:b/>
          <w:sz w:val="20"/>
        </w:rPr>
        <w:t>Precision Biosciences </w:t>
      </w:r>
      <w:r>
        <w:rPr>
          <w:rFonts w:ascii="Microsoft JhengHei UI" w:eastAsia="Microsoft JhengHei UI" w:hint="eastAsia"/>
          <w:b/>
          <w:sz w:val="20"/>
        </w:rPr>
        <w:t>（</w:t>
      </w:r>
      <w:r>
        <w:rPr>
          <w:rFonts w:ascii="Arial" w:eastAsia="Arial"/>
          <w:b/>
          <w:sz w:val="20"/>
        </w:rPr>
        <w:t>DTIL US</w:t>
      </w:r>
      <w:r>
        <w:rPr>
          <w:rFonts w:ascii="Microsoft JhengHei UI" w:eastAsia="Microsoft JhengHei UI" w:hint="eastAsia"/>
          <w:b/>
          <w:sz w:val="20"/>
        </w:rPr>
        <w:t>）的 </w:t>
      </w:r>
      <w:r>
        <w:rPr>
          <w:rFonts w:ascii="Arial" w:eastAsia="Arial"/>
          <w:b/>
          <w:sz w:val="20"/>
        </w:rPr>
        <w:t>PBCAR0191 </w:t>
      </w:r>
      <w:r>
        <w:rPr>
          <w:rFonts w:ascii="Microsoft JhengHei UI" w:eastAsia="Microsoft JhengHei UI" w:hint="eastAsia"/>
          <w:b/>
          <w:sz w:val="20"/>
        </w:rPr>
        <w:t>疗效优异。</w:t>
      </w:r>
      <w:r>
        <w:rPr>
          <w:rFonts w:ascii="Arial" w:eastAsia="Arial"/>
          <w:sz w:val="20"/>
        </w:rPr>
        <w:t>Precision BioSciences </w:t>
      </w:r>
      <w:r>
        <w:rPr>
          <w:sz w:val="20"/>
        </w:rPr>
        <w:t>依托于莱茵衣藻中存在的基因编辑酶</w:t>
      </w:r>
      <w:r>
        <w:rPr>
          <w:rFonts w:ascii="Arial" w:eastAsia="Arial"/>
          <w:sz w:val="20"/>
        </w:rPr>
        <w:t>I-CreI</w:t>
      </w:r>
      <w:r>
        <w:rPr>
          <w:sz w:val="20"/>
        </w:rPr>
        <w:t>，开发了一种新型基因编辑平台 </w:t>
      </w:r>
      <w:r>
        <w:rPr>
          <w:rFonts w:ascii="Arial" w:eastAsia="Arial"/>
          <w:sz w:val="20"/>
        </w:rPr>
        <w:t>ARCUS</w:t>
      </w:r>
      <w:r>
        <w:rPr>
          <w:sz w:val="20"/>
        </w:rPr>
        <w:t>。</w:t>
      </w:r>
      <w:r>
        <w:rPr>
          <w:rFonts w:ascii="Arial" w:eastAsia="Arial"/>
          <w:sz w:val="20"/>
        </w:rPr>
        <w:t>ARCUS </w:t>
      </w:r>
      <w:r>
        <w:rPr>
          <w:sz w:val="20"/>
        </w:rPr>
        <w:t>可精确识别 </w:t>
      </w:r>
      <w:r>
        <w:rPr>
          <w:rFonts w:ascii="Arial" w:eastAsia="Arial"/>
          <w:sz w:val="20"/>
        </w:rPr>
        <w:t>12~40bp </w:t>
      </w:r>
      <w:r>
        <w:rPr>
          <w:sz w:val="20"/>
        </w:rPr>
        <w:t>的 </w:t>
      </w:r>
      <w:r>
        <w:rPr>
          <w:rFonts w:ascii="Arial" w:eastAsia="Arial"/>
          <w:sz w:val="20"/>
        </w:rPr>
        <w:t>DNA </w:t>
      </w:r>
      <w:r>
        <w:rPr>
          <w:sz w:val="20"/>
        </w:rPr>
        <w:t>序列，且只在靶 </w:t>
      </w:r>
      <w:r>
        <w:rPr>
          <w:rFonts w:ascii="Arial" w:eastAsia="Arial"/>
          <w:sz w:val="20"/>
        </w:rPr>
        <w:t>DNA </w:t>
      </w:r>
      <w:r>
        <w:rPr>
          <w:sz w:val="20"/>
        </w:rPr>
        <w:t>存在</w:t>
      </w:r>
    </w:p>
    <w:p>
      <w:pPr>
        <w:pStyle w:val="BodyText"/>
        <w:spacing w:line="288" w:lineRule="auto" w:before="56"/>
        <w:ind w:right="2814"/>
        <w:jc w:val="both"/>
      </w:pPr>
      <w:r>
        <w:rPr/>
        <w:t>的情况下才具有活性，因此安全性更好。</w:t>
      </w:r>
      <w:r>
        <w:rPr>
          <w:rFonts w:ascii="Arial" w:eastAsia="Arial"/>
        </w:rPr>
        <w:t>PBCAR0191 </w:t>
      </w:r>
      <w:r>
        <w:rPr>
          <w:spacing w:val="3"/>
        </w:rPr>
        <w:t>为 </w:t>
      </w:r>
      <w:r>
        <w:rPr>
          <w:rFonts w:ascii="Arial" w:eastAsia="Arial"/>
        </w:rPr>
        <w:t>Precision </w:t>
      </w:r>
      <w:r>
        <w:rPr>
          <w:spacing w:val="1"/>
        </w:rPr>
        <w:t>开发的第一款 </w:t>
      </w:r>
      <w:r>
        <w:rPr>
          <w:rFonts w:ascii="Arial" w:eastAsia="Arial"/>
        </w:rPr>
        <w:t>CD19 UCAR-T</w:t>
      </w:r>
      <w:r>
        <w:rPr/>
        <w:t>，利用 </w:t>
      </w:r>
      <w:r>
        <w:rPr>
          <w:rFonts w:ascii="Arial" w:eastAsia="Arial"/>
        </w:rPr>
        <w:t>AAV6 </w:t>
      </w:r>
      <w:r>
        <w:rPr>
          <w:spacing w:val="48"/>
        </w:rPr>
        <w:t>将</w:t>
      </w:r>
      <w:r>
        <w:rPr>
          <w:rFonts w:ascii="Arial" w:eastAsia="Arial"/>
        </w:rPr>
        <w:t>CAR </w:t>
      </w:r>
      <w:r>
        <w:rPr>
          <w:spacing w:val="10"/>
        </w:rPr>
        <w:t>直接插入</w:t>
      </w:r>
      <w:r>
        <w:rPr>
          <w:rFonts w:ascii="Arial" w:eastAsia="Arial"/>
        </w:rPr>
        <w:t>TRAC </w:t>
      </w:r>
      <w:r>
        <w:rPr>
          <w:spacing w:val="4"/>
        </w:rPr>
        <w:t>位点，同时敲除</w:t>
      </w:r>
      <w:r>
        <w:rPr>
          <w:rFonts w:ascii="Arial" w:eastAsia="Arial"/>
        </w:rPr>
        <w:t>TCR </w:t>
      </w:r>
      <w:r>
        <w:rPr>
          <w:spacing w:val="-3"/>
        </w:rPr>
        <w:t>基因以避免 </w:t>
      </w:r>
      <w:r>
        <w:rPr>
          <w:rFonts w:ascii="Arial" w:eastAsia="Arial"/>
        </w:rPr>
        <w:t>GvHD</w:t>
      </w:r>
      <w:r>
        <w:rPr/>
        <w:t>。</w:t>
      </w:r>
    </w:p>
    <w:p>
      <w:pPr>
        <w:pStyle w:val="BodyText"/>
        <w:spacing w:line="288" w:lineRule="auto" w:before="121"/>
        <w:ind w:right="2814"/>
        <w:jc w:val="both"/>
      </w:pPr>
      <w:r>
        <w:rPr>
          <w:rFonts w:ascii="Arial" w:eastAsia="Arial"/>
        </w:rPr>
        <w:t>2022</w:t>
      </w:r>
      <w:r>
        <w:rPr>
          <w:rFonts w:ascii="Arial" w:eastAsia="Arial"/>
          <w:spacing w:val="-13"/>
        </w:rPr>
        <w:t> </w:t>
      </w:r>
      <w:r>
        <w:rPr>
          <w:spacing w:val="-1"/>
        </w:rPr>
        <w:t>年 </w:t>
      </w:r>
      <w:r>
        <w:rPr>
          <w:rFonts w:ascii="Arial" w:eastAsia="Arial"/>
        </w:rPr>
        <w:t>6</w:t>
      </w:r>
      <w:r>
        <w:rPr>
          <w:rFonts w:ascii="Arial" w:eastAsia="Arial"/>
          <w:spacing w:val="-12"/>
        </w:rPr>
        <w:t> </w:t>
      </w:r>
      <w:r>
        <w:rPr>
          <w:spacing w:val="1"/>
        </w:rPr>
        <w:t>月 </w:t>
      </w:r>
      <w:r>
        <w:rPr>
          <w:rFonts w:ascii="Arial" w:eastAsia="Arial"/>
        </w:rPr>
        <w:t>8</w:t>
      </w:r>
      <w:r>
        <w:rPr>
          <w:rFonts w:ascii="Arial" w:eastAsia="Arial"/>
          <w:spacing w:val="-13"/>
        </w:rPr>
        <w:t> </w:t>
      </w:r>
      <w:r>
        <w:rPr/>
        <w:t>日，</w:t>
      </w:r>
      <w:r>
        <w:rPr>
          <w:rFonts w:ascii="Arial" w:eastAsia="Arial"/>
        </w:rPr>
        <w:t>Precision</w:t>
      </w:r>
      <w:r>
        <w:rPr>
          <w:rFonts w:ascii="Arial" w:eastAsia="Arial"/>
          <w:spacing w:val="-12"/>
        </w:rPr>
        <w:t> </w:t>
      </w:r>
      <w:r>
        <w:rPr>
          <w:rFonts w:ascii="Arial" w:eastAsia="Arial"/>
        </w:rPr>
        <w:t>BioSciences</w:t>
      </w:r>
      <w:r>
        <w:rPr>
          <w:rFonts w:ascii="Arial" w:eastAsia="Arial"/>
          <w:spacing w:val="-14"/>
        </w:rPr>
        <w:t> </w:t>
      </w:r>
      <w:r>
        <w:rPr>
          <w:spacing w:val="-1"/>
        </w:rPr>
        <w:t>公布了 </w:t>
      </w:r>
      <w:r>
        <w:rPr>
          <w:rFonts w:ascii="Arial" w:eastAsia="Arial"/>
        </w:rPr>
        <w:t>PBCAR0191</w:t>
      </w:r>
      <w:r>
        <w:rPr>
          <w:rFonts w:ascii="Arial" w:eastAsia="Arial"/>
          <w:spacing w:val="-12"/>
        </w:rPr>
        <w:t> </w:t>
      </w:r>
      <w:r>
        <w:rPr>
          <w:spacing w:val="-2"/>
        </w:rPr>
        <w:t>最新的临床试验结果。对于</w:t>
      </w:r>
      <w:r>
        <w:rPr>
          <w:rFonts w:ascii="Arial" w:eastAsia="Arial"/>
          <w:spacing w:val="-2"/>
        </w:rPr>
        <w:t>11</w:t>
      </w:r>
      <w:r>
        <w:rPr>
          <w:rFonts w:ascii="Arial" w:eastAsia="Arial"/>
          <w:spacing w:val="-13"/>
        </w:rPr>
        <w:t> </w:t>
      </w:r>
      <w:r>
        <w:rPr/>
        <w:t>名使用 </w:t>
      </w:r>
      <w:r>
        <w:rPr>
          <w:rFonts w:ascii="Arial" w:eastAsia="Arial"/>
        </w:rPr>
        <w:t>CD19</w:t>
      </w:r>
      <w:r>
        <w:rPr>
          <w:rFonts w:ascii="Arial" w:eastAsia="Arial"/>
          <w:spacing w:val="33"/>
        </w:rPr>
        <w:t> </w:t>
      </w:r>
      <w:r>
        <w:rPr>
          <w:rFonts w:ascii="Arial" w:eastAsia="Arial"/>
        </w:rPr>
        <w:t>CAR-T</w:t>
      </w:r>
      <w:r>
        <w:rPr>
          <w:rFonts w:ascii="Arial" w:eastAsia="Arial"/>
          <w:spacing w:val="-13"/>
        </w:rPr>
        <w:t> </w:t>
      </w:r>
      <w:r>
        <w:rPr>
          <w:spacing w:val="-2"/>
        </w:rPr>
        <w:t>后复发的 </w:t>
      </w:r>
      <w:r>
        <w:rPr>
          <w:rFonts w:ascii="Arial" w:eastAsia="Arial"/>
        </w:rPr>
        <w:t>B-NHL</w:t>
      </w:r>
      <w:r>
        <w:rPr>
          <w:rFonts w:ascii="Arial" w:eastAsia="Arial"/>
          <w:spacing w:val="-13"/>
        </w:rPr>
        <w:t> </w:t>
      </w:r>
      <w:r>
        <w:rPr>
          <w:spacing w:val="-2"/>
        </w:rPr>
        <w:t>患者，输注 </w:t>
      </w:r>
      <w:r>
        <w:rPr>
          <w:rFonts w:ascii="Arial" w:eastAsia="Arial"/>
          <w:spacing w:val="-4"/>
        </w:rPr>
        <w:t>28</w:t>
      </w:r>
      <w:r>
        <w:rPr>
          <w:rFonts w:ascii="Arial" w:eastAsia="Arial"/>
          <w:spacing w:val="-13"/>
        </w:rPr>
        <w:t> </w:t>
      </w:r>
      <w:r>
        <w:rPr>
          <w:spacing w:val="1"/>
        </w:rPr>
        <w:t>天后的 </w:t>
      </w:r>
      <w:r>
        <w:rPr>
          <w:rFonts w:ascii="Arial" w:eastAsia="Arial"/>
        </w:rPr>
        <w:t>ORR</w:t>
      </w:r>
      <w:r>
        <w:rPr>
          <w:rFonts w:ascii="Arial" w:eastAsia="Arial"/>
          <w:spacing w:val="-17"/>
        </w:rPr>
        <w:t> </w:t>
      </w:r>
      <w:r>
        <w:rPr>
          <w:spacing w:val="1"/>
        </w:rPr>
        <w:t>达 </w:t>
      </w:r>
      <w:r>
        <w:rPr>
          <w:rFonts w:ascii="Arial" w:eastAsia="Arial"/>
        </w:rPr>
        <w:t>100%</w:t>
      </w:r>
      <w:r>
        <w:rPr>
          <w:spacing w:val="-1"/>
        </w:rPr>
        <w:t>，其中 </w:t>
      </w:r>
      <w:r>
        <w:rPr>
          <w:rFonts w:ascii="Arial" w:eastAsia="Arial"/>
          <w:spacing w:val="-2"/>
        </w:rPr>
        <w:t>73% </w:t>
      </w:r>
      <w:r>
        <w:rPr/>
        <w:t>的患者达到 </w:t>
      </w:r>
      <w:r>
        <w:rPr>
          <w:rFonts w:ascii="Arial" w:eastAsia="Arial"/>
        </w:rPr>
        <w:t>CR</w:t>
      </w:r>
      <w:r>
        <w:rPr/>
        <w:t>。</w:t>
      </w:r>
      <w:r>
        <w:rPr>
          <w:rFonts w:ascii="Arial" w:eastAsia="Arial"/>
        </w:rPr>
        <w:t>6</w:t>
      </w:r>
      <w:r>
        <w:rPr>
          <w:rFonts w:ascii="Arial" w:eastAsia="Arial"/>
          <w:spacing w:val="-9"/>
        </w:rPr>
        <w:t> </w:t>
      </w:r>
      <w:r>
        <w:rPr>
          <w:spacing w:val="10"/>
        </w:rPr>
        <w:t>名患者的</w:t>
      </w:r>
      <w:r>
        <w:rPr>
          <w:rFonts w:ascii="Arial" w:eastAsia="Arial"/>
        </w:rPr>
        <w:t>DOR</w:t>
      </w:r>
      <w:r>
        <w:rPr>
          <w:rFonts w:ascii="Arial" w:eastAsia="Arial"/>
          <w:spacing w:val="-7"/>
        </w:rPr>
        <w:t> </w:t>
      </w:r>
      <w:r>
        <w:rPr>
          <w:spacing w:val="-2"/>
        </w:rPr>
        <w:t>可供评估，其中 </w:t>
      </w:r>
      <w:r>
        <w:rPr>
          <w:rFonts w:ascii="Arial" w:eastAsia="Arial"/>
          <w:spacing w:val="-4"/>
        </w:rPr>
        <w:t>50%</w:t>
      </w:r>
      <w:r>
        <w:rPr>
          <w:spacing w:val="1"/>
        </w:rPr>
        <w:t>超过 </w:t>
      </w:r>
      <w:r>
        <w:rPr>
          <w:rFonts w:ascii="Arial" w:eastAsia="Arial"/>
        </w:rPr>
        <w:t>6</w:t>
      </w:r>
      <w:r>
        <w:rPr>
          <w:rFonts w:ascii="Arial" w:eastAsia="Arial"/>
          <w:spacing w:val="-9"/>
        </w:rPr>
        <w:t> </w:t>
      </w:r>
      <w:r>
        <w:rPr>
          <w:spacing w:val="1"/>
        </w:rPr>
        <w:t>个月； </w:t>
      </w:r>
      <w:r>
        <w:rPr>
          <w:rFonts w:ascii="Arial" w:eastAsia="Arial"/>
          <w:spacing w:val="-2"/>
        </w:rPr>
        <w:t>55%</w:t>
      </w:r>
      <w:r>
        <w:rPr>
          <w:spacing w:val="-3"/>
        </w:rPr>
        <w:t>的受试者持续响</w:t>
      </w:r>
      <w:r>
        <w:rPr>
          <w:spacing w:val="1"/>
        </w:rPr>
        <w:t>应 </w:t>
      </w:r>
      <w:r>
        <w:rPr>
          <w:rFonts w:ascii="Arial" w:eastAsia="Arial"/>
        </w:rPr>
        <w:t>(</w:t>
      </w:r>
      <w:r>
        <w:rPr/>
        <w:t>最长达到 </w:t>
      </w:r>
      <w:r>
        <w:rPr>
          <w:rFonts w:ascii="Arial" w:eastAsia="Arial"/>
          <w:spacing w:val="-3"/>
        </w:rPr>
        <w:t>18+</w:t>
      </w:r>
      <w:r>
        <w:rPr/>
        <w:t>月</w:t>
      </w:r>
      <w:r>
        <w:rPr>
          <w:rFonts w:ascii="Arial" w:eastAsia="Arial"/>
          <w:spacing w:val="-5"/>
        </w:rPr>
        <w:t>)</w:t>
      </w:r>
      <w:r>
        <w:rPr>
          <w:spacing w:val="-4"/>
        </w:rPr>
        <w:t>。上述结果显著超越现有 </w:t>
      </w:r>
      <w:r>
        <w:rPr>
          <w:rFonts w:ascii="Arial" w:eastAsia="Arial"/>
        </w:rPr>
        <w:t>SOC</w:t>
      </w:r>
      <w:r>
        <w:rPr>
          <w:spacing w:val="8"/>
        </w:rPr>
        <w:t>。另外，在</w:t>
      </w:r>
      <w:r>
        <w:rPr>
          <w:rFonts w:ascii="Arial" w:eastAsia="Arial"/>
        </w:rPr>
        <w:t>New</w:t>
      </w:r>
      <w:r>
        <w:rPr>
          <w:rFonts w:ascii="Arial" w:eastAsia="Arial"/>
          <w:spacing w:val="-5"/>
        </w:rPr>
        <w:t> </w:t>
      </w:r>
      <w:r>
        <w:rPr>
          <w:rFonts w:ascii="Arial" w:eastAsia="Arial"/>
        </w:rPr>
        <w:t>Cohort</w:t>
      </w:r>
      <w:r>
        <w:rPr>
          <w:rFonts w:ascii="Arial" w:eastAsia="Arial"/>
          <w:spacing w:val="3"/>
        </w:rPr>
        <w:t> (</w:t>
      </w:r>
      <w:r>
        <w:rPr>
          <w:rFonts w:ascii="Arial" w:eastAsia="Arial"/>
        </w:rPr>
        <w:t>CAR-T</w:t>
      </w:r>
      <w:r>
        <w:rPr>
          <w:rFonts w:ascii="Arial" w:eastAsia="Arial"/>
          <w:spacing w:val="-5"/>
        </w:rPr>
        <w:t> </w:t>
      </w:r>
      <w:r>
        <w:rPr/>
        <w:t>剂量加大</w:t>
      </w:r>
      <w:r>
        <w:rPr>
          <w:rFonts w:ascii="Arial" w:eastAsia="Arial"/>
          <w:spacing w:val="1"/>
        </w:rPr>
        <w:t>) </w:t>
      </w:r>
      <w:r>
        <w:rPr>
          <w:spacing w:val="-2"/>
        </w:rPr>
        <w:t>的 </w:t>
      </w:r>
      <w:r>
        <w:rPr>
          <w:rFonts w:ascii="Arial" w:eastAsia="Arial"/>
        </w:rPr>
        <w:t>5</w:t>
      </w:r>
      <w:r>
        <w:rPr>
          <w:rFonts w:ascii="Arial" w:eastAsia="Arial"/>
          <w:spacing w:val="-15"/>
        </w:rPr>
        <w:t> </w:t>
      </w:r>
      <w:r>
        <w:rPr>
          <w:spacing w:val="-3"/>
        </w:rPr>
        <w:t>例可评估患者中，</w:t>
      </w:r>
      <w:r>
        <w:rPr>
          <w:rFonts w:ascii="Arial" w:eastAsia="Arial"/>
        </w:rPr>
        <w:t>CR</w:t>
      </w:r>
      <w:r>
        <w:rPr>
          <w:rFonts w:ascii="Arial" w:eastAsia="Arial"/>
          <w:spacing w:val="-14"/>
        </w:rPr>
        <w:t> </w:t>
      </w:r>
      <w:r>
        <w:rPr>
          <w:spacing w:val="-1"/>
        </w:rPr>
        <w:t>率达 </w:t>
      </w:r>
      <w:r>
        <w:rPr>
          <w:rFonts w:ascii="Arial" w:eastAsia="Arial"/>
        </w:rPr>
        <w:t>100%</w:t>
      </w:r>
      <w:r>
        <w:rPr/>
        <w:t>。</w:t>
      </w:r>
    </w:p>
    <w:p>
      <w:pPr>
        <w:pStyle w:val="Heading3"/>
        <w:spacing w:before="64" w:after="9"/>
      </w:pPr>
      <w:r>
        <w:rPr/>
        <w:t>图 </w:t>
      </w:r>
      <w:r>
        <w:rPr>
          <w:rFonts w:ascii="Arial" w:eastAsia="Arial"/>
        </w:rPr>
        <w:t>52: PBCAR0191 </w:t>
      </w:r>
      <w:r>
        <w:rPr/>
        <w:t>的最新疗效数据</w:t>
      </w:r>
    </w:p>
    <w:p>
      <w:pPr>
        <w:pStyle w:val="BodyText"/>
        <w:spacing w:line="28" w:lineRule="exact"/>
        <w:ind w:left="181"/>
        <w:rPr>
          <w:rFonts w:ascii="Microsoft JhengHei UI"/>
          <w:sz w:val="2"/>
        </w:rPr>
      </w:pPr>
      <w:r>
        <w:rPr>
          <w:rFonts w:ascii="Microsoft JhengHei UI"/>
          <w:position w:val="0"/>
          <w:sz w:val="2"/>
        </w:rPr>
        <w:pict>
          <v:group style="width:400.05pt;height:1.45pt;mso-position-horizontal-relative:char;mso-position-vertical-relative:line" coordorigin="0,0" coordsize="8001,29">
            <v:rect style="position:absolute;left:0;top:0;width:8001;height:29" filled="true" fillcolor="#000000" stroked="false">
              <v:fill type="solid"/>
            </v:rect>
          </v:group>
        </w:pict>
      </w:r>
      <w:r>
        <w:rPr>
          <w:rFonts w:ascii="Microsoft JhengHei UI"/>
          <w:position w:val="0"/>
          <w:sz w:val="2"/>
        </w:rPr>
      </w:r>
    </w:p>
    <w:p>
      <w:pPr>
        <w:pStyle w:val="BodyText"/>
        <w:spacing w:before="5"/>
        <w:ind w:left="0"/>
        <w:rPr>
          <w:rFonts w:ascii="Microsoft JhengHei UI"/>
          <w:b/>
          <w:sz w:val="4"/>
        </w:rPr>
      </w:pPr>
    </w:p>
    <w:p>
      <w:pPr>
        <w:pStyle w:val="BodyText"/>
        <w:ind w:left="181"/>
        <w:rPr>
          <w:rFonts w:ascii="Microsoft JhengHei UI"/>
        </w:rPr>
      </w:pPr>
      <w:r>
        <w:rPr>
          <w:rFonts w:ascii="Microsoft JhengHei UI"/>
        </w:rPr>
        <w:pict>
          <v:group style="width:400.05pt;height:189.7pt;mso-position-horizontal-relative:char;mso-position-vertical-relative:line" coordorigin="0,0" coordsize="8001,3794">
            <v:rect style="position:absolute;left:0;top:3764;width:8001;height:29" filled="true" fillcolor="#000000" stroked="false">
              <v:fill type="solid"/>
            </v:rect>
            <v:shape style="position:absolute;left:354;top:0;width:7272;height:3742" type="#_x0000_t75" stroked="false">
              <v:imagedata r:id="rId56" o:title=""/>
            </v:shape>
          </v:group>
        </w:pict>
      </w:r>
      <w:r>
        <w:rPr>
          <w:rFonts w:ascii="Microsoft JhengHei UI"/>
        </w:rPr>
      </w:r>
    </w:p>
    <w:p>
      <w:pPr>
        <w:spacing w:line="216" w:lineRule="exact" w:before="0"/>
        <w:ind w:left="210" w:right="0" w:firstLine="0"/>
        <w:jc w:val="left"/>
        <w:rPr>
          <w:sz w:val="16"/>
        </w:rPr>
      </w:pPr>
      <w:r>
        <w:rPr>
          <w:sz w:val="16"/>
        </w:rPr>
        <w:t>资料来源</w:t>
      </w:r>
      <w:r>
        <w:rPr>
          <w:rFonts w:ascii="Arial" w:eastAsia="Arial"/>
          <w:sz w:val="16"/>
        </w:rPr>
        <w:t>: </w:t>
      </w:r>
      <w:r>
        <w:rPr>
          <w:sz w:val="16"/>
        </w:rPr>
        <w:t>公司官网，招银国际证券</w:t>
      </w:r>
    </w:p>
    <w:p>
      <w:pPr>
        <w:spacing w:after="0" w:line="216" w:lineRule="exact"/>
        <w:jc w:val="left"/>
        <w:rPr>
          <w:sz w:val="16"/>
        </w:rPr>
        <w:sectPr>
          <w:pgSz w:w="11910" w:h="16840"/>
          <w:pgMar w:header="682" w:footer="358" w:top="1380" w:bottom="540" w:left="640" w:right="300"/>
        </w:sectPr>
      </w:pPr>
    </w:p>
    <w:p>
      <w:pPr>
        <w:pStyle w:val="BodyText"/>
        <w:spacing w:before="3"/>
        <w:ind w:left="0"/>
        <w:rPr>
          <w:sz w:val="12"/>
        </w:rPr>
      </w:pPr>
    </w:p>
    <w:p>
      <w:pPr>
        <w:spacing w:line="225" w:lineRule="auto" w:before="61"/>
        <w:ind w:left="210" w:right="2612" w:firstLine="0"/>
        <w:jc w:val="left"/>
        <w:rPr>
          <w:sz w:val="20"/>
        </w:rPr>
      </w:pPr>
      <w:r>
        <w:rPr>
          <w:rFonts w:ascii="Arial" w:eastAsia="Arial"/>
          <w:b/>
          <w:sz w:val="20"/>
        </w:rPr>
        <w:t>Caribou Biosciences</w:t>
      </w:r>
      <w:r>
        <w:rPr>
          <w:rFonts w:ascii="Microsoft JhengHei UI" w:eastAsia="Microsoft JhengHei UI" w:hint="eastAsia"/>
          <w:b/>
          <w:sz w:val="20"/>
        </w:rPr>
        <w:t>（</w:t>
      </w:r>
      <w:r>
        <w:rPr>
          <w:rFonts w:ascii="Arial" w:eastAsia="Arial"/>
          <w:b/>
          <w:sz w:val="20"/>
        </w:rPr>
        <w:t>CRBU US</w:t>
      </w:r>
      <w:r>
        <w:rPr>
          <w:rFonts w:ascii="Microsoft JhengHei UI" w:eastAsia="Microsoft JhengHei UI" w:hint="eastAsia"/>
          <w:b/>
          <w:sz w:val="20"/>
        </w:rPr>
        <w:t>）开发的 </w:t>
      </w:r>
      <w:r>
        <w:rPr>
          <w:rFonts w:ascii="Arial" w:eastAsia="Arial"/>
          <w:b/>
          <w:sz w:val="20"/>
        </w:rPr>
        <w:t>CB-010 </w:t>
      </w:r>
      <w:r>
        <w:rPr>
          <w:rFonts w:ascii="Microsoft JhengHei UI" w:eastAsia="Microsoft JhengHei UI" w:hint="eastAsia"/>
          <w:b/>
          <w:sz w:val="20"/>
        </w:rPr>
        <w:t>初步数据喜人，长期疗效有待进一步观察。</w:t>
      </w:r>
      <w:r>
        <w:rPr>
          <w:rFonts w:ascii="Arial" w:eastAsia="Arial"/>
          <w:sz w:val="20"/>
        </w:rPr>
        <w:t>Caribou Biosciences </w:t>
      </w:r>
      <w:r>
        <w:rPr>
          <w:sz w:val="20"/>
        </w:rPr>
        <w:t>由诺奖获得者</w:t>
      </w:r>
      <w:r>
        <w:rPr>
          <w:rFonts w:ascii="Arial" w:eastAsia="Arial"/>
          <w:sz w:val="20"/>
        </w:rPr>
        <w:t>Jennifer Doudna</w:t>
      </w:r>
      <w:r>
        <w:rPr>
          <w:sz w:val="20"/>
        </w:rPr>
        <w:t>联合创立，核心技术为</w:t>
      </w:r>
      <w:r>
        <w:rPr>
          <w:rFonts w:ascii="Arial" w:eastAsia="Arial"/>
          <w:sz w:val="20"/>
        </w:rPr>
        <w:t>chRDNA</w:t>
      </w:r>
      <w:r>
        <w:rPr>
          <w:sz w:val="20"/>
        </w:rPr>
        <w:t>，</w:t>
      </w:r>
    </w:p>
    <w:p>
      <w:pPr>
        <w:pStyle w:val="BodyText"/>
        <w:spacing w:line="285" w:lineRule="auto" w:before="42"/>
        <w:ind w:right="2814"/>
        <w:jc w:val="both"/>
      </w:pPr>
      <w:r>
        <w:rPr/>
        <w:t>具备更高的特异性和更低的脱靶可能性。</w:t>
      </w:r>
      <w:r>
        <w:rPr>
          <w:rFonts w:ascii="Arial" w:eastAsia="Arial"/>
        </w:rPr>
        <w:t>CB-010 </w:t>
      </w:r>
      <w:r>
        <w:rPr/>
        <w:t>是</w:t>
      </w:r>
      <w:r>
        <w:rPr>
          <w:rFonts w:ascii="Arial" w:eastAsia="Arial"/>
        </w:rPr>
        <w:t>Caribou </w:t>
      </w:r>
      <w:r>
        <w:rPr/>
        <w:t>进展最快的</w:t>
      </w:r>
      <w:r>
        <w:rPr>
          <w:rFonts w:ascii="Arial" w:eastAsia="Arial"/>
        </w:rPr>
        <w:t>UCAR-T </w:t>
      </w:r>
      <w:r>
        <w:rPr/>
        <w:t>项目，通过定点整合的方式，将 </w:t>
      </w:r>
      <w:r>
        <w:rPr>
          <w:rFonts w:ascii="Arial" w:eastAsia="Arial"/>
        </w:rPr>
        <w:t>CAR </w:t>
      </w:r>
      <w:r>
        <w:rPr/>
        <w:t>插入 </w:t>
      </w:r>
      <w:r>
        <w:rPr>
          <w:rFonts w:ascii="Arial" w:eastAsia="Arial"/>
        </w:rPr>
        <w:t>TRAC</w:t>
      </w:r>
      <w:r>
        <w:rPr/>
        <w:t>，以避免 </w:t>
      </w:r>
      <w:r>
        <w:rPr>
          <w:rFonts w:ascii="Arial" w:eastAsia="Arial"/>
        </w:rPr>
        <w:t>GvHD</w:t>
      </w:r>
      <w:r>
        <w:rPr/>
        <w:t>，同时敲除 </w:t>
      </w:r>
      <w:r>
        <w:rPr>
          <w:rFonts w:ascii="Arial" w:eastAsia="Arial"/>
        </w:rPr>
        <w:t>PD-1 </w:t>
      </w:r>
      <w:r>
        <w:rPr/>
        <w:t>基因，以减少</w:t>
      </w:r>
      <w:r>
        <w:rPr>
          <w:rFonts w:ascii="Arial" w:eastAsia="Arial"/>
        </w:rPr>
        <w:t>CAR-T </w:t>
      </w:r>
      <w:r>
        <w:rPr/>
        <w:t>细胞耗竭，提高</w:t>
      </w:r>
      <w:r>
        <w:rPr>
          <w:rFonts w:ascii="Arial" w:eastAsia="Arial"/>
        </w:rPr>
        <w:t>UCAR-T </w:t>
      </w:r>
      <w:r>
        <w:rPr/>
        <w:t>抗肿瘤的持久性。</w:t>
      </w:r>
    </w:p>
    <w:p>
      <w:pPr>
        <w:pStyle w:val="BodyText"/>
        <w:spacing w:line="288" w:lineRule="auto" w:before="125"/>
        <w:ind w:right="2809"/>
        <w:jc w:val="both"/>
      </w:pPr>
      <w:r>
        <w:rPr>
          <w:rFonts w:ascii="Arial" w:eastAsia="Arial"/>
        </w:rPr>
        <w:t>2022 </w:t>
      </w:r>
      <w:r>
        <w:rPr>
          <w:spacing w:val="4"/>
        </w:rPr>
        <w:t>年 </w:t>
      </w:r>
      <w:r>
        <w:rPr>
          <w:rFonts w:ascii="Arial" w:eastAsia="Arial"/>
        </w:rPr>
        <w:t>5 </w:t>
      </w:r>
      <w:r>
        <w:rPr/>
        <w:t>月，</w:t>
      </w:r>
      <w:r>
        <w:rPr>
          <w:rFonts w:ascii="Arial" w:eastAsia="Arial"/>
        </w:rPr>
        <w:t>Caribou </w:t>
      </w:r>
      <w:r>
        <w:rPr>
          <w:spacing w:val="4"/>
        </w:rPr>
        <w:t>在 </w:t>
      </w:r>
      <w:r>
        <w:rPr>
          <w:rFonts w:ascii="Arial" w:eastAsia="Arial"/>
        </w:rPr>
        <w:t>EHA 2022 </w:t>
      </w:r>
      <w:r>
        <w:rPr/>
        <w:t>上公布了 </w:t>
      </w:r>
      <w:r>
        <w:rPr>
          <w:rFonts w:ascii="Arial" w:eastAsia="Arial"/>
        </w:rPr>
        <w:t>CB-010 </w:t>
      </w:r>
      <w:r>
        <w:rPr>
          <w:spacing w:val="-2"/>
        </w:rPr>
        <w:t>的早期临床结果，在 </w:t>
      </w:r>
      <w:r>
        <w:rPr>
          <w:rFonts w:ascii="Arial" w:eastAsia="Arial"/>
        </w:rPr>
        <w:t>6 </w:t>
      </w:r>
      <w:r>
        <w:rPr>
          <w:spacing w:val="-2"/>
        </w:rPr>
        <w:t>名接受治疗</w:t>
      </w:r>
      <w:r>
        <w:rPr>
          <w:spacing w:val="-3"/>
        </w:rPr>
        <w:t>的患者中，</w:t>
      </w:r>
      <w:r>
        <w:rPr>
          <w:rFonts w:ascii="Arial" w:eastAsia="Arial"/>
        </w:rPr>
        <w:t>5 </w:t>
      </w:r>
      <w:r>
        <w:rPr>
          <w:spacing w:val="-5"/>
        </w:rPr>
        <w:t>名可供评估，有效性方面，</w:t>
      </w:r>
      <w:r>
        <w:rPr>
          <w:rFonts w:ascii="Arial" w:eastAsia="Arial"/>
        </w:rPr>
        <w:t>ORR </w:t>
      </w:r>
      <w:r>
        <w:rPr/>
        <w:t>达到了 </w:t>
      </w:r>
      <w:r>
        <w:rPr>
          <w:rFonts w:ascii="Arial" w:eastAsia="Arial"/>
        </w:rPr>
        <w:t>100%</w:t>
      </w:r>
      <w:r>
        <w:rPr/>
        <w:t>，</w:t>
      </w:r>
      <w:r>
        <w:rPr>
          <w:rFonts w:ascii="Arial" w:eastAsia="Arial"/>
        </w:rPr>
        <w:t>CR </w:t>
      </w:r>
      <w:r>
        <w:rPr>
          <w:spacing w:val="1"/>
        </w:rPr>
        <w:t>率达到了 </w:t>
      </w:r>
      <w:r>
        <w:rPr>
          <w:rFonts w:ascii="Arial" w:eastAsia="Arial"/>
          <w:spacing w:val="-2"/>
        </w:rPr>
        <w:t>80%</w:t>
      </w:r>
      <w:r>
        <w:rPr>
          <w:spacing w:val="2"/>
        </w:rPr>
        <w:t>。在 </w:t>
      </w:r>
      <w:r>
        <w:rPr>
          <w:rFonts w:ascii="Arial" w:eastAsia="Arial"/>
        </w:rPr>
        <w:t>28 </w:t>
      </w:r>
      <w:r>
        <w:rPr/>
        <w:t>天</w:t>
      </w:r>
      <w:r>
        <w:rPr>
          <w:spacing w:val="5"/>
        </w:rPr>
        <w:t>时获得 </w:t>
      </w:r>
      <w:r>
        <w:rPr>
          <w:rFonts w:ascii="Arial" w:eastAsia="Arial"/>
        </w:rPr>
        <w:t>CR </w:t>
      </w:r>
      <w:r>
        <w:rPr>
          <w:spacing w:val="11"/>
        </w:rPr>
        <w:t>的 </w:t>
      </w:r>
      <w:r>
        <w:rPr>
          <w:rFonts w:ascii="Arial" w:eastAsia="Arial"/>
        </w:rPr>
        <w:t>4 </w:t>
      </w:r>
      <w:r>
        <w:rPr>
          <w:spacing w:val="3"/>
        </w:rPr>
        <w:t>名患者在 </w:t>
      </w:r>
      <w:r>
        <w:rPr>
          <w:rFonts w:ascii="Arial" w:eastAsia="Arial"/>
        </w:rPr>
        <w:t>3 </w:t>
      </w:r>
      <w:r>
        <w:rPr>
          <w:spacing w:val="-4"/>
        </w:rPr>
        <w:t>个月时缓解仍然持续，最长的缓解持续时间为 </w:t>
      </w:r>
      <w:r>
        <w:rPr>
          <w:rFonts w:ascii="Arial" w:eastAsia="Arial"/>
        </w:rPr>
        <w:t>6 </w:t>
      </w:r>
      <w:r>
        <w:rPr>
          <w:spacing w:val="-3"/>
        </w:rPr>
        <w:t>个月。由于本</w:t>
      </w:r>
      <w:r>
        <w:rPr>
          <w:spacing w:val="-5"/>
        </w:rPr>
        <w:t>次数据极其惊艳，</w:t>
      </w:r>
      <w:r>
        <w:rPr>
          <w:rFonts w:ascii="Arial" w:eastAsia="Arial"/>
        </w:rPr>
        <w:t>UCAR-T </w:t>
      </w:r>
      <w:r>
        <w:rPr>
          <w:spacing w:val="-5"/>
        </w:rPr>
        <w:t>疗法一时间引起广泛关注。</w:t>
      </w:r>
    </w:p>
    <w:p>
      <w:pPr>
        <w:pStyle w:val="BodyText"/>
        <w:spacing w:line="288" w:lineRule="auto" w:before="117"/>
        <w:ind w:right="2810"/>
        <w:jc w:val="both"/>
      </w:pPr>
      <w:r>
        <w:rPr/>
        <w:t>然而 </w:t>
      </w:r>
      <w:r>
        <w:rPr>
          <w:rFonts w:ascii="Arial" w:eastAsia="Arial"/>
        </w:rPr>
        <w:t>CB-010 </w:t>
      </w:r>
      <w:r>
        <w:rPr/>
        <w:t>也难逃复发难题，</w:t>
      </w:r>
      <w:r>
        <w:rPr>
          <w:rFonts w:ascii="Arial" w:eastAsia="Arial"/>
        </w:rPr>
        <w:t>6 </w:t>
      </w:r>
      <w:r>
        <w:rPr/>
        <w:t>月发布的随访数据显示，此前接受治疗的 </w:t>
      </w:r>
      <w:r>
        <w:rPr>
          <w:rFonts w:ascii="Arial" w:eastAsia="Arial"/>
        </w:rPr>
        <w:t>6 </w:t>
      </w:r>
      <w:r>
        <w:rPr/>
        <w:t>名患者中， </w:t>
      </w:r>
      <w:r>
        <w:rPr>
          <w:rFonts w:ascii="Arial" w:eastAsia="Arial"/>
        </w:rPr>
        <w:t>50%</w:t>
      </w:r>
      <w:r>
        <w:rPr/>
        <w:t>在 </w:t>
      </w:r>
      <w:r>
        <w:rPr>
          <w:rFonts w:ascii="Arial" w:eastAsia="Arial"/>
        </w:rPr>
        <w:t>6 </w:t>
      </w:r>
      <w:r>
        <w:rPr/>
        <w:t>个月时出现复发。考虑到在 </w:t>
      </w:r>
      <w:r>
        <w:rPr>
          <w:rFonts w:ascii="Arial" w:eastAsia="Arial"/>
        </w:rPr>
        <w:t>ANTLER </w:t>
      </w:r>
      <w:r>
        <w:rPr/>
        <w:t>研究中输注剂量较低，可能影响到长期的有效性，目前公司在积极调整输注剂量，并在新剂量下进行患者招募。</w:t>
      </w:r>
    </w:p>
    <w:p>
      <w:pPr>
        <w:pStyle w:val="Heading3"/>
        <w:spacing w:after="4"/>
      </w:pPr>
      <w:r>
        <w:rPr>
          <w:spacing w:val="3"/>
        </w:rPr>
        <w:t>图 </w:t>
      </w:r>
      <w:r>
        <w:rPr>
          <w:rFonts w:ascii="Arial" w:eastAsia="Arial"/>
        </w:rPr>
        <w:t>53</w:t>
      </w:r>
      <w:r>
        <w:rPr>
          <w:rFonts w:ascii="Arial" w:eastAsia="Arial"/>
          <w:spacing w:val="1"/>
        </w:rPr>
        <w:t>: </w:t>
      </w:r>
      <w:r>
        <w:rPr>
          <w:rFonts w:ascii="Arial" w:eastAsia="Arial"/>
        </w:rPr>
        <w:t>CB-010 </w:t>
      </w:r>
      <w:r>
        <w:rPr>
          <w:spacing w:val="48"/>
        </w:rPr>
        <w:t>的</w:t>
      </w:r>
      <w:r>
        <w:rPr>
          <w:rFonts w:ascii="Arial" w:eastAsia="Arial"/>
        </w:rPr>
        <w:t>I </w:t>
      </w:r>
      <w:r>
        <w:rPr>
          <w:spacing w:val="-1"/>
        </w:rPr>
        <w:t>期临床疗效数据</w:t>
      </w:r>
    </w:p>
    <w:p>
      <w:pPr>
        <w:pStyle w:val="BodyText"/>
        <w:ind w:left="181"/>
        <w:rPr>
          <w:rFonts w:ascii="Microsoft JhengHei UI"/>
        </w:rPr>
      </w:pPr>
      <w:r>
        <w:rPr>
          <w:rFonts w:ascii="Microsoft JhengHei UI"/>
        </w:rPr>
        <w:drawing>
          <wp:inline distT="0" distB="0" distL="0" distR="0">
            <wp:extent cx="5079477" cy="2481262"/>
            <wp:effectExtent l="0" t="0" r="0" b="0"/>
            <wp:docPr id="53" name="image39.png"/>
            <wp:cNvGraphicFramePr>
              <a:graphicFrameLocks noChangeAspect="1"/>
            </wp:cNvGraphicFramePr>
            <a:graphic>
              <a:graphicData uri="http://schemas.openxmlformats.org/drawingml/2006/picture">
                <pic:pic>
                  <pic:nvPicPr>
                    <pic:cNvPr id="54" name="image39.png"/>
                    <pic:cNvPicPr/>
                  </pic:nvPicPr>
                  <pic:blipFill>
                    <a:blip r:embed="rId57" cstate="print"/>
                    <a:stretch>
                      <a:fillRect/>
                    </a:stretch>
                  </pic:blipFill>
                  <pic:spPr>
                    <a:xfrm>
                      <a:off x="0" y="0"/>
                      <a:ext cx="5079477" cy="2481262"/>
                    </a:xfrm>
                    <a:prstGeom prst="rect">
                      <a:avLst/>
                    </a:prstGeom>
                  </pic:spPr>
                </pic:pic>
              </a:graphicData>
            </a:graphic>
          </wp:inline>
        </w:drawing>
      </w:r>
      <w:r>
        <w:rPr>
          <w:rFonts w:ascii="Microsoft JhengHei UI"/>
        </w:rPr>
      </w:r>
    </w:p>
    <w:p>
      <w:pPr>
        <w:spacing w:before="17"/>
        <w:ind w:left="210" w:right="0" w:firstLine="0"/>
        <w:jc w:val="both"/>
        <w:rPr>
          <w:sz w:val="16"/>
        </w:rPr>
      </w:pPr>
      <w:r>
        <w:rPr>
          <w:sz w:val="16"/>
        </w:rPr>
        <w:t>资料来源</w:t>
      </w:r>
      <w:r>
        <w:rPr>
          <w:rFonts w:ascii="Arial" w:eastAsia="Arial"/>
          <w:sz w:val="16"/>
        </w:rPr>
        <w:t>: </w:t>
      </w:r>
      <w:r>
        <w:rPr>
          <w:sz w:val="16"/>
        </w:rPr>
        <w:t>公司官网，招银国际证券</w:t>
      </w:r>
    </w:p>
    <w:p>
      <w:pPr>
        <w:pStyle w:val="BodyText"/>
        <w:spacing w:before="7"/>
        <w:ind w:left="0"/>
        <w:rPr>
          <w:sz w:val="21"/>
        </w:rPr>
      </w:pPr>
    </w:p>
    <w:p>
      <w:pPr>
        <w:pStyle w:val="BodyText"/>
        <w:spacing w:line="283" w:lineRule="auto" w:before="45"/>
        <w:ind w:right="2810"/>
        <w:jc w:val="both"/>
      </w:pPr>
      <w:r>
        <w:rPr>
          <w:rFonts w:ascii="Microsoft JhengHei UI" w:hAnsi="Microsoft JhengHei UI" w:eastAsia="Microsoft JhengHei UI" w:hint="eastAsia"/>
          <w:b/>
        </w:rPr>
        <w:t>亘喜生物（</w:t>
      </w:r>
      <w:r>
        <w:rPr>
          <w:rFonts w:ascii="Arial" w:hAnsi="Arial" w:eastAsia="Arial"/>
          <w:b/>
        </w:rPr>
        <w:t>GRCL </w:t>
      </w:r>
      <w:r>
        <w:rPr>
          <w:rFonts w:ascii="Arial" w:hAnsi="Arial" w:eastAsia="Arial"/>
          <w:b/>
          <w:spacing w:val="-3"/>
        </w:rPr>
        <w:t>US</w:t>
      </w:r>
      <w:r>
        <w:rPr>
          <w:rFonts w:ascii="Microsoft JhengHei UI" w:hAnsi="Microsoft JhengHei UI" w:eastAsia="Microsoft JhengHei UI" w:hint="eastAsia"/>
          <w:b/>
          <w:spacing w:val="-3"/>
        </w:rPr>
        <w:t>）</w:t>
      </w:r>
      <w:r>
        <w:rPr>
          <w:rFonts w:ascii="Microsoft JhengHei UI" w:hAnsi="Microsoft JhengHei UI" w:eastAsia="Microsoft JhengHei UI" w:hint="eastAsia"/>
          <w:b/>
          <w:spacing w:val="3"/>
        </w:rPr>
        <w:t>自主开发 </w:t>
      </w:r>
      <w:r>
        <w:rPr>
          <w:rFonts w:ascii="Arial" w:hAnsi="Arial" w:eastAsia="Arial"/>
          <w:b/>
        </w:rPr>
        <w:t>TruUCAR</w:t>
      </w:r>
      <w:r>
        <w:rPr>
          <w:rFonts w:ascii="Arial" w:hAnsi="Arial" w:eastAsia="Arial"/>
          <w:b/>
          <w:spacing w:val="53"/>
        </w:rPr>
        <w:t> </w:t>
      </w:r>
      <w:r>
        <w:rPr>
          <w:rFonts w:ascii="Microsoft JhengHei UI" w:hAnsi="Microsoft JhengHei UI" w:eastAsia="Microsoft JhengHei UI" w:hint="eastAsia"/>
          <w:b/>
        </w:rPr>
        <w:t>技术平台，目前有两款候选产品。</w:t>
      </w:r>
      <w:r>
        <w:rPr>
          <w:rFonts w:ascii="Arial" w:hAnsi="Arial" w:eastAsia="Arial"/>
        </w:rPr>
        <w:t>TruUCAR </w:t>
      </w:r>
      <w:r>
        <w:rPr>
          <w:spacing w:val="-1"/>
        </w:rPr>
        <w:t>平台采用双特异 </w:t>
      </w:r>
      <w:r>
        <w:rPr>
          <w:rFonts w:ascii="Arial" w:hAnsi="Arial" w:eastAsia="Arial"/>
        </w:rPr>
        <w:t>CAR </w:t>
      </w:r>
      <w:r>
        <w:rPr/>
        <w:t>设计，一种 </w:t>
      </w:r>
      <w:r>
        <w:rPr>
          <w:rFonts w:ascii="Arial" w:hAnsi="Arial" w:eastAsia="Arial"/>
        </w:rPr>
        <w:t>CAR </w:t>
      </w:r>
      <w:r>
        <w:rPr>
          <w:spacing w:val="-3"/>
        </w:rPr>
        <w:t>用于</w:t>
      </w:r>
      <w:r>
        <w:rPr>
          <w:rFonts w:ascii="Arial" w:hAnsi="Arial" w:eastAsia="Arial"/>
        </w:rPr>
        <w:t>“</w:t>
      </w:r>
      <w:r>
        <w:rPr/>
        <w:t>防御</w:t>
      </w:r>
      <w:r>
        <w:rPr>
          <w:rFonts w:ascii="Arial" w:hAnsi="Arial" w:eastAsia="Arial"/>
          <w:spacing w:val="-3"/>
        </w:rPr>
        <w:t>”</w:t>
      </w:r>
      <w:r>
        <w:rPr/>
        <w:t>，保护 </w:t>
      </w:r>
      <w:r>
        <w:rPr>
          <w:rFonts w:ascii="Arial" w:hAnsi="Arial" w:eastAsia="Arial"/>
        </w:rPr>
        <w:t>CAR-T </w:t>
      </w:r>
      <w:r>
        <w:rPr>
          <w:spacing w:val="-3"/>
        </w:rPr>
        <w:t>细胞不被患者体内的 </w:t>
      </w:r>
      <w:r>
        <w:rPr>
          <w:rFonts w:ascii="Arial" w:hAnsi="Arial" w:eastAsia="Arial"/>
        </w:rPr>
        <w:t>T </w:t>
      </w:r>
      <w:r>
        <w:rPr/>
        <w:t>及</w:t>
      </w:r>
      <w:r>
        <w:rPr>
          <w:rFonts w:ascii="Arial" w:hAnsi="Arial" w:eastAsia="Arial"/>
        </w:rPr>
        <w:t>NK </w:t>
      </w:r>
      <w:r>
        <w:rPr/>
        <w:t>细胞排斥；而第二种 </w:t>
      </w:r>
      <w:r>
        <w:rPr>
          <w:rFonts w:ascii="Arial" w:hAnsi="Arial" w:eastAsia="Arial"/>
        </w:rPr>
        <w:t>CAR </w:t>
      </w:r>
      <w:r>
        <w:rPr/>
        <w:t>则用于</w:t>
      </w:r>
      <w:r>
        <w:rPr>
          <w:rFonts w:ascii="Arial" w:hAnsi="Arial" w:eastAsia="Arial"/>
        </w:rPr>
        <w:t>“</w:t>
      </w:r>
      <w:r>
        <w:rPr/>
        <w:t>攻击</w:t>
      </w:r>
      <w:r>
        <w:rPr>
          <w:rFonts w:ascii="Arial" w:hAnsi="Arial" w:eastAsia="Arial"/>
        </w:rPr>
        <w:t>”</w:t>
      </w:r>
      <w:r>
        <w:rPr>
          <w:spacing w:val="-5"/>
        </w:rPr>
        <w:t>，靶向肿瘤抗原以清除肿瘤细胞。因此，基于</w:t>
      </w:r>
      <w:r>
        <w:rPr>
          <w:rFonts w:ascii="Arial" w:hAnsi="Arial" w:eastAsia="Arial"/>
          <w:spacing w:val="-5"/>
        </w:rPr>
        <w:t>TruUCAR </w:t>
      </w:r>
      <w:r>
        <w:rPr>
          <w:spacing w:val="7"/>
        </w:rPr>
        <w:t>平台开发的</w:t>
      </w:r>
      <w:r>
        <w:rPr>
          <w:rFonts w:ascii="Arial" w:hAnsi="Arial" w:eastAsia="Arial"/>
        </w:rPr>
        <w:t>UCAR-T </w:t>
      </w:r>
      <w:r>
        <w:rPr>
          <w:spacing w:val="-3"/>
        </w:rPr>
        <w:t>细胞可在不联用 </w:t>
      </w:r>
      <w:r>
        <w:rPr>
          <w:rFonts w:ascii="Arial" w:hAnsi="Arial" w:eastAsia="Arial"/>
        </w:rPr>
        <w:t>CD52 </w:t>
      </w:r>
      <w:r>
        <w:rPr>
          <w:spacing w:val="-5"/>
        </w:rPr>
        <w:t>抗体的情况下，在患者免疫系统中存</w:t>
      </w:r>
      <w:r>
        <w:rPr/>
        <w:t>活。为降低</w:t>
      </w:r>
      <w:r>
        <w:rPr>
          <w:rFonts w:ascii="Arial" w:hAnsi="Arial" w:eastAsia="Arial"/>
          <w:spacing w:val="5"/>
        </w:rPr>
        <w:t>GvHD</w:t>
      </w:r>
      <w:r>
        <w:rPr/>
        <w:t>风险，亘喜利用</w:t>
      </w:r>
      <w:r>
        <w:rPr>
          <w:rFonts w:ascii="Arial" w:hAnsi="Arial" w:eastAsia="Arial"/>
        </w:rPr>
        <w:t>CRISPR/Cas9 </w:t>
      </w:r>
      <w:r>
        <w:rPr>
          <w:spacing w:val="9"/>
        </w:rPr>
        <w:t>系统对</w:t>
      </w:r>
      <w:r>
        <w:rPr>
          <w:rFonts w:ascii="Arial" w:hAnsi="Arial" w:eastAsia="Arial"/>
        </w:rPr>
        <w:t>TRAC </w:t>
      </w:r>
      <w:r>
        <w:rPr>
          <w:spacing w:val="-4"/>
        </w:rPr>
        <w:t>编码位点进行了基因编辑， </w:t>
      </w:r>
      <w:r>
        <w:rPr>
          <w:spacing w:val="10"/>
        </w:rPr>
        <w:t>以消除</w:t>
      </w:r>
      <w:r>
        <w:rPr>
          <w:rFonts w:ascii="Arial" w:hAnsi="Arial" w:eastAsia="Arial"/>
        </w:rPr>
        <w:t>TruUCAR </w:t>
      </w:r>
      <w:r>
        <w:rPr>
          <w:spacing w:val="8"/>
        </w:rPr>
        <w:t>细胞表面</w:t>
      </w:r>
      <w:r>
        <w:rPr>
          <w:rFonts w:ascii="Arial" w:hAnsi="Arial" w:eastAsia="Arial"/>
        </w:rPr>
        <w:t>TCR </w:t>
      </w:r>
      <w:r>
        <w:rPr>
          <w:spacing w:val="-5"/>
        </w:rPr>
        <w:t>复合物的表达。此外，为消除潜在的</w:t>
      </w:r>
      <w:r>
        <w:rPr>
          <w:rFonts w:ascii="Arial" w:hAnsi="Arial" w:eastAsia="Arial"/>
        </w:rPr>
        <w:t>“fratricide”</w:t>
      </w:r>
      <w:r>
        <w:rPr>
          <w:spacing w:val="-1"/>
        </w:rPr>
        <w:t>现象 </w:t>
      </w:r>
      <w:r>
        <w:rPr>
          <w:rFonts w:ascii="Arial" w:hAnsi="Arial" w:eastAsia="Arial"/>
        </w:rPr>
        <w:t>(CAR- T </w:t>
      </w:r>
      <w:r>
        <w:rPr>
          <w:spacing w:val="-3"/>
        </w:rPr>
        <w:t>细胞间互相杀伤</w:t>
      </w:r>
      <w:r>
        <w:rPr>
          <w:rFonts w:ascii="Arial" w:hAnsi="Arial" w:eastAsia="Arial"/>
          <w:spacing w:val="-3"/>
        </w:rPr>
        <w:t>)</w:t>
      </w:r>
      <w:r>
        <w:rPr>
          <w:spacing w:val="-3"/>
        </w:rPr>
        <w:t>，公司也敲除了 </w:t>
      </w:r>
      <w:r>
        <w:rPr>
          <w:rFonts w:ascii="Arial" w:hAnsi="Arial" w:eastAsia="Arial"/>
        </w:rPr>
        <w:t>CD7</w:t>
      </w:r>
      <w:r>
        <w:rPr>
          <w:rFonts w:ascii="Arial" w:hAnsi="Arial" w:eastAsia="Arial"/>
          <w:spacing w:val="9"/>
        </w:rPr>
        <w:t> (</w:t>
      </w:r>
      <w:r>
        <w:rPr>
          <w:spacing w:val="48"/>
        </w:rPr>
        <w:t>在</w:t>
      </w:r>
      <w:r>
        <w:rPr>
          <w:rFonts w:ascii="Arial" w:hAnsi="Arial" w:eastAsia="Arial"/>
        </w:rPr>
        <w:t>pan T </w:t>
      </w:r>
      <w:r>
        <w:rPr>
          <w:spacing w:val="1"/>
        </w:rPr>
        <w:t>和 </w:t>
      </w:r>
      <w:r>
        <w:rPr>
          <w:rFonts w:ascii="Arial" w:hAnsi="Arial" w:eastAsia="Arial"/>
          <w:spacing w:val="-4"/>
        </w:rPr>
        <w:t>NK </w:t>
      </w:r>
      <w:r>
        <w:rPr>
          <w:spacing w:val="-4"/>
        </w:rPr>
        <w:t>细胞上广泛表达的蛋白分子</w:t>
      </w:r>
      <w:r>
        <w:rPr>
          <w:rFonts w:ascii="Arial" w:hAnsi="Arial" w:eastAsia="Arial"/>
          <w:spacing w:val="7"/>
        </w:rPr>
        <w:t>) </w:t>
      </w:r>
      <w:r>
        <w:rPr/>
        <w:t>的表达。</w:t>
      </w:r>
    </w:p>
    <w:p>
      <w:pPr>
        <w:pStyle w:val="BodyText"/>
        <w:spacing w:line="288" w:lineRule="auto" w:before="123"/>
        <w:ind w:right="2809"/>
        <w:jc w:val="both"/>
      </w:pPr>
      <w:r>
        <w:rPr/>
        <w:t>目前，</w:t>
      </w:r>
      <w:r>
        <w:rPr>
          <w:rFonts w:ascii="Arial" w:hAnsi="Arial" w:eastAsia="Arial"/>
        </w:rPr>
        <w:t>TruUCAR </w:t>
      </w:r>
      <w:r>
        <w:rPr>
          <w:spacing w:val="-4"/>
        </w:rPr>
        <w:t>平台上已诞生了两款候选产品，正在 </w:t>
      </w:r>
      <w:r>
        <w:rPr>
          <w:rFonts w:ascii="Arial" w:hAnsi="Arial" w:eastAsia="Arial"/>
          <w:spacing w:val="-3"/>
        </w:rPr>
        <w:t>IIT </w:t>
      </w:r>
      <w:r>
        <w:rPr>
          <w:spacing w:val="-4"/>
        </w:rPr>
        <w:t>研究中进行验证。</w:t>
      </w:r>
      <w:r>
        <w:rPr>
          <w:rFonts w:ascii="Arial" w:hAnsi="Arial" w:eastAsia="Arial"/>
        </w:rPr>
        <w:t>GC027 </w:t>
      </w:r>
      <w:r>
        <w:rPr/>
        <w:t>是一款</w:t>
      </w:r>
      <w:r>
        <w:rPr>
          <w:rFonts w:ascii="Arial" w:hAnsi="Arial" w:eastAsia="Arial"/>
        </w:rPr>
        <w:t>CD7 UCAR-T </w:t>
      </w:r>
      <w:r>
        <w:rPr>
          <w:spacing w:val="-2"/>
        </w:rPr>
        <w:t>产品，有望填补 </w:t>
      </w:r>
      <w:r>
        <w:rPr>
          <w:rFonts w:ascii="Arial" w:hAnsi="Arial" w:eastAsia="Arial"/>
        </w:rPr>
        <w:t>T-ALL </w:t>
      </w:r>
      <w:r>
        <w:rPr>
          <w:spacing w:val="-5"/>
        </w:rPr>
        <w:t>治疗领域的空白。根据亘喜生物在 </w:t>
      </w:r>
      <w:r>
        <w:rPr>
          <w:rFonts w:ascii="Arial" w:hAnsi="Arial" w:eastAsia="Arial"/>
        </w:rPr>
        <w:t>AACR 2021 </w:t>
      </w:r>
      <w:r>
        <w:rPr/>
        <w:t>上公</w:t>
      </w:r>
      <w:r>
        <w:rPr>
          <w:spacing w:val="5"/>
        </w:rPr>
        <w:t>布的 </w:t>
      </w:r>
      <w:r>
        <w:rPr>
          <w:rFonts w:ascii="Arial" w:hAnsi="Arial" w:eastAsia="Arial"/>
        </w:rPr>
        <w:t>IIT </w:t>
      </w:r>
      <w:r>
        <w:rPr>
          <w:spacing w:val="-1"/>
        </w:rPr>
        <w:t>研究数据，所有 </w:t>
      </w:r>
      <w:r>
        <w:rPr>
          <w:rFonts w:ascii="Arial" w:hAnsi="Arial" w:eastAsia="Arial"/>
        </w:rPr>
        <w:t>6 </w:t>
      </w:r>
      <w:r>
        <w:rPr>
          <w:spacing w:val="-4"/>
        </w:rPr>
        <w:t>名患者在治疗一个月内获得了 </w:t>
      </w:r>
      <w:r>
        <w:rPr>
          <w:rFonts w:ascii="Arial" w:hAnsi="Arial" w:eastAsia="Arial"/>
        </w:rPr>
        <w:t>CR</w:t>
      </w:r>
      <w:r>
        <w:rPr/>
        <w:t>，</w:t>
      </w:r>
      <w:r>
        <w:rPr>
          <w:rFonts w:ascii="Arial" w:hAnsi="Arial" w:eastAsia="Arial"/>
        </w:rPr>
        <w:t>3 </w:t>
      </w:r>
      <w:r>
        <w:rPr>
          <w:spacing w:val="1"/>
        </w:rPr>
        <w:t>名患者达到 </w:t>
      </w:r>
      <w:r>
        <w:rPr>
          <w:rFonts w:ascii="Arial" w:hAnsi="Arial" w:eastAsia="Arial"/>
        </w:rPr>
        <w:t>6 </w:t>
      </w:r>
      <w:r>
        <w:rPr>
          <w:spacing w:val="-2"/>
        </w:rPr>
        <w:t>个月以上的</w:t>
      </w:r>
      <w:r>
        <w:rPr>
          <w:spacing w:val="9"/>
          <w:w w:val="100"/>
        </w:rPr>
        <w:t>生存期，</w:t>
      </w:r>
      <w:r>
        <w:rPr>
          <w:rFonts w:ascii="Arial" w:hAnsi="Arial" w:eastAsia="Arial"/>
          <w:w w:val="100"/>
        </w:rPr>
        <w:t>1</w:t>
      </w:r>
      <w:r>
        <w:rPr>
          <w:rFonts w:ascii="Arial" w:hAnsi="Arial" w:eastAsia="Arial"/>
          <w:spacing w:val="-9"/>
        </w:rPr>
        <w:t>  </w:t>
      </w:r>
      <w:r>
        <w:rPr>
          <w:spacing w:val="7"/>
          <w:w w:val="100"/>
        </w:rPr>
        <w:t>名患者达到一年以上的生存期。</w:t>
      </w:r>
      <w:r>
        <w:rPr>
          <w:rFonts w:ascii="Arial" w:hAnsi="Arial" w:eastAsia="Arial"/>
          <w:spacing w:val="1"/>
          <w:w w:val="100"/>
        </w:rPr>
        <w:t>G</w:t>
      </w:r>
      <w:r>
        <w:rPr>
          <w:rFonts w:ascii="Arial" w:hAnsi="Arial" w:eastAsia="Arial"/>
          <w:spacing w:val="-2"/>
          <w:w w:val="100"/>
        </w:rPr>
        <w:t>C50</w:t>
      </w:r>
      <w:r>
        <w:rPr>
          <w:rFonts w:ascii="Arial" w:hAnsi="Arial" w:eastAsia="Arial"/>
          <w:w w:val="100"/>
        </w:rPr>
        <w:t>2</w:t>
      </w:r>
      <w:r>
        <w:rPr>
          <w:rFonts w:ascii="Arial" w:hAnsi="Arial" w:eastAsia="Arial"/>
          <w:spacing w:val="-9"/>
        </w:rPr>
        <w:t>  </w:t>
      </w:r>
      <w:r>
        <w:rPr>
          <w:spacing w:val="7"/>
          <w:w w:val="100"/>
        </w:rPr>
        <w:t>是一款针对</w:t>
      </w:r>
      <w:r>
        <w:rPr>
          <w:spacing w:val="1"/>
        </w:rPr>
        <w:t>  </w:t>
      </w:r>
      <w:r>
        <w:rPr>
          <w:rFonts w:ascii="Arial" w:hAnsi="Arial" w:eastAsia="Arial"/>
          <w:spacing w:val="-2"/>
          <w:w w:val="100"/>
        </w:rPr>
        <w:t>CD1</w:t>
      </w:r>
      <w:r>
        <w:rPr>
          <w:rFonts w:ascii="Arial" w:hAnsi="Arial" w:eastAsia="Arial"/>
          <w:spacing w:val="7"/>
          <w:w w:val="100"/>
        </w:rPr>
        <w:t>9</w:t>
      </w:r>
      <w:r>
        <w:rPr>
          <w:spacing w:val="9"/>
          <w:w w:val="201"/>
        </w:rPr>
        <w:t>×</w:t>
      </w:r>
      <w:r>
        <w:rPr>
          <w:rFonts w:ascii="Arial" w:hAnsi="Arial" w:eastAsia="Arial"/>
          <w:spacing w:val="-2"/>
          <w:w w:val="100"/>
        </w:rPr>
        <w:t>CD</w:t>
      </w:r>
      <w:r>
        <w:rPr>
          <w:rFonts w:ascii="Arial" w:hAnsi="Arial" w:eastAsia="Arial"/>
          <w:w w:val="100"/>
        </w:rPr>
        <w:t>7</w:t>
      </w:r>
      <w:r>
        <w:rPr>
          <w:rFonts w:ascii="Arial" w:hAnsi="Arial" w:eastAsia="Arial"/>
          <w:spacing w:val="-9"/>
        </w:rPr>
        <w:t>  </w:t>
      </w:r>
      <w:r>
        <w:rPr>
          <w:spacing w:val="6"/>
          <w:w w:val="100"/>
        </w:rPr>
        <w:t>双靶点的 </w:t>
      </w:r>
      <w:r>
        <w:rPr>
          <w:rFonts w:ascii="Arial" w:hAnsi="Arial" w:eastAsia="Arial"/>
          <w:spacing w:val="6"/>
        </w:rPr>
        <w:t>UCAR-T </w:t>
      </w:r>
      <w:r>
        <w:rPr>
          <w:spacing w:val="-3"/>
        </w:rPr>
        <w:t>产品，拟用于治疗 </w:t>
      </w:r>
      <w:r>
        <w:rPr>
          <w:rFonts w:ascii="Arial" w:hAnsi="Arial" w:eastAsia="Arial"/>
        </w:rPr>
        <w:t>B-ALL</w:t>
      </w:r>
      <w:r>
        <w:rPr>
          <w:spacing w:val="-2"/>
        </w:rPr>
        <w:t>。亘喜生物在 </w:t>
      </w:r>
      <w:r>
        <w:rPr>
          <w:rFonts w:ascii="Arial" w:hAnsi="Arial" w:eastAsia="Arial"/>
          <w:spacing w:val="-3"/>
        </w:rPr>
        <w:t>EHA 2022 </w:t>
      </w:r>
      <w:r>
        <w:rPr/>
        <w:t>会议公布了 </w:t>
      </w:r>
      <w:r>
        <w:rPr>
          <w:rFonts w:ascii="Arial" w:hAnsi="Arial" w:eastAsia="Arial"/>
        </w:rPr>
        <w:t>GC502 </w:t>
      </w:r>
      <w:r>
        <w:rPr>
          <w:spacing w:val="5"/>
        </w:rPr>
        <w:t>的 </w:t>
      </w:r>
      <w:r>
        <w:rPr>
          <w:rFonts w:ascii="Arial" w:hAnsi="Arial" w:eastAsia="Arial"/>
        </w:rPr>
        <w:t>IIT </w:t>
      </w:r>
      <w:r>
        <w:rPr>
          <w:spacing w:val="-5"/>
        </w:rPr>
        <w:t>研究</w:t>
      </w:r>
    </w:p>
    <w:p>
      <w:pPr>
        <w:spacing w:after="0" w:line="288" w:lineRule="auto"/>
        <w:jc w:val="both"/>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09"/>
        <w:jc w:val="both"/>
      </w:pPr>
      <w:r>
        <w:rPr/>
        <w:t>的最新长期随访数据，在 </w:t>
      </w:r>
      <w:r>
        <w:rPr>
          <w:rFonts w:ascii="Arial" w:eastAsia="Arial"/>
        </w:rPr>
        <w:t>4 </w:t>
      </w:r>
      <w:r>
        <w:rPr/>
        <w:t>位可评估反应的患者中，有 </w:t>
      </w:r>
      <w:r>
        <w:rPr>
          <w:rFonts w:ascii="Arial" w:eastAsia="Arial"/>
        </w:rPr>
        <w:t>3 </w:t>
      </w:r>
      <w:r>
        <w:rPr/>
        <w:t>位患者达到了 </w:t>
      </w:r>
      <w:r>
        <w:rPr>
          <w:rFonts w:ascii="Arial" w:eastAsia="Arial"/>
        </w:rPr>
        <w:t>CR</w:t>
      </w:r>
      <w:r>
        <w:rPr/>
        <w:t>，</w:t>
      </w:r>
      <w:r>
        <w:rPr>
          <w:rFonts w:ascii="Arial" w:eastAsia="Arial"/>
        </w:rPr>
        <w:t>1 </w:t>
      </w:r>
      <w:r>
        <w:rPr/>
        <w:t>名患者在治疗 </w:t>
      </w:r>
      <w:r>
        <w:rPr>
          <w:rFonts w:ascii="Arial" w:eastAsia="Arial"/>
        </w:rPr>
        <w:t>1 </w:t>
      </w:r>
      <w:r>
        <w:rPr/>
        <w:t>个月后获得 </w:t>
      </w:r>
      <w:r>
        <w:rPr>
          <w:rFonts w:ascii="Arial" w:eastAsia="Arial"/>
        </w:rPr>
        <w:t>PR</w:t>
      </w:r>
      <w:r>
        <w:rPr/>
        <w:t>。安全性方面，</w:t>
      </w:r>
      <w:r>
        <w:rPr>
          <w:rFonts w:ascii="Arial" w:eastAsia="Arial"/>
        </w:rPr>
        <w:t>4 </w:t>
      </w:r>
      <w:r>
        <w:rPr/>
        <w:t>名患者中出现一例三级以上 </w:t>
      </w:r>
      <w:r>
        <w:rPr>
          <w:rFonts w:ascii="Arial" w:eastAsia="Arial"/>
        </w:rPr>
        <w:t>CRS</w:t>
      </w:r>
      <w:r>
        <w:rPr/>
        <w:t>，未观察到 </w:t>
      </w:r>
      <w:r>
        <w:rPr>
          <w:rFonts w:ascii="Arial" w:eastAsia="Arial"/>
        </w:rPr>
        <w:t>ICANS </w:t>
      </w:r>
      <w:r>
        <w:rPr/>
        <w:t>或 </w:t>
      </w:r>
      <w:r>
        <w:rPr>
          <w:rFonts w:ascii="Arial" w:eastAsia="Arial"/>
        </w:rPr>
        <w:t>GvHD</w:t>
      </w:r>
      <w:r>
        <w:rPr/>
        <w:t>。</w:t>
      </w:r>
    </w:p>
    <w:p>
      <w:pPr>
        <w:pStyle w:val="Heading3"/>
        <w:spacing w:after="9"/>
      </w:pPr>
      <w:r>
        <w:rPr/>
        <w:t>图 </w:t>
      </w:r>
      <w:r>
        <w:rPr>
          <w:rFonts w:ascii="Arial" w:eastAsia="Arial"/>
        </w:rPr>
        <w:t>54: </w:t>
      </w:r>
      <w:r>
        <w:rPr/>
        <w:t>亘喜生物</w:t>
      </w:r>
      <w:r>
        <w:rPr>
          <w:rFonts w:ascii="Arial" w:eastAsia="Arial"/>
        </w:rPr>
        <w:t>TruUCAR </w:t>
      </w:r>
      <w:r>
        <w:rPr/>
        <w:t>平台作用原理</w:t>
      </w:r>
    </w:p>
    <w:p>
      <w:pPr>
        <w:pStyle w:val="BodyText"/>
        <w:ind w:left="181"/>
        <w:rPr>
          <w:rFonts w:ascii="Microsoft JhengHei UI"/>
        </w:rPr>
      </w:pPr>
      <w:r>
        <w:rPr>
          <w:rFonts w:ascii="Microsoft JhengHei UI"/>
        </w:rPr>
        <w:pict>
          <v:group style="width:400.05pt;height:176.95pt;mso-position-horizontal-relative:char;mso-position-vertical-relative:line" coordorigin="0,0" coordsize="8001,3539">
            <v:shape style="position:absolute;left:0;top:0;width:8001;height:3539" coordorigin="0,0" coordsize="8001,3539" path="m8000,3510l0,3510,0,3539,8000,3539,8000,3510xm8000,0l0,0,0,29,8000,29,8000,0xe" filled="true" fillcolor="#000000" stroked="false">
              <v:path arrowok="t"/>
              <v:fill type="solid"/>
            </v:shape>
            <v:shape style="position:absolute;left:1866;top:27;width:4258;height:3476" type="#_x0000_t75" stroked="false">
              <v:imagedata r:id="rId58" o:title=""/>
            </v:shape>
          </v:group>
        </w:pict>
      </w:r>
      <w:r>
        <w:rPr>
          <w:rFonts w:ascii="Microsoft JhengHei UI"/>
        </w:rPr>
      </w:r>
    </w:p>
    <w:p>
      <w:pPr>
        <w:spacing w:line="215" w:lineRule="exact" w:before="0"/>
        <w:ind w:left="210" w:right="0" w:firstLine="0"/>
        <w:jc w:val="left"/>
        <w:rPr>
          <w:sz w:val="16"/>
        </w:rPr>
      </w:pPr>
      <w:r>
        <w:rPr>
          <w:sz w:val="16"/>
        </w:rPr>
        <w:t>资料来源</w:t>
      </w:r>
      <w:r>
        <w:rPr>
          <w:rFonts w:ascii="Arial" w:eastAsia="Arial"/>
          <w:sz w:val="16"/>
        </w:rPr>
        <w:t>: </w:t>
      </w:r>
      <w:r>
        <w:rPr>
          <w:sz w:val="16"/>
        </w:rPr>
        <w:t>公司官网，招银国际证券</w:t>
      </w:r>
    </w:p>
    <w:p>
      <w:pPr>
        <w:pStyle w:val="BodyText"/>
        <w:spacing w:before="6"/>
        <w:ind w:left="0"/>
        <w:rPr>
          <w:sz w:val="21"/>
        </w:rPr>
      </w:pPr>
    </w:p>
    <w:p>
      <w:pPr>
        <w:pStyle w:val="BodyText"/>
        <w:spacing w:line="283" w:lineRule="auto" w:before="45"/>
        <w:ind w:right="2809"/>
        <w:jc w:val="both"/>
      </w:pPr>
      <w:r>
        <w:rPr>
          <w:rFonts w:ascii="Microsoft JhengHei UI" w:hAnsi="Microsoft JhengHei UI" w:eastAsia="Microsoft JhengHei UI" w:hint="eastAsia"/>
          <w:b/>
          <w:spacing w:val="16"/>
        </w:rPr>
        <w:t>开发</w:t>
      </w:r>
      <w:r>
        <w:rPr>
          <w:rFonts w:ascii="Arial" w:hAnsi="Arial" w:eastAsia="Arial"/>
          <w:b/>
        </w:rPr>
        <w:t>THANK-uCAR</w:t>
      </w:r>
      <w:r>
        <w:rPr>
          <w:rFonts w:ascii="Arial" w:hAnsi="Arial" w:eastAsia="Arial"/>
          <w:b/>
          <w:spacing w:val="-21"/>
        </w:rPr>
        <w:t> </w:t>
      </w:r>
      <w:r>
        <w:rPr>
          <w:rFonts w:ascii="Microsoft JhengHei UI" w:hAnsi="Microsoft JhengHei UI" w:eastAsia="Microsoft JhengHei UI" w:hint="eastAsia"/>
          <w:b/>
          <w:spacing w:val="-1"/>
        </w:rPr>
        <w:t>技术平台，科济药业已布局一款</w:t>
      </w:r>
      <w:r>
        <w:rPr>
          <w:rFonts w:ascii="Arial" w:hAnsi="Arial" w:eastAsia="Arial"/>
          <w:b/>
          <w:spacing w:val="-3"/>
        </w:rPr>
        <w:t>BCMA</w:t>
      </w:r>
      <w:r>
        <w:rPr>
          <w:rFonts w:ascii="Arial" w:hAnsi="Arial" w:eastAsia="Arial"/>
          <w:b/>
          <w:spacing w:val="-8"/>
        </w:rPr>
        <w:t> </w:t>
      </w:r>
      <w:r>
        <w:rPr>
          <w:rFonts w:ascii="Arial" w:hAnsi="Arial" w:eastAsia="Arial"/>
          <w:b/>
        </w:rPr>
        <w:t>UCAR-T</w:t>
      </w:r>
      <w:r>
        <w:rPr>
          <w:rFonts w:ascii="Arial" w:hAnsi="Arial" w:eastAsia="Arial"/>
          <w:b/>
          <w:spacing w:val="-18"/>
        </w:rPr>
        <w:t> </w:t>
      </w:r>
      <w:r>
        <w:rPr>
          <w:rFonts w:ascii="Microsoft JhengHei UI" w:hAnsi="Microsoft JhengHei UI" w:eastAsia="Microsoft JhengHei UI" w:hint="eastAsia"/>
          <w:b/>
        </w:rPr>
        <w:t>产品。</w:t>
      </w:r>
      <w:r>
        <w:rPr>
          <w:rFonts w:ascii="Arial" w:hAnsi="Arial" w:eastAsia="Arial"/>
        </w:rPr>
        <w:t>THANK-uCAR </w:t>
      </w:r>
      <w:r>
        <w:rPr>
          <w:spacing w:val="4"/>
        </w:rPr>
        <w:t>通过破坏编码</w:t>
      </w:r>
      <w:r>
        <w:rPr>
          <w:rFonts w:ascii="Arial" w:hAnsi="Arial" w:eastAsia="Arial"/>
        </w:rPr>
        <w:t>TCR</w:t>
      </w:r>
      <w:r>
        <w:rPr>
          <w:rFonts w:ascii="Arial" w:hAnsi="Arial" w:eastAsia="Arial"/>
          <w:spacing w:val="-14"/>
        </w:rPr>
        <w:t> </w:t>
      </w:r>
      <w:r>
        <w:rPr>
          <w:spacing w:val="28"/>
        </w:rPr>
        <w:t>和</w:t>
      </w:r>
      <w:r>
        <w:rPr>
          <w:rFonts w:ascii="Arial" w:hAnsi="Arial" w:eastAsia="Arial"/>
        </w:rPr>
        <w:t>B2M</w:t>
      </w:r>
      <w:r>
        <w:rPr>
          <w:rFonts w:ascii="Arial" w:hAnsi="Arial" w:eastAsia="Arial"/>
          <w:spacing w:val="-17"/>
        </w:rPr>
        <w:t> </w:t>
      </w:r>
      <w:r>
        <w:rPr/>
        <w:t>的基因组位点，以消除</w:t>
      </w:r>
      <w:r>
        <w:rPr>
          <w:rFonts w:ascii="Arial" w:hAnsi="Arial" w:eastAsia="Arial"/>
        </w:rPr>
        <w:t>TCR</w:t>
      </w:r>
      <w:r>
        <w:rPr>
          <w:rFonts w:ascii="Arial" w:hAnsi="Arial" w:eastAsia="Arial"/>
          <w:spacing w:val="-20"/>
        </w:rPr>
        <w:t> </w:t>
      </w:r>
      <w:r>
        <w:rPr>
          <w:spacing w:val="33"/>
        </w:rPr>
        <w:t>或</w:t>
      </w:r>
      <w:r>
        <w:rPr>
          <w:rFonts w:ascii="Arial" w:hAnsi="Arial" w:eastAsia="Arial"/>
        </w:rPr>
        <w:t>HLA</w:t>
      </w:r>
      <w:r>
        <w:rPr>
          <w:rFonts w:ascii="Arial" w:hAnsi="Arial" w:eastAsia="Arial"/>
          <w:spacing w:val="-12"/>
        </w:rPr>
        <w:t> </w:t>
      </w:r>
      <w:r>
        <w:rPr/>
        <w:t>的表面表达。然而敲除</w:t>
      </w:r>
      <w:r>
        <w:rPr>
          <w:rFonts w:ascii="Arial" w:hAnsi="Arial" w:eastAsia="Arial"/>
        </w:rPr>
        <w:t>B2M </w:t>
      </w:r>
      <w:r>
        <w:rPr/>
        <w:t>可能引起宿主 </w:t>
      </w:r>
      <w:r>
        <w:rPr>
          <w:rFonts w:ascii="Arial" w:hAnsi="Arial" w:eastAsia="Arial"/>
        </w:rPr>
        <w:t>NK</w:t>
      </w:r>
      <w:r>
        <w:rPr>
          <w:rFonts w:ascii="Arial" w:hAnsi="Arial" w:eastAsia="Arial"/>
          <w:spacing w:val="39"/>
        </w:rPr>
        <w:t> </w:t>
      </w:r>
      <w:r>
        <w:rPr>
          <w:spacing w:val="1"/>
        </w:rPr>
        <w:t>细胞对 </w:t>
      </w:r>
      <w:r>
        <w:rPr>
          <w:rFonts w:ascii="Arial" w:hAnsi="Arial" w:eastAsia="Arial"/>
        </w:rPr>
        <w:t>UCAR-T</w:t>
      </w:r>
      <w:r>
        <w:rPr>
          <w:rFonts w:ascii="Arial" w:hAnsi="Arial" w:eastAsia="Arial"/>
          <w:spacing w:val="41"/>
        </w:rPr>
        <w:t> </w:t>
      </w:r>
      <w:r>
        <w:rPr/>
        <w:t>的杀伤，为更好的解决 </w:t>
      </w:r>
      <w:r>
        <w:rPr>
          <w:rFonts w:ascii="Arial" w:hAnsi="Arial" w:eastAsia="Arial"/>
        </w:rPr>
        <w:t>HVGR</w:t>
      </w:r>
      <w:r>
        <w:rPr/>
        <w:t>，科济药业将一种识别</w:t>
      </w:r>
      <w:r>
        <w:rPr>
          <w:rFonts w:ascii="Arial" w:hAnsi="Arial" w:eastAsia="Arial"/>
        </w:rPr>
        <w:t>NKG2A</w:t>
      </w:r>
      <w:r>
        <w:rPr>
          <w:rFonts w:ascii="Arial" w:hAnsi="Arial" w:eastAsia="Arial"/>
          <w:spacing w:val="-23"/>
        </w:rPr>
        <w:t> </w:t>
      </w:r>
      <w:r>
        <w:rPr>
          <w:spacing w:val="34"/>
        </w:rPr>
        <w:t>的</w:t>
      </w:r>
      <w:r>
        <w:rPr>
          <w:rFonts w:ascii="Arial" w:hAnsi="Arial" w:eastAsia="Arial"/>
        </w:rPr>
        <w:t>CAR</w:t>
      </w:r>
      <w:r>
        <w:rPr>
          <w:rFonts w:ascii="Arial" w:hAnsi="Arial" w:eastAsia="Arial"/>
          <w:spacing w:val="-24"/>
        </w:rPr>
        <w:t> </w:t>
      </w:r>
      <w:r>
        <w:rPr>
          <w:spacing w:val="9"/>
        </w:rPr>
        <w:t>装载到</w:t>
      </w:r>
      <w:r>
        <w:rPr>
          <w:rFonts w:ascii="Arial" w:hAnsi="Arial" w:eastAsia="Arial"/>
        </w:rPr>
        <w:t>UCAR-T</w:t>
      </w:r>
      <w:r>
        <w:rPr>
          <w:rFonts w:ascii="Arial" w:hAnsi="Arial" w:eastAsia="Arial"/>
          <w:spacing w:val="-22"/>
        </w:rPr>
        <w:t> </w:t>
      </w:r>
      <w:r>
        <w:rPr>
          <w:spacing w:val="-2"/>
        </w:rPr>
        <w:t>细胞中，</w:t>
      </w:r>
      <w:r>
        <w:rPr>
          <w:rFonts w:ascii="Arial" w:hAnsi="Arial" w:eastAsia="Arial"/>
        </w:rPr>
        <w:t>Anti-NKG2A</w:t>
      </w:r>
      <w:r>
        <w:rPr>
          <w:rFonts w:ascii="Arial" w:hAnsi="Arial" w:eastAsia="Arial"/>
          <w:spacing w:val="-5"/>
        </w:rPr>
        <w:t> </w:t>
      </w:r>
      <w:r>
        <w:rPr>
          <w:rFonts w:ascii="Arial" w:hAnsi="Arial" w:eastAsia="Arial"/>
          <w:spacing w:val="-3"/>
        </w:rPr>
        <w:t>CAR</w:t>
      </w:r>
      <w:r>
        <w:rPr>
          <w:rFonts w:ascii="Arial" w:hAnsi="Arial" w:eastAsia="Arial"/>
          <w:spacing w:val="-24"/>
        </w:rPr>
        <w:t> </w:t>
      </w:r>
      <w:r>
        <w:rPr>
          <w:spacing w:val="1"/>
        </w:rPr>
        <w:t>可以帮助杀伤激活的</w:t>
      </w:r>
      <w:r>
        <w:rPr>
          <w:rFonts w:ascii="Arial" w:hAnsi="Arial" w:eastAsia="Arial"/>
        </w:rPr>
        <w:t>NK</w:t>
      </w:r>
      <w:r>
        <w:rPr>
          <w:rFonts w:ascii="Arial" w:hAnsi="Arial" w:eastAsia="Arial"/>
          <w:spacing w:val="-22"/>
        </w:rPr>
        <w:t> </w:t>
      </w:r>
      <w:r>
        <w:rPr>
          <w:spacing w:val="-2"/>
        </w:rPr>
        <w:t>细胞， </w:t>
      </w:r>
      <w:r>
        <w:rPr>
          <w:spacing w:val="1"/>
        </w:rPr>
        <w:t>从而降低 </w:t>
      </w:r>
      <w:r>
        <w:rPr>
          <w:rFonts w:ascii="Arial" w:hAnsi="Arial" w:eastAsia="Arial"/>
        </w:rPr>
        <w:t>NK</w:t>
      </w:r>
      <w:r>
        <w:rPr>
          <w:rFonts w:ascii="Arial" w:hAnsi="Arial" w:eastAsia="Arial"/>
          <w:spacing w:val="2"/>
        </w:rPr>
        <w:t> </w:t>
      </w:r>
      <w:r>
        <w:rPr>
          <w:spacing w:val="2"/>
        </w:rPr>
        <w:t>细胞对 </w:t>
      </w:r>
      <w:r>
        <w:rPr>
          <w:rFonts w:ascii="Arial" w:hAnsi="Arial" w:eastAsia="Arial"/>
        </w:rPr>
        <w:t>UCAR-T</w:t>
      </w:r>
      <w:r>
        <w:rPr>
          <w:rFonts w:ascii="Arial" w:hAnsi="Arial" w:eastAsia="Arial"/>
          <w:spacing w:val="3"/>
        </w:rPr>
        <w:t> </w:t>
      </w:r>
      <w:r>
        <w:rPr>
          <w:spacing w:val="-1"/>
        </w:rPr>
        <w:t>的杀伤，另外 </w:t>
      </w:r>
      <w:r>
        <w:rPr>
          <w:rFonts w:ascii="Arial" w:hAnsi="Arial" w:eastAsia="Arial"/>
        </w:rPr>
        <w:t>NK</w:t>
      </w:r>
      <w:r>
        <w:rPr>
          <w:rFonts w:ascii="Arial" w:hAnsi="Arial" w:eastAsia="Arial"/>
          <w:spacing w:val="2"/>
        </w:rPr>
        <w:t> </w:t>
      </w:r>
      <w:r>
        <w:rPr>
          <w:spacing w:val="-1"/>
        </w:rPr>
        <w:t>细胞可以作为 </w:t>
      </w:r>
      <w:r>
        <w:rPr>
          <w:rFonts w:ascii="Arial" w:hAnsi="Arial" w:eastAsia="Arial"/>
        </w:rPr>
        <w:t>UCAR-T</w:t>
      </w:r>
      <w:r>
        <w:rPr>
          <w:rFonts w:ascii="Arial" w:hAnsi="Arial" w:eastAsia="Arial"/>
          <w:spacing w:val="3"/>
        </w:rPr>
        <w:t> </w:t>
      </w:r>
      <w:r>
        <w:rPr>
          <w:spacing w:val="-4"/>
        </w:rPr>
        <w:t>的“饲养细胞”从</w:t>
      </w:r>
      <w:r>
        <w:rPr>
          <w:spacing w:val="13"/>
        </w:rPr>
        <w:t>而增强</w:t>
      </w:r>
      <w:r>
        <w:rPr>
          <w:rFonts w:ascii="Arial" w:hAnsi="Arial" w:eastAsia="Arial"/>
        </w:rPr>
        <w:t>UCAR-T</w:t>
      </w:r>
      <w:r>
        <w:rPr>
          <w:rFonts w:ascii="Arial" w:hAnsi="Arial" w:eastAsia="Arial"/>
          <w:spacing w:val="-2"/>
        </w:rPr>
        <w:t> </w:t>
      </w:r>
      <w:r>
        <w:rPr>
          <w:spacing w:val="-1"/>
        </w:rPr>
        <w:t>的扩增。 目前，公司已依托</w:t>
      </w:r>
      <w:r>
        <w:rPr>
          <w:rFonts w:ascii="Arial" w:hAnsi="Arial" w:eastAsia="Arial"/>
        </w:rPr>
        <w:t>THANK-uCAR</w:t>
      </w:r>
      <w:r>
        <w:rPr>
          <w:rFonts w:ascii="Arial" w:hAnsi="Arial" w:eastAsia="Arial"/>
          <w:spacing w:val="-5"/>
        </w:rPr>
        <w:t> </w:t>
      </w:r>
      <w:r>
        <w:rPr>
          <w:spacing w:val="2"/>
        </w:rPr>
        <w:t>平台开发了一款靶向</w:t>
      </w:r>
      <w:r>
        <w:rPr>
          <w:rFonts w:ascii="Arial" w:hAnsi="Arial" w:eastAsia="Arial"/>
        </w:rPr>
        <w:t>BCMA</w:t>
      </w:r>
      <w:r>
        <w:rPr>
          <w:rFonts w:ascii="Arial" w:hAnsi="Arial" w:eastAsia="Arial"/>
          <w:spacing w:val="-4"/>
        </w:rPr>
        <w:t> </w:t>
      </w:r>
      <w:r>
        <w:rPr/>
        <w:t>的</w:t>
      </w:r>
      <w:r>
        <w:rPr>
          <w:rFonts w:ascii="Arial" w:hAnsi="Arial" w:eastAsia="Arial"/>
        </w:rPr>
        <w:t>UCAR-T</w:t>
      </w:r>
      <w:r>
        <w:rPr>
          <w:rFonts w:ascii="Arial" w:hAnsi="Arial" w:eastAsia="Arial"/>
          <w:spacing w:val="-11"/>
        </w:rPr>
        <w:t> </w:t>
      </w:r>
      <w:r>
        <w:rPr>
          <w:spacing w:val="24"/>
        </w:rPr>
        <w:t>产品</w:t>
      </w:r>
      <w:r>
        <w:rPr>
          <w:rFonts w:ascii="Arial" w:hAnsi="Arial" w:eastAsia="Arial"/>
        </w:rPr>
        <w:t>CT0590</w:t>
      </w:r>
      <w:r>
        <w:rPr>
          <w:spacing w:val="4"/>
        </w:rPr>
        <w:t>，并已开展一项</w:t>
      </w:r>
      <w:r>
        <w:rPr>
          <w:rFonts w:ascii="Arial" w:hAnsi="Arial" w:eastAsia="Arial"/>
        </w:rPr>
        <w:t>IIT</w:t>
      </w:r>
      <w:r>
        <w:rPr>
          <w:rFonts w:ascii="Arial" w:hAnsi="Arial" w:eastAsia="Arial"/>
          <w:spacing w:val="-11"/>
        </w:rPr>
        <w:t> </w:t>
      </w:r>
      <w:r>
        <w:rPr>
          <w:spacing w:val="-2"/>
        </w:rPr>
        <w:t>研究。</w:t>
      </w:r>
    </w:p>
    <w:p>
      <w:pPr>
        <w:pStyle w:val="Heading3"/>
        <w:spacing w:after="4"/>
      </w:pPr>
      <w:r>
        <w:rPr/>
        <w:t>图 </w:t>
      </w:r>
      <w:r>
        <w:rPr>
          <w:rFonts w:ascii="Arial" w:eastAsia="Arial"/>
        </w:rPr>
        <w:t>55: </w:t>
      </w:r>
      <w:r>
        <w:rPr/>
        <w:t>科济药业</w:t>
      </w:r>
      <w:r>
        <w:rPr>
          <w:rFonts w:ascii="Arial" w:eastAsia="Arial"/>
        </w:rPr>
        <w:t>THANK-uCAR </w:t>
      </w:r>
      <w:r>
        <w:rPr/>
        <w:t>平台作用原理</w:t>
      </w:r>
    </w:p>
    <w:p>
      <w:pPr>
        <w:pStyle w:val="BodyText"/>
        <w:ind w:left="181"/>
        <w:rPr>
          <w:rFonts w:ascii="Microsoft JhengHei UI"/>
        </w:rPr>
      </w:pPr>
      <w:r>
        <w:rPr>
          <w:rFonts w:ascii="Microsoft JhengHei UI"/>
        </w:rPr>
        <w:pict>
          <v:group style="width:400.05pt;height:187.75pt;mso-position-horizontal-relative:char;mso-position-vertical-relative:line" coordorigin="0,0" coordsize="8001,3755">
            <v:rect style="position:absolute;left:0;top:0;width:8001;height:29" filled="true" fillcolor="#000000" stroked="false">
              <v:fill type="solid"/>
            </v:rect>
            <v:shape style="position:absolute;left:2019;top:26;width:3944;height:3729" type="#_x0000_t75" stroked="false">
              <v:imagedata r:id="rId59" o:title=""/>
            </v:shape>
          </v:group>
        </w:pict>
      </w:r>
      <w:r>
        <w:rPr>
          <w:rFonts w:ascii="Microsoft JhengHei UI"/>
        </w:rPr>
      </w:r>
    </w:p>
    <w:p>
      <w:pPr>
        <w:pStyle w:val="BodyText"/>
        <w:spacing w:before="16"/>
        <w:ind w:left="0"/>
        <w:rPr>
          <w:rFonts w:ascii="Microsoft JhengHei UI"/>
          <w:b/>
          <w:sz w:val="2"/>
        </w:rPr>
      </w:pPr>
    </w:p>
    <w:p>
      <w:pPr>
        <w:pStyle w:val="BodyText"/>
        <w:spacing w:line="28" w:lineRule="exact"/>
        <w:ind w:left="181"/>
        <w:rPr>
          <w:rFonts w:ascii="Microsoft JhengHei UI"/>
          <w:sz w:val="2"/>
        </w:rPr>
      </w:pPr>
      <w:r>
        <w:rPr>
          <w:rFonts w:ascii="Microsoft JhengHei UI"/>
          <w:position w:val="0"/>
          <w:sz w:val="2"/>
        </w:rPr>
        <w:pict>
          <v:group style="width:400.05pt;height:1.45pt;mso-position-horizontal-relative:char;mso-position-vertical-relative:line" coordorigin="0,0" coordsize="8001,29">
            <v:rect style="position:absolute;left:0;top:0;width:8001;height:29" filled="true" fillcolor="#000000" stroked="false">
              <v:fill type="solid"/>
            </v:rect>
          </v:group>
        </w:pict>
      </w:r>
      <w:r>
        <w:rPr>
          <w:rFonts w:ascii="Microsoft JhengHei UI"/>
          <w:position w:val="0"/>
          <w:sz w:val="2"/>
        </w:rPr>
      </w:r>
    </w:p>
    <w:p>
      <w:pPr>
        <w:spacing w:before="18"/>
        <w:ind w:left="210" w:right="0" w:firstLine="0"/>
        <w:jc w:val="left"/>
        <w:rPr>
          <w:sz w:val="16"/>
        </w:rPr>
      </w:pPr>
      <w:r>
        <w:rPr>
          <w:sz w:val="16"/>
        </w:rPr>
        <w:t>资料来源</w:t>
      </w:r>
      <w:r>
        <w:rPr>
          <w:rFonts w:ascii="Arial" w:eastAsia="Arial"/>
          <w:sz w:val="16"/>
        </w:rPr>
        <w:t>: </w:t>
      </w:r>
      <w:r>
        <w:rPr>
          <w:sz w:val="16"/>
        </w:rPr>
        <w:t>公司官网，招银国际证券</w:t>
      </w:r>
    </w:p>
    <w:p>
      <w:pPr>
        <w:spacing w:after="0"/>
        <w:jc w:val="left"/>
        <w:rPr>
          <w:sz w:val="16"/>
        </w:rPr>
        <w:sectPr>
          <w:pgSz w:w="11910" w:h="16840"/>
          <w:pgMar w:header="682" w:footer="358" w:top="1380" w:bottom="540" w:left="640" w:right="300"/>
        </w:sectPr>
      </w:pPr>
    </w:p>
    <w:p>
      <w:pPr>
        <w:pStyle w:val="BodyText"/>
        <w:spacing w:before="9"/>
        <w:ind w:left="0"/>
        <w:rPr>
          <w:sz w:val="12"/>
        </w:rPr>
      </w:pPr>
    </w:p>
    <w:p>
      <w:pPr>
        <w:pStyle w:val="Heading1"/>
      </w:pPr>
      <w:bookmarkStart w:name="_bookmark25" w:id="26"/>
      <w:bookmarkEnd w:id="26"/>
      <w:r>
        <w:rPr>
          <w:b w:val="0"/>
        </w:rPr>
      </w:r>
      <w:r>
        <w:rPr>
          <w:color w:val="C00000"/>
        </w:rPr>
        <w:t>生产篇：制造工艺复杂，生产成本逐步下降</w:t>
      </w:r>
    </w:p>
    <w:p>
      <w:pPr>
        <w:pStyle w:val="Heading2"/>
        <w:spacing w:before="106"/>
      </w:pPr>
      <w:bookmarkStart w:name="_bookmark26" w:id="27"/>
      <w:bookmarkEnd w:id="27"/>
      <w:r>
        <w:rPr>
          <w:b w:val="0"/>
        </w:rPr>
      </w:r>
      <w:r>
        <w:rPr>
          <w:color w:val="585858"/>
        </w:rPr>
        <w:t>生产流程标准化程度低，低产量导致高成本</w:t>
      </w:r>
    </w:p>
    <w:p>
      <w:pPr>
        <w:pStyle w:val="Heading3"/>
        <w:spacing w:before="65"/>
        <w:jc w:val="left"/>
      </w:pPr>
      <w:r>
        <w:rPr>
          <w:rFonts w:ascii="Arial" w:eastAsia="Arial"/>
        </w:rPr>
        <w:t>CAR-T </w:t>
      </w:r>
      <w:r>
        <w:rPr/>
        <w:t>生产约耗时较长，每例产品单成批次</w:t>
      </w:r>
    </w:p>
    <w:p>
      <w:pPr>
        <w:pStyle w:val="BodyText"/>
        <w:spacing w:line="288" w:lineRule="auto" w:before="154"/>
        <w:ind w:right="2810"/>
        <w:jc w:val="both"/>
      </w:pPr>
      <w:r>
        <w:rPr/>
        <w:t>相对于传统的药物而言，</w:t>
      </w:r>
      <w:r>
        <w:rPr>
          <w:rFonts w:ascii="Arial" w:hAnsi="Arial" w:eastAsia="Arial"/>
        </w:rPr>
        <w:t>CAR-T </w:t>
      </w:r>
      <w:r>
        <w:rPr/>
        <w:t>是一种</w:t>
      </w:r>
      <w:r>
        <w:rPr>
          <w:rFonts w:ascii="Arial" w:hAnsi="Arial" w:eastAsia="Arial"/>
        </w:rPr>
        <w:t>“</w:t>
      </w:r>
      <w:r>
        <w:rPr/>
        <w:t>活</w:t>
      </w:r>
      <w:r>
        <w:rPr>
          <w:rFonts w:ascii="Arial" w:hAnsi="Arial" w:eastAsia="Arial"/>
        </w:rPr>
        <w:t>”</w:t>
      </w:r>
      <w:r>
        <w:rPr/>
        <w:t>细胞疗法，其在制备、临床给药及其安全性评估方面都与传统药物存在显著差异。</w:t>
      </w:r>
      <w:r>
        <w:rPr>
          <w:rFonts w:ascii="Arial" w:hAnsi="Arial" w:eastAsia="Arial"/>
        </w:rPr>
        <w:t>CAR-T </w:t>
      </w:r>
      <w:r>
        <w:rPr/>
        <w:t>治疗主要包以下步骤：</w:t>
      </w:r>
      <w:r>
        <w:rPr>
          <w:rFonts w:ascii="Arial" w:hAnsi="Arial" w:eastAsia="Arial"/>
        </w:rPr>
        <w:t>1</w:t>
      </w:r>
      <w:r>
        <w:rPr/>
        <w:t>）医生依据多种因素判断患者是否符合 </w:t>
      </w:r>
      <w:r>
        <w:rPr>
          <w:rFonts w:ascii="Arial" w:hAnsi="Arial" w:eastAsia="Arial"/>
        </w:rPr>
        <w:t>CAR-T </w:t>
      </w:r>
      <w:r>
        <w:rPr/>
        <w:t>细胞治疗的基本条件 </w:t>
      </w:r>
      <w:r>
        <w:rPr>
          <w:rFonts w:ascii="Arial" w:hAnsi="Arial" w:eastAsia="Arial"/>
        </w:rPr>
        <w:t>(</w:t>
      </w:r>
      <w:r>
        <w:rPr/>
        <w:t>包括身体状况、肿瘤情况、病理类型、肝肾功能等</w:t>
      </w:r>
      <w:r>
        <w:rPr>
          <w:rFonts w:ascii="Arial" w:hAnsi="Arial" w:eastAsia="Arial"/>
        </w:rPr>
        <w:t>)</w:t>
      </w:r>
      <w:r>
        <w:rPr/>
        <w:t>；</w:t>
      </w:r>
      <w:r>
        <w:rPr>
          <w:rFonts w:ascii="Arial" w:hAnsi="Arial" w:eastAsia="Arial"/>
        </w:rPr>
        <w:t>2</w:t>
      </w:r>
      <w:r>
        <w:rPr/>
        <w:t>） 抽取患者外周血并从中采集 </w:t>
      </w:r>
      <w:r>
        <w:rPr>
          <w:rFonts w:ascii="Arial" w:hAnsi="Arial" w:eastAsia="Arial"/>
        </w:rPr>
        <w:t>T </w:t>
      </w:r>
      <w:r>
        <w:rPr/>
        <w:t>细胞；</w:t>
      </w:r>
      <w:r>
        <w:rPr>
          <w:rFonts w:ascii="Arial" w:hAnsi="Arial" w:eastAsia="Arial"/>
        </w:rPr>
        <w:t>3</w:t>
      </w:r>
      <w:r>
        <w:rPr/>
        <w:t>）</w:t>
      </w:r>
      <w:r>
        <w:rPr>
          <w:rFonts w:ascii="Arial" w:hAnsi="Arial" w:eastAsia="Arial"/>
        </w:rPr>
        <w:t>CAR-T </w:t>
      </w:r>
      <w:r>
        <w:rPr/>
        <w:t>细胞体外制备及扩增，分装完毕后冻存并进行质检；</w:t>
      </w:r>
      <w:r>
        <w:rPr>
          <w:rFonts w:ascii="Arial" w:hAnsi="Arial" w:eastAsia="Arial"/>
        </w:rPr>
        <w:t>4</w:t>
      </w:r>
      <w:r>
        <w:rPr/>
        <w:t>）将扩增后的</w:t>
      </w:r>
      <w:r>
        <w:rPr>
          <w:rFonts w:ascii="Arial" w:hAnsi="Arial" w:eastAsia="Arial"/>
        </w:rPr>
        <w:t>CAR-T </w:t>
      </w:r>
      <w:r>
        <w:rPr/>
        <w:t>细胞回输到患者体内。</w:t>
      </w:r>
    </w:p>
    <w:p>
      <w:pPr>
        <w:pStyle w:val="Heading3"/>
        <w:spacing w:before="69" w:after="4"/>
      </w:pPr>
      <w:r>
        <w:rPr/>
        <w:t>图 </w:t>
      </w:r>
      <w:r>
        <w:rPr>
          <w:rFonts w:ascii="Arial" w:eastAsia="Arial"/>
        </w:rPr>
        <w:t>56: CAR-T </w:t>
      </w:r>
      <w:r>
        <w:rPr/>
        <w:t>治疗流程</w:t>
      </w:r>
    </w:p>
    <w:p>
      <w:pPr>
        <w:pStyle w:val="BodyText"/>
        <w:ind w:left="181"/>
        <w:rPr>
          <w:rFonts w:ascii="Microsoft JhengHei UI"/>
        </w:rPr>
      </w:pPr>
      <w:r>
        <w:rPr>
          <w:rFonts w:ascii="Microsoft JhengHei UI"/>
        </w:rPr>
        <w:pict>
          <v:group style="width:400.05pt;height:211.3pt;mso-position-horizontal-relative:char;mso-position-vertical-relative:line" coordorigin="0,0" coordsize="8001,4226">
            <v:shape style="position:absolute;left:0;top:0;width:8001;height:4226" coordorigin="0,0" coordsize="8001,4226" path="m8000,4197l0,4197,0,4225,8000,4225,8000,4197xm8000,0l0,0,0,29,8000,29,8000,0xe" filled="true" fillcolor="#000000" stroked="false">
              <v:path arrowok="t"/>
              <v:fill type="solid"/>
            </v:shape>
            <v:shape style="position:absolute;left:195;top:27;width:7517;height:4129" type="#_x0000_t75" stroked="false">
              <v:imagedata r:id="rId60" o:title=""/>
            </v:shape>
          </v:group>
        </w:pict>
      </w:r>
      <w:r>
        <w:rPr>
          <w:rFonts w:ascii="Microsoft JhengHei UI"/>
        </w:rPr>
      </w:r>
    </w:p>
    <w:p>
      <w:pPr>
        <w:spacing w:line="212" w:lineRule="exact" w:before="0"/>
        <w:ind w:left="210" w:right="0" w:firstLine="0"/>
        <w:jc w:val="left"/>
        <w:rPr>
          <w:sz w:val="16"/>
        </w:rPr>
      </w:pPr>
      <w:r>
        <w:rPr>
          <w:sz w:val="16"/>
        </w:rPr>
        <w:t>资料来源</w:t>
      </w:r>
      <w:r>
        <w:rPr>
          <w:rFonts w:ascii="Arial" w:eastAsia="Arial"/>
          <w:sz w:val="16"/>
        </w:rPr>
        <w:t>: Leukemia &amp; Lymphoma Society</w:t>
      </w:r>
      <w:r>
        <w:rPr>
          <w:sz w:val="16"/>
        </w:rPr>
        <w:t>，招银国际证券</w:t>
      </w:r>
    </w:p>
    <w:p>
      <w:pPr>
        <w:pStyle w:val="BodyText"/>
        <w:spacing w:before="6"/>
        <w:ind w:left="0"/>
        <w:rPr>
          <w:sz w:val="21"/>
        </w:rPr>
      </w:pPr>
    </w:p>
    <w:p>
      <w:pPr>
        <w:pStyle w:val="BodyText"/>
        <w:spacing w:line="288" w:lineRule="auto" w:before="99"/>
        <w:ind w:right="2812"/>
        <w:jc w:val="both"/>
      </w:pPr>
      <w:r>
        <w:rPr>
          <w:rFonts w:ascii="Arial" w:eastAsia="Arial"/>
        </w:rPr>
        <w:t>CAR-T </w:t>
      </w:r>
      <w:r>
        <w:rPr/>
        <w:t>细胞生产通常耗时 </w:t>
      </w:r>
      <w:r>
        <w:rPr>
          <w:rFonts w:ascii="Arial" w:eastAsia="Arial"/>
        </w:rPr>
        <w:t>2~4 </w:t>
      </w:r>
      <w:r>
        <w:rPr/>
        <w:t>周，在此期间，需要对患者进行预处理化疗。细胞回输后将在体内显著扩增，需要创造适合回输细胞生存的环境。采用小剂量的的环磷酰胺和氟达拉滨进行预处理化疗可以清除体内的淋巴细胞，为即将回输的 </w:t>
      </w:r>
      <w:r>
        <w:rPr>
          <w:rFonts w:ascii="Arial" w:eastAsia="Arial"/>
        </w:rPr>
        <w:t>CAR-T </w:t>
      </w:r>
      <w:r>
        <w:rPr/>
        <w:t>细胞腾出空间。</w:t>
      </w:r>
      <w:r>
        <w:rPr>
          <w:rFonts w:ascii="Arial" w:eastAsia="Arial"/>
        </w:rPr>
        <w:t>CAR-T </w:t>
      </w:r>
      <w:r>
        <w:rPr/>
        <w:t>生产中，每个患者的细胞均作为单独批次进行生产，产品具备唯一性和可追溯性，同时由于</w:t>
      </w:r>
      <w:r>
        <w:rPr>
          <w:rFonts w:ascii="Arial" w:eastAsia="Arial"/>
        </w:rPr>
        <w:t>CAR-T </w:t>
      </w:r>
      <w:r>
        <w:rPr/>
        <w:t>产品的原料是活细胞，生产制备过程中需要保证全程无菌。</w:t>
      </w:r>
    </w:p>
    <w:p>
      <w:pPr>
        <w:pStyle w:val="Heading3"/>
        <w:spacing w:before="64"/>
        <w:jc w:val="left"/>
      </w:pPr>
      <w:r>
        <w:rPr/>
        <w:t>体外生产步骤繁多、试剂昂贵、人力密集</w:t>
      </w:r>
    </w:p>
    <w:p>
      <w:pPr>
        <w:pStyle w:val="BodyText"/>
        <w:spacing w:line="288" w:lineRule="auto" w:before="154"/>
        <w:ind w:right="2817"/>
        <w:jc w:val="both"/>
      </w:pPr>
      <w:r>
        <w:rPr>
          <w:rFonts w:ascii="Arial" w:eastAsia="Arial"/>
        </w:rPr>
        <w:t>CAR-T</w:t>
      </w:r>
      <w:r>
        <w:rPr>
          <w:rFonts w:ascii="Arial" w:eastAsia="Arial"/>
          <w:spacing w:val="23"/>
        </w:rPr>
        <w:t> </w:t>
      </w:r>
      <w:r>
        <w:rPr>
          <w:spacing w:val="-5"/>
        </w:rPr>
        <w:t>细胞生产的流程可进一步分为细胞分选、细胞激活、细胞转导和体外扩增。其中， </w:t>
      </w:r>
      <w:r>
        <w:rPr>
          <w:spacing w:val="9"/>
        </w:rPr>
        <w:t>细胞转导是</w:t>
      </w:r>
      <w:r>
        <w:rPr>
          <w:rFonts w:ascii="Arial" w:eastAsia="Arial"/>
        </w:rPr>
        <w:t>CAR-T</w:t>
      </w:r>
      <w:r>
        <w:rPr>
          <w:rFonts w:ascii="Arial" w:eastAsia="Arial"/>
          <w:spacing w:val="-10"/>
        </w:rPr>
        <w:t> </w:t>
      </w:r>
      <w:r>
        <w:rPr>
          <w:spacing w:val="-1"/>
        </w:rPr>
        <w:t>生产的核心步骤，细胞扩增是</w:t>
      </w:r>
      <w:r>
        <w:rPr>
          <w:rFonts w:ascii="Arial" w:eastAsia="Arial"/>
        </w:rPr>
        <w:t>CAR-T</w:t>
      </w:r>
      <w:r>
        <w:rPr>
          <w:rFonts w:ascii="Arial" w:eastAsia="Arial"/>
          <w:spacing w:val="-10"/>
        </w:rPr>
        <w:t> </w:t>
      </w:r>
      <w:r>
        <w:rPr>
          <w:spacing w:val="-3"/>
        </w:rPr>
        <w:t>疗法的关键挑战。</w:t>
      </w:r>
    </w:p>
    <w:p>
      <w:pPr>
        <w:pStyle w:val="Heading3"/>
        <w:spacing w:before="72" w:after="4"/>
        <w:jc w:val="left"/>
      </w:pPr>
      <w:r>
        <w:rPr/>
        <w:t>图 </w:t>
      </w:r>
      <w:r>
        <w:rPr>
          <w:rFonts w:ascii="Arial" w:eastAsia="Arial"/>
        </w:rPr>
        <w:t>57: CAR-T </w:t>
      </w:r>
      <w:r>
        <w:rPr/>
        <w:t>细胞生产工艺</w:t>
      </w:r>
    </w:p>
    <w:tbl>
      <w:tblPr>
        <w:tblW w:w="0" w:type="auto"/>
        <w:jc w:val="left"/>
        <w:tblInd w:w="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8"/>
        <w:gridCol w:w="3469"/>
        <w:gridCol w:w="3424"/>
      </w:tblGrid>
      <w:tr>
        <w:trPr>
          <w:trHeight w:val="259" w:hRule="atLeast"/>
        </w:trPr>
        <w:tc>
          <w:tcPr>
            <w:tcW w:w="1068" w:type="dxa"/>
            <w:tcBorders>
              <w:top w:val="single" w:sz="12" w:space="0" w:color="000000"/>
            </w:tcBorders>
            <w:shd w:val="clear" w:color="auto" w:fill="C00000"/>
          </w:tcPr>
          <w:p>
            <w:pPr>
              <w:pStyle w:val="TableParagraph"/>
              <w:spacing w:line="239" w:lineRule="exact"/>
              <w:ind w:left="110"/>
              <w:rPr>
                <w:rFonts w:ascii="Microsoft JhengHei UI" w:eastAsia="Microsoft JhengHei UI" w:hint="eastAsia"/>
                <w:b/>
                <w:sz w:val="18"/>
              </w:rPr>
            </w:pPr>
            <w:r>
              <w:rPr>
                <w:rFonts w:ascii="Microsoft JhengHei UI" w:eastAsia="Microsoft JhengHei UI" w:hint="eastAsia"/>
                <w:b/>
                <w:color w:val="FFFFFF"/>
                <w:sz w:val="18"/>
              </w:rPr>
              <w:t>步骤</w:t>
            </w:r>
          </w:p>
        </w:tc>
        <w:tc>
          <w:tcPr>
            <w:tcW w:w="3469" w:type="dxa"/>
            <w:tcBorders>
              <w:top w:val="single" w:sz="12" w:space="0" w:color="000000"/>
            </w:tcBorders>
            <w:shd w:val="clear" w:color="auto" w:fill="C00000"/>
          </w:tcPr>
          <w:p>
            <w:pPr>
              <w:pStyle w:val="TableParagraph"/>
              <w:spacing w:line="239" w:lineRule="exact"/>
              <w:ind w:left="233"/>
              <w:rPr>
                <w:rFonts w:ascii="Microsoft JhengHei UI" w:eastAsia="Microsoft JhengHei UI" w:hint="eastAsia"/>
                <w:b/>
                <w:sz w:val="18"/>
              </w:rPr>
            </w:pPr>
            <w:r>
              <w:rPr>
                <w:rFonts w:ascii="Microsoft JhengHei UI" w:eastAsia="Microsoft JhengHei UI" w:hint="eastAsia"/>
                <w:b/>
                <w:color w:val="FFFFFF"/>
                <w:sz w:val="18"/>
              </w:rPr>
              <w:t>具体操作</w:t>
            </w:r>
          </w:p>
        </w:tc>
        <w:tc>
          <w:tcPr>
            <w:tcW w:w="3424" w:type="dxa"/>
            <w:tcBorders>
              <w:top w:val="single" w:sz="12" w:space="0" w:color="000000"/>
            </w:tcBorders>
            <w:shd w:val="clear" w:color="auto" w:fill="C00000"/>
          </w:tcPr>
          <w:p>
            <w:pPr>
              <w:pStyle w:val="TableParagraph"/>
              <w:spacing w:line="239" w:lineRule="exact"/>
              <w:ind w:left="106"/>
              <w:rPr>
                <w:rFonts w:ascii="Microsoft JhengHei UI" w:eastAsia="Microsoft JhengHei UI" w:hint="eastAsia"/>
                <w:b/>
                <w:sz w:val="18"/>
              </w:rPr>
            </w:pPr>
            <w:r>
              <w:rPr>
                <w:rFonts w:ascii="Microsoft JhengHei UI" w:eastAsia="Microsoft JhengHei UI" w:hint="eastAsia"/>
                <w:b/>
                <w:color w:val="FFFFFF"/>
                <w:sz w:val="18"/>
              </w:rPr>
              <w:t>关注事项</w:t>
            </w:r>
          </w:p>
        </w:tc>
      </w:tr>
      <w:tr>
        <w:trPr>
          <w:trHeight w:val="787" w:hRule="atLeast"/>
        </w:trPr>
        <w:tc>
          <w:tcPr>
            <w:tcW w:w="1068" w:type="dxa"/>
            <w:shd w:val="clear" w:color="auto" w:fill="F1F1F1"/>
          </w:tcPr>
          <w:p>
            <w:pPr>
              <w:pStyle w:val="TableParagraph"/>
              <w:spacing w:before="17"/>
              <w:rPr>
                <w:rFonts w:ascii="Microsoft JhengHei UI"/>
                <w:b/>
                <w:sz w:val="14"/>
              </w:rPr>
            </w:pPr>
          </w:p>
          <w:p>
            <w:pPr>
              <w:pStyle w:val="TableParagraph"/>
              <w:ind w:left="110"/>
              <w:rPr>
                <w:rFonts w:ascii="PMingLiU" w:eastAsia="PMingLiU" w:hint="eastAsia"/>
                <w:sz w:val="18"/>
              </w:rPr>
            </w:pPr>
            <w:r>
              <w:rPr>
                <w:rFonts w:ascii="PMingLiU" w:eastAsia="PMingLiU" w:hint="eastAsia"/>
                <w:sz w:val="18"/>
              </w:rPr>
              <w:t>细胞分选</w:t>
            </w:r>
          </w:p>
        </w:tc>
        <w:tc>
          <w:tcPr>
            <w:tcW w:w="3469" w:type="dxa"/>
            <w:shd w:val="clear" w:color="auto" w:fill="F1F1F1"/>
          </w:tcPr>
          <w:p>
            <w:pPr>
              <w:pStyle w:val="TableParagraph"/>
              <w:spacing w:line="252" w:lineRule="auto" w:before="2"/>
              <w:ind w:left="233" w:right="105"/>
              <w:rPr>
                <w:rFonts w:ascii="PMingLiU" w:eastAsia="PMingLiU" w:hint="eastAsia"/>
                <w:sz w:val="18"/>
              </w:rPr>
            </w:pPr>
            <w:r>
              <w:rPr>
                <w:rFonts w:ascii="PMingLiU" w:eastAsia="PMingLiU" w:hint="eastAsia"/>
                <w:sz w:val="18"/>
              </w:rPr>
              <w:t>通过密度梯度离心法从患者外周血中采集单核细胞，再利用基于磁珠的分离技</w:t>
            </w:r>
          </w:p>
          <w:p>
            <w:pPr>
              <w:pStyle w:val="TableParagraph"/>
              <w:spacing w:line="236" w:lineRule="exact"/>
              <w:ind w:left="233"/>
              <w:rPr>
                <w:rFonts w:ascii="PMingLiU" w:eastAsia="PMingLiU" w:hint="eastAsia"/>
                <w:sz w:val="18"/>
              </w:rPr>
            </w:pPr>
            <w:r>
              <w:rPr>
                <w:rFonts w:ascii="PMingLiU" w:eastAsia="PMingLiU" w:hint="eastAsia"/>
                <w:sz w:val="18"/>
              </w:rPr>
              <w:t>术获得特定的</w:t>
            </w:r>
            <w:r>
              <w:rPr>
                <w:sz w:val="18"/>
              </w:rPr>
              <w:t>T </w:t>
            </w:r>
            <w:r>
              <w:rPr>
                <w:rFonts w:ascii="PMingLiU" w:eastAsia="PMingLiU" w:hint="eastAsia"/>
                <w:sz w:val="18"/>
              </w:rPr>
              <w:t>细胞亚群。</w:t>
            </w:r>
          </w:p>
        </w:tc>
        <w:tc>
          <w:tcPr>
            <w:tcW w:w="3424" w:type="dxa"/>
            <w:shd w:val="clear" w:color="auto" w:fill="F1F1F1"/>
          </w:tcPr>
          <w:p>
            <w:pPr>
              <w:pStyle w:val="TableParagraph"/>
              <w:spacing w:line="252" w:lineRule="auto" w:before="2"/>
              <w:ind w:left="106" w:right="104"/>
              <w:rPr>
                <w:rFonts w:ascii="PMingLiU" w:eastAsia="PMingLiU" w:hint="eastAsia"/>
                <w:sz w:val="18"/>
              </w:rPr>
            </w:pPr>
            <w:r>
              <w:rPr>
                <w:rFonts w:ascii="PMingLiU" w:eastAsia="PMingLiU" w:hint="eastAsia"/>
                <w:sz w:val="18"/>
              </w:rPr>
              <w:t>为保证成品疗效，分选需要在保证高回收率的同时去除杂质</w:t>
            </w:r>
            <w:r>
              <w:rPr>
                <w:sz w:val="18"/>
              </w:rPr>
              <w:t>(</w:t>
            </w:r>
            <w:r>
              <w:rPr>
                <w:rFonts w:ascii="PMingLiU" w:eastAsia="PMingLiU" w:hint="eastAsia"/>
                <w:sz w:val="18"/>
              </w:rPr>
              <w:t>抗凝剂、红细胞、</w:t>
            </w:r>
          </w:p>
          <w:p>
            <w:pPr>
              <w:pStyle w:val="TableParagraph"/>
              <w:spacing w:line="236" w:lineRule="exact"/>
              <w:ind w:left="106"/>
              <w:rPr>
                <w:rFonts w:ascii="PMingLiU" w:eastAsia="PMingLiU" w:hint="eastAsia"/>
                <w:sz w:val="18"/>
              </w:rPr>
            </w:pPr>
            <w:r>
              <w:rPr>
                <w:rFonts w:ascii="PMingLiU" w:eastAsia="PMingLiU" w:hint="eastAsia"/>
                <w:sz w:val="18"/>
              </w:rPr>
              <w:t>血小板、粒细胞等</w:t>
            </w:r>
            <w:r>
              <w:rPr>
                <w:sz w:val="18"/>
              </w:rPr>
              <w:t>)</w:t>
            </w:r>
            <w:r>
              <w:rPr>
                <w:rFonts w:ascii="PMingLiU" w:eastAsia="PMingLiU" w:hint="eastAsia"/>
                <w:sz w:val="18"/>
              </w:rPr>
              <w:t>。</w:t>
            </w:r>
          </w:p>
        </w:tc>
      </w:tr>
      <w:tr>
        <w:trPr>
          <w:trHeight w:val="762" w:hRule="atLeast"/>
        </w:trPr>
        <w:tc>
          <w:tcPr>
            <w:tcW w:w="1068" w:type="dxa"/>
          </w:tcPr>
          <w:p>
            <w:pPr>
              <w:pStyle w:val="TableParagraph"/>
              <w:spacing w:before="17"/>
              <w:rPr>
                <w:rFonts w:ascii="Microsoft JhengHei UI"/>
                <w:b/>
                <w:sz w:val="14"/>
              </w:rPr>
            </w:pPr>
          </w:p>
          <w:p>
            <w:pPr>
              <w:pStyle w:val="TableParagraph"/>
              <w:ind w:left="110"/>
              <w:rPr>
                <w:rFonts w:ascii="PMingLiU" w:eastAsia="PMingLiU" w:hint="eastAsia"/>
                <w:sz w:val="18"/>
              </w:rPr>
            </w:pPr>
            <w:r>
              <w:rPr>
                <w:rFonts w:ascii="PMingLiU" w:eastAsia="PMingLiU" w:hint="eastAsia"/>
                <w:sz w:val="18"/>
              </w:rPr>
              <w:t>细胞激活</w:t>
            </w:r>
          </w:p>
        </w:tc>
        <w:tc>
          <w:tcPr>
            <w:tcW w:w="3469" w:type="dxa"/>
          </w:tcPr>
          <w:p>
            <w:pPr>
              <w:pStyle w:val="TableParagraph"/>
              <w:spacing w:line="252" w:lineRule="auto" w:before="2"/>
              <w:ind w:left="233" w:right="103"/>
              <w:rPr>
                <w:rFonts w:ascii="PMingLiU" w:eastAsia="PMingLiU" w:hint="eastAsia"/>
                <w:sz w:val="18"/>
              </w:rPr>
            </w:pPr>
            <w:r>
              <w:rPr>
                <w:rFonts w:ascii="PMingLiU" w:eastAsia="PMingLiU" w:hint="eastAsia"/>
                <w:sz w:val="18"/>
              </w:rPr>
              <w:t>使用 </w:t>
            </w:r>
            <w:r>
              <w:rPr>
                <w:sz w:val="18"/>
              </w:rPr>
              <w:t>CD3/CD28 </w:t>
            </w:r>
            <w:r>
              <w:rPr>
                <w:rFonts w:ascii="PMingLiU" w:eastAsia="PMingLiU" w:hint="eastAsia"/>
                <w:sz w:val="18"/>
              </w:rPr>
              <w:t>抗体对 </w:t>
            </w:r>
            <w:r>
              <w:rPr>
                <w:sz w:val="18"/>
              </w:rPr>
              <w:t>T </w:t>
            </w:r>
            <w:r>
              <w:rPr>
                <w:rFonts w:ascii="PMingLiU" w:eastAsia="PMingLiU" w:hint="eastAsia"/>
                <w:sz w:val="18"/>
              </w:rPr>
              <w:t>细胞进行激活。其中 </w:t>
            </w:r>
            <w:r>
              <w:rPr>
                <w:sz w:val="18"/>
              </w:rPr>
              <w:t>CD3 </w:t>
            </w:r>
            <w:r>
              <w:rPr>
                <w:rFonts w:ascii="PMingLiU" w:eastAsia="PMingLiU" w:hint="eastAsia"/>
                <w:sz w:val="18"/>
              </w:rPr>
              <w:t>抗体提供第一信号，</w:t>
            </w:r>
          </w:p>
          <w:p>
            <w:pPr>
              <w:pStyle w:val="TableParagraph"/>
              <w:spacing w:line="212" w:lineRule="exact"/>
              <w:ind w:left="233"/>
              <w:rPr>
                <w:rFonts w:ascii="PMingLiU" w:eastAsia="PMingLiU" w:hint="eastAsia"/>
                <w:sz w:val="18"/>
              </w:rPr>
            </w:pPr>
            <w:r>
              <w:rPr>
                <w:sz w:val="18"/>
              </w:rPr>
              <w:t>CD28 </w:t>
            </w:r>
            <w:r>
              <w:rPr>
                <w:rFonts w:ascii="PMingLiU" w:eastAsia="PMingLiU" w:hint="eastAsia"/>
                <w:sz w:val="18"/>
              </w:rPr>
              <w:t>抗体刺激提供共刺激信号。</w:t>
            </w:r>
          </w:p>
        </w:tc>
        <w:tc>
          <w:tcPr>
            <w:tcW w:w="3424" w:type="dxa"/>
          </w:tcPr>
          <w:p>
            <w:pPr>
              <w:pStyle w:val="TableParagraph"/>
              <w:spacing w:before="2"/>
              <w:ind w:left="106"/>
              <w:rPr>
                <w:rFonts w:ascii="PMingLiU" w:eastAsia="PMingLiU" w:hint="eastAsia"/>
                <w:sz w:val="18"/>
              </w:rPr>
            </w:pPr>
            <w:r>
              <w:rPr>
                <w:rFonts w:ascii="PMingLiU" w:eastAsia="PMingLiU" w:hint="eastAsia"/>
                <w:sz w:val="18"/>
              </w:rPr>
              <w:t>激活会触发细胞分裂，从而促进基因转</w:t>
            </w:r>
          </w:p>
          <w:p>
            <w:pPr>
              <w:pStyle w:val="TableParagraph"/>
              <w:spacing w:line="260" w:lineRule="atLeast"/>
              <w:ind w:left="106" w:right="107"/>
              <w:rPr>
                <w:rFonts w:ascii="PMingLiU" w:eastAsia="PMingLiU" w:hint="eastAsia"/>
                <w:sz w:val="18"/>
              </w:rPr>
            </w:pPr>
            <w:r>
              <w:rPr>
                <w:rFonts w:ascii="PMingLiU" w:eastAsia="PMingLiU" w:hint="eastAsia"/>
                <w:sz w:val="18"/>
              </w:rPr>
              <w:t>导，因此细胞的激活方式决定基因转导效率。</w:t>
            </w:r>
          </w:p>
        </w:tc>
      </w:tr>
    </w:tbl>
    <w:p>
      <w:pPr>
        <w:spacing w:after="0" w:line="260" w:lineRule="atLeast"/>
        <w:rPr>
          <w:rFonts w:ascii="PMingLiU" w:eastAsia="PMingLiU" w:hint="eastAsia"/>
          <w:sz w:val="18"/>
        </w:rPr>
        <w:sectPr>
          <w:pgSz w:w="11910" w:h="16840"/>
          <w:pgMar w:header="682" w:footer="358" w:top="1380" w:bottom="540" w:left="640" w:right="300"/>
        </w:sectPr>
      </w:pPr>
    </w:p>
    <w:tbl>
      <w:tblPr>
        <w:tblW w:w="0" w:type="auto"/>
        <w:jc w:val="left"/>
        <w:tblInd w:w="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9"/>
        <w:gridCol w:w="3470"/>
        <w:gridCol w:w="3425"/>
      </w:tblGrid>
      <w:tr>
        <w:trPr>
          <w:trHeight w:val="290" w:hRule="atLeast"/>
        </w:trPr>
        <w:tc>
          <w:tcPr>
            <w:tcW w:w="1069" w:type="dxa"/>
          </w:tcPr>
          <w:p>
            <w:pPr>
              <w:pStyle w:val="TableParagraph"/>
              <w:rPr>
                <w:rFonts w:ascii="Times New Roman"/>
                <w:sz w:val="18"/>
              </w:rPr>
            </w:pPr>
          </w:p>
        </w:tc>
        <w:tc>
          <w:tcPr>
            <w:tcW w:w="3470" w:type="dxa"/>
          </w:tcPr>
          <w:p>
            <w:pPr>
              <w:pStyle w:val="TableParagraph"/>
              <w:rPr>
                <w:rFonts w:ascii="Times New Roman"/>
                <w:sz w:val="18"/>
              </w:rPr>
            </w:pPr>
          </w:p>
        </w:tc>
        <w:tc>
          <w:tcPr>
            <w:tcW w:w="3425" w:type="dxa"/>
          </w:tcPr>
          <w:p>
            <w:pPr>
              <w:pStyle w:val="TableParagraph"/>
              <w:rPr>
                <w:rFonts w:ascii="Times New Roman"/>
                <w:sz w:val="18"/>
              </w:rPr>
            </w:pPr>
          </w:p>
        </w:tc>
      </w:tr>
      <w:tr>
        <w:trPr>
          <w:trHeight w:val="902" w:hRule="atLeast"/>
        </w:trPr>
        <w:tc>
          <w:tcPr>
            <w:tcW w:w="1069" w:type="dxa"/>
            <w:shd w:val="clear" w:color="auto" w:fill="F1F1F1"/>
          </w:tcPr>
          <w:p>
            <w:pPr>
              <w:pStyle w:val="TableParagraph"/>
              <w:spacing w:before="3"/>
              <w:rPr>
                <w:rFonts w:ascii="Microsoft JhengHei UI"/>
                <w:b/>
                <w:sz w:val="18"/>
              </w:rPr>
            </w:pPr>
          </w:p>
          <w:p>
            <w:pPr>
              <w:pStyle w:val="TableParagraph"/>
              <w:ind w:left="110"/>
              <w:rPr>
                <w:rFonts w:ascii="PMingLiU" w:eastAsia="PMingLiU" w:hint="eastAsia"/>
                <w:sz w:val="18"/>
              </w:rPr>
            </w:pPr>
            <w:r>
              <w:rPr>
                <w:rFonts w:ascii="PMingLiU" w:eastAsia="PMingLiU" w:hint="eastAsia"/>
                <w:sz w:val="18"/>
              </w:rPr>
              <w:t>细胞转导</w:t>
            </w:r>
          </w:p>
        </w:tc>
        <w:tc>
          <w:tcPr>
            <w:tcW w:w="3470" w:type="dxa"/>
            <w:shd w:val="clear" w:color="auto" w:fill="F1F1F1"/>
          </w:tcPr>
          <w:p>
            <w:pPr>
              <w:pStyle w:val="TableParagraph"/>
              <w:spacing w:line="249" w:lineRule="auto" w:before="60"/>
              <w:ind w:left="232" w:right="104"/>
              <w:jc w:val="both"/>
              <w:rPr>
                <w:rFonts w:ascii="PMingLiU" w:eastAsia="PMingLiU" w:hint="eastAsia"/>
                <w:sz w:val="18"/>
              </w:rPr>
            </w:pPr>
            <w:r>
              <w:rPr>
                <w:rFonts w:ascii="PMingLiU" w:eastAsia="PMingLiU" w:hint="eastAsia"/>
                <w:sz w:val="18"/>
              </w:rPr>
              <w:t>利用载体将 </w:t>
            </w:r>
            <w:r>
              <w:rPr>
                <w:sz w:val="18"/>
              </w:rPr>
              <w:t>CAR </w:t>
            </w:r>
            <w:r>
              <w:rPr>
                <w:rFonts w:ascii="PMingLiU" w:eastAsia="PMingLiU" w:hint="eastAsia"/>
                <w:sz w:val="18"/>
              </w:rPr>
              <w:t>基因导入 </w:t>
            </w:r>
            <w:r>
              <w:rPr>
                <w:sz w:val="18"/>
              </w:rPr>
              <w:t>T </w:t>
            </w:r>
            <w:r>
              <w:rPr>
                <w:rFonts w:ascii="PMingLiU" w:eastAsia="PMingLiU" w:hint="eastAsia"/>
                <w:sz w:val="18"/>
              </w:rPr>
              <w:t>细胞。常用载体包括病毒载体</w:t>
            </w:r>
            <w:r>
              <w:rPr>
                <w:sz w:val="18"/>
              </w:rPr>
              <w:t>(</w:t>
            </w:r>
            <w:r>
              <w:rPr>
                <w:rFonts w:ascii="PMingLiU" w:eastAsia="PMingLiU" w:hint="eastAsia"/>
                <w:sz w:val="18"/>
              </w:rPr>
              <w:t>逆转录病毒、慢病毒</w:t>
            </w:r>
            <w:r>
              <w:rPr>
                <w:sz w:val="18"/>
              </w:rPr>
              <w:t>)</w:t>
            </w:r>
            <w:r>
              <w:rPr>
                <w:rFonts w:ascii="PMingLiU" w:eastAsia="PMingLiU" w:hint="eastAsia"/>
                <w:sz w:val="18"/>
              </w:rPr>
              <w:t>和非病毒载体</w:t>
            </w:r>
            <w:r>
              <w:rPr>
                <w:sz w:val="18"/>
              </w:rPr>
              <w:t>(</w:t>
            </w:r>
            <w:r>
              <w:rPr>
                <w:rFonts w:ascii="PMingLiU" w:eastAsia="PMingLiU" w:hint="eastAsia"/>
                <w:sz w:val="18"/>
              </w:rPr>
              <w:t>电穿孔、基因编辑</w:t>
            </w:r>
            <w:r>
              <w:rPr>
                <w:sz w:val="18"/>
              </w:rPr>
              <w:t>)</w:t>
            </w:r>
            <w:r>
              <w:rPr>
                <w:rFonts w:ascii="PMingLiU" w:eastAsia="PMingLiU" w:hint="eastAsia"/>
                <w:sz w:val="18"/>
              </w:rPr>
              <w:t>。</w:t>
            </w:r>
          </w:p>
        </w:tc>
        <w:tc>
          <w:tcPr>
            <w:tcW w:w="3425" w:type="dxa"/>
            <w:shd w:val="clear" w:color="auto" w:fill="F1F1F1"/>
          </w:tcPr>
          <w:p>
            <w:pPr>
              <w:pStyle w:val="TableParagraph"/>
              <w:spacing w:line="249" w:lineRule="auto" w:before="60"/>
              <w:ind w:left="104" w:right="109"/>
              <w:jc w:val="both"/>
              <w:rPr>
                <w:rFonts w:ascii="PMingLiU" w:eastAsia="PMingLiU" w:hint="eastAsia"/>
                <w:sz w:val="18"/>
              </w:rPr>
            </w:pPr>
            <w:r>
              <w:rPr>
                <w:rFonts w:ascii="PMingLiU" w:eastAsia="PMingLiU" w:hint="eastAsia"/>
                <w:sz w:val="18"/>
              </w:rPr>
              <w:t>非病毒载体安全性总体高于病毒载体。病毒载体中，逆转录病毒转染稳定、效率高，而慢病毒安全性高。</w:t>
            </w:r>
          </w:p>
        </w:tc>
      </w:tr>
      <w:tr>
        <w:trPr>
          <w:trHeight w:val="1046" w:hRule="atLeast"/>
        </w:trPr>
        <w:tc>
          <w:tcPr>
            <w:tcW w:w="1069" w:type="dxa"/>
          </w:tcPr>
          <w:p>
            <w:pPr>
              <w:pStyle w:val="TableParagraph"/>
              <w:spacing w:before="4"/>
              <w:rPr>
                <w:rFonts w:ascii="Microsoft JhengHei UI"/>
                <w:b/>
                <w:sz w:val="22"/>
              </w:rPr>
            </w:pPr>
          </w:p>
          <w:p>
            <w:pPr>
              <w:pStyle w:val="TableParagraph"/>
              <w:ind w:left="110"/>
              <w:rPr>
                <w:rFonts w:ascii="PMingLiU" w:eastAsia="PMingLiU" w:hint="eastAsia"/>
                <w:sz w:val="18"/>
              </w:rPr>
            </w:pPr>
            <w:r>
              <w:rPr>
                <w:rFonts w:ascii="PMingLiU" w:eastAsia="PMingLiU" w:hint="eastAsia"/>
                <w:sz w:val="18"/>
              </w:rPr>
              <w:t>细胞扩增</w:t>
            </w:r>
          </w:p>
        </w:tc>
        <w:tc>
          <w:tcPr>
            <w:tcW w:w="3470" w:type="dxa"/>
          </w:tcPr>
          <w:p>
            <w:pPr>
              <w:pStyle w:val="TableParagraph"/>
              <w:spacing w:line="249" w:lineRule="auto" w:before="2"/>
              <w:ind w:left="232" w:right="105"/>
              <w:jc w:val="both"/>
              <w:rPr>
                <w:rFonts w:ascii="PMingLiU" w:eastAsia="PMingLiU" w:hint="eastAsia"/>
                <w:sz w:val="18"/>
              </w:rPr>
            </w:pPr>
            <w:r>
              <w:rPr>
                <w:sz w:val="18"/>
              </w:rPr>
              <w:t>CAR-T </w:t>
            </w:r>
            <w:r>
              <w:rPr>
                <w:rFonts w:ascii="PMingLiU" w:eastAsia="PMingLiU" w:hint="eastAsia"/>
                <w:sz w:val="18"/>
              </w:rPr>
              <w:t>细胞输注前需经体外扩增达到治疗所需剂量。在细胞培养过程中，生物反应器、培养基和细胞因子的优化均可</w:t>
            </w:r>
          </w:p>
          <w:p>
            <w:pPr>
              <w:pStyle w:val="TableParagraph"/>
              <w:spacing w:line="239" w:lineRule="exact"/>
              <w:ind w:left="232"/>
              <w:jc w:val="both"/>
              <w:rPr>
                <w:rFonts w:ascii="PMingLiU" w:eastAsia="PMingLiU" w:hint="eastAsia"/>
                <w:sz w:val="18"/>
              </w:rPr>
            </w:pPr>
            <w:r>
              <w:rPr>
                <w:rFonts w:ascii="PMingLiU" w:eastAsia="PMingLiU" w:hint="eastAsia"/>
                <w:sz w:val="18"/>
              </w:rPr>
              <w:t>促进</w:t>
            </w:r>
            <w:r>
              <w:rPr>
                <w:sz w:val="18"/>
              </w:rPr>
              <w:t>CAR-T </w:t>
            </w:r>
            <w:r>
              <w:rPr>
                <w:rFonts w:ascii="PMingLiU" w:eastAsia="PMingLiU" w:hint="eastAsia"/>
                <w:sz w:val="18"/>
              </w:rPr>
              <w:t>细胞的增殖。</w:t>
            </w:r>
          </w:p>
        </w:tc>
        <w:tc>
          <w:tcPr>
            <w:tcW w:w="3425" w:type="dxa"/>
          </w:tcPr>
          <w:p>
            <w:pPr>
              <w:pStyle w:val="TableParagraph"/>
              <w:spacing w:line="249" w:lineRule="auto" w:before="2"/>
              <w:ind w:left="104" w:right="105"/>
              <w:jc w:val="both"/>
              <w:rPr>
                <w:rFonts w:ascii="PMingLiU" w:eastAsia="PMingLiU" w:hint="eastAsia"/>
                <w:sz w:val="18"/>
              </w:rPr>
            </w:pPr>
            <w:r>
              <w:rPr>
                <w:sz w:val="18"/>
              </w:rPr>
              <w:t>IL-2 </w:t>
            </w:r>
            <w:r>
              <w:rPr>
                <w:rFonts w:ascii="PMingLiU" w:eastAsia="PMingLiU" w:hint="eastAsia"/>
                <w:sz w:val="18"/>
              </w:rPr>
              <w:t>会产生分化和耗竭的 </w:t>
            </w:r>
            <w:r>
              <w:rPr>
                <w:sz w:val="18"/>
              </w:rPr>
              <w:t>T </w:t>
            </w:r>
            <w:r>
              <w:rPr>
                <w:rFonts w:ascii="PMingLiU" w:eastAsia="PMingLiU" w:hint="eastAsia"/>
                <w:sz w:val="18"/>
              </w:rPr>
              <w:t>细胞表型。</w:t>
            </w:r>
            <w:r>
              <w:rPr>
                <w:sz w:val="18"/>
              </w:rPr>
              <w:t>IL-7/IL-15 </w:t>
            </w:r>
            <w:r>
              <w:rPr>
                <w:rFonts w:ascii="PMingLiU" w:eastAsia="PMingLiU" w:hint="eastAsia"/>
                <w:sz w:val="18"/>
              </w:rPr>
              <w:t>可以增强 </w:t>
            </w:r>
            <w:r>
              <w:rPr>
                <w:sz w:val="18"/>
              </w:rPr>
              <w:t>T </w:t>
            </w:r>
            <w:r>
              <w:rPr>
                <w:rFonts w:ascii="PMingLiU" w:eastAsia="PMingLiU" w:hint="eastAsia"/>
                <w:sz w:val="18"/>
              </w:rPr>
              <w:t>细胞活化和增殖， 两者联合使用可以增加未分化 </w:t>
            </w:r>
            <w:r>
              <w:rPr>
                <w:sz w:val="18"/>
              </w:rPr>
              <w:t>CAR-T </w:t>
            </w:r>
            <w:r>
              <w:rPr>
                <w:rFonts w:ascii="PMingLiU" w:eastAsia="PMingLiU" w:hint="eastAsia"/>
                <w:sz w:val="18"/>
              </w:rPr>
              <w:t>的</w:t>
            </w:r>
          </w:p>
          <w:p>
            <w:pPr>
              <w:pStyle w:val="TableParagraph"/>
              <w:spacing w:line="239" w:lineRule="exact"/>
              <w:ind w:left="104"/>
              <w:rPr>
                <w:rFonts w:ascii="PMingLiU" w:eastAsia="PMingLiU" w:hint="eastAsia"/>
                <w:sz w:val="18"/>
              </w:rPr>
            </w:pPr>
            <w:r>
              <w:rPr>
                <w:rFonts w:ascii="PMingLiU" w:eastAsia="PMingLiU" w:hint="eastAsia"/>
                <w:sz w:val="18"/>
              </w:rPr>
              <w:t>存活和维持。</w:t>
            </w:r>
          </w:p>
        </w:tc>
      </w:tr>
      <w:tr>
        <w:trPr>
          <w:trHeight w:val="787" w:hRule="atLeast"/>
        </w:trPr>
        <w:tc>
          <w:tcPr>
            <w:tcW w:w="1069" w:type="dxa"/>
            <w:tcBorders>
              <w:bottom w:val="single" w:sz="12" w:space="0" w:color="000000"/>
            </w:tcBorders>
            <w:shd w:val="clear" w:color="auto" w:fill="F1F1F1"/>
          </w:tcPr>
          <w:p>
            <w:pPr>
              <w:pStyle w:val="TableParagraph"/>
              <w:rPr>
                <w:rFonts w:ascii="Microsoft JhengHei UI"/>
                <w:b/>
                <w:sz w:val="15"/>
              </w:rPr>
            </w:pPr>
          </w:p>
          <w:p>
            <w:pPr>
              <w:pStyle w:val="TableParagraph"/>
              <w:ind w:left="110"/>
              <w:rPr>
                <w:rFonts w:ascii="PMingLiU" w:eastAsia="PMingLiU" w:hint="eastAsia"/>
                <w:sz w:val="18"/>
              </w:rPr>
            </w:pPr>
            <w:r>
              <w:rPr>
                <w:rFonts w:ascii="PMingLiU" w:eastAsia="PMingLiU" w:hint="eastAsia"/>
                <w:sz w:val="18"/>
              </w:rPr>
              <w:t>质量控制</w:t>
            </w:r>
          </w:p>
        </w:tc>
        <w:tc>
          <w:tcPr>
            <w:tcW w:w="3470" w:type="dxa"/>
            <w:tcBorders>
              <w:bottom w:val="single" w:sz="12" w:space="0" w:color="000000"/>
            </w:tcBorders>
            <w:shd w:val="clear" w:color="auto" w:fill="F1F1F1"/>
          </w:tcPr>
          <w:p>
            <w:pPr>
              <w:pStyle w:val="TableParagraph"/>
              <w:spacing w:line="252" w:lineRule="auto" w:before="132"/>
              <w:ind w:left="232" w:right="107"/>
              <w:rPr>
                <w:rFonts w:ascii="PMingLiU" w:eastAsia="PMingLiU" w:hint="eastAsia"/>
                <w:sz w:val="18"/>
              </w:rPr>
            </w:pPr>
            <w:r>
              <w:rPr>
                <w:rFonts w:ascii="PMingLiU" w:eastAsia="PMingLiU" w:hint="eastAsia"/>
                <w:sz w:val="18"/>
              </w:rPr>
              <w:t>细胞治疗产品的质量控制主要包括安全性、效力、纯度和均一性。</w:t>
            </w:r>
          </w:p>
        </w:tc>
        <w:tc>
          <w:tcPr>
            <w:tcW w:w="3425" w:type="dxa"/>
            <w:tcBorders>
              <w:bottom w:val="single" w:sz="12" w:space="0" w:color="000000"/>
            </w:tcBorders>
            <w:shd w:val="clear" w:color="auto" w:fill="F1F1F1"/>
          </w:tcPr>
          <w:p>
            <w:pPr>
              <w:pStyle w:val="TableParagraph"/>
              <w:spacing w:line="252" w:lineRule="auto" w:before="2"/>
              <w:ind w:left="104" w:right="106"/>
              <w:rPr>
                <w:rFonts w:ascii="PMingLiU" w:eastAsia="PMingLiU" w:hint="eastAsia"/>
                <w:sz w:val="18"/>
              </w:rPr>
            </w:pPr>
            <w:r>
              <w:rPr>
                <w:rFonts w:ascii="PMingLiU" w:eastAsia="PMingLiU" w:hint="eastAsia"/>
                <w:sz w:val="18"/>
              </w:rPr>
              <w:t>逆转录病毒</w:t>
            </w:r>
            <w:r>
              <w:rPr>
                <w:sz w:val="18"/>
              </w:rPr>
              <w:t>/</w:t>
            </w:r>
            <w:r>
              <w:rPr>
                <w:rFonts w:ascii="PMingLiU" w:eastAsia="PMingLiU" w:hint="eastAsia"/>
                <w:sz w:val="18"/>
              </w:rPr>
              <w:t>慢病毒</w:t>
            </w:r>
            <w:r>
              <w:rPr>
                <w:sz w:val="18"/>
              </w:rPr>
              <w:t>(RCRs/RCLs)</w:t>
            </w:r>
            <w:r>
              <w:rPr>
                <w:rFonts w:ascii="PMingLiU" w:eastAsia="PMingLiU" w:hint="eastAsia"/>
                <w:sz w:val="18"/>
              </w:rPr>
              <w:t>需要进行全程检验。对效价的评估通常使用</w:t>
            </w:r>
          </w:p>
          <w:p>
            <w:pPr>
              <w:pStyle w:val="TableParagraph"/>
              <w:spacing w:line="236" w:lineRule="exact"/>
              <w:ind w:left="104"/>
              <w:rPr>
                <w:rFonts w:ascii="PMingLiU" w:hAnsi="PMingLiU" w:eastAsia="PMingLiU" w:hint="eastAsia"/>
                <w:sz w:val="18"/>
              </w:rPr>
            </w:pPr>
            <w:r>
              <w:rPr>
                <w:sz w:val="18"/>
              </w:rPr>
              <w:t>IFN-γ </w:t>
            </w:r>
            <w:r>
              <w:rPr>
                <w:rFonts w:ascii="PMingLiU" w:hAnsi="PMingLiU" w:eastAsia="PMingLiU" w:hint="eastAsia"/>
                <w:sz w:val="18"/>
              </w:rPr>
              <w:t>表达情况等。</w:t>
            </w:r>
          </w:p>
        </w:tc>
      </w:tr>
    </w:tbl>
    <w:p>
      <w:pPr>
        <w:spacing w:before="17"/>
        <w:ind w:left="210" w:right="0" w:firstLine="0"/>
        <w:jc w:val="left"/>
        <w:rPr>
          <w:sz w:val="16"/>
        </w:rPr>
      </w:pPr>
      <w:r>
        <w:rPr>
          <w:sz w:val="16"/>
        </w:rPr>
        <w:t>资料来源</w:t>
      </w:r>
      <w:r>
        <w:rPr>
          <w:rFonts w:ascii="Arial" w:eastAsia="Arial"/>
          <w:sz w:val="16"/>
        </w:rPr>
        <w:t>: Poorebrahim M et al. Critical Reviews in Clinical Laboratory Sciences 2019</w:t>
      </w:r>
      <w:r>
        <w:rPr>
          <w:sz w:val="16"/>
        </w:rPr>
        <w:t>，招银国际证券</w:t>
      </w:r>
    </w:p>
    <w:p>
      <w:pPr>
        <w:pStyle w:val="BodyText"/>
        <w:spacing w:before="6"/>
        <w:ind w:left="0"/>
        <w:rPr>
          <w:sz w:val="21"/>
        </w:rPr>
      </w:pPr>
    </w:p>
    <w:p>
      <w:pPr>
        <w:pStyle w:val="BodyText"/>
        <w:spacing w:line="285" w:lineRule="auto" w:before="99"/>
        <w:ind w:right="2811"/>
        <w:jc w:val="both"/>
      </w:pPr>
      <w:r>
        <w:rPr>
          <w:spacing w:val="-1"/>
        </w:rPr>
        <w:t>细胞激活可以使用 </w:t>
      </w:r>
      <w:r>
        <w:rPr>
          <w:rFonts w:ascii="Arial" w:eastAsia="Arial"/>
        </w:rPr>
        <w:t>CD3/CD28 </w:t>
      </w:r>
      <w:r>
        <w:rPr>
          <w:spacing w:val="2"/>
        </w:rPr>
        <w:t>磁珠或 </w:t>
      </w:r>
      <w:r>
        <w:rPr>
          <w:rFonts w:ascii="Arial" w:eastAsia="Arial"/>
        </w:rPr>
        <w:t>CD3/CD28 </w:t>
      </w:r>
      <w:r>
        <w:rPr>
          <w:spacing w:val="-5"/>
        </w:rPr>
        <w:t>纳米抗体。使用磁珠活化细胞，细胞分化</w:t>
      </w:r>
      <w:r>
        <w:rPr/>
        <w:t>和衰老均更少，且磁珠可被磁铁去掉，简化细胞清洗步骤，因此磁珠在规模化生产中更有优势。</w:t>
      </w:r>
      <w:r>
        <w:rPr>
          <w:rFonts w:ascii="Arial" w:eastAsia="Arial"/>
        </w:rPr>
        <w:t>Novartis </w:t>
      </w:r>
      <w:r>
        <w:rPr/>
        <w:t>在 </w:t>
      </w:r>
      <w:r>
        <w:rPr>
          <w:rFonts w:ascii="Arial" w:eastAsia="Arial"/>
        </w:rPr>
        <w:t>2017 </w:t>
      </w:r>
      <w:r>
        <w:rPr/>
        <w:t>年 </w:t>
      </w:r>
      <w:r>
        <w:rPr>
          <w:rFonts w:ascii="Arial" w:eastAsia="Arial"/>
        </w:rPr>
        <w:t>7 </w:t>
      </w:r>
      <w:r>
        <w:rPr>
          <w:spacing w:val="24"/>
        </w:rPr>
        <w:t>月的</w:t>
      </w:r>
      <w:r>
        <w:rPr>
          <w:rFonts w:ascii="Arial" w:eastAsia="Arial"/>
        </w:rPr>
        <w:t>ODAC </w:t>
      </w:r>
      <w:r>
        <w:rPr>
          <w:spacing w:val="-1"/>
        </w:rPr>
        <w:t>会议上提及其 </w:t>
      </w:r>
      <w:r>
        <w:rPr>
          <w:rFonts w:ascii="Arial" w:eastAsia="Arial"/>
        </w:rPr>
        <w:t>Kymriah </w:t>
      </w:r>
      <w:r>
        <w:rPr>
          <w:spacing w:val="-4"/>
        </w:rPr>
        <w:t>使用磁珠进行细胞活化。</w:t>
      </w:r>
    </w:p>
    <w:p>
      <w:pPr>
        <w:pStyle w:val="BodyText"/>
        <w:spacing w:line="288" w:lineRule="auto" w:before="126"/>
        <w:ind w:right="2812"/>
        <w:jc w:val="both"/>
      </w:pPr>
      <w:r>
        <w:rPr/>
        <w:t>细胞转导可分为病毒载体转导及非病毒载体转导，病毒转导的递送效率高，但存在几个显著缺点：</w:t>
      </w:r>
      <w:r>
        <w:rPr>
          <w:rFonts w:ascii="Arial" w:eastAsia="Arial"/>
        </w:rPr>
        <w:t>1</w:t>
      </w:r>
      <w:r>
        <w:rPr/>
        <w:t>）</w:t>
      </w:r>
      <w:r>
        <w:rPr>
          <w:spacing w:val="-6"/>
        </w:rPr>
        <w:t>安全性风险：转导时随机插入，外源性基因插入可能会导致内源性基因功能改</w:t>
      </w:r>
      <w:r>
        <w:rPr/>
        <w:t>变；</w:t>
      </w:r>
      <w:r>
        <w:rPr>
          <w:rFonts w:ascii="Arial" w:eastAsia="Arial"/>
        </w:rPr>
        <w:t>2</w:t>
      </w:r>
      <w:r>
        <w:rPr/>
        <w:t>）</w:t>
      </w:r>
      <w:r>
        <w:rPr>
          <w:spacing w:val="-6"/>
        </w:rPr>
        <w:t>成本高昂：病毒制备过程复杂，工艺上较难放大，同时由于病毒载体在临床试验的</w:t>
      </w:r>
      <w:r>
        <w:rPr>
          <w:spacing w:val="3"/>
        </w:rPr>
        <w:t>早期阶段难以符合</w:t>
      </w:r>
      <w:r>
        <w:rPr>
          <w:rFonts w:ascii="Arial" w:eastAsia="Arial"/>
        </w:rPr>
        <w:t>GMP</w:t>
      </w:r>
      <w:r>
        <w:rPr/>
        <w:t>，</w:t>
      </w:r>
      <w:r>
        <w:rPr>
          <w:rFonts w:ascii="Arial" w:eastAsia="Arial"/>
        </w:rPr>
        <w:t>CART </w:t>
      </w:r>
      <w:r>
        <w:rPr>
          <w:spacing w:val="-5"/>
        </w:rPr>
        <w:t>研发企业自主开发难度较大，以外购为主。</w:t>
      </w:r>
    </w:p>
    <w:p>
      <w:pPr>
        <w:pStyle w:val="BodyText"/>
        <w:spacing w:line="288" w:lineRule="auto" w:before="117"/>
        <w:ind w:right="2809"/>
        <w:jc w:val="both"/>
      </w:pPr>
      <w:r>
        <w:rPr/>
        <w:t>基于使用病毒载体存在的缺陷，非病毒载体的开发是目前的研发热点，目前国际上已经有基于非病毒载体开发的通用型 </w:t>
      </w:r>
      <w:r>
        <w:rPr>
          <w:rFonts w:ascii="Arial" w:eastAsia="Arial"/>
        </w:rPr>
        <w:t>CAR-T </w:t>
      </w:r>
      <w:r>
        <w:rPr/>
        <w:t>产品进入临床，使用的工具包括 </w:t>
      </w:r>
      <w:r>
        <w:rPr>
          <w:rFonts w:ascii="Arial" w:eastAsia="Arial"/>
        </w:rPr>
        <w:t>Sleeping Beauty </w:t>
      </w:r>
      <w:r>
        <w:rPr/>
        <w:t>转座系子、</w:t>
      </w:r>
      <w:r>
        <w:rPr>
          <w:rFonts w:ascii="Arial" w:eastAsia="Arial"/>
        </w:rPr>
        <w:t>PiggyBac </w:t>
      </w:r>
      <w:r>
        <w:rPr/>
        <w:t>转座子、电转染、及 </w:t>
      </w:r>
      <w:r>
        <w:rPr>
          <w:rFonts w:ascii="Arial" w:eastAsia="Arial"/>
        </w:rPr>
        <w:t>TALEN </w:t>
      </w:r>
      <w:r>
        <w:rPr/>
        <w:t>和 </w:t>
      </w:r>
      <w:r>
        <w:rPr>
          <w:rFonts w:ascii="Arial" w:eastAsia="Arial"/>
        </w:rPr>
        <w:t>CRISPR </w:t>
      </w:r>
      <w:r>
        <w:rPr/>
        <w:t>基因编辑技术。然而目前非病毒转载方式搭载效率始终不高，可能会发生制备阳性率低的问题，继而导致虽然在病毒上节约了成本，最终</w:t>
      </w:r>
      <w:r>
        <w:rPr>
          <w:rFonts w:ascii="Arial" w:eastAsia="Arial"/>
        </w:rPr>
        <w:t>CAR-T </w:t>
      </w:r>
      <w:r>
        <w:rPr/>
        <w:t>生产成本依然会在比较高的水平。</w:t>
      </w:r>
    </w:p>
    <w:p>
      <w:pPr>
        <w:pStyle w:val="BodyText"/>
        <w:spacing w:line="288" w:lineRule="auto" w:before="117"/>
        <w:ind w:right="2809"/>
        <w:jc w:val="both"/>
      </w:pPr>
      <w:r>
        <w:rPr/>
        <w:t>目前上市的 </w:t>
      </w:r>
      <w:r>
        <w:rPr>
          <w:rFonts w:ascii="Arial" w:hAnsi="Arial" w:eastAsia="Arial"/>
        </w:rPr>
        <w:t>7 </w:t>
      </w:r>
      <w:r>
        <w:rPr/>
        <w:t>款自体</w:t>
      </w:r>
      <w:r>
        <w:rPr>
          <w:rFonts w:ascii="Arial" w:hAnsi="Arial" w:eastAsia="Arial"/>
        </w:rPr>
        <w:t>CAR-T </w:t>
      </w:r>
      <w:r>
        <w:rPr/>
        <w:t>产品均采用病毒载体转导。</w:t>
      </w:r>
      <w:r>
        <w:rPr>
          <w:rFonts w:ascii="Arial" w:hAnsi="Arial" w:eastAsia="Arial"/>
        </w:rPr>
        <w:t>Gilead/ Kite/ </w:t>
      </w:r>
      <w:r>
        <w:rPr/>
        <w:t>复星凯特的 </w:t>
      </w:r>
      <w:r>
        <w:rPr>
          <w:rFonts w:ascii="Arial" w:hAnsi="Arial" w:eastAsia="Arial"/>
        </w:rPr>
        <w:t>Yescarta </w:t>
      </w:r>
      <w:r>
        <w:rPr/>
        <w:t>和</w:t>
      </w:r>
      <w:r>
        <w:rPr>
          <w:rFonts w:ascii="Arial" w:hAnsi="Arial" w:eastAsia="Arial"/>
        </w:rPr>
        <w:t>Tecartus </w:t>
      </w:r>
      <w:r>
        <w:rPr/>
        <w:t>均采用</w:t>
      </w:r>
      <w:r>
        <w:rPr>
          <w:rFonts w:ascii="Arial" w:hAnsi="Arial" w:eastAsia="Arial"/>
        </w:rPr>
        <w:t>γ-</w:t>
      </w:r>
      <w:r>
        <w:rPr/>
        <w:t>逆转录病毒载体进行转导；</w:t>
      </w:r>
      <w:r>
        <w:rPr>
          <w:rFonts w:ascii="Arial" w:hAnsi="Arial" w:eastAsia="Arial"/>
        </w:rPr>
        <w:t>Novartis </w:t>
      </w:r>
      <w:r>
        <w:rPr/>
        <w:t>的 </w:t>
      </w:r>
      <w:r>
        <w:rPr>
          <w:rFonts w:ascii="Arial" w:hAnsi="Arial" w:eastAsia="Arial"/>
        </w:rPr>
        <w:t>Kymriah</w:t>
      </w:r>
      <w:r>
        <w:rPr/>
        <w:t>、</w:t>
      </w:r>
      <w:r>
        <w:rPr>
          <w:rFonts w:ascii="Arial" w:hAnsi="Arial" w:eastAsia="Arial"/>
        </w:rPr>
        <w:t>Juno </w:t>
      </w:r>
      <w:r>
        <w:rPr/>
        <w:t>的 </w:t>
      </w:r>
      <w:r>
        <w:rPr>
          <w:rFonts w:ascii="Arial" w:hAnsi="Arial" w:eastAsia="Arial"/>
        </w:rPr>
        <w:t>Breyanzi</w:t>
      </w:r>
      <w:r>
        <w:rPr/>
        <w:t>、</w:t>
      </w:r>
      <w:r>
        <w:rPr>
          <w:rFonts w:ascii="Arial" w:hAnsi="Arial" w:eastAsia="Arial"/>
        </w:rPr>
        <w:t>BMS/ Bluebird </w:t>
      </w:r>
      <w:r>
        <w:rPr/>
        <w:t>的 </w:t>
      </w:r>
      <w:r>
        <w:rPr>
          <w:rFonts w:ascii="Arial" w:hAnsi="Arial" w:eastAsia="Arial"/>
        </w:rPr>
        <w:t>Abecma</w:t>
      </w:r>
      <w:r>
        <w:rPr/>
        <w:t>、传奇生物的 </w:t>
      </w:r>
      <w:r>
        <w:rPr>
          <w:rFonts w:ascii="Arial" w:hAnsi="Arial" w:eastAsia="Arial"/>
        </w:rPr>
        <w:t>Carvykti </w:t>
      </w:r>
      <w:r>
        <w:rPr/>
        <w:t>和药明巨诺的倍诺达则采用了慢病毒进行转导。慢病毒载体具有更高的寄送效率和</w:t>
      </w:r>
      <w:r>
        <w:rPr>
          <w:rFonts w:ascii="Arial" w:hAnsi="Arial" w:eastAsia="Arial"/>
        </w:rPr>
        <w:t>T </w:t>
      </w:r>
      <w:r>
        <w:rPr/>
        <w:t>细胞转导质量，转导效率接近</w:t>
      </w:r>
      <w:r>
        <w:rPr>
          <w:rFonts w:ascii="Arial" w:hAnsi="Arial" w:eastAsia="Arial"/>
        </w:rPr>
        <w:t>100%</w:t>
      </w:r>
      <w:r>
        <w:rPr/>
        <w:t>，转基因负荷量可达 </w:t>
      </w:r>
      <w:r>
        <w:rPr>
          <w:rFonts w:ascii="Arial" w:hAnsi="Arial" w:eastAsia="Arial"/>
        </w:rPr>
        <w:t>8kb</w:t>
      </w:r>
      <w:r>
        <w:rPr/>
        <w:t>，基因毒性更小，整合位点相比 </w:t>
      </w:r>
      <w:r>
        <w:rPr>
          <w:rFonts w:ascii="Arial" w:hAnsi="Arial" w:eastAsia="Arial"/>
        </w:rPr>
        <w:t>γ-</w:t>
      </w:r>
      <w:r>
        <w:rPr/>
        <w:t>逆转录病毒更安全。然而慢病毒生产成本高于逆转录病毒成本，原因在于逆转录病毒采用永久性病毒生产毒株，而慢病毒通过瞬转包装病毒，单次仅可供 </w:t>
      </w:r>
      <w:r>
        <w:rPr>
          <w:rFonts w:ascii="Arial" w:hAnsi="Arial" w:eastAsia="Arial"/>
        </w:rPr>
        <w:t>50~100 </w:t>
      </w:r>
      <w:r>
        <w:rPr/>
        <w:t>个病人使用，生产中需要定期进行病毒包装。</w:t>
      </w:r>
    </w:p>
    <w:p>
      <w:pPr>
        <w:pStyle w:val="BodyText"/>
        <w:spacing w:line="288" w:lineRule="auto" w:before="114"/>
        <w:ind w:right="2809"/>
        <w:jc w:val="both"/>
      </w:pPr>
      <w:r>
        <w:rPr>
          <w:spacing w:val="5"/>
        </w:rPr>
        <w:t>稳定表达的 </w:t>
      </w:r>
      <w:r>
        <w:rPr>
          <w:rFonts w:ascii="Arial" w:eastAsia="Arial"/>
        </w:rPr>
        <w:t>CAR-T </w:t>
      </w:r>
      <w:r>
        <w:rPr>
          <w:spacing w:val="-6"/>
        </w:rPr>
        <w:t>细胞必须经流式细胞仪分选后，体外扩增达到治疗所需剂量，才可以对</w:t>
      </w:r>
      <w:r>
        <w:rPr>
          <w:spacing w:val="-5"/>
        </w:rPr>
        <w:t>患者进行回输，一般一名患者需要回输数千万至数亿个 </w:t>
      </w:r>
      <w:r>
        <w:rPr>
          <w:rFonts w:ascii="Arial" w:eastAsia="Arial"/>
        </w:rPr>
        <w:t>CAR-T </w:t>
      </w:r>
      <w:r>
        <w:rPr/>
        <w:t>细胞，培养需要 </w:t>
      </w:r>
      <w:r>
        <w:rPr>
          <w:rFonts w:ascii="Arial" w:eastAsia="Arial"/>
        </w:rPr>
        <w:t>2 </w:t>
      </w:r>
      <w:r>
        <w:rPr>
          <w:spacing w:val="-4"/>
        </w:rPr>
        <w:t>周时间。</w:t>
      </w:r>
      <w:r>
        <w:rPr>
          <w:spacing w:val="1"/>
        </w:rPr>
        <w:t>细胞扩增可以使用 </w:t>
      </w:r>
      <w:r>
        <w:rPr>
          <w:rFonts w:ascii="Arial" w:eastAsia="Arial"/>
        </w:rPr>
        <w:t>T </w:t>
      </w:r>
      <w:r>
        <w:rPr>
          <w:spacing w:val="-5"/>
        </w:rPr>
        <w:t>型瓶、静态培养袋，或生物反应器。</w:t>
      </w:r>
      <w:r>
        <w:rPr>
          <w:rFonts w:ascii="Arial" w:eastAsia="Arial"/>
        </w:rPr>
        <w:t>T </w:t>
      </w:r>
      <w:r>
        <w:rPr>
          <w:spacing w:val="-4"/>
        </w:rPr>
        <w:t>型瓶需要极多人工，目前已经</w:t>
      </w:r>
      <w:r>
        <w:rPr/>
        <w:t>基本被淘汰，静态培养袋仍需手工进行培养基扩展，难实现大规模生产。生物反应器利用</w:t>
      </w:r>
      <w:r>
        <w:rPr>
          <w:spacing w:val="-5"/>
        </w:rPr>
        <w:t>灌注机制添加营养物质及去除生长抑制物质，简化了制造过程，适用于商业化。</w:t>
      </w:r>
    </w:p>
    <w:p>
      <w:pPr>
        <w:pStyle w:val="BodyText"/>
        <w:spacing w:line="288" w:lineRule="auto" w:before="118"/>
        <w:ind w:right="2811"/>
        <w:jc w:val="both"/>
      </w:pPr>
      <w:r>
        <w:rPr/>
        <w:t>基于</w:t>
      </w:r>
      <w:r>
        <w:rPr>
          <w:rFonts w:ascii="Arial" w:eastAsia="Arial"/>
        </w:rPr>
        <w:t>CAR-T </w:t>
      </w:r>
      <w:r>
        <w:rPr/>
        <w:t>治疗的个性化特点，</w:t>
      </w:r>
      <w:r>
        <w:rPr>
          <w:rFonts w:ascii="Arial" w:eastAsia="Arial"/>
        </w:rPr>
        <w:t>CAR-T </w:t>
      </w:r>
      <w:r>
        <w:rPr/>
        <w:t>生产标准化情况相比抗体药物等相差较远，各家公司或研究机构进行</w:t>
      </w:r>
      <w:r>
        <w:rPr>
          <w:rFonts w:ascii="Arial" w:eastAsia="Arial"/>
        </w:rPr>
        <w:t>CAR-T </w:t>
      </w:r>
      <w:r>
        <w:rPr/>
        <w:t>生产时的操作多有不同。</w:t>
      </w:r>
      <w:r>
        <w:rPr>
          <w:rFonts w:ascii="Arial" w:eastAsia="Arial"/>
        </w:rPr>
        <w:t>CAR-T </w:t>
      </w:r>
      <w:r>
        <w:rPr/>
        <w:t>生产目前仍属于人力密集的加工过程，自体 </w:t>
      </w:r>
      <w:r>
        <w:rPr>
          <w:rFonts w:ascii="Arial" w:eastAsia="Arial"/>
        </w:rPr>
        <w:t>CAR-T </w:t>
      </w:r>
      <w:r>
        <w:rPr/>
        <w:t>生产需要专人进行制备，完成一例制备需要 </w:t>
      </w:r>
      <w:r>
        <w:rPr>
          <w:rFonts w:ascii="Arial" w:eastAsia="Arial"/>
        </w:rPr>
        <w:t>4~5 </w:t>
      </w:r>
      <w:r>
        <w:rPr/>
        <w:t>人参与。此外 </w:t>
      </w:r>
      <w:r>
        <w:rPr>
          <w:rFonts w:ascii="Arial" w:eastAsia="Arial"/>
        </w:rPr>
        <w:t>CAR-T </w:t>
      </w:r>
      <w:r>
        <w:rPr/>
        <w:t>生产时间周期很长，产品制备周期约为 </w:t>
      </w:r>
      <w:r>
        <w:rPr>
          <w:rFonts w:ascii="Arial" w:eastAsia="Arial"/>
        </w:rPr>
        <w:t>2~4 </w:t>
      </w:r>
      <w:r>
        <w:rPr/>
        <w:t>周。</w:t>
      </w:r>
    </w:p>
    <w:p>
      <w:pPr>
        <w:spacing w:after="0" w:line="288" w:lineRule="auto"/>
        <w:jc w:val="both"/>
        <w:sectPr>
          <w:pgSz w:w="11910" w:h="16840"/>
          <w:pgMar w:header="682" w:footer="358" w:top="1360" w:bottom="540" w:left="640" w:right="300"/>
        </w:sectPr>
      </w:pPr>
    </w:p>
    <w:p>
      <w:pPr>
        <w:pStyle w:val="BodyText"/>
        <w:spacing w:before="8"/>
        <w:ind w:left="0"/>
        <w:rPr>
          <w:sz w:val="12"/>
        </w:rPr>
      </w:pPr>
    </w:p>
    <w:p>
      <w:pPr>
        <w:pStyle w:val="Heading3"/>
        <w:spacing w:before="45" w:after="4"/>
        <w:jc w:val="left"/>
      </w:pPr>
      <w:r>
        <w:rPr/>
        <w:t>图 </w:t>
      </w:r>
      <w:r>
        <w:rPr>
          <w:rFonts w:ascii="Arial" w:eastAsia="Arial"/>
        </w:rPr>
        <w:t>58: CAR-T </w:t>
      </w:r>
      <w:r>
        <w:rPr/>
        <w:t>生产流程及工艺选择</w:t>
      </w:r>
    </w:p>
    <w:p>
      <w:pPr>
        <w:pStyle w:val="BodyText"/>
        <w:ind w:left="181"/>
        <w:rPr>
          <w:rFonts w:ascii="Microsoft JhengHei UI"/>
        </w:rPr>
      </w:pPr>
      <w:r>
        <w:rPr>
          <w:rFonts w:ascii="Microsoft JhengHei UI"/>
        </w:rPr>
        <w:drawing>
          <wp:inline distT="0" distB="0" distL="0" distR="0">
            <wp:extent cx="5086875" cy="2824162"/>
            <wp:effectExtent l="0" t="0" r="0" b="0"/>
            <wp:docPr id="55" name="image43.png"/>
            <wp:cNvGraphicFramePr>
              <a:graphicFrameLocks noChangeAspect="1"/>
            </wp:cNvGraphicFramePr>
            <a:graphic>
              <a:graphicData uri="http://schemas.openxmlformats.org/drawingml/2006/picture">
                <pic:pic>
                  <pic:nvPicPr>
                    <pic:cNvPr id="56" name="image43.png"/>
                    <pic:cNvPicPr/>
                  </pic:nvPicPr>
                  <pic:blipFill>
                    <a:blip r:embed="rId61" cstate="print"/>
                    <a:stretch>
                      <a:fillRect/>
                    </a:stretch>
                  </pic:blipFill>
                  <pic:spPr>
                    <a:xfrm>
                      <a:off x="0" y="0"/>
                      <a:ext cx="5086875" cy="2824162"/>
                    </a:xfrm>
                    <a:prstGeom prst="rect">
                      <a:avLst/>
                    </a:prstGeom>
                  </pic:spPr>
                </pic:pic>
              </a:graphicData>
            </a:graphic>
          </wp:inline>
        </w:drawing>
      </w:r>
      <w:r>
        <w:rPr>
          <w:rFonts w:ascii="Microsoft JhengHei UI"/>
        </w:rPr>
      </w:r>
    </w:p>
    <w:p>
      <w:pPr>
        <w:spacing w:before="11"/>
        <w:ind w:left="210" w:right="0" w:firstLine="0"/>
        <w:jc w:val="left"/>
        <w:rPr>
          <w:sz w:val="16"/>
        </w:rPr>
      </w:pPr>
      <w:r>
        <w:rPr>
          <w:sz w:val="16"/>
        </w:rPr>
        <w:t>资料来源</w:t>
      </w:r>
      <w:r>
        <w:rPr>
          <w:rFonts w:ascii="Arial" w:eastAsia="Arial"/>
          <w:sz w:val="16"/>
        </w:rPr>
        <w:t>:</w:t>
      </w:r>
      <w:r>
        <w:rPr>
          <w:sz w:val="16"/>
        </w:rPr>
        <w:t>，</w:t>
      </w:r>
      <w:r>
        <w:rPr>
          <w:rFonts w:ascii="Arial" w:eastAsia="Arial"/>
          <w:sz w:val="16"/>
        </w:rPr>
        <w:t>Philipp Vormittag et al. Current Opinion in Biotechnology 2018, </w:t>
      </w:r>
      <w:r>
        <w:rPr>
          <w:sz w:val="16"/>
        </w:rPr>
        <w:t>招银国际证券</w:t>
      </w:r>
    </w:p>
    <w:p>
      <w:pPr>
        <w:pStyle w:val="BodyText"/>
        <w:spacing w:before="12"/>
        <w:ind w:left="0"/>
        <w:rPr>
          <w:sz w:val="21"/>
        </w:rPr>
      </w:pPr>
    </w:p>
    <w:p>
      <w:pPr>
        <w:pStyle w:val="Heading2"/>
      </w:pPr>
      <w:bookmarkStart w:name="_bookmark27" w:id="28"/>
      <w:bookmarkEnd w:id="28"/>
      <w:r>
        <w:rPr>
          <w:b w:val="0"/>
        </w:rPr>
      </w:r>
      <w:r>
        <w:rPr>
          <w:color w:val="585858"/>
        </w:rPr>
        <w:t>短期成本下降困难，后续放量将改善局面</w:t>
      </w:r>
    </w:p>
    <w:p>
      <w:pPr>
        <w:pStyle w:val="Heading3"/>
        <w:spacing w:before="65"/>
        <w:jc w:val="left"/>
      </w:pPr>
      <w:r>
        <w:rPr/>
        <w:t>固定投入利用率低，耗材成本占比较高</w:t>
      </w:r>
    </w:p>
    <w:p>
      <w:pPr>
        <w:pStyle w:val="BodyText"/>
        <w:spacing w:line="288" w:lineRule="auto" w:before="154"/>
        <w:ind w:right="2817"/>
        <w:jc w:val="both"/>
      </w:pPr>
      <w:r>
        <w:rPr>
          <w:rFonts w:ascii="Arial" w:eastAsia="Arial"/>
        </w:rPr>
        <w:t>CAR-T </w:t>
      </w:r>
      <w:r>
        <w:rPr>
          <w:spacing w:val="-5"/>
        </w:rPr>
        <w:t>细胞制备的过程中主要的成本包括人力成本、设备环境成本及材料成本，其中固定</w:t>
      </w:r>
      <w:r>
        <w:rPr/>
        <w:t>成本主要包括封闭式制造系统、液氮罐、冷冻机和冰箱等各种设备的采购和维护费用、洁净室费用及关键人员和技术人员的工资；可变成本包括每次生产的消耗品</w:t>
      </w:r>
      <w:r>
        <w:rPr>
          <w:rFonts w:ascii="Arial" w:eastAsia="Arial"/>
        </w:rPr>
        <w:t>(</w:t>
      </w:r>
      <w:r>
        <w:rPr>
          <w:spacing w:val="-2"/>
        </w:rPr>
        <w:t>培养基、细胞因</w:t>
      </w:r>
      <w:r>
        <w:rPr>
          <w:spacing w:val="-3"/>
        </w:rPr>
        <w:t>子、磁珠、缓冲液等</w:t>
      </w:r>
      <w:r>
        <w:rPr>
          <w:rFonts w:ascii="Arial" w:eastAsia="Arial"/>
          <w:spacing w:val="-5"/>
        </w:rPr>
        <w:t>)</w:t>
      </w:r>
      <w:r>
        <w:rPr>
          <w:spacing w:val="-5"/>
        </w:rPr>
        <w:t>、人血清白蛋白、慢病毒等。</w:t>
      </w:r>
    </w:p>
    <w:p>
      <w:pPr>
        <w:pStyle w:val="Heading3"/>
        <w:spacing w:after="4"/>
        <w:jc w:val="left"/>
      </w:pPr>
      <w:r>
        <w:rPr/>
        <w:t>图 </w:t>
      </w:r>
      <w:r>
        <w:rPr>
          <w:rFonts w:ascii="Arial" w:eastAsia="Arial"/>
        </w:rPr>
        <w:t>59: CAR-T </w:t>
      </w:r>
      <w:r>
        <w:rPr/>
        <w:t>生产年固定投入拆分</w:t>
      </w:r>
    </w:p>
    <w:p>
      <w:pPr>
        <w:pStyle w:val="BodyText"/>
        <w:ind w:left="181"/>
        <w:rPr>
          <w:rFonts w:ascii="Microsoft JhengHei UI"/>
        </w:rPr>
      </w:pPr>
      <w:r>
        <w:rPr>
          <w:rFonts w:ascii="Microsoft JhengHei UI"/>
        </w:rPr>
        <w:pict>
          <v:group style="width:400.05pt;height:98.95pt;mso-position-horizontal-relative:char;mso-position-vertical-relative:line" coordorigin="0,0" coordsize="8001,1979">
            <v:shape style="position:absolute;left:0;top:0;width:8001;height:1979" coordorigin="0,0" coordsize="8001,1979" path="m8000,1949l0,1949,0,1978,8000,1978,8000,1949xm8000,0l0,0,0,29,8000,29,8000,0xe" filled="true" fillcolor="#000000" stroked="false">
              <v:path arrowok="t"/>
              <v:fill type="solid"/>
            </v:shape>
            <v:shape style="position:absolute;left:1598;top:95;width:4814;height:1813" type="#_x0000_t75" stroked="false">
              <v:imagedata r:id="rId62" o:title=""/>
            </v:shape>
          </v:group>
        </w:pict>
      </w:r>
      <w:r>
        <w:rPr>
          <w:rFonts w:ascii="Microsoft JhengHei UI"/>
        </w:rPr>
      </w:r>
    </w:p>
    <w:p>
      <w:pPr>
        <w:spacing w:line="215" w:lineRule="exact" w:before="0"/>
        <w:ind w:left="210" w:right="0" w:firstLine="0"/>
        <w:jc w:val="left"/>
        <w:rPr>
          <w:sz w:val="16"/>
        </w:rPr>
      </w:pPr>
      <w:r>
        <w:rPr>
          <w:spacing w:val="1"/>
          <w:sz w:val="16"/>
        </w:rPr>
        <w:t>资料来源</w:t>
      </w:r>
      <w:r>
        <w:rPr>
          <w:rFonts w:ascii="Arial" w:eastAsia="Arial"/>
          <w:spacing w:val="-4"/>
          <w:sz w:val="16"/>
        </w:rPr>
        <w:t>: </w:t>
      </w:r>
      <w:r>
        <w:rPr>
          <w:rFonts w:ascii="Arial" w:eastAsia="Arial"/>
          <w:sz w:val="16"/>
        </w:rPr>
        <w:t>Ran</w:t>
      </w:r>
      <w:r>
        <w:rPr>
          <w:rFonts w:ascii="Arial" w:eastAsia="Arial"/>
          <w:spacing w:val="-6"/>
          <w:sz w:val="16"/>
        </w:rPr>
        <w:t> </w:t>
      </w:r>
      <w:r>
        <w:rPr>
          <w:rFonts w:ascii="Arial" w:eastAsia="Arial"/>
          <w:sz w:val="16"/>
        </w:rPr>
        <w:t>T</w:t>
      </w:r>
      <w:r>
        <w:rPr>
          <w:rFonts w:ascii="Arial" w:eastAsia="Arial"/>
          <w:spacing w:val="2"/>
          <w:sz w:val="16"/>
        </w:rPr>
        <w:t> </w:t>
      </w:r>
      <w:r>
        <w:rPr>
          <w:rFonts w:ascii="Arial" w:eastAsia="Arial"/>
          <w:sz w:val="16"/>
        </w:rPr>
        <w:t>et</w:t>
      </w:r>
      <w:r>
        <w:rPr>
          <w:rFonts w:ascii="Arial" w:eastAsia="Arial"/>
          <w:spacing w:val="-3"/>
          <w:sz w:val="16"/>
        </w:rPr>
        <w:t> </w:t>
      </w:r>
      <w:r>
        <w:rPr>
          <w:rFonts w:ascii="Arial" w:eastAsia="Arial"/>
          <w:sz w:val="16"/>
        </w:rPr>
        <w:t>al</w:t>
      </w:r>
      <w:r>
        <w:rPr>
          <w:rFonts w:ascii="Arial" w:eastAsia="Arial"/>
          <w:spacing w:val="-1"/>
          <w:sz w:val="16"/>
        </w:rPr>
        <w:t>. </w:t>
      </w:r>
      <w:r>
        <w:rPr>
          <w:rFonts w:ascii="Arial" w:eastAsia="Arial"/>
          <w:sz w:val="16"/>
        </w:rPr>
        <w:t>Int</w:t>
      </w:r>
      <w:r>
        <w:rPr>
          <w:rFonts w:ascii="Arial" w:eastAsia="Arial"/>
          <w:spacing w:val="-3"/>
          <w:sz w:val="16"/>
        </w:rPr>
        <w:t> </w:t>
      </w:r>
      <w:r>
        <w:rPr>
          <w:rFonts w:ascii="Arial" w:eastAsia="Arial"/>
          <w:sz w:val="16"/>
        </w:rPr>
        <w:t>J</w:t>
      </w:r>
      <w:r>
        <w:rPr>
          <w:rFonts w:ascii="Arial" w:eastAsia="Arial"/>
          <w:spacing w:val="-3"/>
          <w:sz w:val="16"/>
        </w:rPr>
        <w:t> </w:t>
      </w:r>
      <w:r>
        <w:rPr>
          <w:rFonts w:ascii="Arial" w:eastAsia="Arial"/>
          <w:sz w:val="16"/>
        </w:rPr>
        <w:t>Cancer</w:t>
      </w:r>
      <w:r>
        <w:rPr>
          <w:rFonts w:ascii="Arial" w:eastAsia="Arial"/>
          <w:spacing w:val="-1"/>
          <w:sz w:val="16"/>
        </w:rPr>
        <w:t> </w:t>
      </w:r>
      <w:r>
        <w:rPr>
          <w:rFonts w:ascii="Arial" w:eastAsia="Arial"/>
          <w:sz w:val="16"/>
        </w:rPr>
        <w:t>2020</w:t>
      </w:r>
      <w:r>
        <w:rPr>
          <w:rFonts w:ascii="Arial" w:eastAsia="Arial"/>
          <w:spacing w:val="-2"/>
          <w:sz w:val="16"/>
        </w:rPr>
        <w:t>, </w:t>
      </w:r>
      <w:r>
        <w:rPr>
          <w:sz w:val="16"/>
        </w:rPr>
        <w:t>招银国际证券</w:t>
      </w:r>
    </w:p>
    <w:p>
      <w:pPr>
        <w:pStyle w:val="BodyText"/>
        <w:spacing w:before="11"/>
        <w:ind w:left="0"/>
        <w:rPr>
          <w:sz w:val="21"/>
        </w:rPr>
      </w:pPr>
    </w:p>
    <w:p>
      <w:pPr>
        <w:pStyle w:val="Heading3"/>
        <w:spacing w:before="45" w:after="4"/>
        <w:jc w:val="left"/>
      </w:pPr>
      <w:r>
        <w:rPr>
          <w:spacing w:val="6"/>
        </w:rPr>
        <w:t>图 </w:t>
      </w:r>
      <w:r>
        <w:rPr>
          <w:rFonts w:ascii="Arial" w:eastAsia="Arial"/>
        </w:rPr>
        <w:t>60</w:t>
      </w:r>
      <w:r>
        <w:rPr>
          <w:rFonts w:ascii="Arial" w:eastAsia="Arial"/>
          <w:spacing w:val="3"/>
        </w:rPr>
        <w:t>: </w:t>
      </w:r>
      <w:r>
        <w:rPr>
          <w:rFonts w:ascii="Arial" w:eastAsia="Arial"/>
        </w:rPr>
        <w:t>CAR-T</w:t>
      </w:r>
      <w:r>
        <w:rPr>
          <w:rFonts w:ascii="Arial" w:eastAsia="Arial"/>
          <w:spacing w:val="-1"/>
        </w:rPr>
        <w:t> </w:t>
      </w:r>
      <w:r>
        <w:rPr>
          <w:spacing w:val="-4"/>
        </w:rPr>
        <w:t>可变成本拆分及细分试剂花费</w:t>
      </w:r>
    </w:p>
    <w:p>
      <w:pPr>
        <w:pStyle w:val="BodyText"/>
        <w:spacing w:line="28" w:lineRule="exact"/>
        <w:ind w:left="181"/>
        <w:rPr>
          <w:rFonts w:ascii="Microsoft JhengHei UI"/>
          <w:sz w:val="2"/>
        </w:rPr>
      </w:pPr>
      <w:r>
        <w:rPr>
          <w:rFonts w:ascii="Microsoft JhengHei UI"/>
          <w:position w:val="0"/>
          <w:sz w:val="2"/>
        </w:rPr>
        <w:pict>
          <v:group style="width:400.05pt;height:1.45pt;mso-position-horizontal-relative:char;mso-position-vertical-relative:line" coordorigin="0,0" coordsize="8001,29">
            <v:rect style="position:absolute;left:0;top:0;width:8001;height:29" filled="true" fillcolor="#000000" stroked="false">
              <v:fill type="solid"/>
            </v:rect>
          </v:group>
        </w:pict>
      </w:r>
      <w:r>
        <w:rPr>
          <w:rFonts w:ascii="Microsoft JhengHei UI"/>
          <w:position w:val="0"/>
          <w:sz w:val="2"/>
        </w:rPr>
      </w:r>
    </w:p>
    <w:p>
      <w:pPr>
        <w:pStyle w:val="BodyText"/>
        <w:spacing w:before="15"/>
        <w:ind w:left="0"/>
        <w:rPr>
          <w:rFonts w:ascii="Microsoft JhengHei UI"/>
          <w:b/>
          <w:sz w:val="9"/>
        </w:rPr>
      </w:pPr>
      <w:r>
        <w:rPr/>
        <w:pict>
          <v:group style="position:absolute;margin-left:41.063999pt;margin-top:10.754pt;width:400.05pt;height:103.6pt;mso-position-horizontal-relative:page;mso-position-vertical-relative:paragraph;z-index:-15701504;mso-wrap-distance-left:0;mso-wrap-distance-right:0" coordorigin="821,215" coordsize="8001,2072">
            <v:rect style="position:absolute;left:821;top:2257;width:8001;height:29" filled="true" fillcolor="#000000" stroked="false">
              <v:fill type="solid"/>
            </v:rect>
            <v:shape style="position:absolute;left:908;top:215;width:3925;height:1986" type="#_x0000_t75" stroked="false">
              <v:imagedata r:id="rId63" o:title=""/>
            </v:shape>
            <v:shape style="position:absolute;left:4958;top:405;width:3776;height:1834" type="#_x0000_t75" stroked="false">
              <v:imagedata r:id="rId64" o:title=""/>
            </v:shape>
            <w10:wrap type="topAndBottom"/>
          </v:group>
        </w:pict>
      </w:r>
    </w:p>
    <w:p>
      <w:pPr>
        <w:spacing w:line="212" w:lineRule="exact" w:before="0"/>
        <w:ind w:left="210" w:right="0" w:firstLine="0"/>
        <w:jc w:val="left"/>
        <w:rPr>
          <w:sz w:val="16"/>
        </w:rPr>
      </w:pPr>
      <w:r>
        <w:rPr>
          <w:spacing w:val="1"/>
          <w:sz w:val="16"/>
        </w:rPr>
        <w:t>资料来源</w:t>
      </w:r>
      <w:r>
        <w:rPr>
          <w:rFonts w:ascii="Arial" w:eastAsia="Arial"/>
          <w:spacing w:val="-4"/>
          <w:sz w:val="16"/>
        </w:rPr>
        <w:t>: </w:t>
      </w:r>
      <w:r>
        <w:rPr>
          <w:rFonts w:ascii="Arial" w:eastAsia="Arial"/>
          <w:sz w:val="16"/>
        </w:rPr>
        <w:t>Ran</w:t>
      </w:r>
      <w:r>
        <w:rPr>
          <w:rFonts w:ascii="Arial" w:eastAsia="Arial"/>
          <w:spacing w:val="-6"/>
          <w:sz w:val="16"/>
        </w:rPr>
        <w:t> </w:t>
      </w:r>
      <w:r>
        <w:rPr>
          <w:rFonts w:ascii="Arial" w:eastAsia="Arial"/>
          <w:sz w:val="16"/>
        </w:rPr>
        <w:t>T</w:t>
      </w:r>
      <w:r>
        <w:rPr>
          <w:rFonts w:ascii="Arial" w:eastAsia="Arial"/>
          <w:spacing w:val="2"/>
          <w:sz w:val="16"/>
        </w:rPr>
        <w:t> </w:t>
      </w:r>
      <w:r>
        <w:rPr>
          <w:rFonts w:ascii="Arial" w:eastAsia="Arial"/>
          <w:sz w:val="16"/>
        </w:rPr>
        <w:t>et</w:t>
      </w:r>
      <w:r>
        <w:rPr>
          <w:rFonts w:ascii="Arial" w:eastAsia="Arial"/>
          <w:spacing w:val="-3"/>
          <w:sz w:val="16"/>
        </w:rPr>
        <w:t> </w:t>
      </w:r>
      <w:r>
        <w:rPr>
          <w:rFonts w:ascii="Arial" w:eastAsia="Arial"/>
          <w:sz w:val="16"/>
        </w:rPr>
        <w:t>al</w:t>
      </w:r>
      <w:r>
        <w:rPr>
          <w:rFonts w:ascii="Arial" w:eastAsia="Arial"/>
          <w:spacing w:val="-1"/>
          <w:sz w:val="16"/>
        </w:rPr>
        <w:t>. </w:t>
      </w:r>
      <w:r>
        <w:rPr>
          <w:rFonts w:ascii="Arial" w:eastAsia="Arial"/>
          <w:sz w:val="16"/>
        </w:rPr>
        <w:t>Int</w:t>
      </w:r>
      <w:r>
        <w:rPr>
          <w:rFonts w:ascii="Arial" w:eastAsia="Arial"/>
          <w:spacing w:val="-3"/>
          <w:sz w:val="16"/>
        </w:rPr>
        <w:t> </w:t>
      </w:r>
      <w:r>
        <w:rPr>
          <w:rFonts w:ascii="Arial" w:eastAsia="Arial"/>
          <w:sz w:val="16"/>
        </w:rPr>
        <w:t>J</w:t>
      </w:r>
      <w:r>
        <w:rPr>
          <w:rFonts w:ascii="Arial" w:eastAsia="Arial"/>
          <w:spacing w:val="-3"/>
          <w:sz w:val="16"/>
        </w:rPr>
        <w:t> </w:t>
      </w:r>
      <w:r>
        <w:rPr>
          <w:rFonts w:ascii="Arial" w:eastAsia="Arial"/>
          <w:sz w:val="16"/>
        </w:rPr>
        <w:t>Cancer</w:t>
      </w:r>
      <w:r>
        <w:rPr>
          <w:rFonts w:ascii="Arial" w:eastAsia="Arial"/>
          <w:spacing w:val="-1"/>
          <w:sz w:val="16"/>
        </w:rPr>
        <w:t> </w:t>
      </w:r>
      <w:r>
        <w:rPr>
          <w:rFonts w:ascii="Arial" w:eastAsia="Arial"/>
          <w:sz w:val="16"/>
        </w:rPr>
        <w:t>2020</w:t>
      </w:r>
      <w:r>
        <w:rPr>
          <w:rFonts w:ascii="Arial" w:eastAsia="Arial"/>
          <w:spacing w:val="-2"/>
          <w:sz w:val="16"/>
        </w:rPr>
        <w:t>, </w:t>
      </w:r>
      <w:r>
        <w:rPr>
          <w:sz w:val="16"/>
        </w:rPr>
        <w:t>招银国际证券</w:t>
      </w:r>
    </w:p>
    <w:p>
      <w:pPr>
        <w:spacing w:after="0" w:line="212" w:lineRule="exact"/>
        <w:jc w:val="left"/>
        <w:rPr>
          <w:sz w:val="16"/>
        </w:rPr>
        <w:sectPr>
          <w:pgSz w:w="11910" w:h="16840"/>
          <w:pgMar w:header="682" w:footer="358" w:top="1380" w:bottom="540" w:left="640" w:right="300"/>
        </w:sectPr>
      </w:pPr>
    </w:p>
    <w:p>
      <w:pPr>
        <w:pStyle w:val="BodyText"/>
        <w:spacing w:before="3"/>
        <w:ind w:left="0"/>
        <w:rPr>
          <w:sz w:val="12"/>
        </w:rPr>
      </w:pPr>
    </w:p>
    <w:p>
      <w:pPr>
        <w:pStyle w:val="Heading3"/>
        <w:spacing w:before="45"/>
        <w:rPr>
          <w:rFonts w:ascii="PMingLiU" w:eastAsia="PMingLiU" w:hint="eastAsia"/>
          <w:b w:val="0"/>
        </w:rPr>
      </w:pPr>
      <w:r>
        <w:rPr>
          <w:rFonts w:ascii="Arial" w:eastAsia="Arial"/>
        </w:rPr>
        <w:t>CAR-T </w:t>
      </w:r>
      <w:r>
        <w:rPr/>
        <w:t>高昂的生产成本主要由以下因素导致</w:t>
      </w:r>
      <w:r>
        <w:rPr>
          <w:rFonts w:ascii="PMingLiU" w:eastAsia="PMingLiU" w:hint="eastAsia"/>
          <w:b w:val="0"/>
        </w:rPr>
        <w:t>：</w:t>
      </w:r>
    </w:p>
    <w:p>
      <w:pPr>
        <w:pStyle w:val="ListParagraph"/>
        <w:numPr>
          <w:ilvl w:val="0"/>
          <w:numId w:val="5"/>
        </w:numPr>
        <w:tabs>
          <w:tab w:pos="527" w:val="left" w:leader="none"/>
        </w:tabs>
        <w:spacing w:line="283" w:lineRule="auto" w:before="101" w:after="0"/>
        <w:ind w:left="210" w:right="2812" w:firstLine="0"/>
        <w:jc w:val="both"/>
        <w:rPr>
          <w:sz w:val="20"/>
        </w:rPr>
      </w:pPr>
      <w:r>
        <w:rPr>
          <w:rFonts w:ascii="Arial" w:eastAsia="Arial"/>
          <w:b/>
          <w:spacing w:val="-4"/>
          <w:sz w:val="20"/>
        </w:rPr>
        <w:t>CAR-T</w:t>
      </w:r>
      <w:r>
        <w:rPr>
          <w:rFonts w:ascii="Arial" w:eastAsia="Arial"/>
          <w:b/>
          <w:spacing w:val="18"/>
          <w:sz w:val="20"/>
        </w:rPr>
        <w:t> </w:t>
      </w:r>
      <w:r>
        <w:rPr>
          <w:rFonts w:ascii="Microsoft JhengHei UI" w:eastAsia="Microsoft JhengHei UI" w:hint="eastAsia"/>
          <w:b/>
          <w:spacing w:val="-1"/>
          <w:sz w:val="20"/>
        </w:rPr>
        <w:t>细胞的直接生产成本高。</w:t>
      </w:r>
      <w:r>
        <w:rPr>
          <w:rFonts w:ascii="Arial" w:eastAsia="Arial"/>
          <w:sz w:val="20"/>
        </w:rPr>
        <w:t>CAR-T </w:t>
      </w:r>
      <w:r>
        <w:rPr>
          <w:spacing w:val="-5"/>
          <w:sz w:val="20"/>
        </w:rPr>
        <w:t>细胞生产需要使用到设备、配套无菌耗材、细</w:t>
      </w:r>
      <w:r>
        <w:rPr>
          <w:sz w:val="20"/>
        </w:rPr>
        <w:t>胞培养基、试剂、分选磁珠、慢病毒等，其中免疫磁珠和慢病毒的价格尤其昂贵。上述原</w:t>
      </w:r>
      <w:r>
        <w:rPr>
          <w:spacing w:val="-3"/>
          <w:sz w:val="20"/>
        </w:rPr>
        <w:t>材料供给有限，且国产化程度低，从而影响 </w:t>
      </w:r>
      <w:r>
        <w:rPr>
          <w:rFonts w:ascii="Arial" w:eastAsia="Arial"/>
          <w:sz w:val="20"/>
        </w:rPr>
        <w:t>CAR-T</w:t>
      </w:r>
      <w:r>
        <w:rPr>
          <w:rFonts w:ascii="Arial" w:eastAsia="Arial"/>
          <w:spacing w:val="26"/>
          <w:sz w:val="20"/>
        </w:rPr>
        <w:t> </w:t>
      </w:r>
      <w:r>
        <w:rPr>
          <w:spacing w:val="-6"/>
          <w:sz w:val="20"/>
        </w:rPr>
        <w:t>细胞的生产成本。目前国内尚未实现免</w:t>
      </w:r>
      <w:r>
        <w:rPr>
          <w:spacing w:val="-4"/>
          <w:sz w:val="20"/>
        </w:rPr>
        <w:t>疫磁珠国产化，慢病毒虽已实现部分国产，但国内已上市两款 </w:t>
      </w:r>
      <w:r>
        <w:rPr>
          <w:rFonts w:ascii="Arial" w:eastAsia="Arial"/>
          <w:sz w:val="20"/>
        </w:rPr>
        <w:t>CAR-T</w:t>
      </w:r>
      <w:r>
        <w:rPr>
          <w:rFonts w:ascii="Arial" w:eastAsia="Arial"/>
          <w:spacing w:val="26"/>
          <w:sz w:val="20"/>
        </w:rPr>
        <w:t> </w:t>
      </w:r>
      <w:r>
        <w:rPr>
          <w:spacing w:val="-4"/>
          <w:sz w:val="20"/>
        </w:rPr>
        <w:t>产品均使用进口慢病</w:t>
      </w:r>
      <w:r>
        <w:rPr>
          <w:spacing w:val="2"/>
          <w:sz w:val="20"/>
        </w:rPr>
        <w:t>毒。由于当前 </w:t>
      </w:r>
      <w:r>
        <w:rPr>
          <w:rFonts w:ascii="Arial" w:eastAsia="Arial"/>
          <w:sz w:val="20"/>
        </w:rPr>
        <w:t>CAR-T</w:t>
      </w:r>
      <w:r>
        <w:rPr>
          <w:rFonts w:ascii="Arial" w:eastAsia="Arial"/>
          <w:spacing w:val="25"/>
          <w:sz w:val="20"/>
        </w:rPr>
        <w:t> </w:t>
      </w:r>
      <w:r>
        <w:rPr>
          <w:spacing w:val="-6"/>
          <w:sz w:val="20"/>
        </w:rPr>
        <w:t>生产的原材料多来自于进口，而后续实现原材料国产化需要复杂的报</w:t>
      </w:r>
      <w:r>
        <w:rPr>
          <w:spacing w:val="2"/>
          <w:sz w:val="20"/>
        </w:rPr>
        <w:t>批程序，因此已上市 </w:t>
      </w:r>
      <w:r>
        <w:rPr>
          <w:rFonts w:ascii="Arial" w:eastAsia="Arial"/>
          <w:sz w:val="20"/>
        </w:rPr>
        <w:t>CAR-T</w:t>
      </w:r>
      <w:r>
        <w:rPr>
          <w:rFonts w:ascii="Arial" w:eastAsia="Arial"/>
          <w:spacing w:val="53"/>
          <w:sz w:val="20"/>
        </w:rPr>
        <w:t> </w:t>
      </w:r>
      <w:r>
        <w:rPr>
          <w:sz w:val="20"/>
        </w:rPr>
        <w:t>产品或许无法在短期内实现大幅降价。除试剂花费外，由于</w:t>
      </w:r>
      <w:r>
        <w:rPr>
          <w:rFonts w:ascii="Arial" w:eastAsia="Arial"/>
          <w:sz w:val="20"/>
        </w:rPr>
        <w:t>CAR-T</w:t>
      </w:r>
      <w:r>
        <w:rPr>
          <w:rFonts w:ascii="Arial" w:eastAsia="Arial"/>
          <w:spacing w:val="-11"/>
          <w:sz w:val="20"/>
        </w:rPr>
        <w:t> </w:t>
      </w:r>
      <w:r>
        <w:rPr>
          <w:spacing w:val="-5"/>
          <w:sz w:val="20"/>
        </w:rPr>
        <w:t>生产工艺复杂，人力密集，人工成本较高。</w:t>
      </w:r>
    </w:p>
    <w:p>
      <w:pPr>
        <w:pStyle w:val="ListParagraph"/>
        <w:numPr>
          <w:ilvl w:val="0"/>
          <w:numId w:val="5"/>
        </w:numPr>
        <w:tabs>
          <w:tab w:pos="527" w:val="left" w:leader="none"/>
        </w:tabs>
        <w:spacing w:line="280" w:lineRule="auto" w:before="63" w:after="0"/>
        <w:ind w:left="210" w:right="2809" w:firstLine="0"/>
        <w:jc w:val="both"/>
        <w:rPr>
          <w:sz w:val="20"/>
        </w:rPr>
      </w:pPr>
      <w:r>
        <w:rPr>
          <w:rFonts w:ascii="Microsoft JhengHei UI" w:eastAsia="Microsoft JhengHei UI" w:hint="eastAsia"/>
          <w:b/>
          <w:sz w:val="20"/>
        </w:rPr>
        <w:t>产量有限导致生产规模化程度低。</w:t>
      </w:r>
      <w:r>
        <w:rPr>
          <w:rFonts w:ascii="Arial" w:eastAsia="Arial"/>
          <w:sz w:val="20"/>
        </w:rPr>
        <w:t>CAR-T</w:t>
      </w:r>
      <w:r>
        <w:rPr>
          <w:rFonts w:ascii="Arial" w:eastAsia="Arial"/>
          <w:spacing w:val="14"/>
          <w:sz w:val="20"/>
        </w:rPr>
        <w:t> </w:t>
      </w:r>
      <w:r>
        <w:rPr>
          <w:sz w:val="20"/>
        </w:rPr>
        <w:t>疗法属于个体化疗法，以单一患者作为一个</w:t>
      </w:r>
      <w:r>
        <w:rPr>
          <w:spacing w:val="-4"/>
          <w:sz w:val="20"/>
        </w:rPr>
        <w:t>批次进行生产，现阶段产品制备周期至少为 </w:t>
      </w:r>
      <w:r>
        <w:rPr>
          <w:rFonts w:ascii="Arial" w:eastAsia="Arial"/>
          <w:sz w:val="20"/>
        </w:rPr>
        <w:t>2~4</w:t>
      </w:r>
      <w:r>
        <w:rPr>
          <w:rFonts w:ascii="Arial" w:eastAsia="Arial"/>
          <w:spacing w:val="15"/>
          <w:sz w:val="20"/>
        </w:rPr>
        <w:t> </w:t>
      </w:r>
      <w:r>
        <w:rPr>
          <w:spacing w:val="-4"/>
          <w:sz w:val="20"/>
        </w:rPr>
        <w:t>周，生产人员周转率较低。</w:t>
      </w:r>
      <w:r>
        <w:rPr>
          <w:rFonts w:ascii="Arial" w:eastAsia="Arial"/>
          <w:sz w:val="20"/>
        </w:rPr>
        <w:t>CAR-T</w:t>
      </w:r>
      <w:r>
        <w:rPr>
          <w:rFonts w:ascii="Arial" w:eastAsia="Arial"/>
          <w:spacing w:val="13"/>
          <w:sz w:val="20"/>
        </w:rPr>
        <w:t> </w:t>
      </w:r>
      <w:r>
        <w:rPr>
          <w:spacing w:val="-4"/>
          <w:sz w:val="20"/>
        </w:rPr>
        <w:t>生产中对于环境要求极高，为防止交叉感染，需要严格按照 </w:t>
      </w:r>
      <w:r>
        <w:rPr>
          <w:rFonts w:ascii="Arial" w:eastAsia="Arial"/>
          <w:sz w:val="20"/>
        </w:rPr>
        <w:t>GMP</w:t>
      </w:r>
      <w:r>
        <w:rPr>
          <w:rFonts w:ascii="Arial" w:eastAsia="Arial"/>
          <w:spacing w:val="28"/>
          <w:sz w:val="20"/>
        </w:rPr>
        <w:t> </w:t>
      </w:r>
      <w:r>
        <w:rPr>
          <w:spacing w:val="8"/>
          <w:sz w:val="20"/>
        </w:rPr>
        <w:t>级别的 </w:t>
      </w:r>
      <w:r>
        <w:rPr>
          <w:rFonts w:ascii="Arial" w:eastAsia="Arial"/>
          <w:sz w:val="20"/>
        </w:rPr>
        <w:t>B+A</w:t>
      </w:r>
      <w:r>
        <w:rPr>
          <w:rFonts w:ascii="Arial" w:eastAsia="Arial"/>
          <w:spacing w:val="28"/>
          <w:sz w:val="20"/>
        </w:rPr>
        <w:t> </w:t>
      </w:r>
      <w:r>
        <w:rPr>
          <w:spacing w:val="-4"/>
          <w:sz w:val="20"/>
        </w:rPr>
        <w:t>洁净等级建设细胞</w:t>
      </w:r>
      <w:r>
        <w:rPr>
          <w:spacing w:val="-2"/>
          <w:sz w:val="20"/>
        </w:rPr>
        <w:t>制备区域。由于目前国内接受 </w:t>
      </w:r>
      <w:r>
        <w:rPr>
          <w:rFonts w:ascii="Arial" w:eastAsia="Arial"/>
          <w:sz w:val="20"/>
        </w:rPr>
        <w:t>CAR-T</w:t>
      </w:r>
      <w:r>
        <w:rPr>
          <w:rFonts w:ascii="Arial" w:eastAsia="Arial"/>
          <w:spacing w:val="26"/>
          <w:sz w:val="20"/>
        </w:rPr>
        <w:t> </w:t>
      </w:r>
      <w:r>
        <w:rPr>
          <w:spacing w:val="-6"/>
          <w:sz w:val="20"/>
        </w:rPr>
        <w:t>治疗的患者数量较少，因此厂房建设投入折算到每个</w:t>
      </w:r>
      <w:r>
        <w:rPr>
          <w:spacing w:val="-3"/>
          <w:sz w:val="20"/>
        </w:rPr>
        <w:t>患者的平均成本较高。</w:t>
      </w:r>
    </w:p>
    <w:p>
      <w:pPr>
        <w:pStyle w:val="ListParagraph"/>
        <w:numPr>
          <w:ilvl w:val="0"/>
          <w:numId w:val="5"/>
        </w:numPr>
        <w:tabs>
          <w:tab w:pos="524" w:val="left" w:leader="none"/>
        </w:tabs>
        <w:spacing w:line="280" w:lineRule="auto" w:before="71" w:after="0"/>
        <w:ind w:left="210" w:right="2811" w:firstLine="0"/>
        <w:jc w:val="both"/>
        <w:rPr>
          <w:sz w:val="20"/>
        </w:rPr>
      </w:pPr>
      <w:r>
        <w:rPr>
          <w:rFonts w:ascii="Microsoft JhengHei UI" w:eastAsia="Microsoft JhengHei UI" w:hint="eastAsia"/>
          <w:b/>
          <w:spacing w:val="2"/>
          <w:sz w:val="20"/>
        </w:rPr>
        <w:t>可选的细胞治疗 </w:t>
      </w:r>
      <w:r>
        <w:rPr>
          <w:rFonts w:ascii="Arial" w:eastAsia="Arial"/>
          <w:b/>
          <w:sz w:val="20"/>
        </w:rPr>
        <w:t>CDMO</w:t>
      </w:r>
      <w:r>
        <w:rPr>
          <w:rFonts w:ascii="Arial" w:eastAsia="Arial"/>
          <w:b/>
          <w:spacing w:val="7"/>
          <w:sz w:val="20"/>
        </w:rPr>
        <w:t> </w:t>
      </w:r>
      <w:r>
        <w:rPr>
          <w:rFonts w:ascii="Microsoft JhengHei UI" w:eastAsia="Microsoft JhengHei UI" w:hint="eastAsia"/>
          <w:b/>
          <w:spacing w:val="-1"/>
          <w:sz w:val="20"/>
        </w:rPr>
        <w:t>和上游供应商较少。</w:t>
      </w:r>
      <w:r>
        <w:rPr>
          <w:spacing w:val="-5"/>
          <w:sz w:val="20"/>
        </w:rPr>
        <w:t>从提高设备周转率和试剂使用率的角度出</w:t>
      </w:r>
      <w:r>
        <w:rPr>
          <w:spacing w:val="3"/>
          <w:sz w:val="20"/>
        </w:rPr>
        <w:t>发，外包给 </w:t>
      </w:r>
      <w:r>
        <w:rPr>
          <w:rFonts w:ascii="Arial" w:eastAsia="Arial"/>
          <w:sz w:val="20"/>
        </w:rPr>
        <w:t>CDMO</w:t>
      </w:r>
      <w:r>
        <w:rPr>
          <w:rFonts w:ascii="Arial" w:eastAsia="Arial"/>
          <w:spacing w:val="22"/>
          <w:sz w:val="20"/>
        </w:rPr>
        <w:t> </w:t>
      </w:r>
      <w:r>
        <w:rPr>
          <w:spacing w:val="-6"/>
          <w:sz w:val="20"/>
        </w:rPr>
        <w:t>生产是降低研发和生产开支的可行的解决办法之一，然而目前国内细胞</w:t>
      </w:r>
      <w:r>
        <w:rPr>
          <w:spacing w:val="-4"/>
          <w:sz w:val="20"/>
        </w:rPr>
        <w:t>基因治疗相关产品有限，生产需求总体不高，细胞基因治疗 </w:t>
      </w:r>
      <w:r>
        <w:rPr>
          <w:rFonts w:ascii="Arial" w:eastAsia="Arial"/>
          <w:sz w:val="20"/>
        </w:rPr>
        <w:t>CDMO</w:t>
      </w:r>
      <w:r>
        <w:rPr>
          <w:rFonts w:ascii="Arial" w:eastAsia="Arial"/>
          <w:spacing w:val="21"/>
          <w:sz w:val="20"/>
        </w:rPr>
        <w:t> </w:t>
      </w:r>
      <w:r>
        <w:rPr>
          <w:spacing w:val="-5"/>
          <w:sz w:val="20"/>
        </w:rPr>
        <w:t>行业尚处于早期发展阶</w:t>
      </w:r>
      <w:r>
        <w:rPr>
          <w:spacing w:val="-2"/>
          <w:sz w:val="20"/>
        </w:rPr>
        <w:t>段。目前国内主要的细胞基因治疗 </w:t>
      </w:r>
      <w:r>
        <w:rPr>
          <w:rFonts w:ascii="Arial" w:eastAsia="Arial"/>
          <w:spacing w:val="-3"/>
          <w:sz w:val="20"/>
        </w:rPr>
        <w:t>CDMO</w:t>
      </w:r>
      <w:r>
        <w:rPr>
          <w:rFonts w:ascii="Arial" w:eastAsia="Arial"/>
          <w:spacing w:val="30"/>
          <w:sz w:val="20"/>
        </w:rPr>
        <w:t> </w:t>
      </w:r>
      <w:r>
        <w:rPr>
          <w:spacing w:val="-6"/>
          <w:sz w:val="20"/>
        </w:rPr>
        <w:t>包括药明生基、金斯瑞生物、博腾生物、和元生</w:t>
      </w:r>
      <w:r>
        <w:rPr>
          <w:sz w:val="20"/>
        </w:rPr>
        <w:t>物等。</w:t>
      </w:r>
    </w:p>
    <w:p>
      <w:pPr>
        <w:pStyle w:val="BodyText"/>
        <w:spacing w:line="285" w:lineRule="auto" w:before="124"/>
        <w:ind w:right="2808"/>
        <w:jc w:val="both"/>
      </w:pPr>
      <w:r>
        <w:rPr>
          <w:spacing w:val="-3"/>
        </w:rPr>
        <w:t>目前已经在国内上市的两款 </w:t>
      </w:r>
      <w:r>
        <w:rPr>
          <w:rFonts w:ascii="Arial" w:eastAsia="Arial"/>
        </w:rPr>
        <w:t>CAR-T </w:t>
      </w:r>
      <w:r>
        <w:rPr/>
        <w:t>定价分别为 </w:t>
      </w:r>
      <w:r>
        <w:rPr>
          <w:rFonts w:ascii="Arial" w:eastAsia="Arial"/>
        </w:rPr>
        <w:t>120 </w:t>
      </w:r>
      <w:r>
        <w:rPr>
          <w:spacing w:val="-3"/>
        </w:rPr>
        <w:t>万元</w:t>
      </w:r>
      <w:r>
        <w:rPr>
          <w:rFonts w:ascii="Arial" w:eastAsia="Arial"/>
        </w:rPr>
        <w:t>/ 129 </w:t>
      </w:r>
      <w:r>
        <w:rPr>
          <w:spacing w:val="-3"/>
        </w:rPr>
        <w:t>万元，虽然相比海外的 </w:t>
      </w:r>
      <w:r>
        <w:rPr>
          <w:rFonts w:ascii="Arial" w:eastAsia="Arial"/>
        </w:rPr>
        <w:t>37.3 </w:t>
      </w:r>
      <w:r>
        <w:rPr/>
        <w:t>万</w:t>
      </w:r>
      <w:r>
        <w:rPr>
          <w:rFonts w:ascii="Arial" w:eastAsia="Arial"/>
        </w:rPr>
        <w:t>~46.5 </w:t>
      </w:r>
      <w:r>
        <w:rPr>
          <w:spacing w:val="-5"/>
        </w:rPr>
        <w:t>万美元的定价已经进行较大折让，但考虑到国内患者支付能力较弱，目前的定价较大的影响了可及性。</w:t>
      </w:r>
    </w:p>
    <w:p>
      <w:pPr>
        <w:pStyle w:val="BodyText"/>
        <w:spacing w:line="288" w:lineRule="auto" w:before="125"/>
        <w:ind w:right="2809"/>
        <w:jc w:val="both"/>
      </w:pPr>
      <w:r>
        <w:rPr/>
        <w:t>虽然 </w:t>
      </w:r>
      <w:r>
        <w:rPr>
          <w:rFonts w:ascii="Arial" w:eastAsia="Arial"/>
        </w:rPr>
        <w:t>CAR-T </w:t>
      </w:r>
      <w:r>
        <w:rPr/>
        <w:t>产品看似定价高昂，但厂商的利润率水平仍在合理范围。以药明巨诺为例，随着公司实施施减少原材料废品及废料的技术与程序，上半年倍诺达的毛利率达 </w:t>
      </w:r>
      <w:r>
        <w:rPr>
          <w:rFonts w:ascii="Arial" w:eastAsia="Arial"/>
        </w:rPr>
        <w:t>35%</w:t>
      </w:r>
      <w:r>
        <w:rPr/>
        <w:t>，相比</w:t>
      </w:r>
      <w:r>
        <w:rPr>
          <w:rFonts w:ascii="Arial" w:eastAsia="Arial"/>
        </w:rPr>
        <w:t>2021 </w:t>
      </w:r>
      <w:r>
        <w:rPr/>
        <w:t>年的 </w:t>
      </w:r>
      <w:r>
        <w:rPr>
          <w:rFonts w:ascii="Arial" w:eastAsia="Arial"/>
        </w:rPr>
        <w:t>29.4%</w:t>
      </w:r>
      <w:r>
        <w:rPr/>
        <w:t>有所提升。未来随着原材料逐步国产化，生产成本有望进一步下降。</w:t>
      </w:r>
    </w:p>
    <w:p>
      <w:pPr>
        <w:spacing w:after="0" w:line="288" w:lineRule="auto"/>
        <w:jc w:val="both"/>
        <w:sectPr>
          <w:pgSz w:w="11910" w:h="16840"/>
          <w:pgMar w:header="682" w:footer="358" w:top="1380" w:bottom="540" w:left="640" w:right="300"/>
        </w:sectPr>
      </w:pPr>
    </w:p>
    <w:p>
      <w:pPr>
        <w:pStyle w:val="BodyText"/>
        <w:spacing w:before="9"/>
        <w:ind w:left="0"/>
        <w:rPr>
          <w:sz w:val="12"/>
        </w:rPr>
      </w:pPr>
    </w:p>
    <w:p>
      <w:pPr>
        <w:pStyle w:val="Heading1"/>
      </w:pPr>
      <w:bookmarkStart w:name="_bookmark28" w:id="29"/>
      <w:bookmarkEnd w:id="29"/>
      <w:r>
        <w:rPr>
          <w:b w:val="0"/>
        </w:rPr>
      </w:r>
      <w:r>
        <w:rPr>
          <w:color w:val="C00000"/>
        </w:rPr>
        <w:t>支付篇：支付体系多元化，</w:t>
      </w:r>
      <w:r>
        <w:rPr>
          <w:rFonts w:ascii="Arial" w:eastAsia="Arial"/>
          <w:color w:val="C00000"/>
        </w:rPr>
        <w:t>CAR-T </w:t>
      </w:r>
      <w:r>
        <w:rPr>
          <w:color w:val="C00000"/>
        </w:rPr>
        <w:t>可及性逐步改善</w:t>
      </w:r>
    </w:p>
    <w:p>
      <w:pPr>
        <w:pStyle w:val="Heading2"/>
        <w:spacing w:before="106"/>
      </w:pPr>
      <w:bookmarkStart w:name="_bookmark29" w:id="30"/>
      <w:bookmarkEnd w:id="30"/>
      <w:r>
        <w:rPr>
          <w:b w:val="0"/>
        </w:rPr>
      </w:r>
      <w:r>
        <w:rPr>
          <w:color w:val="585858"/>
        </w:rPr>
        <w:t>探索多层级支付方式，提升 </w:t>
      </w:r>
      <w:r>
        <w:rPr>
          <w:rFonts w:ascii="Arial" w:eastAsia="Arial"/>
          <w:color w:val="585858"/>
        </w:rPr>
        <w:t>CAR-T </w:t>
      </w:r>
      <w:r>
        <w:rPr>
          <w:color w:val="585858"/>
        </w:rPr>
        <w:t>可及性</w:t>
      </w:r>
    </w:p>
    <w:p>
      <w:pPr>
        <w:pStyle w:val="Heading3"/>
        <w:spacing w:before="65"/>
        <w:jc w:val="left"/>
      </w:pPr>
      <w:r>
        <w:rPr/>
        <w:t>海外多国已将</w:t>
      </w:r>
      <w:r>
        <w:rPr>
          <w:rFonts w:ascii="Arial" w:eastAsia="Arial"/>
        </w:rPr>
        <w:t>CAR-T </w:t>
      </w:r>
      <w:r>
        <w:rPr/>
        <w:t>纳入医保，国内多层级保障减轻患者负担</w:t>
      </w:r>
    </w:p>
    <w:p>
      <w:pPr>
        <w:pStyle w:val="BodyText"/>
        <w:spacing w:line="288" w:lineRule="auto" w:before="154"/>
        <w:ind w:right="2809"/>
        <w:jc w:val="both"/>
      </w:pPr>
      <w:r>
        <w:rPr>
          <w:spacing w:val="-1"/>
        </w:rPr>
        <w:t>目前部分海外国家已经将 </w:t>
      </w:r>
      <w:r>
        <w:rPr>
          <w:rFonts w:ascii="Arial" w:eastAsia="Arial"/>
        </w:rPr>
        <w:t>CAR-T</w:t>
      </w:r>
      <w:r>
        <w:rPr>
          <w:rFonts w:ascii="Arial" w:eastAsia="Arial"/>
          <w:spacing w:val="22"/>
        </w:rPr>
        <w:t> </w:t>
      </w:r>
      <w:r>
        <w:rPr>
          <w:spacing w:val="-3"/>
        </w:rPr>
        <w:t>治疗纳入医保目录。</w:t>
      </w:r>
      <w:r>
        <w:rPr>
          <w:rFonts w:ascii="Arial" w:eastAsia="Arial"/>
          <w:spacing w:val="-3"/>
        </w:rPr>
        <w:t>2018</w:t>
      </w:r>
      <w:r>
        <w:rPr>
          <w:rFonts w:ascii="Arial" w:eastAsia="Arial"/>
          <w:spacing w:val="24"/>
        </w:rPr>
        <w:t> </w:t>
      </w:r>
      <w:r>
        <w:rPr>
          <w:spacing w:val="20"/>
        </w:rPr>
        <w:t>年 </w:t>
      </w:r>
      <w:r>
        <w:rPr>
          <w:rFonts w:ascii="Arial" w:eastAsia="Arial"/>
        </w:rPr>
        <w:t>9</w:t>
      </w:r>
      <w:r>
        <w:rPr>
          <w:rFonts w:ascii="Arial" w:eastAsia="Arial"/>
          <w:spacing w:val="24"/>
        </w:rPr>
        <w:t> </w:t>
      </w:r>
      <w:r>
        <w:rPr>
          <w:spacing w:val="-5"/>
        </w:rPr>
        <w:t>月，英国国家医疗保健体</w:t>
      </w:r>
      <w:r>
        <w:rPr>
          <w:spacing w:val="17"/>
        </w:rPr>
        <w:t>系 </w:t>
      </w:r>
      <w:r>
        <w:rPr>
          <w:rFonts w:ascii="Arial" w:eastAsia="Arial"/>
        </w:rPr>
        <w:t>(NHS)</w:t>
      </w:r>
      <w:r>
        <w:rPr>
          <w:rFonts w:ascii="Arial" w:eastAsia="Arial"/>
          <w:spacing w:val="32"/>
        </w:rPr>
        <w:t> </w:t>
      </w:r>
      <w:r>
        <w:rPr>
          <w:spacing w:val="4"/>
        </w:rPr>
        <w:t>与 </w:t>
      </w:r>
      <w:r>
        <w:rPr>
          <w:rFonts w:ascii="Arial" w:eastAsia="Arial"/>
        </w:rPr>
        <w:t>Novartis</w:t>
      </w:r>
      <w:r>
        <w:rPr>
          <w:rFonts w:ascii="Arial" w:eastAsia="Arial"/>
          <w:spacing w:val="-4"/>
        </w:rPr>
        <w:t> </w:t>
      </w:r>
      <w:r>
        <w:rPr>
          <w:spacing w:val="5"/>
        </w:rPr>
        <w:t>就 </w:t>
      </w:r>
      <w:r>
        <w:rPr>
          <w:rFonts w:ascii="Arial" w:eastAsia="Arial"/>
        </w:rPr>
        <w:t>Kymriah</w:t>
      </w:r>
      <w:r>
        <w:rPr>
          <w:rFonts w:ascii="Arial" w:eastAsia="Arial"/>
          <w:spacing w:val="-1"/>
        </w:rPr>
        <w:t> </w:t>
      </w:r>
      <w:r>
        <w:rPr>
          <w:spacing w:val="-4"/>
        </w:rPr>
        <w:t>达成保险覆盖协议。</w:t>
      </w:r>
      <w:r>
        <w:rPr>
          <w:rFonts w:ascii="Arial" w:eastAsia="Arial"/>
        </w:rPr>
        <w:t>2019</w:t>
      </w:r>
      <w:r>
        <w:rPr>
          <w:rFonts w:ascii="Arial" w:eastAsia="Arial"/>
          <w:spacing w:val="-1"/>
        </w:rPr>
        <w:t> </w:t>
      </w:r>
      <w:r>
        <w:rPr>
          <w:spacing w:val="5"/>
        </w:rPr>
        <w:t>年 </w:t>
      </w:r>
      <w:r>
        <w:rPr>
          <w:rFonts w:ascii="Arial" w:eastAsia="Arial"/>
        </w:rPr>
        <w:t>2</w:t>
      </w:r>
      <w:r>
        <w:rPr>
          <w:rFonts w:ascii="Arial" w:eastAsia="Arial"/>
          <w:spacing w:val="-1"/>
        </w:rPr>
        <w:t> </w:t>
      </w:r>
      <w:r>
        <w:rPr>
          <w:spacing w:val="-2"/>
        </w:rPr>
        <w:t>月，美国医疗保险和医疗</w:t>
      </w:r>
      <w:r>
        <w:rPr>
          <w:spacing w:val="-4"/>
        </w:rPr>
        <w:t>补助服务中心 </w:t>
      </w:r>
      <w:r>
        <w:rPr>
          <w:rFonts w:ascii="Arial" w:eastAsia="Arial"/>
        </w:rPr>
        <w:t>(CMS)</w:t>
      </w:r>
      <w:r>
        <w:rPr>
          <w:rFonts w:ascii="Arial" w:eastAsia="Arial"/>
          <w:spacing w:val="-15"/>
        </w:rPr>
        <w:t> </w:t>
      </w:r>
      <w:r>
        <w:rPr>
          <w:spacing w:val="8"/>
        </w:rPr>
        <w:t>正式批准将</w:t>
      </w:r>
      <w:r>
        <w:rPr>
          <w:rFonts w:ascii="Arial" w:eastAsia="Arial"/>
        </w:rPr>
        <w:t>CAR-T</w:t>
      </w:r>
      <w:r>
        <w:rPr>
          <w:rFonts w:ascii="Arial" w:eastAsia="Arial"/>
          <w:spacing w:val="-8"/>
        </w:rPr>
        <w:t> </w:t>
      </w:r>
      <w:r>
        <w:rPr>
          <w:spacing w:val="-4"/>
        </w:rPr>
        <w:t>纳入医保 </w:t>
      </w:r>
      <w:r>
        <w:rPr>
          <w:rFonts w:ascii="Arial" w:eastAsia="Arial"/>
        </w:rPr>
        <w:t>(Medicare)</w:t>
      </w:r>
      <w:r>
        <w:rPr/>
        <w:t>，</w:t>
      </w:r>
      <w:r>
        <w:rPr>
          <w:rFonts w:ascii="Arial" w:eastAsia="Arial"/>
        </w:rPr>
        <w:t>2019</w:t>
      </w:r>
      <w:r>
        <w:rPr>
          <w:rFonts w:ascii="Arial" w:eastAsia="Arial"/>
          <w:spacing w:val="-12"/>
        </w:rPr>
        <w:t> </w:t>
      </w:r>
      <w:r>
        <w:rPr/>
        <w:t>年 </w:t>
      </w:r>
      <w:r>
        <w:rPr>
          <w:rFonts w:ascii="Arial" w:eastAsia="Arial"/>
        </w:rPr>
        <w:t>8</w:t>
      </w:r>
      <w:r>
        <w:rPr>
          <w:rFonts w:ascii="Arial" w:eastAsia="Arial"/>
          <w:spacing w:val="-12"/>
        </w:rPr>
        <w:t> </w:t>
      </w:r>
      <w:r>
        <w:rPr/>
        <w:t>月，</w:t>
      </w:r>
      <w:r>
        <w:rPr>
          <w:rFonts w:ascii="Arial" w:eastAsia="Arial"/>
        </w:rPr>
        <w:t>CMS</w:t>
      </w:r>
      <w:r>
        <w:rPr>
          <w:rFonts w:ascii="Arial" w:eastAsia="Arial"/>
          <w:spacing w:val="-15"/>
        </w:rPr>
        <w:t> </w:t>
      </w:r>
      <w:r>
        <w:rPr/>
        <w:t>宣布不</w:t>
      </w:r>
      <w:r>
        <w:rPr>
          <w:spacing w:val="9"/>
        </w:rPr>
        <w:t>仅支付 </w:t>
      </w:r>
      <w:r>
        <w:rPr>
          <w:rFonts w:ascii="Arial" w:eastAsia="Arial"/>
        </w:rPr>
        <w:t>CAR-T</w:t>
      </w:r>
      <w:r>
        <w:rPr>
          <w:rFonts w:ascii="Arial" w:eastAsia="Arial"/>
          <w:spacing w:val="25"/>
        </w:rPr>
        <w:t> </w:t>
      </w:r>
      <w:r>
        <w:rPr>
          <w:spacing w:val="-6"/>
        </w:rPr>
        <w:t>产品本身费用，也将覆盖所有相关服务费用。亚洲方面，日本中央社会保险</w:t>
      </w:r>
      <w:r>
        <w:rPr>
          <w:spacing w:val="-1"/>
        </w:rPr>
        <w:t>医疗协议会 </w:t>
      </w:r>
      <w:r>
        <w:rPr>
          <w:rFonts w:ascii="Arial" w:eastAsia="Arial"/>
        </w:rPr>
        <w:t>(CSIMC</w:t>
      </w:r>
      <w:r>
        <w:rPr>
          <w:rFonts w:ascii="Arial" w:eastAsia="Arial"/>
          <w:spacing w:val="-1"/>
        </w:rPr>
        <w:t>) </w:t>
      </w:r>
      <w:r>
        <w:rPr>
          <w:spacing w:val="-2"/>
        </w:rPr>
        <w:t>也于 </w:t>
      </w:r>
      <w:r>
        <w:rPr>
          <w:rFonts w:ascii="Arial" w:eastAsia="Arial"/>
        </w:rPr>
        <w:t>2019</w:t>
      </w:r>
      <w:r>
        <w:rPr>
          <w:rFonts w:ascii="Arial" w:eastAsia="Arial"/>
          <w:spacing w:val="-15"/>
        </w:rPr>
        <w:t> </w:t>
      </w:r>
      <w:r>
        <w:rPr>
          <w:spacing w:val="-2"/>
        </w:rPr>
        <w:t>年 </w:t>
      </w:r>
      <w:r>
        <w:rPr>
          <w:rFonts w:ascii="Arial" w:eastAsia="Arial"/>
        </w:rPr>
        <w:t>5</w:t>
      </w:r>
      <w:r>
        <w:rPr>
          <w:rFonts w:ascii="Arial" w:eastAsia="Arial"/>
          <w:spacing w:val="-14"/>
        </w:rPr>
        <w:t> </w:t>
      </w:r>
      <w:r>
        <w:rPr>
          <w:spacing w:val="-1"/>
        </w:rPr>
        <w:t>月批准将 </w:t>
      </w:r>
      <w:r>
        <w:rPr>
          <w:rFonts w:ascii="Arial" w:eastAsia="Arial"/>
        </w:rPr>
        <w:t>Kymriah</w:t>
      </w:r>
      <w:r>
        <w:rPr>
          <w:rFonts w:ascii="Arial" w:eastAsia="Arial"/>
          <w:spacing w:val="-14"/>
        </w:rPr>
        <w:t> </w:t>
      </w:r>
      <w:r>
        <w:rPr>
          <w:spacing w:val="-2"/>
        </w:rPr>
        <w:t>纳入医保。</w:t>
      </w:r>
    </w:p>
    <w:p>
      <w:pPr>
        <w:pStyle w:val="BodyText"/>
        <w:spacing w:line="285" w:lineRule="auto" w:before="118"/>
        <w:ind w:right="2810"/>
        <w:jc w:val="both"/>
      </w:pPr>
      <w:r>
        <w:rPr>
          <w:spacing w:val="-5"/>
        </w:rPr>
        <w:t>国内方面，考虑到国家基本医疗保险以</w:t>
      </w:r>
      <w:r>
        <w:rPr>
          <w:rFonts w:ascii="Arial" w:hAnsi="Arial" w:eastAsia="Arial"/>
          <w:spacing w:val="-5"/>
        </w:rPr>
        <w:t>“</w:t>
      </w:r>
      <w:r>
        <w:rPr>
          <w:spacing w:val="-4"/>
        </w:rPr>
        <w:t>保基本，广覆盖</w:t>
      </w:r>
      <w:r>
        <w:rPr>
          <w:rFonts w:ascii="Arial" w:hAnsi="Arial" w:eastAsia="Arial"/>
        </w:rPr>
        <w:t>”</w:t>
      </w:r>
      <w:r>
        <w:rPr/>
        <w:t>为核心，且短期内 </w:t>
      </w:r>
      <w:r>
        <w:rPr>
          <w:rFonts w:ascii="Arial" w:hAnsi="Arial" w:eastAsia="Arial"/>
        </w:rPr>
        <w:t>CAR-T </w:t>
      </w:r>
      <w:r>
        <w:rPr>
          <w:spacing w:val="-2"/>
        </w:rPr>
        <w:t>的生产成本难以显著下降，我们认为 </w:t>
      </w:r>
      <w:r>
        <w:rPr>
          <w:rFonts w:ascii="Arial" w:hAnsi="Arial" w:eastAsia="Arial"/>
        </w:rPr>
        <w:t>CAR-T </w:t>
      </w:r>
      <w:r>
        <w:rPr>
          <w:spacing w:val="-6"/>
        </w:rPr>
        <w:t>在近期获医保纳入仍存在挑战。然而，随着包括惠民</w:t>
      </w:r>
      <w:r>
        <w:rPr/>
        <w:t>保在内的多种商业健康险将</w:t>
      </w:r>
      <w:r>
        <w:rPr>
          <w:rFonts w:ascii="Arial" w:hAnsi="Arial" w:eastAsia="Arial"/>
        </w:rPr>
        <w:t>CAR-T </w:t>
      </w:r>
      <w:r>
        <w:rPr>
          <w:spacing w:val="-3"/>
        </w:rPr>
        <w:t>纳入支付范围，</w:t>
      </w:r>
      <w:r>
        <w:rPr>
          <w:rFonts w:ascii="Arial" w:hAnsi="Arial" w:eastAsia="Arial"/>
        </w:rPr>
        <w:t>CAR-T </w:t>
      </w:r>
      <w:r>
        <w:rPr>
          <w:spacing w:val="-5"/>
        </w:rPr>
        <w:t>治疗的可及性有望逐步改善。</w:t>
      </w:r>
    </w:p>
    <w:p>
      <w:pPr>
        <w:pStyle w:val="BodyText"/>
        <w:spacing w:line="288" w:lineRule="auto" w:before="125"/>
        <w:ind w:right="2814"/>
        <w:jc w:val="both"/>
      </w:pPr>
      <w:r>
        <w:rPr/>
        <w:t>在国内首个</w:t>
      </w:r>
      <w:r>
        <w:rPr>
          <w:rFonts w:ascii="Arial" w:eastAsia="Arial"/>
        </w:rPr>
        <w:t>CAR-T </w:t>
      </w:r>
      <w:r>
        <w:rPr/>
        <w:t>产品获批后，以平安险为代表的商业健康险产品纳入</w:t>
      </w:r>
      <w:r>
        <w:rPr>
          <w:rFonts w:ascii="Arial" w:eastAsia="Arial"/>
        </w:rPr>
        <w:t>CAR-T </w:t>
      </w:r>
      <w:r>
        <w:rPr/>
        <w:t>产品报销。随后，多地惠民保以及众安保险、泰康保险等商业保险也将 </w:t>
      </w:r>
      <w:r>
        <w:rPr>
          <w:rFonts w:ascii="Arial" w:eastAsia="Arial"/>
        </w:rPr>
        <w:t>CAR-T </w:t>
      </w:r>
      <w:r>
        <w:rPr/>
        <w:t>疗法纳入了报销范围。其中，京惠保、苏惠保一年只需缴纳</w:t>
      </w:r>
      <w:r>
        <w:rPr>
          <w:rFonts w:ascii="Arial" w:eastAsia="Arial"/>
        </w:rPr>
        <w:t>79 </w:t>
      </w:r>
      <w:r>
        <w:rPr/>
        <w:t>元，即可获得</w:t>
      </w:r>
      <w:r>
        <w:rPr>
          <w:rFonts w:ascii="Arial" w:eastAsia="Arial"/>
        </w:rPr>
        <w:t>CAR-T </w:t>
      </w:r>
      <w:r>
        <w:rPr/>
        <w:t>疗法最高</w:t>
      </w:r>
      <w:r>
        <w:rPr>
          <w:rFonts w:ascii="Arial" w:eastAsia="Arial"/>
        </w:rPr>
        <w:t>100 </w:t>
      </w:r>
      <w:r>
        <w:rPr/>
        <w:t>万的报销额度， 大幅度降低患者用药负担。</w:t>
      </w:r>
    </w:p>
    <w:p>
      <w:pPr>
        <w:pStyle w:val="Heading3"/>
        <w:spacing w:after="4"/>
        <w:jc w:val="left"/>
      </w:pPr>
      <w:r>
        <w:rPr/>
        <w:t>图 </w:t>
      </w:r>
      <w:r>
        <w:rPr>
          <w:rFonts w:ascii="Arial" w:eastAsia="Arial"/>
        </w:rPr>
        <w:t>61: </w:t>
      </w:r>
      <w:r>
        <w:rPr/>
        <w:t>中国的多层次医疗保障体系</w:t>
      </w:r>
    </w:p>
    <w:p>
      <w:pPr>
        <w:pStyle w:val="BodyText"/>
        <w:ind w:left="181"/>
        <w:rPr>
          <w:rFonts w:ascii="Microsoft JhengHei UI"/>
        </w:rPr>
      </w:pPr>
      <w:r>
        <w:rPr>
          <w:rFonts w:ascii="Microsoft JhengHei UI"/>
        </w:rPr>
        <w:drawing>
          <wp:inline distT="0" distB="0" distL="0" distR="0">
            <wp:extent cx="5080426" cy="2152650"/>
            <wp:effectExtent l="0" t="0" r="0" b="0"/>
            <wp:docPr id="57" name="image47.png"/>
            <wp:cNvGraphicFramePr>
              <a:graphicFrameLocks noChangeAspect="1"/>
            </wp:cNvGraphicFramePr>
            <a:graphic>
              <a:graphicData uri="http://schemas.openxmlformats.org/drawingml/2006/picture">
                <pic:pic>
                  <pic:nvPicPr>
                    <pic:cNvPr id="58" name="image47.png"/>
                    <pic:cNvPicPr/>
                  </pic:nvPicPr>
                  <pic:blipFill>
                    <a:blip r:embed="rId65" cstate="print"/>
                    <a:stretch>
                      <a:fillRect/>
                    </a:stretch>
                  </pic:blipFill>
                  <pic:spPr>
                    <a:xfrm>
                      <a:off x="0" y="0"/>
                      <a:ext cx="5080426" cy="2152650"/>
                    </a:xfrm>
                    <a:prstGeom prst="rect">
                      <a:avLst/>
                    </a:prstGeom>
                  </pic:spPr>
                </pic:pic>
              </a:graphicData>
            </a:graphic>
          </wp:inline>
        </w:drawing>
      </w:r>
      <w:r>
        <w:rPr>
          <w:rFonts w:ascii="Microsoft JhengHei UI"/>
        </w:rPr>
      </w:r>
    </w:p>
    <w:p>
      <w:pPr>
        <w:spacing w:before="17"/>
        <w:ind w:left="210" w:right="0" w:firstLine="0"/>
        <w:jc w:val="both"/>
        <w:rPr>
          <w:sz w:val="16"/>
        </w:rPr>
      </w:pPr>
      <w:r>
        <w:rPr>
          <w:sz w:val="16"/>
        </w:rPr>
        <w:t>资料来源</w:t>
      </w:r>
      <w:r>
        <w:rPr>
          <w:rFonts w:ascii="Arial" w:eastAsia="Arial"/>
          <w:sz w:val="16"/>
        </w:rPr>
        <w:t>: </w:t>
      </w:r>
      <w:r>
        <w:rPr>
          <w:sz w:val="16"/>
        </w:rPr>
        <w:t>社科院</w:t>
      </w:r>
      <w:r>
        <w:rPr>
          <w:rFonts w:ascii="Arial" w:eastAsia="Arial"/>
          <w:sz w:val="16"/>
        </w:rPr>
        <w:t>, </w:t>
      </w:r>
      <w:r>
        <w:rPr>
          <w:sz w:val="16"/>
        </w:rPr>
        <w:t>招银国际证券</w:t>
      </w:r>
    </w:p>
    <w:p>
      <w:pPr>
        <w:pStyle w:val="BodyText"/>
        <w:spacing w:before="7"/>
        <w:ind w:left="0"/>
        <w:rPr>
          <w:sz w:val="21"/>
        </w:rPr>
      </w:pPr>
    </w:p>
    <w:p>
      <w:pPr>
        <w:pStyle w:val="BodyText"/>
        <w:spacing w:line="288" w:lineRule="auto" w:before="98"/>
        <w:ind w:right="2575"/>
      </w:pPr>
      <w:r>
        <w:rPr/>
        <w:t>自首款 </w:t>
      </w:r>
      <w:r>
        <w:rPr>
          <w:rFonts w:ascii="Arial" w:eastAsia="Arial"/>
        </w:rPr>
        <w:t>CAR-T </w:t>
      </w:r>
      <w:r>
        <w:rPr/>
        <w:t>产品在国内上市以来，国内相关厂商也一直着力于推进 </w:t>
      </w:r>
      <w:r>
        <w:rPr>
          <w:rFonts w:ascii="Arial" w:eastAsia="Arial"/>
        </w:rPr>
        <w:t>CAR-T </w:t>
      </w:r>
      <w:r>
        <w:rPr/>
        <w:t>产品的创新支付及商保覆盖。以药明巨诺为例，其采取的动作包括：</w:t>
      </w:r>
      <w:r>
        <w:rPr>
          <w:rFonts w:ascii="Arial" w:eastAsia="Arial"/>
        </w:rPr>
        <w:t>1)  </w:t>
      </w:r>
      <w:r>
        <w:rPr/>
        <w:t>通过与创新支付平台合作，向接受</w:t>
      </w:r>
      <w:r>
        <w:rPr>
          <w:rFonts w:ascii="Arial" w:eastAsia="Arial"/>
        </w:rPr>
        <w:t>CAR-T </w:t>
      </w:r>
      <w:r>
        <w:rPr/>
        <w:t>治疗的患者提供分期付款方式或抵押贷款；</w:t>
      </w:r>
      <w:r>
        <w:rPr>
          <w:rFonts w:ascii="Arial" w:eastAsia="Arial"/>
        </w:rPr>
        <w:t>2) </w:t>
      </w:r>
      <w:r>
        <w:rPr/>
        <w:t>推进商业保险合作，与提供百万 医疗险、高端医疗险、单病种保险的险企通过附加保障或者特殊约定的方式增加保障范围；</w:t>
      </w:r>
    </w:p>
    <w:p>
      <w:pPr>
        <w:pStyle w:val="BodyText"/>
        <w:spacing w:line="288" w:lineRule="auto"/>
        <w:ind w:right="2812"/>
        <w:jc w:val="both"/>
      </w:pPr>
      <w:r>
        <w:rPr>
          <w:rFonts w:ascii="Arial" w:hAnsi="Arial" w:eastAsia="Arial"/>
        </w:rPr>
        <w:t>3</w:t>
      </w:r>
      <w:r>
        <w:rPr>
          <w:rFonts w:ascii="Arial" w:hAnsi="Arial" w:eastAsia="Arial"/>
          <w:spacing w:val="9"/>
        </w:rPr>
        <w:t>) </w:t>
      </w:r>
      <w:r>
        <w:rPr>
          <w:spacing w:val="-5"/>
        </w:rPr>
        <w:t>加入城市定制型商业医疗补充保险</w:t>
      </w:r>
      <w:r>
        <w:rPr>
          <w:rFonts w:ascii="Arial" w:hAnsi="Arial" w:eastAsia="Arial"/>
        </w:rPr>
        <w:t>“</w:t>
      </w:r>
      <w:r>
        <w:rPr>
          <w:spacing w:val="-2"/>
        </w:rPr>
        <w:t>惠民保</w:t>
      </w:r>
      <w:r>
        <w:rPr>
          <w:rFonts w:ascii="Arial" w:hAnsi="Arial" w:eastAsia="Arial"/>
        </w:rPr>
        <w:t>”</w:t>
      </w:r>
      <w:r>
        <w:rPr>
          <w:spacing w:val="-1"/>
        </w:rPr>
        <w:t>。 目前，奕凯达已列入 </w:t>
      </w:r>
      <w:r>
        <w:rPr>
          <w:rFonts w:ascii="Arial" w:hAnsi="Arial" w:eastAsia="Arial"/>
        </w:rPr>
        <w:t>30 </w:t>
      </w:r>
      <w:r>
        <w:rPr>
          <w:spacing w:val="-3"/>
        </w:rPr>
        <w:t>多个省市的城市惠</w:t>
      </w:r>
      <w:r>
        <w:rPr>
          <w:spacing w:val="2"/>
        </w:rPr>
        <w:t>民保，并获得 </w:t>
      </w:r>
      <w:r>
        <w:rPr>
          <w:rFonts w:ascii="Arial" w:hAnsi="Arial" w:eastAsia="Arial"/>
        </w:rPr>
        <w:t>50 </w:t>
      </w:r>
      <w:r>
        <w:rPr>
          <w:spacing w:val="-3"/>
        </w:rPr>
        <w:t>多家商业保险机构列入报销名录；倍诺达已被纳入 </w:t>
      </w:r>
      <w:r>
        <w:rPr>
          <w:rFonts w:ascii="Arial" w:hAnsi="Arial" w:eastAsia="Arial"/>
        </w:rPr>
        <w:t>52 </w:t>
      </w:r>
      <w:r>
        <w:rPr>
          <w:spacing w:val="-3"/>
        </w:rPr>
        <w:t>个商业保险产品以</w:t>
      </w:r>
      <w:r>
        <w:rPr>
          <w:spacing w:val="19"/>
        </w:rPr>
        <w:t>及 </w:t>
      </w:r>
      <w:r>
        <w:rPr>
          <w:rFonts w:ascii="Arial" w:hAnsi="Arial" w:eastAsia="Arial"/>
        </w:rPr>
        <w:t>28 </w:t>
      </w:r>
      <w:r>
        <w:rPr>
          <w:spacing w:val="2"/>
        </w:rPr>
        <w:t>个惠民保。随着 </w:t>
      </w:r>
      <w:r>
        <w:rPr>
          <w:rFonts w:ascii="Arial" w:hAnsi="Arial" w:eastAsia="Arial"/>
        </w:rPr>
        <w:t>CAR-T </w:t>
      </w:r>
      <w:r>
        <w:rPr>
          <w:spacing w:val="-6"/>
        </w:rPr>
        <w:t>产品获得更加广泛的保险覆盖，患者可及性将逐步提升，患</w:t>
      </w:r>
      <w:r>
        <w:rPr>
          <w:spacing w:val="-4"/>
        </w:rPr>
        <w:t>者支付难题有望逐步解决。</w:t>
      </w:r>
    </w:p>
    <w:p>
      <w:pPr>
        <w:spacing w:after="0" w:line="288" w:lineRule="auto"/>
        <w:jc w:val="both"/>
        <w:sectPr>
          <w:pgSz w:w="11910" w:h="16840"/>
          <w:pgMar w:header="682" w:footer="358" w:top="1380" w:bottom="540" w:left="640" w:right="300"/>
        </w:sectPr>
      </w:pPr>
    </w:p>
    <w:p>
      <w:pPr>
        <w:pStyle w:val="BodyText"/>
        <w:spacing w:before="8"/>
        <w:ind w:left="0"/>
        <w:rPr>
          <w:sz w:val="12"/>
        </w:rPr>
      </w:pPr>
    </w:p>
    <w:p>
      <w:pPr>
        <w:pStyle w:val="Heading3"/>
        <w:spacing w:before="45" w:after="4"/>
        <w:jc w:val="left"/>
      </w:pPr>
      <w:r>
        <w:rPr/>
        <w:t>图 </w:t>
      </w:r>
      <w:r>
        <w:rPr>
          <w:rFonts w:ascii="Arial" w:eastAsia="Arial"/>
        </w:rPr>
        <w:t>62: </w:t>
      </w:r>
      <w:r>
        <w:rPr/>
        <w:t>倍诺达的创新支付体系及商业保险覆盖</w:t>
      </w:r>
    </w:p>
    <w:p>
      <w:pPr>
        <w:pStyle w:val="BodyText"/>
        <w:ind w:left="181"/>
        <w:rPr>
          <w:rFonts w:ascii="Microsoft JhengHei UI"/>
        </w:rPr>
      </w:pPr>
      <w:r>
        <w:rPr>
          <w:rFonts w:ascii="Microsoft JhengHei UI"/>
        </w:rPr>
        <w:pict>
          <v:group style="width:400.05pt;height:182pt;mso-position-horizontal-relative:char;mso-position-vertical-relative:line" coordorigin="0,0" coordsize="8001,3640">
            <v:shape style="position:absolute;left:0;top:0;width:8001;height:3640" coordorigin="0,0" coordsize="8001,3640" path="m8000,3611l0,3611,0,3639,8000,3639,8000,3611xm8000,0l0,0,0,29,8000,29,8000,0xe" filled="true" fillcolor="#000000" stroked="false">
              <v:path arrowok="t"/>
              <v:fill type="solid"/>
            </v:shape>
            <v:shape style="position:absolute;left:1314;top:28;width:5367;height:3576" type="#_x0000_t75" stroked="false">
              <v:imagedata r:id="rId66" o:title=""/>
            </v:shape>
          </v:group>
        </w:pict>
      </w:r>
      <w:r>
        <w:rPr>
          <w:rFonts w:ascii="Microsoft JhengHei UI"/>
        </w:rPr>
      </w:r>
    </w:p>
    <w:p>
      <w:pPr>
        <w:spacing w:line="211" w:lineRule="exact" w:before="0"/>
        <w:ind w:left="210" w:right="0" w:firstLine="0"/>
        <w:jc w:val="left"/>
        <w:rPr>
          <w:sz w:val="16"/>
        </w:rPr>
      </w:pPr>
      <w:r>
        <w:rPr>
          <w:sz w:val="16"/>
        </w:rPr>
        <w:t>资料来源</w:t>
      </w:r>
      <w:r>
        <w:rPr>
          <w:rFonts w:ascii="Arial" w:eastAsia="Arial"/>
          <w:sz w:val="16"/>
        </w:rPr>
        <w:t>: </w:t>
      </w:r>
      <w:r>
        <w:rPr>
          <w:sz w:val="16"/>
        </w:rPr>
        <w:t>公司资料</w:t>
      </w:r>
      <w:r>
        <w:rPr>
          <w:rFonts w:ascii="Arial" w:eastAsia="Arial"/>
          <w:sz w:val="16"/>
        </w:rPr>
        <w:t>, </w:t>
      </w:r>
      <w:r>
        <w:rPr>
          <w:sz w:val="16"/>
        </w:rPr>
        <w:t>招银国际证券</w:t>
      </w:r>
    </w:p>
    <w:p>
      <w:pPr>
        <w:pStyle w:val="BodyText"/>
        <w:spacing w:before="6"/>
        <w:ind w:left="0"/>
        <w:rPr>
          <w:sz w:val="21"/>
        </w:rPr>
      </w:pPr>
    </w:p>
    <w:p>
      <w:pPr>
        <w:pStyle w:val="BodyText"/>
        <w:spacing w:line="288" w:lineRule="auto" w:before="99"/>
        <w:ind w:right="2815"/>
        <w:jc w:val="both"/>
      </w:pPr>
      <w:r>
        <w:rPr>
          <w:spacing w:val="-4"/>
        </w:rPr>
        <w:t>除商保和惠民保外，目前也有 </w:t>
      </w:r>
      <w:r>
        <w:rPr>
          <w:rFonts w:ascii="Arial" w:hAnsi="Arial" w:eastAsia="Arial"/>
        </w:rPr>
        <w:t>CAR-T </w:t>
      </w:r>
      <w:r>
        <w:rPr/>
        <w:t>相关</w:t>
      </w:r>
      <w:r>
        <w:rPr>
          <w:rFonts w:ascii="Arial" w:hAnsi="Arial" w:eastAsia="Arial"/>
        </w:rPr>
        <w:t>“</w:t>
      </w:r>
      <w:r>
        <w:rPr>
          <w:spacing w:val="-2"/>
        </w:rPr>
        <w:t>疗效险</w:t>
      </w:r>
      <w:r>
        <w:rPr>
          <w:rFonts w:ascii="Arial" w:hAnsi="Arial" w:eastAsia="Arial"/>
        </w:rPr>
        <w:t>”</w:t>
      </w:r>
      <w:r>
        <w:rPr>
          <w:spacing w:val="-4"/>
        </w:rPr>
        <w:t>上市，</w:t>
      </w:r>
      <w:r>
        <w:rPr>
          <w:rFonts w:ascii="Arial" w:hAnsi="Arial" w:eastAsia="Arial"/>
        </w:rPr>
        <w:t>2021 </w:t>
      </w:r>
      <w:r>
        <w:rPr>
          <w:spacing w:val="5"/>
        </w:rPr>
        <w:t>年 </w:t>
      </w:r>
      <w:r>
        <w:rPr>
          <w:rFonts w:ascii="Arial" w:hAnsi="Arial" w:eastAsia="Arial"/>
        </w:rPr>
        <w:t>8 </w:t>
      </w:r>
      <w:r>
        <w:rPr>
          <w:spacing w:val="-3"/>
        </w:rPr>
        <w:t>月，药明巨诺与镁信健</w:t>
      </w:r>
      <w:r>
        <w:rPr>
          <w:spacing w:val="-4"/>
        </w:rPr>
        <w:t>康签署了战略合作协议，上线针对 </w:t>
      </w:r>
      <w:r>
        <w:rPr>
          <w:rFonts w:ascii="Arial" w:hAnsi="Arial" w:eastAsia="Arial"/>
        </w:rPr>
        <w:t>CAR-T </w:t>
      </w:r>
      <w:r>
        <w:rPr>
          <w:spacing w:val="-3"/>
        </w:rPr>
        <w:t>产品的创新支付项目</w:t>
      </w:r>
      <w:r>
        <w:rPr>
          <w:rFonts w:ascii="Arial" w:hAnsi="Arial" w:eastAsia="Arial"/>
          <w:spacing w:val="-5"/>
        </w:rPr>
        <w:t>“</w:t>
      </w:r>
      <w:r>
        <w:rPr>
          <w:spacing w:val="-2"/>
        </w:rPr>
        <w:t>倍诺新生</w:t>
      </w:r>
      <w:r>
        <w:rPr>
          <w:rFonts w:ascii="Arial" w:hAnsi="Arial" w:eastAsia="Arial"/>
        </w:rPr>
        <w:t>”</w:t>
      </w:r>
      <w:r>
        <w:rPr>
          <w:spacing w:val="-5"/>
        </w:rPr>
        <w:t>。通过该项目， </w:t>
      </w:r>
      <w:r>
        <w:rPr>
          <w:rFonts w:ascii="Arial" w:hAnsi="Arial" w:eastAsia="Arial"/>
        </w:rPr>
        <w:t>CAR-T </w:t>
      </w:r>
      <w:r>
        <w:rPr>
          <w:spacing w:val="-1"/>
        </w:rPr>
        <w:t>药品回输后 </w:t>
      </w:r>
      <w:r>
        <w:rPr>
          <w:rFonts w:ascii="Arial" w:hAnsi="Arial" w:eastAsia="Arial"/>
        </w:rPr>
        <w:t>1 </w:t>
      </w:r>
      <w:r>
        <w:rPr>
          <w:spacing w:val="-4"/>
        </w:rPr>
        <w:t>个月内，如发生治疗相关的 </w:t>
      </w:r>
      <w:r>
        <w:rPr>
          <w:rFonts w:ascii="Arial" w:hAnsi="Arial" w:eastAsia="Arial"/>
        </w:rPr>
        <w:t>CRS </w:t>
      </w:r>
      <w:r>
        <w:rPr>
          <w:spacing w:val="6"/>
        </w:rPr>
        <w:t>和 </w:t>
      </w:r>
      <w:r>
        <w:rPr>
          <w:rFonts w:ascii="Arial" w:hAnsi="Arial" w:eastAsia="Arial"/>
        </w:rPr>
        <w:t>ICANS </w:t>
      </w:r>
      <w:r>
        <w:rPr>
          <w:spacing w:val="-5"/>
        </w:rPr>
        <w:t>的严重不良反应，实际发</w:t>
      </w:r>
      <w:r>
        <w:rPr>
          <w:spacing w:val="-4"/>
        </w:rPr>
        <w:t>生的不良反应治疗费用可进行理赔；最多可以由两名家属同时申请 </w:t>
      </w:r>
      <w:r>
        <w:rPr>
          <w:rFonts w:ascii="Arial" w:hAnsi="Arial" w:eastAsia="Arial"/>
        </w:rPr>
        <w:t>12 </w:t>
      </w:r>
      <w:r>
        <w:rPr>
          <w:spacing w:val="-6"/>
        </w:rPr>
        <w:t>期零利息、零手续费</w:t>
      </w:r>
    </w:p>
    <w:p>
      <w:pPr>
        <w:spacing w:line="345" w:lineRule="auto" w:before="0"/>
        <w:ind w:left="210" w:right="3900" w:firstLine="0"/>
        <w:jc w:val="left"/>
        <w:rPr>
          <w:rFonts w:ascii="Microsoft JhengHei UI" w:eastAsia="Microsoft JhengHei UI" w:hint="eastAsia"/>
          <w:b/>
          <w:sz w:val="20"/>
        </w:rPr>
      </w:pPr>
      <w:r>
        <w:rPr>
          <w:sz w:val="20"/>
        </w:rPr>
        <w:t>的分期购药服务；治疗一年内因疾病进展导致身故，最高可获 </w:t>
      </w:r>
      <w:r>
        <w:rPr>
          <w:rFonts w:ascii="Arial" w:eastAsia="Arial"/>
          <w:sz w:val="20"/>
        </w:rPr>
        <w:t>100 </w:t>
      </w:r>
      <w:r>
        <w:rPr>
          <w:sz w:val="20"/>
        </w:rPr>
        <w:t>万元赔付。</w:t>
      </w:r>
      <w:r>
        <w:rPr>
          <w:rFonts w:ascii="Microsoft JhengHei UI" w:eastAsia="Microsoft JhengHei UI" w:hint="eastAsia"/>
          <w:b/>
          <w:sz w:val="20"/>
        </w:rPr>
        <w:t>商业保险行业增长快，但仍有极大渗透空间</w:t>
      </w:r>
    </w:p>
    <w:p>
      <w:pPr>
        <w:pStyle w:val="BodyText"/>
        <w:spacing w:line="272" w:lineRule="exact"/>
      </w:pPr>
      <w:r>
        <w:rPr/>
        <w:t>过去十年中国商业健康险行业高速发展，根据银保监会数据，</w:t>
      </w:r>
      <w:r>
        <w:rPr>
          <w:rFonts w:ascii="Arial" w:eastAsia="Arial"/>
        </w:rPr>
        <w:t>2021</w:t>
      </w:r>
      <w:r>
        <w:rPr>
          <w:rFonts w:ascii="Arial" w:eastAsia="Arial"/>
          <w:spacing w:val="18"/>
        </w:rPr>
        <w:t>  </w:t>
      </w:r>
      <w:r>
        <w:rPr>
          <w:spacing w:val="4"/>
        </w:rPr>
        <w:t>年全年实现保费收入</w:t>
      </w:r>
    </w:p>
    <w:p>
      <w:pPr>
        <w:pStyle w:val="BodyText"/>
        <w:spacing w:before="53"/>
      </w:pPr>
      <w:r>
        <w:rPr>
          <w:rFonts w:ascii="Arial" w:eastAsia="Arial"/>
        </w:rPr>
        <w:t>8,447</w:t>
      </w:r>
      <w:r>
        <w:rPr>
          <w:rFonts w:ascii="Arial" w:eastAsia="Arial"/>
          <w:spacing w:val="-4"/>
        </w:rPr>
        <w:t> </w:t>
      </w:r>
      <w:r>
        <w:rPr/>
        <w:t>亿元。</w:t>
      </w:r>
      <w:r>
        <w:rPr>
          <w:rFonts w:ascii="Arial" w:eastAsia="Arial"/>
        </w:rPr>
        <w:t>2020</w:t>
      </w:r>
      <w:r>
        <w:rPr>
          <w:rFonts w:ascii="Arial" w:eastAsia="Arial"/>
          <w:spacing w:val="-3"/>
        </w:rPr>
        <w:t> </w:t>
      </w:r>
      <w:r>
        <w:rPr>
          <w:spacing w:val="-4"/>
        </w:rPr>
        <w:t>年初，中国银保监会等 </w:t>
      </w:r>
      <w:r>
        <w:rPr>
          <w:rFonts w:ascii="Arial" w:eastAsia="Arial"/>
        </w:rPr>
        <w:t>13</w:t>
      </w:r>
      <w:r>
        <w:rPr>
          <w:rFonts w:ascii="Arial" w:eastAsia="Arial"/>
          <w:spacing w:val="-4"/>
        </w:rPr>
        <w:t> </w:t>
      </w:r>
      <w:r>
        <w:rPr>
          <w:spacing w:val="-5"/>
        </w:rPr>
        <w:t>个部门联合发布的《关于促进社会服务领域商</w:t>
      </w:r>
    </w:p>
    <w:p>
      <w:pPr>
        <w:pStyle w:val="BodyText"/>
        <w:spacing w:line="288" w:lineRule="auto" w:before="57"/>
        <w:ind w:right="2815"/>
        <w:jc w:val="both"/>
      </w:pPr>
      <w:r>
        <w:rPr>
          <w:spacing w:val="-3"/>
        </w:rPr>
        <w:t>业保险发展的意见》中提出到 </w:t>
      </w:r>
      <w:r>
        <w:rPr>
          <w:rFonts w:ascii="Arial" w:eastAsia="Arial"/>
        </w:rPr>
        <w:t>2025 </w:t>
      </w:r>
      <w:r>
        <w:rPr>
          <w:spacing w:val="-4"/>
        </w:rPr>
        <w:t>年商业健康险保费规模力争超过 </w:t>
      </w:r>
      <w:r>
        <w:rPr>
          <w:rFonts w:ascii="Arial" w:eastAsia="Arial"/>
        </w:rPr>
        <w:t>2 </w:t>
      </w:r>
      <w:r>
        <w:rPr>
          <w:spacing w:val="-5"/>
        </w:rPr>
        <w:t>万亿元，由此预期后</w:t>
      </w:r>
      <w:r>
        <w:rPr/>
        <w:t>续国内商业健康险行业将维持快速增长趋势。商业健康险已经构建中国多层次医疗保障体系的重要组成部分和增长动力，与基本医疗保险形成了较好的互补。随着健康险保费收入增加，中国健康险赔付金额也快速提升，赔付金额占收入金额稳中有升，从金额上看，健</w:t>
      </w:r>
      <w:r>
        <w:rPr>
          <w:spacing w:val="-5"/>
        </w:rPr>
        <w:t>康险发展已经成为中国保险赔付支出增长最快的险种之一。</w:t>
      </w:r>
    </w:p>
    <w:p>
      <w:pPr>
        <w:pStyle w:val="Heading3"/>
        <w:spacing w:after="4"/>
        <w:jc w:val="left"/>
      </w:pPr>
      <w:r>
        <w:rPr/>
        <w:t>图 </w:t>
      </w:r>
      <w:r>
        <w:rPr>
          <w:rFonts w:ascii="Arial" w:eastAsia="Arial"/>
        </w:rPr>
        <w:t>63: </w:t>
      </w:r>
      <w:r>
        <w:rPr/>
        <w:t>中国商业健康险收支情况与赔付支出占比情况</w:t>
      </w:r>
    </w:p>
    <w:p>
      <w:pPr>
        <w:pStyle w:val="BodyText"/>
        <w:ind w:left="181"/>
        <w:rPr>
          <w:rFonts w:ascii="Microsoft JhengHei UI"/>
        </w:rPr>
      </w:pPr>
      <w:r>
        <w:rPr>
          <w:rFonts w:ascii="Microsoft JhengHei UI"/>
        </w:rPr>
        <w:drawing>
          <wp:inline distT="0" distB="0" distL="0" distR="0">
            <wp:extent cx="5077782" cy="2200275"/>
            <wp:effectExtent l="0" t="0" r="0" b="0"/>
            <wp:docPr id="59" name="image49.png"/>
            <wp:cNvGraphicFramePr>
              <a:graphicFrameLocks noChangeAspect="1"/>
            </wp:cNvGraphicFramePr>
            <a:graphic>
              <a:graphicData uri="http://schemas.openxmlformats.org/drawingml/2006/picture">
                <pic:pic>
                  <pic:nvPicPr>
                    <pic:cNvPr id="60" name="image49.png"/>
                    <pic:cNvPicPr/>
                  </pic:nvPicPr>
                  <pic:blipFill>
                    <a:blip r:embed="rId67" cstate="print"/>
                    <a:stretch>
                      <a:fillRect/>
                    </a:stretch>
                  </pic:blipFill>
                  <pic:spPr>
                    <a:xfrm>
                      <a:off x="0" y="0"/>
                      <a:ext cx="5077782" cy="2200275"/>
                    </a:xfrm>
                    <a:prstGeom prst="rect">
                      <a:avLst/>
                    </a:prstGeom>
                  </pic:spPr>
                </pic:pic>
              </a:graphicData>
            </a:graphic>
          </wp:inline>
        </w:drawing>
      </w:r>
      <w:r>
        <w:rPr>
          <w:rFonts w:ascii="Microsoft JhengHei UI"/>
        </w:rPr>
      </w:r>
    </w:p>
    <w:p>
      <w:pPr>
        <w:spacing w:before="19"/>
        <w:ind w:left="210" w:right="0" w:firstLine="0"/>
        <w:jc w:val="left"/>
        <w:rPr>
          <w:sz w:val="16"/>
        </w:rPr>
      </w:pPr>
      <w:r>
        <w:rPr>
          <w:sz w:val="16"/>
        </w:rPr>
        <w:t>资料来源</w:t>
      </w:r>
      <w:r>
        <w:rPr>
          <w:rFonts w:ascii="Arial" w:eastAsia="Arial"/>
          <w:sz w:val="16"/>
        </w:rPr>
        <w:t>:</w:t>
      </w:r>
      <w:r>
        <w:rPr>
          <w:sz w:val="16"/>
        </w:rPr>
        <w:t>银保监会</w:t>
      </w:r>
      <w:r>
        <w:rPr>
          <w:rFonts w:ascii="Arial" w:eastAsia="Arial"/>
          <w:sz w:val="16"/>
        </w:rPr>
        <w:t>, </w:t>
      </w:r>
      <w:r>
        <w:rPr>
          <w:sz w:val="16"/>
        </w:rPr>
        <w:t>招银国际证券</w:t>
      </w:r>
    </w:p>
    <w:p>
      <w:pPr>
        <w:spacing w:after="0"/>
        <w:jc w:val="left"/>
        <w:rPr>
          <w:sz w:val="16"/>
        </w:rPr>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795"/>
        <w:jc w:val="both"/>
      </w:pPr>
      <w:r>
        <w:rPr>
          <w:rFonts w:ascii="Arial" w:eastAsia="Arial"/>
        </w:rPr>
        <w:t>2010~2020 </w:t>
      </w:r>
      <w:r>
        <w:rPr/>
        <w:t>年中国商业健康险的保险深度和保险密度保持较快增速。然而，中国与海外成</w:t>
      </w:r>
      <w:r>
        <w:rPr>
          <w:spacing w:val="-5"/>
        </w:rPr>
        <w:t>熟市场存较大差距。根据弗若斯特沙利文的数据，截至 </w:t>
      </w:r>
      <w:r>
        <w:rPr>
          <w:rFonts w:ascii="Arial" w:eastAsia="Arial"/>
        </w:rPr>
        <w:t>2020 </w:t>
      </w:r>
      <w:r>
        <w:rPr>
          <w:spacing w:val="-3"/>
        </w:rPr>
        <w:t>年，中国健康险保险密度约为</w:t>
      </w:r>
      <w:r>
        <w:rPr>
          <w:rFonts w:ascii="Arial" w:eastAsia="Arial"/>
          <w:spacing w:val="-3"/>
        </w:rPr>
        <w:t>575</w:t>
      </w:r>
      <w:r>
        <w:rPr>
          <w:rFonts w:ascii="Arial" w:eastAsia="Arial"/>
          <w:spacing w:val="52"/>
        </w:rPr>
        <w:t> </w:t>
      </w:r>
      <w:r>
        <w:rPr>
          <w:spacing w:val="14"/>
        </w:rPr>
        <w:t>元</w:t>
      </w:r>
      <w:r>
        <w:rPr>
          <w:rFonts w:ascii="Arial" w:eastAsia="Arial"/>
          <w:spacing w:val="7"/>
        </w:rPr>
        <w:t>/(</w:t>
      </w:r>
      <w:r>
        <w:rPr>
          <w:spacing w:val="10"/>
        </w:rPr>
        <w:t>人</w:t>
      </w:r>
      <w:r>
        <w:rPr>
          <w:rFonts w:ascii="Arial" w:eastAsia="Arial"/>
          <w:spacing w:val="11"/>
        </w:rPr>
        <w:t>/</w:t>
      </w:r>
      <w:r>
        <w:rPr>
          <w:spacing w:val="14"/>
        </w:rPr>
        <w:t>年</w:t>
      </w:r>
      <w:r>
        <w:rPr>
          <w:rFonts w:ascii="Arial" w:eastAsia="Arial"/>
          <w:spacing w:val="9"/>
        </w:rPr>
        <w:t>)</w:t>
      </w:r>
      <w:r>
        <w:rPr>
          <w:spacing w:val="8"/>
        </w:rPr>
        <w:t>。然而，日本、德国等保险市场成熟的国家，保险密度于 </w:t>
      </w:r>
      <w:r>
        <w:rPr>
          <w:rFonts w:ascii="Arial" w:eastAsia="Arial"/>
        </w:rPr>
        <w:t>2018</w:t>
      </w:r>
      <w:r>
        <w:rPr>
          <w:rFonts w:ascii="Arial" w:eastAsia="Arial"/>
          <w:spacing w:val="53"/>
        </w:rPr>
        <w:t> </w:t>
      </w:r>
      <w:r>
        <w:rPr>
          <w:spacing w:val="14"/>
        </w:rPr>
        <w:t>年已达</w:t>
      </w:r>
    </w:p>
    <w:p>
      <w:pPr>
        <w:pStyle w:val="BodyText"/>
        <w:spacing w:line="277" w:lineRule="exact"/>
        <w:jc w:val="both"/>
      </w:pPr>
      <w:r>
        <w:rPr>
          <w:rFonts w:ascii="Arial" w:eastAsia="Arial"/>
        </w:rPr>
        <w:t>3000~4000 </w:t>
      </w:r>
      <w:r>
        <w:rPr/>
        <w:t>元</w:t>
      </w:r>
      <w:r>
        <w:rPr>
          <w:rFonts w:ascii="Arial" w:eastAsia="Arial"/>
        </w:rPr>
        <w:t>/(</w:t>
      </w:r>
      <w:r>
        <w:rPr/>
        <w:t>人</w:t>
      </w:r>
      <w:r>
        <w:rPr>
          <w:rFonts w:ascii="Arial" w:eastAsia="Arial"/>
        </w:rPr>
        <w:t>/</w:t>
      </w:r>
      <w:r>
        <w:rPr/>
        <w:t>年</w:t>
      </w:r>
      <w:r>
        <w:rPr>
          <w:rFonts w:ascii="Arial" w:eastAsia="Arial"/>
        </w:rPr>
        <w:t>)</w:t>
      </w:r>
      <w:r>
        <w:rPr/>
        <w:t>。</w:t>
      </w:r>
    </w:p>
    <w:p>
      <w:pPr>
        <w:pStyle w:val="Heading3"/>
        <w:spacing w:before="127" w:after="5"/>
      </w:pPr>
      <w:r>
        <w:rPr/>
        <w:t>图 </w:t>
      </w:r>
      <w:r>
        <w:rPr>
          <w:rFonts w:ascii="Arial" w:eastAsia="Arial"/>
        </w:rPr>
        <w:t>64: </w:t>
      </w:r>
      <w:r>
        <w:rPr/>
        <w:t>中国商业健康险密度与深度</w:t>
      </w:r>
    </w:p>
    <w:p>
      <w:pPr>
        <w:pStyle w:val="BodyText"/>
        <w:ind w:left="181"/>
        <w:rPr>
          <w:rFonts w:ascii="Microsoft JhengHei UI"/>
        </w:rPr>
      </w:pPr>
      <w:r>
        <w:rPr>
          <w:rFonts w:ascii="Microsoft JhengHei UI"/>
        </w:rPr>
        <w:drawing>
          <wp:inline distT="0" distB="0" distL="0" distR="0">
            <wp:extent cx="5079545" cy="2219325"/>
            <wp:effectExtent l="0" t="0" r="0" b="0"/>
            <wp:docPr id="61" name="image50.png"/>
            <wp:cNvGraphicFramePr>
              <a:graphicFrameLocks noChangeAspect="1"/>
            </wp:cNvGraphicFramePr>
            <a:graphic>
              <a:graphicData uri="http://schemas.openxmlformats.org/drawingml/2006/picture">
                <pic:pic>
                  <pic:nvPicPr>
                    <pic:cNvPr id="62" name="image50.png"/>
                    <pic:cNvPicPr/>
                  </pic:nvPicPr>
                  <pic:blipFill>
                    <a:blip r:embed="rId68" cstate="print"/>
                    <a:stretch>
                      <a:fillRect/>
                    </a:stretch>
                  </pic:blipFill>
                  <pic:spPr>
                    <a:xfrm>
                      <a:off x="0" y="0"/>
                      <a:ext cx="5079545" cy="2219325"/>
                    </a:xfrm>
                    <a:prstGeom prst="rect">
                      <a:avLst/>
                    </a:prstGeom>
                  </pic:spPr>
                </pic:pic>
              </a:graphicData>
            </a:graphic>
          </wp:inline>
        </w:drawing>
      </w:r>
      <w:r>
        <w:rPr>
          <w:rFonts w:ascii="Microsoft JhengHei UI"/>
        </w:rPr>
      </w:r>
    </w:p>
    <w:p>
      <w:pPr>
        <w:spacing w:before="18"/>
        <w:ind w:left="210" w:right="0" w:firstLine="0"/>
        <w:jc w:val="left"/>
        <w:rPr>
          <w:sz w:val="16"/>
        </w:rPr>
      </w:pPr>
      <w:r>
        <w:rPr>
          <w:sz w:val="16"/>
        </w:rPr>
        <w:t>资料来源</w:t>
      </w:r>
      <w:r>
        <w:rPr>
          <w:rFonts w:ascii="Arial" w:eastAsia="Arial"/>
          <w:sz w:val="16"/>
        </w:rPr>
        <w:t>: </w:t>
      </w:r>
      <w:r>
        <w:rPr>
          <w:sz w:val="16"/>
        </w:rPr>
        <w:t>弗若斯特沙利文</w:t>
      </w:r>
      <w:r>
        <w:rPr>
          <w:rFonts w:ascii="Arial" w:eastAsia="Arial"/>
          <w:sz w:val="16"/>
        </w:rPr>
        <w:t>, </w:t>
      </w:r>
      <w:r>
        <w:rPr>
          <w:sz w:val="16"/>
        </w:rPr>
        <w:t>招银国际证券</w:t>
      </w:r>
    </w:p>
    <w:p>
      <w:pPr>
        <w:spacing w:before="12"/>
        <w:ind w:left="210" w:right="0" w:firstLine="0"/>
        <w:jc w:val="left"/>
        <w:rPr>
          <w:sz w:val="16"/>
        </w:rPr>
      </w:pPr>
      <w:r>
        <w:rPr>
          <w:sz w:val="16"/>
        </w:rPr>
        <w:t>注：密度指限定统计区域内常住人口平均保险数额；深度指保费收入占 </w:t>
      </w:r>
      <w:r>
        <w:rPr>
          <w:rFonts w:ascii="Arial" w:eastAsia="Arial"/>
          <w:sz w:val="16"/>
        </w:rPr>
        <w:t>GDP </w:t>
      </w:r>
      <w:r>
        <w:rPr>
          <w:sz w:val="16"/>
        </w:rPr>
        <w:t>之比</w:t>
      </w:r>
    </w:p>
    <w:p>
      <w:pPr>
        <w:pStyle w:val="BodyText"/>
        <w:spacing w:before="2"/>
        <w:ind w:left="0"/>
        <w:rPr>
          <w:sz w:val="28"/>
        </w:rPr>
      </w:pPr>
    </w:p>
    <w:p>
      <w:pPr>
        <w:pStyle w:val="BodyText"/>
        <w:spacing w:line="288" w:lineRule="auto"/>
        <w:ind w:right="2618"/>
      </w:pPr>
      <w:r>
        <w:rPr/>
        <w:t>从目前各险种对医疗保障的程度来看，医疗保险是对被保人实际产生的医疗费用进行报销， 且赔付率较重疾险更高。目前我国医疗保险的产品类别较多，包括政策型的大病医疗保险， 由政府出资向商业保险机构购买，具有一定有强制性；以及商业医疗保险部分，包括企业  补充医疗保险、个人医疗险以及城市险为目前主要产品类别，以自愿投保为原则。</w:t>
      </w:r>
    </w:p>
    <w:p>
      <w:pPr>
        <w:pStyle w:val="Heading3"/>
        <w:spacing w:before="73" w:after="4"/>
        <w:jc w:val="left"/>
      </w:pPr>
      <w:r>
        <w:rPr/>
        <w:t>图 </w:t>
      </w:r>
      <w:r>
        <w:rPr>
          <w:rFonts w:ascii="Arial" w:eastAsia="Arial"/>
        </w:rPr>
        <w:t>65: </w:t>
      </w:r>
      <w:r>
        <w:rPr/>
        <w:t>中国商业健康险补充医疗层情况</w:t>
      </w:r>
    </w:p>
    <w:p>
      <w:pPr>
        <w:pStyle w:val="BodyText"/>
        <w:ind w:left="181"/>
        <w:rPr>
          <w:rFonts w:ascii="Microsoft JhengHei UI"/>
        </w:rPr>
      </w:pPr>
      <w:r>
        <w:rPr>
          <w:rFonts w:ascii="Microsoft JhengHei UI"/>
        </w:rPr>
        <w:drawing>
          <wp:inline distT="0" distB="0" distL="0" distR="0">
            <wp:extent cx="5069264" cy="1600200"/>
            <wp:effectExtent l="0" t="0" r="0" b="0"/>
            <wp:docPr id="63" name="image51.png"/>
            <wp:cNvGraphicFramePr>
              <a:graphicFrameLocks noChangeAspect="1"/>
            </wp:cNvGraphicFramePr>
            <a:graphic>
              <a:graphicData uri="http://schemas.openxmlformats.org/drawingml/2006/picture">
                <pic:pic>
                  <pic:nvPicPr>
                    <pic:cNvPr id="64" name="image51.png"/>
                    <pic:cNvPicPr/>
                  </pic:nvPicPr>
                  <pic:blipFill>
                    <a:blip r:embed="rId69" cstate="print"/>
                    <a:stretch>
                      <a:fillRect/>
                    </a:stretch>
                  </pic:blipFill>
                  <pic:spPr>
                    <a:xfrm>
                      <a:off x="0" y="0"/>
                      <a:ext cx="5069264" cy="1600200"/>
                    </a:xfrm>
                    <a:prstGeom prst="rect">
                      <a:avLst/>
                    </a:prstGeom>
                  </pic:spPr>
                </pic:pic>
              </a:graphicData>
            </a:graphic>
          </wp:inline>
        </w:drawing>
      </w:r>
      <w:r>
        <w:rPr>
          <w:rFonts w:ascii="Microsoft JhengHei UI"/>
        </w:rPr>
      </w:r>
    </w:p>
    <w:p>
      <w:pPr>
        <w:spacing w:before="23"/>
        <w:ind w:left="210" w:right="0" w:firstLine="0"/>
        <w:jc w:val="left"/>
        <w:rPr>
          <w:sz w:val="16"/>
        </w:rPr>
      </w:pPr>
      <w:r>
        <w:rPr>
          <w:sz w:val="16"/>
        </w:rPr>
        <w:t>资料来源</w:t>
      </w:r>
      <w:r>
        <w:rPr>
          <w:rFonts w:ascii="Arial" w:eastAsia="Arial"/>
          <w:sz w:val="16"/>
        </w:rPr>
        <w:t>: PHIRDA, </w:t>
      </w:r>
      <w:r>
        <w:rPr>
          <w:sz w:val="16"/>
        </w:rPr>
        <w:t>招银国际证券</w:t>
      </w:r>
    </w:p>
    <w:p>
      <w:pPr>
        <w:spacing w:before="12"/>
        <w:ind w:left="210" w:right="0" w:firstLine="0"/>
        <w:jc w:val="left"/>
        <w:rPr>
          <w:sz w:val="16"/>
        </w:rPr>
      </w:pPr>
      <w:r>
        <w:rPr>
          <w:sz w:val="16"/>
        </w:rPr>
        <w:t>注：由于存在部分人群拥有多个医疗险保障情况，因此三类医疗保险参保人数相加大于商业医疗险参保人数</w:t>
      </w:r>
    </w:p>
    <w:p>
      <w:pPr>
        <w:pStyle w:val="BodyText"/>
        <w:spacing w:before="2"/>
        <w:ind w:left="0"/>
        <w:rPr>
          <w:sz w:val="28"/>
        </w:rPr>
      </w:pPr>
    </w:p>
    <w:p>
      <w:pPr>
        <w:pStyle w:val="BodyText"/>
        <w:spacing w:line="288" w:lineRule="auto"/>
        <w:ind w:right="2814"/>
        <w:jc w:val="both"/>
      </w:pPr>
      <w:r>
        <w:rPr/>
        <w:t>虽然目前国内补充型商业健康险已经起到了较为重要的医疗补偿作用，但无论在覆盖率还是赔付率方面，相比海外依然有很大的进步空间。此外，国内的商业健康险存在理赔高风</w:t>
      </w:r>
      <w:r>
        <w:rPr>
          <w:spacing w:val="-5"/>
        </w:rPr>
        <w:t>险人群的参保困难的问题，我国目前绝大多数个人购买的商业健康险广泛使用</w:t>
      </w:r>
      <w:r>
        <w:rPr>
          <w:rFonts w:ascii="Arial" w:hAnsi="Arial" w:eastAsia="Arial"/>
          <w:spacing w:val="-5"/>
        </w:rPr>
        <w:t>“</w:t>
      </w:r>
      <w:r>
        <w:rPr>
          <w:spacing w:val="-2"/>
        </w:rPr>
        <w:t>风险选择</w:t>
      </w:r>
      <w:r>
        <w:rPr>
          <w:rFonts w:ascii="Arial" w:hAnsi="Arial" w:eastAsia="Arial"/>
        </w:rPr>
        <w:t>”</w:t>
      </w:r>
      <w:r>
        <w:rPr>
          <w:spacing w:val="-15"/>
        </w:rPr>
        <w:t>措</w:t>
      </w:r>
      <w:r>
        <w:rPr/>
        <w:t>施对高风险人群拒保，降低未来的赔付负担，或者收取高额的保费使得该人群无法购买商</w:t>
      </w:r>
      <w:r>
        <w:rPr>
          <w:spacing w:val="-3"/>
        </w:rPr>
        <w:t>保产品。最终，个人参保人群主体为健康人及年轻人，赔付率较低，仅为约 </w:t>
      </w:r>
      <w:r>
        <w:rPr>
          <w:rFonts w:ascii="Arial" w:hAnsi="Arial" w:eastAsia="Arial"/>
        </w:rPr>
        <w:t>33%</w:t>
      </w:r>
      <w:r>
        <w:rPr>
          <w:spacing w:val="-4"/>
        </w:rPr>
        <w:t>，对整个</w:t>
      </w:r>
      <w:r>
        <w:rPr/>
        <w:t>医疗保障体系的贡献有限。而对于市场主体的一年期保险而言，一旦参保人在保障期内患</w:t>
      </w:r>
      <w:r>
        <w:rPr>
          <w:spacing w:val="-5"/>
        </w:rPr>
        <w:t>病，很难在第二年续保，更是无法产生持续的保障作用。</w:t>
      </w:r>
    </w:p>
    <w:p>
      <w:pPr>
        <w:spacing w:after="0" w:line="288" w:lineRule="auto"/>
        <w:jc w:val="both"/>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20"/>
        <w:jc w:val="both"/>
      </w:pPr>
      <w:r>
        <w:rPr/>
        <w:t>相比之下，法国、德国和美国通过立法和政策倾斜对高风险人群进行补贴、澳大利亚通过保费折扣和对高收入人群半强制参保等鼓励健康人群参保、美国和德国规定保证续保等措施鼓励长期健康险的发展等。通过立法和政府干预，在这些国家，商业健康险仍能够对社会保险进行有效补充并获得较高的参保率。</w:t>
      </w:r>
    </w:p>
    <w:p>
      <w:pPr>
        <w:pStyle w:val="Heading3"/>
        <w:spacing w:after="5"/>
      </w:pPr>
      <w:r>
        <w:rPr/>
        <w:t>图 </w:t>
      </w:r>
      <w:r>
        <w:rPr>
          <w:rFonts w:ascii="Arial" w:eastAsia="Arial"/>
        </w:rPr>
        <w:t>66: </w:t>
      </w:r>
      <w:r>
        <w:rPr/>
        <w:t>中国与部分国家对补充型商业健康险的覆盖与政策</w:t>
      </w:r>
    </w:p>
    <w:p>
      <w:pPr>
        <w:pStyle w:val="BodyText"/>
        <w:ind w:left="181"/>
        <w:rPr>
          <w:rFonts w:ascii="Microsoft JhengHei UI"/>
        </w:rPr>
      </w:pPr>
      <w:r>
        <w:rPr>
          <w:rFonts w:ascii="Microsoft JhengHei UI"/>
        </w:rPr>
        <w:drawing>
          <wp:inline distT="0" distB="0" distL="0" distR="0">
            <wp:extent cx="5076768" cy="2495550"/>
            <wp:effectExtent l="0" t="0" r="0" b="0"/>
            <wp:docPr id="65" name="image52.png"/>
            <wp:cNvGraphicFramePr>
              <a:graphicFrameLocks noChangeAspect="1"/>
            </wp:cNvGraphicFramePr>
            <a:graphic>
              <a:graphicData uri="http://schemas.openxmlformats.org/drawingml/2006/picture">
                <pic:pic>
                  <pic:nvPicPr>
                    <pic:cNvPr id="66" name="image52.png"/>
                    <pic:cNvPicPr/>
                  </pic:nvPicPr>
                  <pic:blipFill>
                    <a:blip r:embed="rId70" cstate="print"/>
                    <a:stretch>
                      <a:fillRect/>
                    </a:stretch>
                  </pic:blipFill>
                  <pic:spPr>
                    <a:xfrm>
                      <a:off x="0" y="0"/>
                      <a:ext cx="5076768" cy="2495550"/>
                    </a:xfrm>
                    <a:prstGeom prst="rect">
                      <a:avLst/>
                    </a:prstGeom>
                  </pic:spPr>
                </pic:pic>
              </a:graphicData>
            </a:graphic>
          </wp:inline>
        </w:drawing>
      </w:r>
      <w:r>
        <w:rPr>
          <w:rFonts w:ascii="Microsoft JhengHei UI"/>
        </w:rPr>
      </w:r>
    </w:p>
    <w:p>
      <w:pPr>
        <w:spacing w:before="20"/>
        <w:ind w:left="210" w:right="0" w:firstLine="0"/>
        <w:jc w:val="both"/>
        <w:rPr>
          <w:sz w:val="16"/>
        </w:rPr>
      </w:pPr>
      <w:r>
        <w:rPr>
          <w:sz w:val="16"/>
        </w:rPr>
        <w:t>资料来源</w:t>
      </w:r>
      <w:r>
        <w:rPr>
          <w:rFonts w:ascii="Arial" w:eastAsia="Arial"/>
          <w:sz w:val="16"/>
        </w:rPr>
        <w:t>:</w:t>
      </w:r>
      <w:r>
        <w:rPr>
          <w:sz w:val="16"/>
        </w:rPr>
        <w:t>，</w:t>
      </w:r>
      <w:r>
        <w:rPr>
          <w:rFonts w:ascii="Arial" w:eastAsia="Arial"/>
          <w:sz w:val="16"/>
        </w:rPr>
        <w:t>PHIRDA, </w:t>
      </w:r>
      <w:r>
        <w:rPr>
          <w:sz w:val="16"/>
        </w:rPr>
        <w:t>招银国际证券</w:t>
      </w:r>
    </w:p>
    <w:p>
      <w:pPr>
        <w:pStyle w:val="BodyText"/>
        <w:spacing w:before="6"/>
        <w:ind w:left="0"/>
        <w:rPr>
          <w:sz w:val="21"/>
        </w:rPr>
      </w:pPr>
    </w:p>
    <w:p>
      <w:pPr>
        <w:pStyle w:val="Heading3"/>
        <w:spacing w:before="45"/>
      </w:pPr>
      <w:r>
        <w:rPr/>
        <w:t>惠民保的保费低廉且允许带病参保，有助于提升</w:t>
      </w:r>
      <w:r>
        <w:rPr>
          <w:rFonts w:ascii="Arial" w:eastAsia="Arial"/>
        </w:rPr>
        <w:t>CAR-T </w:t>
      </w:r>
      <w:r>
        <w:rPr/>
        <w:t>可及性</w:t>
      </w:r>
    </w:p>
    <w:p>
      <w:pPr>
        <w:pStyle w:val="BodyText"/>
        <w:spacing w:line="288" w:lineRule="auto" w:before="154"/>
        <w:ind w:right="2809"/>
        <w:jc w:val="both"/>
      </w:pPr>
      <w:r>
        <w:rPr>
          <w:rFonts w:ascii="Arial" w:hAnsi="Arial" w:eastAsia="Arial"/>
        </w:rPr>
        <w:t>2015 </w:t>
      </w:r>
      <w:r>
        <w:rPr>
          <w:spacing w:val="11"/>
        </w:rPr>
        <w:t>年 </w:t>
      </w:r>
      <w:r>
        <w:rPr>
          <w:rFonts w:ascii="Arial" w:hAnsi="Arial" w:eastAsia="Arial"/>
        </w:rPr>
        <w:t>12 </w:t>
      </w:r>
      <w:r>
        <w:rPr>
          <w:spacing w:val="-1"/>
        </w:rPr>
        <w:t>月，深圳首次推出</w:t>
      </w:r>
      <w:r>
        <w:rPr>
          <w:rFonts w:ascii="Arial" w:hAnsi="Arial" w:eastAsia="Arial"/>
        </w:rPr>
        <w:t>“</w:t>
      </w:r>
      <w:r>
        <w:rPr>
          <w:spacing w:val="-4"/>
        </w:rPr>
        <w:t>重特大疾病补充医疗保险</w:t>
      </w:r>
      <w:r>
        <w:rPr>
          <w:rFonts w:ascii="Arial" w:hAnsi="Arial" w:eastAsia="Arial"/>
        </w:rPr>
        <w:t>”</w:t>
      </w:r>
      <w:r>
        <w:rPr/>
        <w:t>。</w:t>
      </w:r>
      <w:r>
        <w:rPr>
          <w:rFonts w:ascii="Arial" w:hAnsi="Arial" w:eastAsia="Arial"/>
        </w:rPr>
        <w:t>2020 </w:t>
      </w:r>
      <w:r>
        <w:rPr>
          <w:spacing w:val="-1"/>
        </w:rPr>
        <w:t>年以来，基于</w:t>
      </w:r>
      <w:r>
        <w:rPr>
          <w:rFonts w:ascii="Arial" w:hAnsi="Arial" w:eastAsia="Arial"/>
        </w:rPr>
        <w:t>“</w:t>
      </w:r>
      <w:r>
        <w:rPr>
          <w:spacing w:val="-4"/>
        </w:rPr>
        <w:t>政府指导、</w:t>
      </w:r>
      <w:r>
        <w:rPr/>
        <w:t>商业运作</w:t>
      </w:r>
      <w:r>
        <w:rPr>
          <w:rFonts w:ascii="Arial" w:hAnsi="Arial" w:eastAsia="Arial"/>
          <w:spacing w:val="-5"/>
        </w:rPr>
        <w:t>”</w:t>
      </w:r>
      <w:r>
        <w:rPr>
          <w:spacing w:val="-5"/>
        </w:rPr>
        <w:t>的推动模式，各省市惠民保产品快速推进。根据复旦大学发布的《</w:t>
      </w:r>
      <w:r>
        <w:rPr>
          <w:rFonts w:ascii="Arial" w:hAnsi="Arial" w:eastAsia="Arial"/>
        </w:rPr>
        <w:t>2021 </w:t>
      </w:r>
      <w:r>
        <w:rPr>
          <w:spacing w:val="-4"/>
        </w:rPr>
        <w:t>城市定制</w:t>
      </w:r>
      <w:r>
        <w:rPr>
          <w:spacing w:val="2"/>
        </w:rPr>
        <w:t>型商业医疗保险 </w:t>
      </w:r>
      <w:r>
        <w:rPr>
          <w:rFonts w:ascii="Arial" w:hAnsi="Arial" w:eastAsia="Arial"/>
        </w:rPr>
        <w:t>(</w:t>
      </w:r>
      <w:r>
        <w:rPr>
          <w:spacing w:val="-2"/>
        </w:rPr>
        <w:t>惠民保</w:t>
      </w:r>
      <w:r>
        <w:rPr>
          <w:rFonts w:ascii="Arial" w:hAnsi="Arial" w:eastAsia="Arial"/>
          <w:spacing w:val="15"/>
        </w:rPr>
        <w:t>) </w:t>
      </w:r>
      <w:r>
        <w:rPr>
          <w:spacing w:val="-3"/>
        </w:rPr>
        <w:t>知识图谱》，</w:t>
      </w:r>
      <w:r>
        <w:rPr>
          <w:rFonts w:ascii="Arial" w:hAnsi="Arial" w:eastAsia="Arial"/>
        </w:rPr>
        <w:t>2021 </w:t>
      </w:r>
      <w:r>
        <w:rPr>
          <w:spacing w:val="9"/>
        </w:rPr>
        <w:t>年 </w:t>
      </w:r>
      <w:r>
        <w:rPr>
          <w:rFonts w:ascii="Arial" w:hAnsi="Arial" w:eastAsia="Arial"/>
        </w:rPr>
        <w:t>5 </w:t>
      </w:r>
      <w:r>
        <w:rPr>
          <w:spacing w:val="9"/>
        </w:rPr>
        <w:t>月 </w:t>
      </w:r>
      <w:r>
        <w:rPr>
          <w:rFonts w:ascii="Arial" w:hAnsi="Arial" w:eastAsia="Arial"/>
        </w:rPr>
        <w:t>31 </w:t>
      </w:r>
      <w:r>
        <w:rPr>
          <w:spacing w:val="4"/>
        </w:rPr>
        <w:t>日， 全国共推出 </w:t>
      </w:r>
      <w:r>
        <w:rPr>
          <w:rFonts w:ascii="Arial" w:hAnsi="Arial" w:eastAsia="Arial"/>
        </w:rPr>
        <w:t>140 </w:t>
      </w:r>
      <w:r>
        <w:rPr>
          <w:spacing w:val="-2"/>
        </w:rPr>
        <w:t>款惠民保产</w:t>
      </w:r>
      <w:r>
        <w:rPr>
          <w:spacing w:val="-1"/>
        </w:rPr>
        <w:t>品，覆盖 </w:t>
      </w:r>
      <w:r>
        <w:rPr>
          <w:rFonts w:ascii="Arial" w:hAnsi="Arial" w:eastAsia="Arial"/>
          <w:spacing w:val="-4"/>
        </w:rPr>
        <w:t>26 </w:t>
      </w:r>
      <w:r>
        <w:rPr>
          <w:spacing w:val="-2"/>
        </w:rPr>
        <w:t>个省份。截至 </w:t>
      </w:r>
      <w:r>
        <w:rPr>
          <w:rFonts w:ascii="Arial" w:hAnsi="Arial" w:eastAsia="Arial"/>
        </w:rPr>
        <w:t>2021 </w:t>
      </w:r>
      <w:r>
        <w:rPr>
          <w:spacing w:val="2"/>
        </w:rPr>
        <w:t>年 </w:t>
      </w:r>
      <w:r>
        <w:rPr>
          <w:rFonts w:ascii="Arial" w:hAnsi="Arial" w:eastAsia="Arial"/>
        </w:rPr>
        <w:t>12 </w:t>
      </w:r>
      <w:r>
        <w:rPr/>
        <w:t>月 </w:t>
      </w:r>
      <w:r>
        <w:rPr>
          <w:rFonts w:ascii="Arial" w:hAnsi="Arial" w:eastAsia="Arial"/>
        </w:rPr>
        <w:t>1 </w:t>
      </w:r>
      <w:r>
        <w:rPr>
          <w:spacing w:val="-5"/>
        </w:rPr>
        <w:t>日，惠民保累计参保人数达到 </w:t>
      </w:r>
      <w:r>
        <w:rPr>
          <w:rFonts w:ascii="Arial" w:hAnsi="Arial" w:eastAsia="Arial"/>
        </w:rPr>
        <w:t>9600 </w:t>
      </w:r>
      <w:r>
        <w:rPr>
          <w:spacing w:val="-2"/>
        </w:rPr>
        <w:t>万人，保费</w:t>
      </w:r>
      <w:r>
        <w:rPr>
          <w:spacing w:val="-4"/>
        </w:rPr>
        <w:t>收入突破百亿元。</w:t>
      </w:r>
    </w:p>
    <w:p>
      <w:pPr>
        <w:pStyle w:val="Heading3"/>
        <w:spacing w:after="5"/>
      </w:pPr>
      <w:r>
        <w:rPr/>
        <w:t>图 </w:t>
      </w:r>
      <w:r>
        <w:rPr>
          <w:rFonts w:ascii="Arial" w:eastAsia="Arial"/>
        </w:rPr>
        <w:t>67: </w:t>
      </w:r>
      <w:r>
        <w:rPr/>
        <w:t>惠民保覆盖省份及对应产品数量</w:t>
      </w:r>
    </w:p>
    <w:tbl>
      <w:tblPr>
        <w:tblW w:w="0" w:type="auto"/>
        <w:jc w:val="left"/>
        <w:tblInd w:w="2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01"/>
        <w:gridCol w:w="1301"/>
        <w:gridCol w:w="1301"/>
        <w:gridCol w:w="1296"/>
        <w:gridCol w:w="1469"/>
        <w:gridCol w:w="1302"/>
      </w:tblGrid>
      <w:tr>
        <w:trPr>
          <w:trHeight w:val="263" w:hRule="atLeast"/>
        </w:trPr>
        <w:tc>
          <w:tcPr>
            <w:tcW w:w="1301" w:type="dxa"/>
            <w:tcBorders>
              <w:left w:val="nil"/>
              <w:bottom w:val="single" w:sz="4" w:space="0" w:color="000000"/>
              <w:right w:val="single" w:sz="4" w:space="0" w:color="000000"/>
            </w:tcBorders>
            <w:shd w:val="clear" w:color="auto" w:fill="C00000"/>
          </w:tcPr>
          <w:p>
            <w:pPr>
              <w:pStyle w:val="TableParagraph"/>
              <w:spacing w:line="243" w:lineRule="exact"/>
              <w:ind w:left="110"/>
              <w:rPr>
                <w:rFonts w:ascii="Microsoft JhengHei UI" w:eastAsia="Microsoft JhengHei UI" w:hint="eastAsia"/>
                <w:b/>
                <w:sz w:val="16"/>
              </w:rPr>
            </w:pPr>
            <w:r>
              <w:rPr>
                <w:rFonts w:ascii="Microsoft JhengHei UI" w:eastAsia="Microsoft JhengHei UI" w:hint="eastAsia"/>
                <w:b/>
                <w:color w:val="FFFFFF"/>
                <w:sz w:val="16"/>
              </w:rPr>
              <w:t>省份</w:t>
            </w:r>
          </w:p>
        </w:tc>
        <w:tc>
          <w:tcPr>
            <w:tcW w:w="1301" w:type="dxa"/>
            <w:tcBorders>
              <w:left w:val="single" w:sz="4" w:space="0" w:color="000000"/>
              <w:bottom w:val="single" w:sz="4" w:space="0" w:color="000000"/>
              <w:right w:val="single" w:sz="4" w:space="0" w:color="000000"/>
            </w:tcBorders>
            <w:shd w:val="clear" w:color="auto" w:fill="C00000"/>
          </w:tcPr>
          <w:p>
            <w:pPr>
              <w:pStyle w:val="TableParagraph"/>
              <w:spacing w:line="243" w:lineRule="exact"/>
              <w:ind w:left="105"/>
              <w:rPr>
                <w:rFonts w:ascii="Microsoft JhengHei UI" w:eastAsia="Microsoft JhengHei UI" w:hint="eastAsia"/>
                <w:b/>
                <w:sz w:val="16"/>
              </w:rPr>
            </w:pPr>
            <w:r>
              <w:rPr>
                <w:rFonts w:ascii="Microsoft JhengHei UI" w:eastAsia="Microsoft JhengHei UI" w:hint="eastAsia"/>
                <w:b/>
                <w:color w:val="FFFFFF"/>
                <w:sz w:val="16"/>
              </w:rPr>
              <w:t>产品数量</w:t>
            </w:r>
          </w:p>
        </w:tc>
        <w:tc>
          <w:tcPr>
            <w:tcW w:w="1301" w:type="dxa"/>
            <w:tcBorders>
              <w:left w:val="single" w:sz="4" w:space="0" w:color="000000"/>
              <w:bottom w:val="single" w:sz="4" w:space="0" w:color="000000"/>
              <w:right w:val="single" w:sz="4" w:space="0" w:color="000000"/>
            </w:tcBorders>
            <w:shd w:val="clear" w:color="auto" w:fill="C00000"/>
          </w:tcPr>
          <w:p>
            <w:pPr>
              <w:pStyle w:val="TableParagraph"/>
              <w:spacing w:line="243" w:lineRule="exact"/>
              <w:ind w:left="101"/>
              <w:rPr>
                <w:rFonts w:ascii="Microsoft JhengHei UI" w:eastAsia="Microsoft JhengHei UI" w:hint="eastAsia"/>
                <w:b/>
                <w:sz w:val="16"/>
              </w:rPr>
            </w:pPr>
            <w:r>
              <w:rPr>
                <w:rFonts w:ascii="Microsoft JhengHei UI" w:eastAsia="Microsoft JhengHei UI" w:hint="eastAsia"/>
                <w:b/>
                <w:color w:val="FFFFFF"/>
                <w:sz w:val="16"/>
              </w:rPr>
              <w:t>省份</w:t>
            </w:r>
          </w:p>
        </w:tc>
        <w:tc>
          <w:tcPr>
            <w:tcW w:w="1296" w:type="dxa"/>
            <w:tcBorders>
              <w:left w:val="single" w:sz="4" w:space="0" w:color="000000"/>
              <w:bottom w:val="single" w:sz="4" w:space="0" w:color="000000"/>
              <w:right w:val="single" w:sz="4" w:space="0" w:color="000000"/>
            </w:tcBorders>
            <w:shd w:val="clear" w:color="auto" w:fill="C00000"/>
          </w:tcPr>
          <w:p>
            <w:pPr>
              <w:pStyle w:val="TableParagraph"/>
              <w:spacing w:line="243" w:lineRule="exact"/>
              <w:ind w:left="101"/>
              <w:rPr>
                <w:rFonts w:ascii="Microsoft JhengHei UI" w:eastAsia="Microsoft JhengHei UI" w:hint="eastAsia"/>
                <w:b/>
                <w:sz w:val="16"/>
              </w:rPr>
            </w:pPr>
            <w:r>
              <w:rPr>
                <w:rFonts w:ascii="Microsoft JhengHei UI" w:eastAsia="Microsoft JhengHei UI" w:hint="eastAsia"/>
                <w:b/>
                <w:color w:val="FFFFFF"/>
                <w:sz w:val="16"/>
              </w:rPr>
              <w:t>产品数量</w:t>
            </w:r>
          </w:p>
        </w:tc>
        <w:tc>
          <w:tcPr>
            <w:tcW w:w="1469" w:type="dxa"/>
            <w:tcBorders>
              <w:left w:val="single" w:sz="4" w:space="0" w:color="000000"/>
              <w:bottom w:val="single" w:sz="4" w:space="0" w:color="000000"/>
              <w:right w:val="single" w:sz="4" w:space="0" w:color="000000"/>
            </w:tcBorders>
            <w:shd w:val="clear" w:color="auto" w:fill="C00000"/>
          </w:tcPr>
          <w:p>
            <w:pPr>
              <w:pStyle w:val="TableParagraph"/>
              <w:spacing w:line="243" w:lineRule="exact"/>
              <w:ind w:left="106"/>
              <w:rPr>
                <w:rFonts w:ascii="Microsoft JhengHei UI" w:eastAsia="Microsoft JhengHei UI" w:hint="eastAsia"/>
                <w:b/>
                <w:sz w:val="16"/>
              </w:rPr>
            </w:pPr>
            <w:r>
              <w:rPr>
                <w:rFonts w:ascii="Microsoft JhengHei UI" w:eastAsia="Microsoft JhengHei UI" w:hint="eastAsia"/>
                <w:b/>
                <w:color w:val="FFFFFF"/>
                <w:sz w:val="16"/>
              </w:rPr>
              <w:t>省份</w:t>
            </w:r>
          </w:p>
        </w:tc>
        <w:tc>
          <w:tcPr>
            <w:tcW w:w="1302" w:type="dxa"/>
            <w:tcBorders>
              <w:left w:val="single" w:sz="4" w:space="0" w:color="000000"/>
              <w:bottom w:val="single" w:sz="4" w:space="0" w:color="000000"/>
              <w:right w:val="nil"/>
            </w:tcBorders>
            <w:shd w:val="clear" w:color="auto" w:fill="C00000"/>
          </w:tcPr>
          <w:p>
            <w:pPr>
              <w:pStyle w:val="TableParagraph"/>
              <w:spacing w:line="243" w:lineRule="exact"/>
              <w:ind w:left="107"/>
              <w:rPr>
                <w:rFonts w:ascii="Microsoft JhengHei UI" w:eastAsia="Microsoft JhengHei UI" w:hint="eastAsia"/>
                <w:b/>
                <w:sz w:val="16"/>
              </w:rPr>
            </w:pPr>
            <w:r>
              <w:rPr>
                <w:rFonts w:ascii="Microsoft JhengHei UI" w:eastAsia="Microsoft JhengHei UI" w:hint="eastAsia"/>
                <w:b/>
                <w:color w:val="FFFFFF"/>
                <w:sz w:val="16"/>
              </w:rPr>
              <w:t>产品数量</w:t>
            </w:r>
          </w:p>
        </w:tc>
      </w:tr>
      <w:tr>
        <w:trPr>
          <w:trHeight w:val="268" w:hRule="atLeast"/>
        </w:trPr>
        <w:tc>
          <w:tcPr>
            <w:tcW w:w="1301" w:type="dxa"/>
            <w:tcBorders>
              <w:top w:val="single" w:sz="4" w:space="0" w:color="000000"/>
              <w:left w:val="nil"/>
              <w:bottom w:val="single" w:sz="4" w:space="0" w:color="000000"/>
              <w:right w:val="single" w:sz="4" w:space="0" w:color="000000"/>
            </w:tcBorders>
          </w:tcPr>
          <w:p>
            <w:pPr>
              <w:pStyle w:val="TableParagraph"/>
              <w:spacing w:line="217" w:lineRule="exact" w:before="32"/>
              <w:ind w:left="110"/>
              <w:rPr>
                <w:rFonts w:ascii="PMingLiU" w:eastAsia="PMingLiU" w:hint="eastAsia"/>
                <w:sz w:val="16"/>
              </w:rPr>
            </w:pPr>
            <w:r>
              <w:rPr>
                <w:rFonts w:ascii="PMingLiU" w:eastAsia="PMingLiU" w:hint="eastAsia"/>
                <w:sz w:val="16"/>
              </w:rPr>
              <w:t>安徽</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80"/>
              <w:ind w:left="105"/>
              <w:rPr>
                <w:sz w:val="16"/>
              </w:rPr>
            </w:pPr>
            <w:r>
              <w:rPr>
                <w:w w:val="98"/>
                <w:sz w:val="16"/>
              </w:rPr>
              <w:t>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before="32"/>
              <w:ind w:left="101"/>
              <w:rPr>
                <w:rFonts w:ascii="PMingLiU" w:eastAsia="PMingLiU" w:hint="eastAsia"/>
                <w:sz w:val="16"/>
              </w:rPr>
            </w:pPr>
            <w:r>
              <w:rPr>
                <w:rFonts w:ascii="PMingLiU" w:eastAsia="PMingLiU" w:hint="eastAsia"/>
                <w:sz w:val="16"/>
              </w:rPr>
              <w:t>湖南</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80"/>
              <w:ind w:left="101"/>
              <w:rPr>
                <w:sz w:val="16"/>
              </w:rPr>
            </w:pPr>
            <w:r>
              <w:rPr>
                <w:w w:val="98"/>
                <w:sz w:val="16"/>
              </w:rPr>
              <w:t>7</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before="32"/>
              <w:ind w:left="106"/>
              <w:rPr>
                <w:rFonts w:ascii="PMingLiU" w:eastAsia="PMingLiU" w:hint="eastAsia"/>
                <w:sz w:val="16"/>
              </w:rPr>
            </w:pPr>
            <w:r>
              <w:rPr>
                <w:rFonts w:ascii="PMingLiU" w:eastAsia="PMingLiU" w:hint="eastAsia"/>
                <w:sz w:val="16"/>
              </w:rPr>
              <w:t>宁夏</w:t>
            </w:r>
          </w:p>
        </w:tc>
        <w:tc>
          <w:tcPr>
            <w:tcW w:w="1302" w:type="dxa"/>
            <w:tcBorders>
              <w:top w:val="single" w:sz="4" w:space="0" w:color="000000"/>
              <w:left w:val="single" w:sz="4" w:space="0" w:color="000000"/>
              <w:bottom w:val="single" w:sz="4" w:space="0" w:color="000000"/>
              <w:right w:val="nil"/>
            </w:tcBorders>
          </w:tcPr>
          <w:p>
            <w:pPr>
              <w:pStyle w:val="TableParagraph"/>
              <w:spacing w:line="168" w:lineRule="exact" w:before="80"/>
              <w:ind w:left="107"/>
              <w:rPr>
                <w:sz w:val="16"/>
              </w:rPr>
            </w:pPr>
            <w:r>
              <w:rPr>
                <w:w w:val="98"/>
                <w:sz w:val="16"/>
              </w:rPr>
              <w:t>1</w:t>
            </w:r>
          </w:p>
        </w:tc>
      </w:tr>
      <w:tr>
        <w:trPr>
          <w:trHeight w:val="263" w:hRule="atLeast"/>
        </w:trPr>
        <w:tc>
          <w:tcPr>
            <w:tcW w:w="1301" w:type="dxa"/>
            <w:tcBorders>
              <w:top w:val="single" w:sz="4" w:space="0" w:color="000000"/>
              <w:left w:val="nil"/>
              <w:bottom w:val="single" w:sz="4" w:space="0" w:color="000000"/>
              <w:right w:val="single" w:sz="4" w:space="0" w:color="000000"/>
            </w:tcBorders>
          </w:tcPr>
          <w:p>
            <w:pPr>
              <w:pStyle w:val="TableParagraph"/>
              <w:spacing w:line="217" w:lineRule="exact" w:before="27"/>
              <w:ind w:left="110"/>
              <w:rPr>
                <w:rFonts w:ascii="PMingLiU" w:eastAsia="PMingLiU" w:hint="eastAsia"/>
                <w:sz w:val="16"/>
              </w:rPr>
            </w:pPr>
            <w:r>
              <w:rPr>
                <w:rFonts w:ascii="PMingLiU" w:eastAsia="PMingLiU" w:hint="eastAsia"/>
                <w:sz w:val="16"/>
              </w:rPr>
              <w:t>北京</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before="80"/>
              <w:ind w:left="105"/>
              <w:rPr>
                <w:sz w:val="16"/>
              </w:rPr>
            </w:pPr>
            <w:r>
              <w:rPr>
                <w:w w:val="98"/>
                <w:sz w:val="16"/>
              </w:rPr>
              <w:t>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before="27"/>
              <w:ind w:left="101"/>
              <w:rPr>
                <w:rFonts w:ascii="PMingLiU" w:eastAsia="PMingLiU" w:hint="eastAsia"/>
                <w:sz w:val="16"/>
              </w:rPr>
            </w:pPr>
            <w:r>
              <w:rPr>
                <w:rFonts w:ascii="PMingLiU" w:eastAsia="PMingLiU" w:hint="eastAsia"/>
                <w:sz w:val="16"/>
              </w:rPr>
              <w:t>湖北</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before="80"/>
              <w:ind w:left="101"/>
              <w:rPr>
                <w:sz w:val="16"/>
              </w:rPr>
            </w:pPr>
            <w:r>
              <w:rPr>
                <w:w w:val="98"/>
                <w:sz w:val="16"/>
              </w:rPr>
              <w:t>2</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before="27"/>
              <w:ind w:left="106"/>
              <w:rPr>
                <w:rFonts w:ascii="PMingLiU" w:eastAsia="PMingLiU" w:hint="eastAsia"/>
                <w:sz w:val="16"/>
              </w:rPr>
            </w:pPr>
            <w:r>
              <w:rPr>
                <w:rFonts w:ascii="PMingLiU" w:eastAsia="PMingLiU" w:hint="eastAsia"/>
                <w:sz w:val="16"/>
              </w:rPr>
              <w:t>上海</w:t>
            </w:r>
          </w:p>
        </w:tc>
        <w:tc>
          <w:tcPr>
            <w:tcW w:w="1302" w:type="dxa"/>
            <w:tcBorders>
              <w:top w:val="single" w:sz="4" w:space="0" w:color="000000"/>
              <w:left w:val="single" w:sz="4" w:space="0" w:color="000000"/>
              <w:bottom w:val="single" w:sz="4" w:space="0" w:color="000000"/>
              <w:right w:val="nil"/>
            </w:tcBorders>
          </w:tcPr>
          <w:p>
            <w:pPr>
              <w:pStyle w:val="TableParagraph"/>
              <w:spacing w:line="163" w:lineRule="exact" w:before="80"/>
              <w:ind w:left="107"/>
              <w:rPr>
                <w:sz w:val="16"/>
              </w:rPr>
            </w:pPr>
            <w:r>
              <w:rPr>
                <w:w w:val="98"/>
                <w:sz w:val="16"/>
              </w:rPr>
              <w:t>1</w:t>
            </w:r>
          </w:p>
        </w:tc>
      </w:tr>
      <w:tr>
        <w:trPr>
          <w:trHeight w:val="263" w:hRule="atLeast"/>
        </w:trPr>
        <w:tc>
          <w:tcPr>
            <w:tcW w:w="1301" w:type="dxa"/>
            <w:tcBorders>
              <w:top w:val="single" w:sz="4" w:space="0" w:color="000000"/>
              <w:left w:val="nil"/>
              <w:bottom w:val="single" w:sz="4" w:space="0" w:color="000000"/>
              <w:right w:val="single" w:sz="4" w:space="0" w:color="000000"/>
            </w:tcBorders>
          </w:tcPr>
          <w:p>
            <w:pPr>
              <w:pStyle w:val="TableParagraph"/>
              <w:spacing w:line="212" w:lineRule="exact" w:before="31"/>
              <w:ind w:left="110"/>
              <w:rPr>
                <w:rFonts w:ascii="PMingLiU" w:eastAsia="PMingLiU" w:hint="eastAsia"/>
                <w:sz w:val="16"/>
              </w:rPr>
            </w:pPr>
            <w:r>
              <w:rPr>
                <w:rFonts w:ascii="PMingLiU" w:eastAsia="PMingLiU" w:hint="eastAsia"/>
                <w:sz w:val="16"/>
              </w:rPr>
              <w:t>重庆</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before="80"/>
              <w:ind w:left="105"/>
              <w:rPr>
                <w:sz w:val="16"/>
              </w:rPr>
            </w:pPr>
            <w:r>
              <w:rPr>
                <w:w w:val="98"/>
                <w:sz w:val="16"/>
              </w:rPr>
              <w:t>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before="31"/>
              <w:ind w:left="101"/>
              <w:rPr>
                <w:rFonts w:ascii="PMingLiU" w:eastAsia="PMingLiU" w:hint="eastAsia"/>
                <w:sz w:val="16"/>
              </w:rPr>
            </w:pPr>
            <w:r>
              <w:rPr>
                <w:rFonts w:ascii="PMingLiU" w:eastAsia="PMingLiU" w:hint="eastAsia"/>
                <w:sz w:val="16"/>
              </w:rPr>
              <w:t>河南</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before="80"/>
              <w:ind w:left="101"/>
              <w:rPr>
                <w:sz w:val="16"/>
              </w:rPr>
            </w:pPr>
            <w:r>
              <w:rPr>
                <w:w w:val="98"/>
                <w:sz w:val="16"/>
              </w:rPr>
              <w:t>5</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before="31"/>
              <w:ind w:left="106"/>
              <w:rPr>
                <w:rFonts w:ascii="PMingLiU" w:eastAsia="PMingLiU" w:hint="eastAsia"/>
                <w:sz w:val="16"/>
              </w:rPr>
            </w:pPr>
            <w:r>
              <w:rPr>
                <w:rFonts w:ascii="PMingLiU" w:eastAsia="PMingLiU" w:hint="eastAsia"/>
                <w:sz w:val="16"/>
              </w:rPr>
              <w:t>四川</w:t>
            </w:r>
          </w:p>
        </w:tc>
        <w:tc>
          <w:tcPr>
            <w:tcW w:w="1302" w:type="dxa"/>
            <w:tcBorders>
              <w:top w:val="single" w:sz="4" w:space="0" w:color="000000"/>
              <w:left w:val="single" w:sz="4" w:space="0" w:color="000000"/>
              <w:bottom w:val="single" w:sz="4" w:space="0" w:color="000000"/>
              <w:right w:val="nil"/>
            </w:tcBorders>
          </w:tcPr>
          <w:p>
            <w:pPr>
              <w:pStyle w:val="TableParagraph"/>
              <w:spacing w:line="163" w:lineRule="exact" w:before="80"/>
              <w:ind w:left="107"/>
              <w:rPr>
                <w:sz w:val="16"/>
              </w:rPr>
            </w:pPr>
            <w:r>
              <w:rPr>
                <w:w w:val="98"/>
                <w:sz w:val="16"/>
              </w:rPr>
              <w:t>9</w:t>
            </w:r>
          </w:p>
        </w:tc>
      </w:tr>
      <w:tr>
        <w:trPr>
          <w:trHeight w:val="263" w:hRule="atLeast"/>
        </w:trPr>
        <w:tc>
          <w:tcPr>
            <w:tcW w:w="1301" w:type="dxa"/>
            <w:tcBorders>
              <w:top w:val="single" w:sz="4" w:space="0" w:color="000000"/>
              <w:left w:val="nil"/>
              <w:bottom w:val="single" w:sz="4" w:space="0" w:color="000000"/>
              <w:right w:val="single" w:sz="4" w:space="0" w:color="000000"/>
            </w:tcBorders>
          </w:tcPr>
          <w:p>
            <w:pPr>
              <w:pStyle w:val="TableParagraph"/>
              <w:spacing w:line="212" w:lineRule="exact" w:before="31"/>
              <w:ind w:left="110"/>
              <w:rPr>
                <w:rFonts w:ascii="PMingLiU" w:eastAsia="PMingLiU" w:hint="eastAsia"/>
                <w:sz w:val="16"/>
              </w:rPr>
            </w:pPr>
            <w:r>
              <w:rPr>
                <w:rFonts w:ascii="PMingLiU" w:eastAsia="PMingLiU" w:hint="eastAsia"/>
                <w:sz w:val="16"/>
              </w:rPr>
              <w:t>福建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before="80"/>
              <w:ind w:left="105"/>
              <w:rPr>
                <w:sz w:val="16"/>
              </w:rPr>
            </w:pPr>
            <w:r>
              <w:rPr>
                <w:w w:val="98"/>
                <w:sz w:val="16"/>
              </w:rPr>
              <w:t>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before="31"/>
              <w:ind w:left="101"/>
              <w:rPr>
                <w:rFonts w:ascii="PMingLiU" w:eastAsia="PMingLiU" w:hint="eastAsia"/>
                <w:sz w:val="16"/>
              </w:rPr>
            </w:pPr>
            <w:r>
              <w:rPr>
                <w:rFonts w:ascii="PMingLiU" w:eastAsia="PMingLiU" w:hint="eastAsia"/>
                <w:sz w:val="16"/>
              </w:rPr>
              <w:t>河北</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before="80"/>
              <w:ind w:left="101"/>
              <w:rPr>
                <w:sz w:val="16"/>
              </w:rPr>
            </w:pPr>
            <w:r>
              <w:rPr>
                <w:w w:val="98"/>
                <w:sz w:val="16"/>
              </w:rPr>
              <w:t>2</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before="31"/>
              <w:ind w:left="106"/>
              <w:rPr>
                <w:rFonts w:ascii="PMingLiU" w:eastAsia="PMingLiU" w:hint="eastAsia"/>
                <w:sz w:val="16"/>
              </w:rPr>
            </w:pPr>
            <w:r>
              <w:rPr>
                <w:rFonts w:ascii="PMingLiU" w:eastAsia="PMingLiU" w:hint="eastAsia"/>
                <w:sz w:val="16"/>
              </w:rPr>
              <w:t>山东</w:t>
            </w:r>
          </w:p>
        </w:tc>
        <w:tc>
          <w:tcPr>
            <w:tcW w:w="1302" w:type="dxa"/>
            <w:tcBorders>
              <w:top w:val="single" w:sz="4" w:space="0" w:color="000000"/>
              <w:left w:val="single" w:sz="4" w:space="0" w:color="000000"/>
              <w:bottom w:val="single" w:sz="4" w:space="0" w:color="000000"/>
              <w:right w:val="nil"/>
            </w:tcBorders>
          </w:tcPr>
          <w:p>
            <w:pPr>
              <w:pStyle w:val="TableParagraph"/>
              <w:spacing w:line="163" w:lineRule="exact" w:before="80"/>
              <w:ind w:left="107"/>
              <w:rPr>
                <w:sz w:val="16"/>
              </w:rPr>
            </w:pPr>
            <w:r>
              <w:rPr>
                <w:sz w:val="16"/>
              </w:rPr>
              <w:t>12</w:t>
            </w:r>
          </w:p>
        </w:tc>
      </w:tr>
      <w:tr>
        <w:trPr>
          <w:trHeight w:val="268" w:hRule="atLeast"/>
        </w:trPr>
        <w:tc>
          <w:tcPr>
            <w:tcW w:w="1301" w:type="dxa"/>
            <w:tcBorders>
              <w:top w:val="single" w:sz="4" w:space="0" w:color="000000"/>
              <w:left w:val="nil"/>
              <w:bottom w:val="single" w:sz="4" w:space="0" w:color="000000"/>
              <w:right w:val="single" w:sz="4" w:space="0" w:color="000000"/>
            </w:tcBorders>
          </w:tcPr>
          <w:p>
            <w:pPr>
              <w:pStyle w:val="TableParagraph"/>
              <w:spacing w:line="217" w:lineRule="exact" w:before="32"/>
              <w:ind w:left="110"/>
              <w:rPr>
                <w:rFonts w:ascii="PMingLiU" w:eastAsia="PMingLiU" w:hint="eastAsia"/>
                <w:sz w:val="16"/>
              </w:rPr>
            </w:pPr>
            <w:r>
              <w:rPr>
                <w:rFonts w:ascii="PMingLiU" w:eastAsia="PMingLiU" w:hint="eastAsia"/>
                <w:sz w:val="16"/>
              </w:rPr>
              <w:t>广东</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80"/>
              <w:ind w:left="105"/>
              <w:rPr>
                <w:sz w:val="16"/>
              </w:rPr>
            </w:pPr>
            <w:r>
              <w:rPr>
                <w:sz w:val="16"/>
              </w:rPr>
              <w:t>19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before="32"/>
              <w:ind w:left="101"/>
              <w:rPr>
                <w:rFonts w:ascii="PMingLiU" w:eastAsia="PMingLiU" w:hint="eastAsia"/>
                <w:sz w:val="16"/>
              </w:rPr>
            </w:pPr>
            <w:r>
              <w:rPr>
                <w:rFonts w:ascii="PMingLiU" w:eastAsia="PMingLiU" w:hint="eastAsia"/>
                <w:sz w:val="16"/>
              </w:rPr>
              <w:t>海南</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80"/>
              <w:ind w:left="101"/>
              <w:rPr>
                <w:sz w:val="16"/>
              </w:rPr>
            </w:pPr>
            <w:r>
              <w:rPr>
                <w:w w:val="98"/>
                <w:sz w:val="16"/>
              </w:rPr>
              <w:t>3</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before="32"/>
              <w:ind w:left="106"/>
              <w:rPr>
                <w:rFonts w:ascii="PMingLiU" w:eastAsia="PMingLiU" w:hint="eastAsia"/>
                <w:sz w:val="16"/>
              </w:rPr>
            </w:pPr>
            <w:r>
              <w:rPr>
                <w:rFonts w:ascii="PMingLiU" w:eastAsia="PMingLiU" w:hint="eastAsia"/>
                <w:sz w:val="16"/>
              </w:rPr>
              <w:t>山西</w:t>
            </w:r>
          </w:p>
        </w:tc>
        <w:tc>
          <w:tcPr>
            <w:tcW w:w="1302" w:type="dxa"/>
            <w:tcBorders>
              <w:top w:val="single" w:sz="4" w:space="0" w:color="000000"/>
              <w:left w:val="single" w:sz="4" w:space="0" w:color="000000"/>
              <w:bottom w:val="single" w:sz="4" w:space="0" w:color="000000"/>
              <w:right w:val="nil"/>
            </w:tcBorders>
          </w:tcPr>
          <w:p>
            <w:pPr>
              <w:pStyle w:val="TableParagraph"/>
              <w:spacing w:line="168" w:lineRule="exact" w:before="80"/>
              <w:ind w:left="107"/>
              <w:rPr>
                <w:sz w:val="16"/>
              </w:rPr>
            </w:pPr>
            <w:r>
              <w:rPr>
                <w:w w:val="98"/>
                <w:sz w:val="16"/>
              </w:rPr>
              <w:t>2</w:t>
            </w:r>
          </w:p>
        </w:tc>
      </w:tr>
      <w:tr>
        <w:trPr>
          <w:trHeight w:val="263" w:hRule="atLeast"/>
        </w:trPr>
        <w:tc>
          <w:tcPr>
            <w:tcW w:w="1301" w:type="dxa"/>
            <w:tcBorders>
              <w:top w:val="single" w:sz="4" w:space="0" w:color="000000"/>
              <w:left w:val="nil"/>
              <w:bottom w:val="single" w:sz="4" w:space="0" w:color="000000"/>
              <w:right w:val="single" w:sz="4" w:space="0" w:color="000000"/>
            </w:tcBorders>
          </w:tcPr>
          <w:p>
            <w:pPr>
              <w:pStyle w:val="TableParagraph"/>
              <w:spacing w:line="212" w:lineRule="exact" w:before="32"/>
              <w:ind w:left="110"/>
              <w:rPr>
                <w:rFonts w:ascii="PMingLiU" w:eastAsia="PMingLiU" w:hint="eastAsia"/>
                <w:sz w:val="16"/>
              </w:rPr>
            </w:pPr>
            <w:r>
              <w:rPr>
                <w:rFonts w:ascii="PMingLiU" w:eastAsia="PMingLiU" w:hint="eastAsia"/>
                <w:sz w:val="16"/>
              </w:rPr>
              <w:t>广西</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before="80"/>
              <w:ind w:left="105"/>
              <w:rPr>
                <w:sz w:val="16"/>
              </w:rPr>
            </w:pPr>
            <w:r>
              <w:rPr>
                <w:w w:val="98"/>
                <w:sz w:val="16"/>
              </w:rPr>
              <w:t>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before="32"/>
              <w:ind w:left="101"/>
              <w:rPr>
                <w:rFonts w:ascii="PMingLiU" w:eastAsia="PMingLiU" w:hint="eastAsia"/>
                <w:sz w:val="16"/>
              </w:rPr>
            </w:pPr>
            <w:r>
              <w:rPr>
                <w:rFonts w:ascii="PMingLiU" w:eastAsia="PMingLiU" w:hint="eastAsia"/>
                <w:sz w:val="16"/>
              </w:rPr>
              <w:t>江苏</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before="80"/>
              <w:ind w:left="101"/>
              <w:rPr>
                <w:sz w:val="16"/>
              </w:rPr>
            </w:pPr>
            <w:r>
              <w:rPr>
                <w:sz w:val="16"/>
              </w:rPr>
              <w:t>20</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before="32"/>
              <w:ind w:left="106"/>
              <w:rPr>
                <w:rFonts w:ascii="PMingLiU" w:eastAsia="PMingLiU" w:hint="eastAsia"/>
                <w:sz w:val="16"/>
              </w:rPr>
            </w:pPr>
            <w:r>
              <w:rPr>
                <w:rFonts w:ascii="PMingLiU" w:eastAsia="PMingLiU" w:hint="eastAsia"/>
                <w:sz w:val="16"/>
              </w:rPr>
              <w:t>天津</w:t>
            </w:r>
          </w:p>
        </w:tc>
        <w:tc>
          <w:tcPr>
            <w:tcW w:w="1302" w:type="dxa"/>
            <w:tcBorders>
              <w:top w:val="single" w:sz="4" w:space="0" w:color="000000"/>
              <w:left w:val="single" w:sz="4" w:space="0" w:color="000000"/>
              <w:bottom w:val="single" w:sz="4" w:space="0" w:color="000000"/>
              <w:right w:val="nil"/>
            </w:tcBorders>
          </w:tcPr>
          <w:p>
            <w:pPr>
              <w:pStyle w:val="TableParagraph"/>
              <w:spacing w:line="163" w:lineRule="exact" w:before="80"/>
              <w:ind w:left="107"/>
              <w:rPr>
                <w:sz w:val="16"/>
              </w:rPr>
            </w:pPr>
            <w:r>
              <w:rPr>
                <w:w w:val="98"/>
                <w:sz w:val="16"/>
              </w:rPr>
              <w:t>2</w:t>
            </w:r>
          </w:p>
        </w:tc>
      </w:tr>
      <w:tr>
        <w:trPr>
          <w:trHeight w:val="263" w:hRule="atLeast"/>
        </w:trPr>
        <w:tc>
          <w:tcPr>
            <w:tcW w:w="1301" w:type="dxa"/>
            <w:tcBorders>
              <w:top w:val="single" w:sz="4" w:space="0" w:color="000000"/>
              <w:left w:val="nil"/>
              <w:bottom w:val="single" w:sz="4" w:space="0" w:color="000000"/>
              <w:right w:val="single" w:sz="4" w:space="0" w:color="000000"/>
            </w:tcBorders>
          </w:tcPr>
          <w:p>
            <w:pPr>
              <w:pStyle w:val="TableParagraph"/>
              <w:spacing w:line="212" w:lineRule="exact" w:before="31"/>
              <w:ind w:left="110"/>
              <w:rPr>
                <w:rFonts w:ascii="PMingLiU" w:eastAsia="PMingLiU" w:hint="eastAsia"/>
                <w:sz w:val="16"/>
              </w:rPr>
            </w:pPr>
            <w:r>
              <w:rPr>
                <w:rFonts w:ascii="PMingLiU" w:eastAsia="PMingLiU" w:hint="eastAsia"/>
                <w:sz w:val="16"/>
              </w:rPr>
              <w:t>贵州</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before="80"/>
              <w:ind w:left="105"/>
              <w:rPr>
                <w:sz w:val="16"/>
              </w:rPr>
            </w:pPr>
            <w:r>
              <w:rPr>
                <w:w w:val="98"/>
                <w:sz w:val="16"/>
              </w:rPr>
              <w:t>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before="31"/>
              <w:ind w:left="101"/>
              <w:rPr>
                <w:rFonts w:ascii="PMingLiU" w:eastAsia="PMingLiU" w:hint="eastAsia"/>
                <w:sz w:val="16"/>
              </w:rPr>
            </w:pPr>
            <w:r>
              <w:rPr>
                <w:rFonts w:ascii="PMingLiU" w:eastAsia="PMingLiU" w:hint="eastAsia"/>
                <w:sz w:val="16"/>
              </w:rPr>
              <w:t>吉林</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63" w:lineRule="exact" w:before="80"/>
              <w:ind w:left="101"/>
              <w:rPr>
                <w:sz w:val="16"/>
              </w:rPr>
            </w:pPr>
            <w:r>
              <w:rPr>
                <w:w w:val="98"/>
                <w:sz w:val="16"/>
              </w:rPr>
              <w:t>1</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before="31"/>
              <w:ind w:left="106"/>
              <w:rPr>
                <w:rFonts w:ascii="PMingLiU" w:eastAsia="PMingLiU" w:hint="eastAsia"/>
                <w:sz w:val="16"/>
              </w:rPr>
            </w:pPr>
            <w:r>
              <w:rPr>
                <w:rFonts w:ascii="PMingLiU" w:eastAsia="PMingLiU" w:hint="eastAsia"/>
                <w:sz w:val="16"/>
              </w:rPr>
              <w:t>云南</w:t>
            </w:r>
          </w:p>
        </w:tc>
        <w:tc>
          <w:tcPr>
            <w:tcW w:w="1302" w:type="dxa"/>
            <w:tcBorders>
              <w:top w:val="single" w:sz="4" w:space="0" w:color="000000"/>
              <w:left w:val="single" w:sz="4" w:space="0" w:color="000000"/>
              <w:bottom w:val="single" w:sz="4" w:space="0" w:color="000000"/>
              <w:right w:val="nil"/>
            </w:tcBorders>
          </w:tcPr>
          <w:p>
            <w:pPr>
              <w:pStyle w:val="TableParagraph"/>
              <w:spacing w:line="163" w:lineRule="exact" w:before="80"/>
              <w:ind w:left="107"/>
              <w:rPr>
                <w:sz w:val="16"/>
              </w:rPr>
            </w:pPr>
            <w:r>
              <w:rPr>
                <w:w w:val="98"/>
                <w:sz w:val="16"/>
              </w:rPr>
              <w:t>1</w:t>
            </w:r>
          </w:p>
        </w:tc>
      </w:tr>
      <w:tr>
        <w:trPr>
          <w:trHeight w:val="268" w:hRule="atLeast"/>
        </w:trPr>
        <w:tc>
          <w:tcPr>
            <w:tcW w:w="1301" w:type="dxa"/>
            <w:tcBorders>
              <w:top w:val="single" w:sz="4" w:space="0" w:color="000000"/>
              <w:left w:val="nil"/>
              <w:bottom w:val="single" w:sz="4" w:space="0" w:color="000000"/>
              <w:right w:val="single" w:sz="4" w:space="0" w:color="000000"/>
            </w:tcBorders>
          </w:tcPr>
          <w:p>
            <w:pPr>
              <w:pStyle w:val="TableParagraph"/>
              <w:spacing w:line="217" w:lineRule="exact" w:before="31"/>
              <w:ind w:left="110"/>
              <w:rPr>
                <w:rFonts w:ascii="PMingLiU" w:eastAsia="PMingLiU" w:hint="eastAsia"/>
                <w:sz w:val="16"/>
              </w:rPr>
            </w:pPr>
            <w:r>
              <w:rPr>
                <w:rFonts w:ascii="PMingLiU" w:eastAsia="PMingLiU" w:hint="eastAsia"/>
                <w:sz w:val="16"/>
              </w:rPr>
              <w:t>甘肃</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80"/>
              <w:ind w:left="105"/>
              <w:rPr>
                <w:sz w:val="16"/>
              </w:rPr>
            </w:pPr>
            <w:r>
              <w:rPr>
                <w:w w:val="98"/>
                <w:sz w:val="16"/>
              </w:rPr>
              <w:t>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before="31"/>
              <w:ind w:left="101"/>
              <w:rPr>
                <w:rFonts w:ascii="PMingLiU" w:eastAsia="PMingLiU" w:hint="eastAsia"/>
                <w:sz w:val="16"/>
              </w:rPr>
            </w:pPr>
            <w:r>
              <w:rPr>
                <w:rFonts w:ascii="PMingLiU" w:eastAsia="PMingLiU" w:hint="eastAsia"/>
                <w:sz w:val="16"/>
              </w:rPr>
              <w:t>江西</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80"/>
              <w:ind w:left="101"/>
              <w:rPr>
                <w:sz w:val="16"/>
              </w:rPr>
            </w:pPr>
            <w:r>
              <w:rPr>
                <w:w w:val="98"/>
                <w:sz w:val="16"/>
              </w:rPr>
              <w:t>5</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before="31"/>
              <w:ind w:left="106"/>
              <w:rPr>
                <w:rFonts w:ascii="PMingLiU" w:eastAsia="PMingLiU" w:hint="eastAsia"/>
                <w:sz w:val="16"/>
              </w:rPr>
            </w:pPr>
            <w:r>
              <w:rPr>
                <w:rFonts w:ascii="PMingLiU" w:eastAsia="PMingLiU" w:hint="eastAsia"/>
                <w:sz w:val="16"/>
              </w:rPr>
              <w:t>浙江</w:t>
            </w:r>
          </w:p>
        </w:tc>
        <w:tc>
          <w:tcPr>
            <w:tcW w:w="1302" w:type="dxa"/>
            <w:tcBorders>
              <w:top w:val="single" w:sz="4" w:space="0" w:color="000000"/>
              <w:left w:val="single" w:sz="4" w:space="0" w:color="000000"/>
              <w:bottom w:val="single" w:sz="4" w:space="0" w:color="000000"/>
              <w:right w:val="nil"/>
            </w:tcBorders>
          </w:tcPr>
          <w:p>
            <w:pPr>
              <w:pStyle w:val="TableParagraph"/>
              <w:spacing w:line="168" w:lineRule="exact" w:before="80"/>
              <w:ind w:left="107"/>
              <w:rPr>
                <w:sz w:val="16"/>
              </w:rPr>
            </w:pPr>
            <w:r>
              <w:rPr>
                <w:sz w:val="16"/>
              </w:rPr>
              <w:t>16</w:t>
            </w:r>
          </w:p>
        </w:tc>
      </w:tr>
      <w:tr>
        <w:trPr>
          <w:trHeight w:val="263" w:hRule="atLeast"/>
        </w:trPr>
        <w:tc>
          <w:tcPr>
            <w:tcW w:w="1301" w:type="dxa"/>
            <w:tcBorders>
              <w:top w:val="single" w:sz="4" w:space="0" w:color="000000"/>
              <w:left w:val="nil"/>
              <w:right w:val="single" w:sz="4" w:space="0" w:color="000000"/>
            </w:tcBorders>
          </w:tcPr>
          <w:p>
            <w:pPr>
              <w:pStyle w:val="TableParagraph"/>
              <w:spacing w:line="216" w:lineRule="exact" w:before="27"/>
              <w:ind w:left="110"/>
              <w:rPr>
                <w:rFonts w:ascii="PMingLiU" w:eastAsia="PMingLiU" w:hint="eastAsia"/>
                <w:sz w:val="16"/>
              </w:rPr>
            </w:pPr>
            <w:r>
              <w:rPr>
                <w:rFonts w:ascii="PMingLiU" w:eastAsia="PMingLiU" w:hint="eastAsia"/>
                <w:sz w:val="16"/>
              </w:rPr>
              <w:t>黑龙江</w:t>
            </w:r>
          </w:p>
        </w:tc>
        <w:tc>
          <w:tcPr>
            <w:tcW w:w="1301" w:type="dxa"/>
            <w:tcBorders>
              <w:top w:val="single" w:sz="4" w:space="0" w:color="000000"/>
              <w:left w:val="single" w:sz="4" w:space="0" w:color="000000"/>
              <w:right w:val="single" w:sz="4" w:space="0" w:color="000000"/>
            </w:tcBorders>
          </w:tcPr>
          <w:p>
            <w:pPr>
              <w:pStyle w:val="TableParagraph"/>
              <w:spacing w:line="163" w:lineRule="exact" w:before="80"/>
              <w:ind w:left="105"/>
              <w:rPr>
                <w:sz w:val="16"/>
              </w:rPr>
            </w:pPr>
            <w:r>
              <w:rPr>
                <w:w w:val="98"/>
                <w:sz w:val="16"/>
              </w:rPr>
              <w:t>1</w:t>
            </w:r>
          </w:p>
        </w:tc>
        <w:tc>
          <w:tcPr>
            <w:tcW w:w="1301" w:type="dxa"/>
            <w:tcBorders>
              <w:top w:val="single" w:sz="4" w:space="0" w:color="000000"/>
              <w:left w:val="single" w:sz="4" w:space="0" w:color="000000"/>
              <w:right w:val="single" w:sz="4" w:space="0" w:color="000000"/>
            </w:tcBorders>
          </w:tcPr>
          <w:p>
            <w:pPr>
              <w:pStyle w:val="TableParagraph"/>
              <w:spacing w:line="216" w:lineRule="exact" w:before="27"/>
              <w:ind w:left="101"/>
              <w:rPr>
                <w:rFonts w:ascii="PMingLiU" w:eastAsia="PMingLiU" w:hint="eastAsia"/>
                <w:sz w:val="16"/>
              </w:rPr>
            </w:pPr>
            <w:r>
              <w:rPr>
                <w:rFonts w:ascii="PMingLiU" w:eastAsia="PMingLiU" w:hint="eastAsia"/>
                <w:sz w:val="16"/>
              </w:rPr>
              <w:t>辽宁</w:t>
            </w:r>
          </w:p>
        </w:tc>
        <w:tc>
          <w:tcPr>
            <w:tcW w:w="1296" w:type="dxa"/>
            <w:tcBorders>
              <w:top w:val="single" w:sz="4" w:space="0" w:color="000000"/>
              <w:left w:val="single" w:sz="4" w:space="0" w:color="000000"/>
              <w:right w:val="single" w:sz="4" w:space="0" w:color="000000"/>
            </w:tcBorders>
          </w:tcPr>
          <w:p>
            <w:pPr>
              <w:pStyle w:val="TableParagraph"/>
              <w:spacing w:line="163" w:lineRule="exact" w:before="80"/>
              <w:ind w:left="101"/>
              <w:rPr>
                <w:sz w:val="16"/>
              </w:rPr>
            </w:pPr>
            <w:r>
              <w:rPr>
                <w:w w:val="98"/>
                <w:sz w:val="16"/>
              </w:rPr>
              <w:t>5</w:t>
            </w:r>
          </w:p>
        </w:tc>
        <w:tc>
          <w:tcPr>
            <w:tcW w:w="1469" w:type="dxa"/>
            <w:tcBorders>
              <w:top w:val="single" w:sz="4" w:space="0" w:color="000000"/>
              <w:left w:val="single" w:sz="4" w:space="0" w:color="000000"/>
              <w:right w:val="single" w:sz="4" w:space="0" w:color="000000"/>
            </w:tcBorders>
          </w:tcPr>
          <w:p>
            <w:pPr>
              <w:pStyle w:val="TableParagraph"/>
              <w:spacing w:line="216" w:lineRule="exact" w:before="27"/>
              <w:ind w:left="106"/>
              <w:rPr>
                <w:rFonts w:ascii="PMingLiU" w:eastAsia="PMingLiU" w:hint="eastAsia"/>
                <w:sz w:val="16"/>
              </w:rPr>
            </w:pPr>
            <w:r>
              <w:rPr>
                <w:rFonts w:ascii="PMingLiU" w:eastAsia="PMingLiU" w:hint="eastAsia"/>
                <w:sz w:val="16"/>
              </w:rPr>
              <w:t>全国版产品</w:t>
            </w:r>
          </w:p>
        </w:tc>
        <w:tc>
          <w:tcPr>
            <w:tcW w:w="1302" w:type="dxa"/>
            <w:tcBorders>
              <w:top w:val="single" w:sz="4" w:space="0" w:color="000000"/>
              <w:left w:val="single" w:sz="4" w:space="0" w:color="000000"/>
              <w:right w:val="nil"/>
            </w:tcBorders>
          </w:tcPr>
          <w:p>
            <w:pPr>
              <w:pStyle w:val="TableParagraph"/>
              <w:spacing w:line="163" w:lineRule="exact" w:before="80"/>
              <w:ind w:left="107"/>
              <w:rPr>
                <w:sz w:val="16"/>
              </w:rPr>
            </w:pPr>
            <w:r>
              <w:rPr>
                <w:w w:val="98"/>
                <w:sz w:val="16"/>
              </w:rPr>
              <w:t>5</w:t>
            </w:r>
          </w:p>
        </w:tc>
      </w:tr>
    </w:tbl>
    <w:p>
      <w:pPr>
        <w:spacing w:line="252" w:lineRule="auto" w:before="17"/>
        <w:ind w:left="210" w:right="5152" w:firstLine="0"/>
        <w:jc w:val="left"/>
        <w:rPr>
          <w:sz w:val="16"/>
        </w:rPr>
      </w:pPr>
      <w:r>
        <w:rPr>
          <w:sz w:val="16"/>
        </w:rPr>
        <w:t>资料来源</w:t>
      </w:r>
      <w:r>
        <w:rPr>
          <w:rFonts w:ascii="Arial" w:eastAsia="Arial"/>
          <w:sz w:val="16"/>
        </w:rPr>
        <w:t>: </w:t>
      </w:r>
      <w:r>
        <w:rPr>
          <w:sz w:val="16"/>
        </w:rPr>
        <w:t>《</w:t>
      </w:r>
      <w:r>
        <w:rPr>
          <w:rFonts w:ascii="Arial" w:eastAsia="Arial"/>
          <w:sz w:val="16"/>
        </w:rPr>
        <w:t>2021 </w:t>
      </w:r>
      <w:r>
        <w:rPr>
          <w:sz w:val="16"/>
        </w:rPr>
        <w:t>城市定制型商业医疗保险 </w:t>
      </w:r>
      <w:r>
        <w:rPr>
          <w:rFonts w:ascii="Arial" w:eastAsia="Arial"/>
          <w:sz w:val="16"/>
        </w:rPr>
        <w:t>(</w:t>
      </w:r>
      <w:r>
        <w:rPr>
          <w:sz w:val="16"/>
        </w:rPr>
        <w:t>惠民保</w:t>
      </w:r>
      <w:r>
        <w:rPr>
          <w:rFonts w:ascii="Arial" w:eastAsia="Arial"/>
          <w:sz w:val="16"/>
        </w:rPr>
        <w:t>) </w:t>
      </w:r>
      <w:r>
        <w:rPr>
          <w:sz w:val="16"/>
        </w:rPr>
        <w:t>知识图谱》</w:t>
      </w:r>
      <w:r>
        <w:rPr>
          <w:rFonts w:ascii="Arial" w:eastAsia="Arial"/>
          <w:sz w:val="16"/>
        </w:rPr>
        <w:t>, </w:t>
      </w:r>
      <w:r>
        <w:rPr>
          <w:sz w:val="16"/>
        </w:rPr>
        <w:t>招银国际证券注：数据截至 </w:t>
      </w:r>
      <w:r>
        <w:rPr>
          <w:rFonts w:ascii="Arial" w:eastAsia="Arial"/>
          <w:sz w:val="16"/>
        </w:rPr>
        <w:t>2021 </w:t>
      </w:r>
      <w:r>
        <w:rPr>
          <w:sz w:val="16"/>
        </w:rPr>
        <w:t>年 </w:t>
      </w:r>
      <w:r>
        <w:rPr>
          <w:rFonts w:ascii="Arial" w:eastAsia="Arial"/>
          <w:sz w:val="16"/>
        </w:rPr>
        <w:t>5 </w:t>
      </w:r>
      <w:r>
        <w:rPr>
          <w:sz w:val="16"/>
        </w:rPr>
        <w:t>月 </w:t>
      </w:r>
      <w:r>
        <w:rPr>
          <w:rFonts w:ascii="Arial" w:eastAsia="Arial"/>
          <w:sz w:val="16"/>
        </w:rPr>
        <w:t>31 </w:t>
      </w:r>
      <w:r>
        <w:rPr>
          <w:sz w:val="16"/>
        </w:rPr>
        <w:t>日</w:t>
      </w:r>
    </w:p>
    <w:p>
      <w:pPr>
        <w:pStyle w:val="BodyText"/>
        <w:spacing w:before="11"/>
        <w:ind w:left="0"/>
        <w:rPr>
          <w:sz w:val="27"/>
        </w:rPr>
      </w:pPr>
    </w:p>
    <w:p>
      <w:pPr>
        <w:pStyle w:val="BodyText"/>
        <w:spacing w:line="285" w:lineRule="auto"/>
        <w:ind w:right="2819"/>
        <w:jc w:val="both"/>
      </w:pPr>
      <w:r>
        <w:rPr/>
        <w:t>作为一种普惠性补充医疗保险，惠民保为参保人提供了更高层次的医疗费用报销，弥补了多层次医疗保障体系缺口，其主要特点包括，</w:t>
      </w:r>
      <w:r>
        <w:rPr>
          <w:rFonts w:ascii="Arial" w:eastAsia="Arial"/>
        </w:rPr>
        <w:t>1) </w:t>
      </w:r>
      <w:r>
        <w:rPr/>
        <w:t>低保费，各地惠民保的年保费基本在几十元到一二百元区间，全国平均不足百元，保费远低于普通商业健康险及百万医疗；</w:t>
      </w:r>
      <w:r>
        <w:rPr>
          <w:rFonts w:ascii="Arial" w:eastAsia="Arial"/>
        </w:rPr>
        <w:t>2) </w:t>
      </w:r>
      <w:r>
        <w:rPr/>
        <w:t>低门</w:t>
      </w:r>
    </w:p>
    <w:p>
      <w:pPr>
        <w:spacing w:after="0" w:line="285" w:lineRule="auto"/>
        <w:jc w:val="both"/>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617"/>
      </w:pPr>
      <w:r>
        <w:rPr/>
        <w:t>槛，全国各地惠民保基本不限年龄、不限健康，接受带病体参保；</w:t>
      </w:r>
      <w:r>
        <w:rPr>
          <w:rFonts w:ascii="Arial" w:eastAsia="Arial"/>
        </w:rPr>
        <w:t>3)  </w:t>
      </w:r>
      <w:r>
        <w:rPr/>
        <w:t>高保额，在全国平均保费不到百元的情况，惠民保保额基本都高达百万元，最高可达三百万元以上；</w:t>
      </w:r>
      <w:r>
        <w:rPr>
          <w:rFonts w:ascii="Arial" w:eastAsia="Arial"/>
        </w:rPr>
        <w:t>4) </w:t>
      </w:r>
      <w:r>
        <w:rPr/>
        <w:t>广覆盖， 绝大部分惠民保规定只要参加基本医疗保险，均有资格参加惠民保。</w:t>
      </w:r>
    </w:p>
    <w:p>
      <w:pPr>
        <w:pStyle w:val="BodyText"/>
        <w:spacing w:line="288" w:lineRule="auto" w:before="117"/>
        <w:ind w:right="2812"/>
        <w:jc w:val="both"/>
      </w:pPr>
      <w:r>
        <w:rPr/>
        <w:t>以上海</w:t>
      </w:r>
      <w:r>
        <w:rPr>
          <w:rFonts w:ascii="Arial" w:hAnsi="Arial" w:eastAsia="Arial"/>
        </w:rPr>
        <w:t>“</w:t>
      </w:r>
      <w:r>
        <w:rPr>
          <w:spacing w:val="-2"/>
        </w:rPr>
        <w:t>沪惠保</w:t>
      </w:r>
      <w:r>
        <w:rPr>
          <w:rFonts w:ascii="Arial" w:hAnsi="Arial" w:eastAsia="Arial"/>
          <w:spacing w:val="-5"/>
        </w:rPr>
        <w:t>”</w:t>
      </w:r>
      <w:r>
        <w:rPr>
          <w:spacing w:val="-1"/>
        </w:rPr>
        <w:t>为例，自 </w:t>
      </w:r>
      <w:r>
        <w:rPr>
          <w:rFonts w:ascii="Arial" w:hAnsi="Arial" w:eastAsia="Arial"/>
        </w:rPr>
        <w:t>2021 </w:t>
      </w:r>
      <w:r>
        <w:rPr>
          <w:spacing w:val="3"/>
        </w:rPr>
        <w:t>年 </w:t>
      </w:r>
      <w:r>
        <w:rPr>
          <w:rFonts w:ascii="Arial" w:hAnsi="Arial" w:eastAsia="Arial"/>
        </w:rPr>
        <w:t>4 </w:t>
      </w:r>
      <w:r>
        <w:rPr>
          <w:spacing w:val="3"/>
        </w:rPr>
        <w:t>月 </w:t>
      </w:r>
      <w:r>
        <w:rPr>
          <w:rFonts w:ascii="Arial" w:hAnsi="Arial" w:eastAsia="Arial"/>
        </w:rPr>
        <w:t>27 </w:t>
      </w:r>
      <w:r>
        <w:rPr>
          <w:spacing w:val="-1"/>
        </w:rPr>
        <w:t>日上线至 </w:t>
      </w:r>
      <w:r>
        <w:rPr>
          <w:rFonts w:ascii="Arial" w:hAnsi="Arial" w:eastAsia="Arial"/>
        </w:rPr>
        <w:t>6 </w:t>
      </w:r>
      <w:r>
        <w:rPr/>
        <w:t>月 </w:t>
      </w:r>
      <w:r>
        <w:rPr>
          <w:rFonts w:ascii="Arial" w:hAnsi="Arial" w:eastAsia="Arial"/>
        </w:rPr>
        <w:t>30 </w:t>
      </w:r>
      <w:r>
        <w:rPr>
          <w:spacing w:val="-5"/>
        </w:rPr>
        <w:t>日年度投保通道关闭，参保人数</w:t>
      </w:r>
      <w:r>
        <w:rPr>
          <w:spacing w:val="7"/>
        </w:rPr>
        <w:t>累计超 </w:t>
      </w:r>
      <w:r>
        <w:rPr>
          <w:rFonts w:ascii="Arial" w:hAnsi="Arial" w:eastAsia="Arial"/>
        </w:rPr>
        <w:t>739 </w:t>
      </w:r>
      <w:r>
        <w:rPr>
          <w:spacing w:val="3"/>
        </w:rPr>
        <w:t>万人，参保率达 </w:t>
      </w:r>
      <w:r>
        <w:rPr>
          <w:rFonts w:ascii="Arial" w:hAnsi="Arial" w:eastAsia="Arial"/>
        </w:rPr>
        <w:t>38.5%</w:t>
      </w:r>
      <w:r>
        <w:rPr>
          <w:spacing w:val="-6"/>
        </w:rPr>
        <w:t>。沪惠保不限制参保人的健康状况，有既往手术史及既</w:t>
      </w:r>
      <w:r>
        <w:rPr>
          <w:spacing w:val="-3"/>
        </w:rPr>
        <w:t>往症人群均可投保。从实际投保人群看，约 </w:t>
      </w:r>
      <w:r>
        <w:rPr>
          <w:rFonts w:ascii="Arial" w:hAnsi="Arial" w:eastAsia="Arial"/>
          <w:spacing w:val="-2"/>
        </w:rPr>
        <w:t>97%</w:t>
      </w:r>
      <w:r>
        <w:rPr>
          <w:spacing w:val="-3"/>
        </w:rPr>
        <w:t>的参保人为健康人，</w:t>
      </w:r>
      <w:r>
        <w:rPr>
          <w:rFonts w:ascii="Arial" w:hAnsi="Arial" w:eastAsia="Arial"/>
        </w:rPr>
        <w:t>3%</w:t>
      </w:r>
      <w:r>
        <w:rPr>
          <w:spacing w:val="-4"/>
        </w:rPr>
        <w:t>为既往症患者。沪惠保可 </w:t>
      </w:r>
      <w:r>
        <w:rPr>
          <w:rFonts w:ascii="Arial" w:hAnsi="Arial" w:eastAsia="Arial"/>
        </w:rPr>
        <w:t>100%</w:t>
      </w:r>
      <w:r>
        <w:rPr>
          <w:spacing w:val="-2"/>
        </w:rPr>
        <w:t>报销 </w:t>
      </w:r>
      <w:r>
        <w:rPr>
          <w:rFonts w:ascii="Arial" w:hAnsi="Arial" w:eastAsia="Arial"/>
        </w:rPr>
        <w:t>21 </w:t>
      </w:r>
      <w:r>
        <w:rPr>
          <w:spacing w:val="-3"/>
        </w:rPr>
        <w:t>种自费药，最高报销金额达 </w:t>
      </w:r>
      <w:r>
        <w:rPr>
          <w:rFonts w:ascii="Arial" w:hAnsi="Arial" w:eastAsia="Arial"/>
        </w:rPr>
        <w:t>100 </w:t>
      </w:r>
      <w:r>
        <w:rPr/>
        <w:t>万元。</w:t>
      </w:r>
    </w:p>
    <w:p>
      <w:pPr>
        <w:pStyle w:val="BodyText"/>
        <w:spacing w:line="288" w:lineRule="auto" w:before="117"/>
        <w:ind w:right="2815"/>
        <w:jc w:val="both"/>
      </w:pPr>
      <w:r>
        <w:rPr/>
        <w:t>根据新闻报道，</w:t>
      </w:r>
      <w:r>
        <w:rPr>
          <w:rFonts w:ascii="Arial" w:hAnsi="Arial" w:eastAsia="Arial"/>
        </w:rPr>
        <w:t>2022 </w:t>
      </w:r>
      <w:r>
        <w:rPr/>
        <w:t>年 </w:t>
      </w:r>
      <w:r>
        <w:rPr>
          <w:rFonts w:ascii="Arial" w:hAnsi="Arial" w:eastAsia="Arial"/>
        </w:rPr>
        <w:t>2 </w:t>
      </w:r>
      <w:r>
        <w:rPr/>
        <w:t>月 </w:t>
      </w:r>
      <w:r>
        <w:rPr>
          <w:rFonts w:ascii="Arial" w:hAnsi="Arial" w:eastAsia="Arial"/>
        </w:rPr>
        <w:t>17 </w:t>
      </w:r>
      <w:r>
        <w:rPr/>
        <w:t>日，</w:t>
      </w:r>
      <w:r>
        <w:rPr>
          <w:rFonts w:ascii="Arial" w:hAnsi="Arial" w:eastAsia="Arial"/>
        </w:rPr>
        <w:t>“</w:t>
      </w:r>
      <w:r>
        <w:rPr/>
        <w:t>北京京惠保</w:t>
      </w:r>
      <w:r>
        <w:rPr>
          <w:rFonts w:ascii="Arial" w:hAnsi="Arial" w:eastAsia="Arial"/>
        </w:rPr>
        <w:t>”</w:t>
      </w:r>
      <w:r>
        <w:rPr/>
        <w:t>完成首例 </w:t>
      </w:r>
      <w:r>
        <w:rPr>
          <w:rFonts w:ascii="Arial" w:hAnsi="Arial" w:eastAsia="Arial"/>
        </w:rPr>
        <w:t>CAR-T </w:t>
      </w:r>
      <w:r>
        <w:rPr/>
        <w:t>疗法理赔，患者收到理赔款 </w:t>
      </w:r>
      <w:r>
        <w:rPr>
          <w:rFonts w:ascii="Arial" w:hAnsi="Arial" w:eastAsia="Arial"/>
        </w:rPr>
        <w:t>100 </w:t>
      </w:r>
      <w:r>
        <w:rPr/>
        <w:t>万元。 </w:t>
      </w:r>
      <w:r>
        <w:rPr>
          <w:rFonts w:ascii="Arial" w:hAnsi="Arial" w:eastAsia="Arial"/>
        </w:rPr>
        <w:t>2022 </w:t>
      </w:r>
      <w:r>
        <w:rPr/>
        <w:t>年 </w:t>
      </w:r>
      <w:r>
        <w:rPr>
          <w:rFonts w:ascii="Arial" w:hAnsi="Arial" w:eastAsia="Arial"/>
        </w:rPr>
        <w:t>2 </w:t>
      </w:r>
      <w:r>
        <w:rPr/>
        <w:t>月 </w:t>
      </w:r>
      <w:r>
        <w:rPr>
          <w:rFonts w:ascii="Arial" w:hAnsi="Arial" w:eastAsia="Arial"/>
        </w:rPr>
        <w:t>21 </w:t>
      </w:r>
      <w:r>
        <w:rPr/>
        <w:t>日，</w:t>
      </w:r>
      <w:r>
        <w:rPr>
          <w:rFonts w:ascii="Arial" w:hAnsi="Arial" w:eastAsia="Arial"/>
        </w:rPr>
        <w:t>“</w:t>
      </w:r>
      <w:r>
        <w:rPr/>
        <w:t>西湖益联保</w:t>
      </w:r>
      <w:r>
        <w:rPr>
          <w:rFonts w:ascii="Arial" w:hAnsi="Arial" w:eastAsia="Arial"/>
        </w:rPr>
        <w:t>”</w:t>
      </w:r>
      <w:r>
        <w:rPr/>
        <w:t>完成首例</w:t>
      </w:r>
      <w:r>
        <w:rPr>
          <w:rFonts w:ascii="Arial" w:hAnsi="Arial" w:eastAsia="Arial"/>
        </w:rPr>
        <w:t>CAR-T </w:t>
      </w:r>
      <w:r>
        <w:rPr/>
        <w:t>疗法理赔，从递交纸质理赔材料开始，</w:t>
      </w:r>
      <w:r>
        <w:rPr>
          <w:rFonts w:ascii="Arial" w:hAnsi="Arial" w:eastAsia="Arial"/>
        </w:rPr>
        <w:t>24 </w:t>
      </w:r>
      <w:r>
        <w:rPr/>
        <w:t>小时内即获得 </w:t>
      </w:r>
      <w:r>
        <w:rPr>
          <w:rFonts w:ascii="Arial" w:hAnsi="Arial" w:eastAsia="Arial"/>
        </w:rPr>
        <w:t>100%</w:t>
      </w:r>
      <w:r>
        <w:rPr/>
        <w:t>专项保额赔付。</w:t>
      </w:r>
    </w:p>
    <w:p>
      <w:pPr>
        <w:spacing w:after="0" w:line="288" w:lineRule="auto"/>
        <w:jc w:val="both"/>
        <w:sectPr>
          <w:pgSz w:w="11910" w:h="16840"/>
          <w:pgMar w:header="682" w:footer="358" w:top="1380" w:bottom="540" w:left="640" w:right="300"/>
        </w:sectPr>
      </w:pPr>
    </w:p>
    <w:p>
      <w:pPr>
        <w:pStyle w:val="BodyText"/>
        <w:spacing w:before="9"/>
        <w:ind w:left="0"/>
        <w:rPr>
          <w:sz w:val="12"/>
        </w:rPr>
      </w:pPr>
    </w:p>
    <w:p>
      <w:pPr>
        <w:pStyle w:val="Heading1"/>
        <w:jc w:val="both"/>
      </w:pPr>
      <w:bookmarkStart w:name="_bookmark30" w:id="31"/>
      <w:bookmarkEnd w:id="31"/>
      <w:r>
        <w:rPr>
          <w:b w:val="0"/>
        </w:rPr>
      </w:r>
      <w:r>
        <w:rPr>
          <w:color w:val="C00000"/>
        </w:rPr>
        <w:t>总结篇：</w:t>
      </w:r>
      <w:r>
        <w:rPr>
          <w:rFonts w:ascii="Arial" w:eastAsia="Arial"/>
          <w:color w:val="C00000"/>
        </w:rPr>
        <w:t>CAR-T </w:t>
      </w:r>
      <w:r>
        <w:rPr>
          <w:color w:val="C00000"/>
        </w:rPr>
        <w:t>应用前景光明，国内企业进军全球市场</w:t>
      </w:r>
    </w:p>
    <w:p>
      <w:pPr>
        <w:pStyle w:val="BodyText"/>
        <w:spacing w:line="288" w:lineRule="auto" w:before="167"/>
        <w:ind w:right="2814"/>
        <w:jc w:val="both"/>
      </w:pPr>
      <w:r>
        <w:rPr/>
        <w:t>基于优异的疗效和治愈的潜力，</w:t>
      </w:r>
      <w:r>
        <w:rPr>
          <w:rFonts w:ascii="Arial" w:eastAsia="Arial"/>
        </w:rPr>
        <w:t>CAR-T </w:t>
      </w:r>
      <w:r>
        <w:rPr/>
        <w:t>一直被视为肿瘤免疫领域的下一代解决方案，具备极大的市场潜力。此前已上市自体 </w:t>
      </w:r>
      <w:r>
        <w:rPr>
          <w:rFonts w:ascii="Arial" w:eastAsia="Arial"/>
        </w:rPr>
        <w:t>CAR-T </w:t>
      </w:r>
      <w:r>
        <w:rPr/>
        <w:t>产品放量较慢，主要因为：</w:t>
      </w:r>
      <w:r>
        <w:rPr>
          <w:rFonts w:ascii="Arial" w:eastAsia="Arial"/>
        </w:rPr>
        <w:t>1) 2022 </w:t>
      </w:r>
      <w:r>
        <w:rPr/>
        <w:t>年前 </w:t>
      </w:r>
      <w:r>
        <w:rPr>
          <w:rFonts w:ascii="Arial" w:eastAsia="Arial"/>
        </w:rPr>
        <w:t>CAR-T </w:t>
      </w:r>
      <w:r>
        <w:rPr/>
        <w:t>产品仅获批末线适应症，覆盖患者少；</w:t>
      </w:r>
      <w:r>
        <w:rPr>
          <w:rFonts w:ascii="Arial" w:eastAsia="Arial"/>
        </w:rPr>
        <w:t>2) 2021 </w:t>
      </w:r>
      <w:r>
        <w:rPr/>
        <w:t>年前仅有靶向 </w:t>
      </w:r>
      <w:r>
        <w:rPr>
          <w:rFonts w:ascii="Arial" w:eastAsia="Arial"/>
        </w:rPr>
        <w:t>CD19 </w:t>
      </w:r>
      <w:r>
        <w:rPr/>
        <w:t>的 </w:t>
      </w:r>
      <w:r>
        <w:rPr>
          <w:rFonts w:ascii="Arial" w:eastAsia="Arial"/>
        </w:rPr>
        <w:t>CAR-T </w:t>
      </w:r>
      <w:r>
        <w:rPr/>
        <w:t>产品上市， 产品同质化严重；</w:t>
      </w:r>
      <w:r>
        <w:rPr>
          <w:rFonts w:ascii="Arial" w:eastAsia="Arial"/>
        </w:rPr>
        <w:t>3) </w:t>
      </w:r>
      <w:r>
        <w:rPr/>
        <w:t>高昂的生产成本导致高定价，患者可及性较差；</w:t>
      </w:r>
      <w:r>
        <w:rPr>
          <w:rFonts w:ascii="Arial" w:eastAsia="Arial"/>
        </w:rPr>
        <w:t>4) CAR-T </w:t>
      </w:r>
      <w:r>
        <w:rPr/>
        <w:t>生产流程复杂，产能释放慢。自 </w:t>
      </w:r>
      <w:r>
        <w:rPr>
          <w:rFonts w:ascii="Arial" w:eastAsia="Arial"/>
        </w:rPr>
        <w:t>2017 </w:t>
      </w:r>
      <w:r>
        <w:rPr/>
        <w:t>年首批两款 </w:t>
      </w:r>
      <w:r>
        <w:rPr>
          <w:rFonts w:ascii="Arial" w:eastAsia="Arial"/>
        </w:rPr>
        <w:t>CAR-T </w:t>
      </w:r>
      <w:r>
        <w:rPr/>
        <w:t>产品上市以来，</w:t>
      </w:r>
      <w:r>
        <w:rPr>
          <w:rFonts w:ascii="Arial" w:eastAsia="Arial"/>
        </w:rPr>
        <w:t>CAR-T </w:t>
      </w:r>
      <w:r>
        <w:rPr/>
        <w:t>正式获批已满五年， 随着平台升级迭代，适应症持续拓展，商业化走向成熟，</w:t>
      </w:r>
      <w:r>
        <w:rPr>
          <w:rFonts w:ascii="Arial" w:eastAsia="Arial"/>
        </w:rPr>
        <w:t>CAR-T </w:t>
      </w:r>
      <w:r>
        <w:rPr/>
        <w:t>行业发展前景值得关注。</w:t>
      </w:r>
    </w:p>
    <w:p>
      <w:pPr>
        <w:pStyle w:val="BodyText"/>
        <w:spacing w:line="288" w:lineRule="auto" w:before="113"/>
        <w:ind w:right="2810"/>
        <w:jc w:val="both"/>
      </w:pPr>
      <w:r>
        <w:rPr>
          <w:rFonts w:ascii="Arial" w:eastAsia="Arial"/>
        </w:rPr>
        <w:t>2022 </w:t>
      </w:r>
      <w:r>
        <w:rPr/>
        <w:t>年以来，全球 </w:t>
      </w:r>
      <w:r>
        <w:rPr>
          <w:rFonts w:ascii="Arial" w:eastAsia="Arial"/>
        </w:rPr>
        <w:t>CAR-T </w:t>
      </w:r>
      <w:r>
        <w:rPr/>
        <w:t>行业在血液瘤前线治疗、实体瘤治疗、同种异体治疗等多维度迎来逐个突破，国内方面，国产 </w:t>
      </w:r>
      <w:r>
        <w:rPr>
          <w:rFonts w:ascii="Arial" w:eastAsia="Arial"/>
        </w:rPr>
        <w:t>CAR-T </w:t>
      </w:r>
      <w:r>
        <w:rPr/>
        <w:t>研发走在世界前列。截至 </w:t>
      </w:r>
      <w:r>
        <w:rPr>
          <w:rFonts w:ascii="Arial" w:eastAsia="Arial"/>
        </w:rPr>
        <w:t>2022 </w:t>
      </w:r>
      <w:r>
        <w:rPr/>
        <w:t>年 </w:t>
      </w:r>
      <w:r>
        <w:rPr>
          <w:rFonts w:ascii="Arial" w:eastAsia="Arial"/>
        </w:rPr>
        <w:t>3 </w:t>
      </w:r>
      <w:r>
        <w:rPr/>
        <w:t>月，在中国开展的</w:t>
      </w:r>
      <w:r>
        <w:rPr>
          <w:rFonts w:ascii="Arial" w:eastAsia="Arial"/>
        </w:rPr>
        <w:t>CAR-T </w:t>
      </w:r>
      <w:r>
        <w:rPr/>
        <w:t>临床试验数量达到 </w:t>
      </w:r>
      <w:r>
        <w:rPr>
          <w:rFonts w:ascii="Arial" w:eastAsia="Arial"/>
        </w:rPr>
        <w:t>460 </w:t>
      </w:r>
      <w:r>
        <w:rPr/>
        <w:t>项，大幅领先于美国的 </w:t>
      </w:r>
      <w:r>
        <w:rPr>
          <w:rFonts w:ascii="Arial" w:eastAsia="Arial"/>
        </w:rPr>
        <w:t>286 </w:t>
      </w:r>
      <w:r>
        <w:rPr/>
        <w:t>项，一定程度上体现了国内</w:t>
      </w:r>
      <w:r>
        <w:rPr>
          <w:rFonts w:ascii="Arial" w:eastAsia="Arial"/>
        </w:rPr>
        <w:t>CAR-T </w:t>
      </w:r>
      <w:r>
        <w:rPr/>
        <w:t>研发在全球的领先地位。</w:t>
      </w:r>
    </w:p>
    <w:p>
      <w:pPr>
        <w:pStyle w:val="BodyText"/>
        <w:spacing w:line="288" w:lineRule="auto" w:before="118"/>
        <w:ind w:right="2809"/>
        <w:jc w:val="both"/>
      </w:pPr>
      <w:r>
        <w:rPr/>
        <w:t>目前多个中国本土企业开发的 </w:t>
      </w:r>
      <w:r>
        <w:rPr>
          <w:rFonts w:ascii="Arial" w:eastAsia="Arial"/>
        </w:rPr>
        <w:t>CAR-T </w:t>
      </w:r>
      <w:r>
        <w:rPr/>
        <w:t>产品具备全球 </w:t>
      </w:r>
      <w:r>
        <w:rPr>
          <w:rFonts w:ascii="Arial" w:eastAsia="Arial"/>
        </w:rPr>
        <w:t>First-in-class</w:t>
      </w:r>
      <w:r>
        <w:rPr>
          <w:rFonts w:ascii="Arial" w:eastAsia="Arial"/>
          <w:spacing w:val="15"/>
        </w:rPr>
        <w:t> (</w:t>
      </w:r>
      <w:r>
        <w:rPr>
          <w:rFonts w:ascii="Arial" w:eastAsia="Arial"/>
        </w:rPr>
        <w:t>FIC</w:t>
      </w:r>
      <w:r>
        <w:rPr>
          <w:rFonts w:ascii="Arial" w:eastAsia="Arial"/>
          <w:spacing w:val="13"/>
        </w:rPr>
        <w:t>) </w:t>
      </w:r>
      <w:r>
        <w:rPr>
          <w:spacing w:val="1"/>
        </w:rPr>
        <w:t>或 </w:t>
      </w:r>
      <w:r>
        <w:rPr>
          <w:rFonts w:ascii="Arial" w:eastAsia="Arial"/>
        </w:rPr>
        <w:t>Best-in-class (BIC)</w:t>
      </w:r>
      <w:r>
        <w:rPr>
          <w:spacing w:val="-5"/>
        </w:rPr>
        <w:t>的潜力。传奇生物的 </w:t>
      </w:r>
      <w:r>
        <w:rPr>
          <w:rFonts w:ascii="Arial" w:eastAsia="Arial"/>
        </w:rPr>
        <w:t>Cilta-cel </w:t>
      </w:r>
      <w:r>
        <w:rPr>
          <w:spacing w:val="-3"/>
        </w:rPr>
        <w:t>凭借接近 </w:t>
      </w:r>
      <w:r>
        <w:rPr>
          <w:rFonts w:ascii="Arial" w:eastAsia="Arial"/>
        </w:rPr>
        <w:t>100%</w:t>
      </w:r>
      <w:r>
        <w:rPr>
          <w:spacing w:val="-3"/>
        </w:rPr>
        <w:t>的 </w:t>
      </w:r>
      <w:r>
        <w:rPr>
          <w:rFonts w:ascii="Arial" w:eastAsia="Arial"/>
          <w:spacing w:val="-2"/>
        </w:rPr>
        <w:t>ORR </w:t>
      </w:r>
      <w:r>
        <w:rPr>
          <w:spacing w:val="-3"/>
        </w:rPr>
        <w:t>和优异的长期有效性数据，成为</w:t>
      </w:r>
      <w:r>
        <w:rPr>
          <w:spacing w:val="22"/>
        </w:rPr>
        <w:t>全球</w:t>
      </w:r>
      <w:r>
        <w:rPr>
          <w:rFonts w:ascii="Arial" w:eastAsia="Arial"/>
        </w:rPr>
        <w:t>BIC </w:t>
      </w:r>
      <w:r>
        <w:rPr>
          <w:spacing w:val="48"/>
        </w:rPr>
        <w:t>的</w:t>
      </w:r>
      <w:r>
        <w:rPr>
          <w:rFonts w:ascii="Arial" w:eastAsia="Arial"/>
        </w:rPr>
        <w:t>BCMA CAR-T</w:t>
      </w:r>
      <w:r>
        <w:rPr>
          <w:spacing w:val="-1"/>
        </w:rPr>
        <w:t>，并于今年 </w:t>
      </w:r>
      <w:r>
        <w:rPr>
          <w:rFonts w:ascii="Arial" w:eastAsia="Arial"/>
        </w:rPr>
        <w:t>2 </w:t>
      </w:r>
      <w:r>
        <w:rPr>
          <w:spacing w:val="-5"/>
        </w:rPr>
        <w:t>月成功出海，上市后商业化成绩优异。科济药业依托于前瞻性的靶点选择和产品设计，开发了全球潜在 </w:t>
      </w:r>
      <w:r>
        <w:rPr>
          <w:rFonts w:ascii="Arial" w:eastAsia="Arial"/>
          <w:spacing w:val="-3"/>
        </w:rPr>
        <w:t>FIC/ </w:t>
      </w:r>
      <w:r>
        <w:rPr>
          <w:rFonts w:ascii="Arial" w:eastAsia="Arial"/>
        </w:rPr>
        <w:t>BIC </w:t>
      </w:r>
      <w:r>
        <w:rPr>
          <w:spacing w:val="8"/>
        </w:rPr>
        <w:t>的 </w:t>
      </w:r>
      <w:r>
        <w:rPr>
          <w:rFonts w:ascii="Arial" w:eastAsia="Arial"/>
        </w:rPr>
        <w:t>Claudin18.2 CAR-T</w:t>
      </w:r>
      <w:r>
        <w:rPr/>
        <w:t>，有</w:t>
      </w:r>
      <w:r>
        <w:rPr>
          <w:spacing w:val="-1"/>
        </w:rPr>
        <w:t>望首次攻克实体瘤 </w:t>
      </w:r>
      <w:r>
        <w:rPr>
          <w:rFonts w:ascii="Arial" w:eastAsia="Arial"/>
        </w:rPr>
        <w:t>CAR-T </w:t>
      </w:r>
      <w:r>
        <w:rPr>
          <w:spacing w:val="-4"/>
        </w:rPr>
        <w:t>难题，目前该产品已经进入确证性 </w:t>
      </w:r>
      <w:r>
        <w:rPr>
          <w:rFonts w:ascii="Arial" w:eastAsia="Arial"/>
        </w:rPr>
        <w:t>II </w:t>
      </w:r>
      <w:r>
        <w:rPr>
          <w:spacing w:val="-5"/>
        </w:rPr>
        <w:t>期临床，接受输注的患者中</w:t>
      </w:r>
      <w:r>
        <w:rPr>
          <w:spacing w:val="8"/>
        </w:rPr>
        <w:t>已经出现</w:t>
      </w:r>
      <w:r>
        <w:rPr>
          <w:rFonts w:ascii="Arial" w:eastAsia="Arial"/>
        </w:rPr>
        <w:t>CR</w:t>
      </w:r>
      <w:r>
        <w:rPr/>
        <w:t>。</w:t>
      </w:r>
    </w:p>
    <w:p>
      <w:pPr>
        <w:pStyle w:val="BodyText"/>
        <w:spacing w:before="117"/>
        <w:jc w:val="both"/>
      </w:pPr>
      <w:r>
        <w:rPr/>
        <w:t>中国</w:t>
      </w:r>
      <w:r>
        <w:rPr>
          <w:rFonts w:ascii="Arial" w:eastAsia="Arial"/>
        </w:rPr>
        <w:t>CAR-T </w:t>
      </w:r>
      <w:r>
        <w:rPr/>
        <w:t>企业也在积极探索创新靶点和布局下一代</w:t>
      </w:r>
      <w:r>
        <w:rPr>
          <w:rFonts w:ascii="Arial" w:eastAsia="Arial"/>
        </w:rPr>
        <w:t>CAR-T </w:t>
      </w:r>
      <w:r>
        <w:rPr/>
        <w:t>技术平台：</w:t>
      </w:r>
    </w:p>
    <w:p>
      <w:pPr>
        <w:pStyle w:val="BodyText"/>
        <w:spacing w:line="285" w:lineRule="auto" w:before="177"/>
        <w:ind w:right="2814"/>
        <w:jc w:val="both"/>
      </w:pPr>
      <w:r>
        <w:rPr/>
        <w:t>传奇生物在 </w:t>
      </w:r>
      <w:r>
        <w:rPr>
          <w:rFonts w:ascii="Arial" w:eastAsia="Arial"/>
        </w:rPr>
        <w:t>2021 </w:t>
      </w:r>
      <w:r>
        <w:rPr/>
        <w:t>年 </w:t>
      </w:r>
      <w:r>
        <w:rPr>
          <w:rFonts w:ascii="Arial" w:eastAsia="Arial"/>
        </w:rPr>
        <w:t>10 </w:t>
      </w:r>
      <w:r>
        <w:rPr/>
        <w:t>月的研发日披露其在 </w:t>
      </w:r>
      <w:r>
        <w:rPr>
          <w:rFonts w:ascii="Arial" w:eastAsia="Arial"/>
        </w:rPr>
        <w:t>Claudin18.2</w:t>
      </w:r>
      <w:r>
        <w:rPr/>
        <w:t>、</w:t>
      </w:r>
      <w:r>
        <w:rPr>
          <w:rFonts w:ascii="Arial" w:eastAsia="Arial"/>
        </w:rPr>
        <w:t>GPC3 </w:t>
      </w:r>
      <w:r>
        <w:rPr/>
        <w:t>和 </w:t>
      </w:r>
      <w:r>
        <w:rPr>
          <w:rFonts w:ascii="Arial" w:eastAsia="Arial"/>
        </w:rPr>
        <w:t>DLL-3 </w:t>
      </w:r>
      <w:r>
        <w:rPr/>
        <w:t>靶点的实体瘤</w:t>
      </w:r>
      <w:r>
        <w:rPr>
          <w:rFonts w:ascii="Arial" w:eastAsia="Arial"/>
        </w:rPr>
        <w:t>CAR-T </w:t>
      </w:r>
      <w:r>
        <w:rPr/>
        <w:t>产品布局，目前其靶向 </w:t>
      </w:r>
      <w:r>
        <w:rPr>
          <w:rFonts w:ascii="Arial" w:eastAsia="Arial"/>
        </w:rPr>
        <w:t>CLDN18.2 </w:t>
      </w:r>
      <w:r>
        <w:rPr/>
        <w:t>的 </w:t>
      </w:r>
      <w:r>
        <w:rPr>
          <w:rFonts w:ascii="Arial" w:eastAsia="Arial"/>
        </w:rPr>
        <w:t>CAR-T </w:t>
      </w:r>
      <w:r>
        <w:rPr/>
        <w:t>产品 </w:t>
      </w:r>
      <w:r>
        <w:rPr>
          <w:rFonts w:ascii="Arial" w:eastAsia="Arial"/>
        </w:rPr>
        <w:t>LB1908 </w:t>
      </w:r>
      <w:r>
        <w:rPr/>
        <w:t>已经获得 </w:t>
      </w:r>
      <w:r>
        <w:rPr>
          <w:rFonts w:ascii="Arial" w:eastAsia="Arial"/>
        </w:rPr>
        <w:t>IND </w:t>
      </w:r>
      <w:r>
        <w:rPr/>
        <w:t>批件。公司也披露了其同种异体非基因编辑</w:t>
      </w:r>
      <w:r>
        <w:rPr>
          <w:rFonts w:ascii="Arial" w:eastAsia="Arial"/>
        </w:rPr>
        <w:t>LUCAR </w:t>
      </w:r>
      <w:r>
        <w:rPr/>
        <w:t>平台及通过</w:t>
      </w:r>
      <w:r>
        <w:rPr>
          <w:rFonts w:ascii="Arial" w:eastAsia="Arial"/>
        </w:rPr>
        <w:t>LGkine </w:t>
      </w:r>
      <w:r>
        <w:rPr/>
        <w:t>武装的</w:t>
      </w:r>
      <w:r>
        <w:rPr>
          <w:rFonts w:ascii="Arial" w:eastAsia="Arial"/>
        </w:rPr>
        <w:t>CAR-NK </w:t>
      </w:r>
      <w:r>
        <w:rPr/>
        <w:t>平台。</w:t>
      </w:r>
    </w:p>
    <w:p>
      <w:pPr>
        <w:pStyle w:val="BodyText"/>
        <w:spacing w:line="288" w:lineRule="auto" w:before="125"/>
        <w:ind w:right="2810"/>
        <w:jc w:val="both"/>
      </w:pPr>
      <w:r>
        <w:rPr>
          <w:spacing w:val="-2"/>
        </w:rPr>
        <w:t>科济药业在实体瘤 </w:t>
      </w:r>
      <w:r>
        <w:rPr>
          <w:rFonts w:ascii="Arial" w:hAnsi="Arial" w:eastAsia="Arial"/>
        </w:rPr>
        <w:t>CAR-T </w:t>
      </w:r>
      <w:r>
        <w:rPr>
          <w:spacing w:val="-4"/>
        </w:rPr>
        <w:t>领域的进展全球领先，目前已有 </w:t>
      </w:r>
      <w:r>
        <w:rPr>
          <w:rFonts w:ascii="Arial" w:hAnsi="Arial" w:eastAsia="Arial"/>
        </w:rPr>
        <w:t>Claudin18.2 </w:t>
      </w:r>
      <w:r>
        <w:rPr>
          <w:spacing w:val="3"/>
        </w:rPr>
        <w:t>和 </w:t>
      </w:r>
      <w:r>
        <w:rPr>
          <w:rFonts w:ascii="Arial" w:hAnsi="Arial" w:eastAsia="Arial"/>
        </w:rPr>
        <w:t>GPC3 </w:t>
      </w:r>
      <w:r>
        <w:rPr>
          <w:spacing w:val="-2"/>
        </w:rPr>
        <w:t>两个靶点相关产品进入临床研究阶段，其中靶向</w:t>
      </w:r>
      <w:r>
        <w:rPr>
          <w:rFonts w:ascii="Arial" w:hAnsi="Arial" w:eastAsia="Arial"/>
        </w:rPr>
        <w:t>Claudin18.2 </w:t>
      </w:r>
      <w:r>
        <w:rPr>
          <w:spacing w:val="43"/>
        </w:rPr>
        <w:t>的</w:t>
      </w:r>
      <w:r>
        <w:rPr>
          <w:rFonts w:ascii="Arial" w:hAnsi="Arial" w:eastAsia="Arial"/>
        </w:rPr>
        <w:t>CAR-T </w:t>
      </w:r>
      <w:r>
        <w:rPr>
          <w:spacing w:val="24"/>
        </w:rPr>
        <w:t>产品</w:t>
      </w:r>
      <w:r>
        <w:rPr>
          <w:rFonts w:ascii="Arial" w:hAnsi="Arial" w:eastAsia="Arial"/>
        </w:rPr>
        <w:t>CT041 </w:t>
      </w:r>
      <w:r>
        <w:rPr>
          <w:spacing w:val="-2"/>
        </w:rPr>
        <w:t>已经进入注册临</w:t>
      </w:r>
      <w:r>
        <w:rPr>
          <w:spacing w:val="-3"/>
        </w:rPr>
        <w:t>床阶段。此外，公司也在积极开展</w:t>
      </w:r>
      <w:r>
        <w:rPr>
          <w:rFonts w:ascii="Arial" w:hAnsi="Arial" w:eastAsia="Arial"/>
        </w:rPr>
        <w:t>EGFR/EGFRvIII </w:t>
      </w:r>
      <w:r>
        <w:rPr>
          <w:spacing w:val="33"/>
        </w:rPr>
        <w:t>和</w:t>
      </w:r>
      <w:r>
        <w:rPr>
          <w:rFonts w:ascii="Arial" w:hAnsi="Arial" w:eastAsia="Arial"/>
        </w:rPr>
        <w:t>MSLN </w:t>
      </w:r>
      <w:r>
        <w:rPr>
          <w:spacing w:val="-3"/>
        </w:rPr>
        <w:t>靶点相关产品的早期研究。平</w:t>
      </w:r>
      <w:r>
        <w:rPr>
          <w:spacing w:val="-2"/>
        </w:rPr>
        <w:t>台方面，公司自主开发了共表达</w:t>
      </w:r>
      <w:r>
        <w:rPr>
          <w:rFonts w:ascii="Arial" w:hAnsi="Arial" w:eastAsia="Arial"/>
        </w:rPr>
        <w:t>IL7 </w:t>
      </w:r>
      <w:r>
        <w:rPr>
          <w:spacing w:val="43"/>
        </w:rPr>
        <w:t>和</w:t>
      </w:r>
      <w:r>
        <w:rPr>
          <w:rFonts w:ascii="Arial" w:hAnsi="Arial" w:eastAsia="Arial"/>
        </w:rPr>
        <w:t>CCL21 </w:t>
      </w:r>
      <w:r>
        <w:rPr>
          <w:spacing w:val="7"/>
        </w:rPr>
        <w:t>的实体瘤平台</w:t>
      </w:r>
      <w:r>
        <w:rPr>
          <w:rFonts w:ascii="Arial" w:hAnsi="Arial" w:eastAsia="Arial"/>
        </w:rPr>
        <w:t>CycloCAR</w:t>
      </w:r>
      <w:r>
        <w:rPr>
          <w:spacing w:val="-2"/>
        </w:rPr>
        <w:t>、保留完整 </w:t>
      </w:r>
      <w:r>
        <w:rPr>
          <w:rFonts w:ascii="Arial" w:hAnsi="Arial" w:eastAsia="Arial"/>
        </w:rPr>
        <w:t>TCR </w:t>
      </w:r>
      <w:r>
        <w:rPr/>
        <w:t>复</w:t>
      </w:r>
      <w:r>
        <w:rPr>
          <w:spacing w:val="9"/>
          <w:w w:val="100"/>
        </w:rPr>
        <w:t>合体的平台</w:t>
      </w:r>
      <w:r>
        <w:rPr>
          <w:rFonts w:ascii="Arial" w:hAnsi="Arial" w:eastAsia="Arial"/>
          <w:spacing w:val="-5"/>
          <w:w w:val="100"/>
        </w:rPr>
        <w:t>s</w:t>
      </w:r>
      <w:r>
        <w:rPr>
          <w:rFonts w:ascii="Arial" w:hAnsi="Arial" w:eastAsia="Arial"/>
          <w:spacing w:val="-4"/>
          <w:w w:val="100"/>
        </w:rPr>
        <w:t>F</w:t>
      </w:r>
      <w:r>
        <w:rPr>
          <w:rFonts w:ascii="Arial" w:hAnsi="Arial" w:eastAsia="Arial"/>
          <w:spacing w:val="4"/>
          <w:w w:val="100"/>
        </w:rPr>
        <w:t>v</w:t>
      </w:r>
      <w:r>
        <w:rPr>
          <w:rFonts w:ascii="Arial" w:hAnsi="Arial" w:eastAsia="Arial"/>
          <w:spacing w:val="-5"/>
          <w:w w:val="100"/>
        </w:rPr>
        <w:t>-</w:t>
      </w:r>
      <w:r>
        <w:rPr>
          <w:w w:val="37"/>
        </w:rPr>
        <w:t>ε</w:t>
      </w:r>
      <w:r>
        <w:rPr/>
        <w:t> </w:t>
      </w:r>
      <w:r>
        <w:rPr>
          <w:rFonts w:ascii="Arial" w:hAnsi="Arial" w:eastAsia="Arial"/>
          <w:spacing w:val="1"/>
          <w:w w:val="100"/>
        </w:rPr>
        <w:t>T</w:t>
      </w:r>
      <w:r>
        <w:rPr>
          <w:spacing w:val="1"/>
          <w:w w:val="100"/>
        </w:rPr>
        <w:t>、差异化思路的通用型</w:t>
      </w:r>
      <w:r>
        <w:rPr>
          <w:rFonts w:ascii="Arial" w:hAnsi="Arial" w:eastAsia="Arial"/>
          <w:spacing w:val="-2"/>
          <w:w w:val="100"/>
        </w:rPr>
        <w:t>C</w:t>
      </w:r>
      <w:r>
        <w:rPr>
          <w:rFonts w:ascii="Arial" w:hAnsi="Arial" w:eastAsia="Arial"/>
          <w:spacing w:val="-1"/>
          <w:w w:val="100"/>
        </w:rPr>
        <w:t>A</w:t>
      </w:r>
      <w:r>
        <w:rPr>
          <w:rFonts w:ascii="Arial" w:hAnsi="Arial" w:eastAsia="Arial"/>
          <w:spacing w:val="-2"/>
          <w:w w:val="100"/>
        </w:rPr>
        <w:t>R</w:t>
      </w:r>
      <w:r>
        <w:rPr>
          <w:rFonts w:ascii="Arial" w:hAnsi="Arial" w:eastAsia="Arial"/>
          <w:spacing w:val="-5"/>
          <w:w w:val="100"/>
        </w:rPr>
        <w:t>-</w:t>
      </w:r>
      <w:r>
        <w:rPr>
          <w:rFonts w:ascii="Arial" w:hAnsi="Arial" w:eastAsia="Arial"/>
          <w:w w:val="100"/>
        </w:rPr>
        <w:t>T</w:t>
      </w:r>
      <w:r>
        <w:rPr>
          <w:rFonts w:ascii="Arial" w:hAnsi="Arial" w:eastAsia="Arial"/>
        </w:rPr>
        <w:t> </w:t>
      </w:r>
      <w:r>
        <w:rPr>
          <w:spacing w:val="21"/>
          <w:w w:val="100"/>
        </w:rPr>
        <w:t>平台</w:t>
      </w:r>
      <w:r>
        <w:rPr>
          <w:rFonts w:ascii="Arial" w:hAnsi="Arial" w:eastAsia="Arial"/>
          <w:spacing w:val="1"/>
          <w:w w:val="100"/>
        </w:rPr>
        <w:t>T</w:t>
      </w:r>
      <w:r>
        <w:rPr>
          <w:rFonts w:ascii="Arial" w:hAnsi="Arial" w:eastAsia="Arial"/>
          <w:spacing w:val="-2"/>
          <w:w w:val="100"/>
        </w:rPr>
        <w:t>H</w:t>
      </w:r>
      <w:r>
        <w:rPr>
          <w:rFonts w:ascii="Arial" w:hAnsi="Arial" w:eastAsia="Arial"/>
          <w:w w:val="100"/>
        </w:rPr>
        <w:t>A</w:t>
      </w:r>
      <w:r>
        <w:rPr>
          <w:rFonts w:ascii="Arial" w:hAnsi="Arial" w:eastAsia="Arial"/>
          <w:spacing w:val="-2"/>
          <w:w w:val="100"/>
        </w:rPr>
        <w:t>N</w:t>
      </w:r>
      <w:r>
        <w:rPr>
          <w:rFonts w:ascii="Arial" w:hAnsi="Arial" w:eastAsia="Arial"/>
          <w:w w:val="100"/>
        </w:rPr>
        <w:t>K-</w:t>
      </w:r>
      <w:r>
        <w:rPr>
          <w:rFonts w:ascii="Arial" w:hAnsi="Arial" w:eastAsia="Arial"/>
          <w:spacing w:val="-2"/>
          <w:w w:val="100"/>
        </w:rPr>
        <w:t>uC</w:t>
      </w:r>
      <w:r>
        <w:rPr>
          <w:rFonts w:ascii="Arial" w:hAnsi="Arial" w:eastAsia="Arial"/>
          <w:w w:val="100"/>
        </w:rPr>
        <w:t>A</w:t>
      </w:r>
      <w:r>
        <w:rPr>
          <w:rFonts w:ascii="Arial" w:hAnsi="Arial" w:eastAsia="Arial"/>
          <w:spacing w:val="-2"/>
          <w:w w:val="100"/>
        </w:rPr>
        <w:t>R</w:t>
      </w:r>
      <w:r>
        <w:rPr>
          <w:spacing w:val="-4"/>
          <w:w w:val="100"/>
        </w:rPr>
        <w:t>，和用于精准靶向的</w:t>
      </w:r>
      <w:r>
        <w:rPr>
          <w:spacing w:val="21"/>
        </w:rPr>
        <w:t>平台</w:t>
      </w:r>
      <w:r>
        <w:rPr>
          <w:rFonts w:ascii="Arial" w:hAnsi="Arial" w:eastAsia="Arial"/>
        </w:rPr>
        <w:t>LADAR</w:t>
      </w:r>
      <w:r>
        <w:rPr/>
        <w:t>。</w:t>
      </w:r>
    </w:p>
    <w:p>
      <w:pPr>
        <w:pStyle w:val="BodyText"/>
        <w:spacing w:line="288" w:lineRule="auto" w:before="118"/>
        <w:ind w:right="2814"/>
        <w:jc w:val="both"/>
      </w:pPr>
      <w:r>
        <w:rPr>
          <w:spacing w:val="-4"/>
        </w:rPr>
        <w:t>除上述两家公司以外，我们也看到亘喜生物布局快速</w:t>
      </w:r>
      <w:r>
        <w:rPr>
          <w:rFonts w:ascii="Arial" w:eastAsia="Arial"/>
        </w:rPr>
        <w:t>CAR-T </w:t>
      </w:r>
      <w:r>
        <w:rPr>
          <w:spacing w:val="14"/>
        </w:rPr>
        <w:t>平台</w:t>
      </w:r>
      <w:r>
        <w:rPr>
          <w:rFonts w:ascii="Arial" w:eastAsia="Arial"/>
        </w:rPr>
        <w:t>FasTCAR </w:t>
      </w:r>
      <w:r>
        <w:rPr>
          <w:spacing w:val="7"/>
        </w:rPr>
        <w:t>和通用型</w:t>
      </w:r>
      <w:r>
        <w:rPr>
          <w:rFonts w:ascii="Arial" w:eastAsia="Arial"/>
        </w:rPr>
        <w:t>CAR- T </w:t>
      </w:r>
      <w:r>
        <w:rPr>
          <w:spacing w:val="5"/>
        </w:rPr>
        <w:t>平台 </w:t>
      </w:r>
      <w:r>
        <w:rPr>
          <w:rFonts w:ascii="Arial" w:eastAsia="Arial"/>
        </w:rPr>
        <w:t>TruUCAR</w:t>
      </w:r>
      <w:r>
        <w:rPr>
          <w:spacing w:val="-2"/>
        </w:rPr>
        <w:t>；北桓生物积极研发通用型 </w:t>
      </w:r>
      <w:r>
        <w:rPr>
          <w:rFonts w:ascii="Arial" w:eastAsia="Arial"/>
        </w:rPr>
        <w:t>CAR-T </w:t>
      </w:r>
      <w:r>
        <w:rPr>
          <w:spacing w:val="-4"/>
        </w:rPr>
        <w:t>平台。实体瘤方面，多家公司 </w:t>
      </w:r>
      <w:r>
        <w:rPr>
          <w:rFonts w:ascii="Arial" w:eastAsia="Arial"/>
        </w:rPr>
        <w:t>CAR-T </w:t>
      </w:r>
      <w:r>
        <w:rPr>
          <w:spacing w:val="1"/>
        </w:rPr>
        <w:t>产品获得 </w:t>
      </w:r>
      <w:r>
        <w:rPr>
          <w:rFonts w:ascii="Arial" w:eastAsia="Arial"/>
        </w:rPr>
        <w:t>IND </w:t>
      </w:r>
      <w:r>
        <w:rPr/>
        <w:t>批件，包括博生吉安科靶向 </w:t>
      </w:r>
      <w:r>
        <w:rPr>
          <w:rFonts w:ascii="Arial" w:eastAsia="Arial"/>
        </w:rPr>
        <w:t>B7-H3 </w:t>
      </w:r>
      <w:r>
        <w:rPr/>
        <w:t>的  </w:t>
      </w:r>
      <w:r>
        <w:rPr>
          <w:rFonts w:ascii="Arial" w:eastAsia="Arial"/>
        </w:rPr>
        <w:t>TAA06</w:t>
      </w:r>
      <w:r>
        <w:rPr/>
        <w:t>、斯丹赛生物靶向 </w:t>
      </w:r>
      <w:r>
        <w:rPr>
          <w:rFonts w:ascii="Arial" w:eastAsia="Arial"/>
        </w:rPr>
        <w:t>GCC </w:t>
      </w:r>
      <w:r>
        <w:rPr/>
        <w:t>的</w:t>
      </w:r>
      <w:r>
        <w:rPr>
          <w:rFonts w:ascii="Arial" w:eastAsia="Arial"/>
        </w:rPr>
        <w:t>GCC19CART</w:t>
      </w:r>
      <w:r>
        <w:rPr>
          <w:spacing w:val="-4"/>
        </w:rPr>
        <w:t>，以及原启生物靶向 </w:t>
      </w:r>
      <w:r>
        <w:rPr>
          <w:rFonts w:ascii="Arial" w:eastAsia="Arial"/>
        </w:rPr>
        <w:t>GPC3 </w:t>
      </w:r>
      <w:r>
        <w:rPr>
          <w:spacing w:val="48"/>
        </w:rPr>
        <w:t>的</w:t>
      </w:r>
      <w:r>
        <w:rPr>
          <w:rFonts w:ascii="Arial" w:eastAsia="Arial"/>
        </w:rPr>
        <w:t>Ori-C101</w:t>
      </w:r>
      <w:r>
        <w:rPr/>
        <w:t>。</w:t>
      </w:r>
    </w:p>
    <w:p>
      <w:pPr>
        <w:pStyle w:val="BodyText"/>
        <w:spacing w:line="288" w:lineRule="auto" w:before="117"/>
        <w:ind w:right="2809"/>
        <w:jc w:val="both"/>
      </w:pPr>
      <w:r>
        <w:rPr/>
        <w:t>我们建议关注全球实体瘤 </w:t>
      </w:r>
      <w:r>
        <w:rPr>
          <w:rFonts w:ascii="Arial" w:eastAsia="Arial"/>
        </w:rPr>
        <w:t>CAR-T </w:t>
      </w:r>
      <w:r>
        <w:rPr/>
        <w:t>领域领军企业科济药业 </w:t>
      </w:r>
      <w:r>
        <w:rPr>
          <w:rFonts w:ascii="Arial" w:eastAsia="Arial"/>
        </w:rPr>
        <w:t>(2171 HK)</w:t>
      </w:r>
      <w:r>
        <w:rPr/>
        <w:t>。目前公司开发进度最快的实体瘤 </w:t>
      </w:r>
      <w:r>
        <w:rPr>
          <w:rFonts w:ascii="Arial" w:eastAsia="Arial"/>
        </w:rPr>
        <w:t>CAR-T </w:t>
      </w:r>
      <w:r>
        <w:rPr/>
        <w:t>产品 </w:t>
      </w:r>
      <w:r>
        <w:rPr>
          <w:rFonts w:ascii="Arial" w:eastAsia="Arial"/>
        </w:rPr>
        <w:t>CT041 </w:t>
      </w:r>
      <w:r>
        <w:rPr/>
        <w:t>已经在国内进入确证性 </w:t>
      </w:r>
      <w:r>
        <w:rPr>
          <w:rFonts w:ascii="Arial" w:eastAsia="Arial"/>
        </w:rPr>
        <w:t>II </w:t>
      </w:r>
      <w:r>
        <w:rPr/>
        <w:t>期临床，北美 </w:t>
      </w:r>
      <w:r>
        <w:rPr>
          <w:rFonts w:ascii="Arial" w:eastAsia="Arial"/>
        </w:rPr>
        <w:t>Ib </w:t>
      </w:r>
      <w:r>
        <w:rPr/>
        <w:t>期临床也在正常入组中，预计在 </w:t>
      </w:r>
      <w:r>
        <w:rPr>
          <w:rFonts w:ascii="Arial" w:eastAsia="Arial"/>
        </w:rPr>
        <w:t>2H22 </w:t>
      </w:r>
      <w:r>
        <w:rPr/>
        <w:t>进入</w:t>
      </w:r>
      <w:r>
        <w:rPr>
          <w:rFonts w:ascii="Arial" w:eastAsia="Arial"/>
        </w:rPr>
        <w:t>II </w:t>
      </w:r>
      <w:r>
        <w:rPr/>
        <w:t>期研究，我们预计公司于 </w:t>
      </w:r>
      <w:r>
        <w:rPr>
          <w:rFonts w:ascii="Arial" w:eastAsia="Arial"/>
        </w:rPr>
        <w:t>2024E </w:t>
      </w:r>
      <w:r>
        <w:rPr/>
        <w:t>在中美两地提交 </w:t>
      </w:r>
      <w:r>
        <w:rPr>
          <w:rFonts w:ascii="Arial" w:eastAsia="Arial"/>
        </w:rPr>
        <w:t>BLA </w:t>
      </w:r>
      <w:r>
        <w:rPr/>
        <w:t>申请。</w:t>
      </w:r>
      <w:r>
        <w:rPr>
          <w:rFonts w:ascii="Arial" w:eastAsia="Arial"/>
        </w:rPr>
        <w:t>CT041 </w:t>
      </w:r>
      <w:r>
        <w:rPr/>
        <w:t>所针对适应症为 </w:t>
      </w:r>
      <w:r>
        <w:rPr>
          <w:rFonts w:ascii="Arial" w:eastAsia="Arial"/>
        </w:rPr>
        <w:t>GC/GEJ </w:t>
      </w:r>
      <w:r>
        <w:rPr/>
        <w:t>和 </w:t>
      </w:r>
      <w:r>
        <w:rPr>
          <w:rFonts w:ascii="Arial" w:eastAsia="Arial"/>
        </w:rPr>
        <w:t>PC</w:t>
      </w:r>
      <w:r>
        <w:rPr/>
        <w:t>，考虑到胃癌在中国的发病率较高，且目前缺乏有效的后线治疗手段，我们认为 </w:t>
      </w:r>
      <w:r>
        <w:rPr>
          <w:rFonts w:ascii="Arial" w:eastAsia="Arial"/>
        </w:rPr>
        <w:t>CT041 </w:t>
      </w:r>
      <w:r>
        <w:rPr/>
        <w:t>的商业化将带来较大的市场收益。另外，我们认为公司前瞻化的研发布局和整合的制造能力也将为后续产品的开发和商业化打下良好基础。</w:t>
      </w:r>
    </w:p>
    <w:p>
      <w:pPr>
        <w:spacing w:after="0" w:line="288" w:lineRule="auto"/>
        <w:jc w:val="both"/>
        <w:sectPr>
          <w:pgSz w:w="11910" w:h="16840"/>
          <w:pgMar w:header="682" w:footer="358" w:top="1380" w:bottom="540" w:left="640" w:right="300"/>
        </w:sectPr>
      </w:pPr>
    </w:p>
    <w:p>
      <w:pPr>
        <w:pStyle w:val="BodyText"/>
        <w:spacing w:before="3"/>
        <w:ind w:left="0"/>
        <w:rPr>
          <w:sz w:val="12"/>
        </w:rPr>
      </w:pPr>
    </w:p>
    <w:p>
      <w:pPr>
        <w:pStyle w:val="BodyText"/>
        <w:spacing w:line="288" w:lineRule="auto" w:before="99"/>
        <w:ind w:right="2810"/>
        <w:jc w:val="both"/>
      </w:pPr>
      <w:r>
        <w:rPr>
          <w:spacing w:val="1"/>
        </w:rPr>
        <w:t>我们建议关注已有重磅</w:t>
      </w:r>
      <w:r>
        <w:rPr>
          <w:rFonts w:ascii="Arial" w:eastAsia="Arial"/>
        </w:rPr>
        <w:t>CAR-T </w:t>
      </w:r>
      <w:r>
        <w:rPr>
          <w:spacing w:val="-4"/>
        </w:rPr>
        <w:t>产品上市的传奇生物 </w:t>
      </w:r>
      <w:r>
        <w:rPr>
          <w:rFonts w:ascii="Arial" w:eastAsia="Arial"/>
          <w:spacing w:val="-3"/>
        </w:rPr>
        <w:t>(LEGN </w:t>
      </w:r>
      <w:r>
        <w:rPr>
          <w:rFonts w:ascii="Arial" w:eastAsia="Arial"/>
        </w:rPr>
        <w:t>US)</w:t>
      </w:r>
      <w:r>
        <w:rPr>
          <w:spacing w:val="-2"/>
        </w:rPr>
        <w:t>。考虑 </w:t>
      </w:r>
      <w:r>
        <w:rPr>
          <w:rFonts w:ascii="Arial" w:eastAsia="Arial"/>
        </w:rPr>
        <w:t>Cilta-cel </w:t>
      </w:r>
      <w:r>
        <w:rPr>
          <w:spacing w:val="-2"/>
        </w:rPr>
        <w:t>临床数据极</w:t>
      </w:r>
      <w:r>
        <w:rPr/>
        <w:t>其优异，合作方 </w:t>
      </w:r>
      <w:r>
        <w:rPr>
          <w:rFonts w:ascii="Arial" w:eastAsia="Arial"/>
        </w:rPr>
        <w:t>J&amp;J </w:t>
      </w:r>
      <w:r>
        <w:rPr>
          <w:spacing w:val="-5"/>
        </w:rPr>
        <w:t>的商业化能力强劲、同时海外市场具备更好的支付能力，我们认为传</w:t>
      </w:r>
      <w:r>
        <w:rPr>
          <w:spacing w:val="-3"/>
        </w:rPr>
        <w:t>奇生物凭借 </w:t>
      </w:r>
      <w:r>
        <w:rPr>
          <w:rFonts w:ascii="Arial" w:eastAsia="Arial"/>
        </w:rPr>
        <w:t>BCMA CAR-T </w:t>
      </w:r>
      <w:r>
        <w:rPr>
          <w:spacing w:val="-6"/>
        </w:rPr>
        <w:t>产品的先发优势，有望占据较大的市场份额。同时，我们关注到</w:t>
      </w:r>
      <w:r>
        <w:rPr>
          <w:spacing w:val="3"/>
        </w:rPr>
        <w:t>传奇生物已经就其</w:t>
      </w:r>
      <w:r>
        <w:rPr>
          <w:rFonts w:ascii="Arial" w:eastAsia="Arial"/>
        </w:rPr>
        <w:t>BCMA CAR-T </w:t>
      </w:r>
      <w:r>
        <w:rPr>
          <w:spacing w:val="-6"/>
        </w:rPr>
        <w:t>开展前线适应症临床。考虑到公司已经具备充分的临床试</w:t>
      </w:r>
      <w:r>
        <w:rPr>
          <w:spacing w:val="-3"/>
        </w:rPr>
        <w:t>验经验和医生教育基础，结合 </w:t>
      </w:r>
      <w:r>
        <w:rPr>
          <w:rFonts w:ascii="Arial" w:eastAsia="Arial"/>
        </w:rPr>
        <w:t>J&amp;J </w:t>
      </w:r>
      <w:r>
        <w:rPr>
          <w:spacing w:val="-3"/>
        </w:rPr>
        <w:t>在血液瘤领域的强大优势，我们认为 </w:t>
      </w:r>
      <w:r>
        <w:rPr>
          <w:rFonts w:ascii="Arial" w:eastAsia="Arial"/>
        </w:rPr>
        <w:t>Cilta-cel </w:t>
      </w:r>
      <w:r>
        <w:rPr>
          <w:spacing w:val="-2"/>
        </w:rPr>
        <w:t>有潜力进</w:t>
      </w:r>
      <w:r>
        <w:rPr>
          <w:spacing w:val="-5"/>
        </w:rPr>
        <w:t>一步向前线适应症推进并触及更大的市场。</w:t>
      </w:r>
    </w:p>
    <w:p>
      <w:pPr>
        <w:pStyle w:val="Heading3"/>
        <w:spacing w:before="69" w:after="5"/>
      </w:pPr>
      <w:r>
        <w:rPr/>
        <w:t>图 </w:t>
      </w:r>
      <w:r>
        <w:rPr>
          <w:rFonts w:ascii="Arial" w:eastAsia="Arial"/>
        </w:rPr>
        <w:t>68: CAR-T </w:t>
      </w:r>
      <w:r>
        <w:rPr/>
        <w:t>行业重点公司估值表</w:t>
      </w:r>
    </w:p>
    <w:tbl>
      <w:tblPr>
        <w:tblW w:w="0" w:type="auto"/>
        <w:jc w:val="lef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7"/>
        <w:gridCol w:w="1265"/>
        <w:gridCol w:w="1197"/>
        <w:gridCol w:w="1162"/>
        <w:gridCol w:w="1135"/>
        <w:gridCol w:w="1050"/>
        <w:gridCol w:w="1171"/>
      </w:tblGrid>
      <w:tr>
        <w:trPr>
          <w:trHeight w:val="323" w:hRule="atLeast"/>
        </w:trPr>
        <w:tc>
          <w:tcPr>
            <w:tcW w:w="1007" w:type="dxa"/>
            <w:tcBorders>
              <w:top w:val="single" w:sz="12" w:space="0" w:color="000000"/>
            </w:tcBorders>
            <w:shd w:val="clear" w:color="auto" w:fill="C00000"/>
          </w:tcPr>
          <w:p>
            <w:pPr>
              <w:pStyle w:val="TableParagraph"/>
              <w:spacing w:line="200" w:lineRule="exact" w:before="103"/>
              <w:ind w:left="128"/>
              <w:rPr>
                <w:rFonts w:ascii="Microsoft JhengHei UI" w:eastAsia="Microsoft JhengHei UI" w:hint="eastAsia"/>
                <w:b/>
                <w:sz w:val="16"/>
              </w:rPr>
            </w:pPr>
            <w:r>
              <w:rPr>
                <w:rFonts w:ascii="Microsoft JhengHei UI" w:eastAsia="Microsoft JhengHei UI" w:hint="eastAsia"/>
                <w:b/>
                <w:color w:val="FFFFFF"/>
                <w:sz w:val="16"/>
              </w:rPr>
              <w:t>公司</w:t>
            </w:r>
          </w:p>
        </w:tc>
        <w:tc>
          <w:tcPr>
            <w:tcW w:w="1265" w:type="dxa"/>
            <w:tcBorders>
              <w:top w:val="single" w:sz="12" w:space="0" w:color="000000"/>
            </w:tcBorders>
            <w:shd w:val="clear" w:color="auto" w:fill="C00000"/>
          </w:tcPr>
          <w:p>
            <w:pPr>
              <w:pStyle w:val="TableParagraph"/>
              <w:spacing w:line="200" w:lineRule="exact" w:before="103"/>
              <w:ind w:left="245"/>
              <w:rPr>
                <w:rFonts w:ascii="Microsoft JhengHei UI" w:eastAsia="Microsoft JhengHei UI" w:hint="eastAsia"/>
                <w:b/>
                <w:sz w:val="16"/>
              </w:rPr>
            </w:pPr>
            <w:r>
              <w:rPr>
                <w:rFonts w:ascii="Microsoft JhengHei UI" w:eastAsia="Microsoft JhengHei UI" w:hint="eastAsia"/>
                <w:b/>
                <w:color w:val="FFFFFF"/>
                <w:sz w:val="16"/>
              </w:rPr>
              <w:t>代码</w:t>
            </w:r>
          </w:p>
        </w:tc>
        <w:tc>
          <w:tcPr>
            <w:tcW w:w="1197" w:type="dxa"/>
            <w:tcBorders>
              <w:top w:val="single" w:sz="12" w:space="0" w:color="000000"/>
            </w:tcBorders>
            <w:shd w:val="clear" w:color="auto" w:fill="C00000"/>
          </w:tcPr>
          <w:p>
            <w:pPr>
              <w:pStyle w:val="TableParagraph"/>
              <w:spacing w:line="254" w:lineRule="exact"/>
              <w:ind w:left="386" w:right="451"/>
              <w:jc w:val="center"/>
              <w:rPr>
                <w:rFonts w:ascii="Microsoft JhengHei UI" w:eastAsia="Microsoft JhengHei UI" w:hint="eastAsia"/>
                <w:b/>
                <w:sz w:val="16"/>
              </w:rPr>
            </w:pPr>
            <w:r>
              <w:rPr>
                <w:rFonts w:ascii="Microsoft JhengHei UI" w:eastAsia="Microsoft JhengHei UI" w:hint="eastAsia"/>
                <w:b/>
                <w:color w:val="FFFFFF"/>
                <w:sz w:val="16"/>
              </w:rPr>
              <w:t>市值</w:t>
            </w:r>
          </w:p>
        </w:tc>
        <w:tc>
          <w:tcPr>
            <w:tcW w:w="2297" w:type="dxa"/>
            <w:gridSpan w:val="2"/>
            <w:tcBorders>
              <w:top w:val="single" w:sz="12" w:space="0" w:color="000000"/>
            </w:tcBorders>
            <w:shd w:val="clear" w:color="auto" w:fill="C00000"/>
          </w:tcPr>
          <w:p>
            <w:pPr>
              <w:pStyle w:val="TableParagraph"/>
              <w:spacing w:line="254" w:lineRule="exact"/>
              <w:ind w:left="179"/>
              <w:rPr>
                <w:b/>
                <w:sz w:val="16"/>
              </w:rPr>
            </w:pPr>
            <w:r>
              <w:rPr>
                <w:rFonts w:ascii="Microsoft JhengHei UI" w:eastAsia="Microsoft JhengHei UI" w:hint="eastAsia"/>
                <w:b/>
                <w:color w:val="FFFFFF"/>
                <w:sz w:val="16"/>
              </w:rPr>
              <w:t>一致预期净利润 </w:t>
            </w:r>
            <w:r>
              <w:rPr>
                <w:b/>
                <w:color w:val="FFFFFF"/>
                <w:sz w:val="16"/>
              </w:rPr>
              <w:t>(</w:t>
            </w:r>
            <w:r>
              <w:rPr>
                <w:rFonts w:ascii="Microsoft JhengHei UI" w:eastAsia="Microsoft JhengHei UI" w:hint="eastAsia"/>
                <w:b/>
                <w:color w:val="FFFFFF"/>
                <w:sz w:val="16"/>
              </w:rPr>
              <w:t>百万元</w:t>
            </w:r>
            <w:r>
              <w:rPr>
                <w:b/>
                <w:color w:val="FFFFFF"/>
                <w:sz w:val="16"/>
              </w:rPr>
              <w:t>)</w:t>
            </w:r>
          </w:p>
        </w:tc>
        <w:tc>
          <w:tcPr>
            <w:tcW w:w="2221" w:type="dxa"/>
            <w:gridSpan w:val="2"/>
            <w:tcBorders>
              <w:top w:val="single" w:sz="12" w:space="0" w:color="000000"/>
            </w:tcBorders>
            <w:shd w:val="clear" w:color="auto" w:fill="C00000"/>
          </w:tcPr>
          <w:p>
            <w:pPr>
              <w:pStyle w:val="TableParagraph"/>
              <w:spacing w:line="254" w:lineRule="exact"/>
              <w:ind w:left="479"/>
              <w:rPr>
                <w:b/>
                <w:sz w:val="16"/>
              </w:rPr>
            </w:pPr>
            <w:r>
              <w:rPr>
                <w:rFonts w:ascii="Microsoft JhengHei UI" w:eastAsia="Microsoft JhengHei UI" w:hint="eastAsia"/>
                <w:b/>
                <w:color w:val="FFFFFF"/>
                <w:sz w:val="16"/>
              </w:rPr>
              <w:t>一致预期 </w:t>
            </w:r>
            <w:r>
              <w:rPr>
                <w:b/>
                <w:color w:val="FFFFFF"/>
                <w:sz w:val="16"/>
              </w:rPr>
              <w:t>PS (X)</w:t>
            </w:r>
          </w:p>
        </w:tc>
      </w:tr>
      <w:tr>
        <w:trPr>
          <w:trHeight w:val="209" w:hRule="atLeast"/>
        </w:trPr>
        <w:tc>
          <w:tcPr>
            <w:tcW w:w="1007" w:type="dxa"/>
            <w:shd w:val="clear" w:color="auto" w:fill="C00000"/>
          </w:tcPr>
          <w:p>
            <w:pPr>
              <w:pStyle w:val="TableParagraph"/>
              <w:rPr>
                <w:rFonts w:ascii="Times New Roman"/>
                <w:sz w:val="14"/>
              </w:rPr>
            </w:pPr>
          </w:p>
        </w:tc>
        <w:tc>
          <w:tcPr>
            <w:tcW w:w="1265" w:type="dxa"/>
            <w:shd w:val="clear" w:color="auto" w:fill="C00000"/>
          </w:tcPr>
          <w:p>
            <w:pPr>
              <w:pStyle w:val="TableParagraph"/>
              <w:rPr>
                <w:rFonts w:ascii="Times New Roman"/>
                <w:sz w:val="14"/>
              </w:rPr>
            </w:pPr>
          </w:p>
        </w:tc>
        <w:tc>
          <w:tcPr>
            <w:tcW w:w="1197" w:type="dxa"/>
            <w:shd w:val="clear" w:color="auto" w:fill="C00000"/>
          </w:tcPr>
          <w:p>
            <w:pPr>
              <w:pStyle w:val="TableParagraph"/>
              <w:spacing w:line="166" w:lineRule="exact"/>
              <w:ind w:left="199"/>
              <w:rPr>
                <w:b/>
                <w:sz w:val="16"/>
              </w:rPr>
            </w:pPr>
            <w:r>
              <w:rPr>
                <w:b/>
                <w:color w:val="FFFFFF"/>
                <w:sz w:val="16"/>
              </w:rPr>
              <w:t>(USD mn)</w:t>
            </w:r>
          </w:p>
        </w:tc>
        <w:tc>
          <w:tcPr>
            <w:tcW w:w="1162" w:type="dxa"/>
            <w:shd w:val="clear" w:color="auto" w:fill="C00000"/>
          </w:tcPr>
          <w:p>
            <w:pPr>
              <w:pStyle w:val="TableParagraph"/>
              <w:spacing w:line="166" w:lineRule="exact"/>
              <w:ind w:left="251"/>
              <w:rPr>
                <w:b/>
                <w:sz w:val="16"/>
              </w:rPr>
            </w:pPr>
            <w:r>
              <w:rPr>
                <w:b/>
                <w:color w:val="FFFFFF"/>
                <w:sz w:val="16"/>
              </w:rPr>
              <w:t>FY22E</w:t>
            </w:r>
          </w:p>
        </w:tc>
        <w:tc>
          <w:tcPr>
            <w:tcW w:w="1135" w:type="dxa"/>
            <w:shd w:val="clear" w:color="auto" w:fill="C00000"/>
          </w:tcPr>
          <w:p>
            <w:pPr>
              <w:pStyle w:val="TableParagraph"/>
              <w:spacing w:line="166" w:lineRule="exact"/>
              <w:ind w:left="212"/>
              <w:rPr>
                <w:b/>
                <w:sz w:val="16"/>
              </w:rPr>
            </w:pPr>
            <w:r>
              <w:rPr>
                <w:b/>
                <w:color w:val="FFFFFF"/>
                <w:sz w:val="16"/>
              </w:rPr>
              <w:t>FY23E</w:t>
            </w:r>
          </w:p>
        </w:tc>
        <w:tc>
          <w:tcPr>
            <w:tcW w:w="1050" w:type="dxa"/>
            <w:shd w:val="clear" w:color="auto" w:fill="C00000"/>
          </w:tcPr>
          <w:p>
            <w:pPr>
              <w:pStyle w:val="TableParagraph"/>
              <w:spacing w:line="166" w:lineRule="exact"/>
              <w:ind w:left="204" w:right="316"/>
              <w:jc w:val="center"/>
              <w:rPr>
                <w:b/>
                <w:sz w:val="16"/>
              </w:rPr>
            </w:pPr>
            <w:r>
              <w:rPr>
                <w:b/>
                <w:color w:val="FFFFFF"/>
                <w:sz w:val="16"/>
              </w:rPr>
              <w:t>FY22E</w:t>
            </w:r>
          </w:p>
        </w:tc>
        <w:tc>
          <w:tcPr>
            <w:tcW w:w="1171" w:type="dxa"/>
            <w:shd w:val="clear" w:color="auto" w:fill="C00000"/>
          </w:tcPr>
          <w:p>
            <w:pPr>
              <w:pStyle w:val="TableParagraph"/>
              <w:spacing w:line="166" w:lineRule="exact"/>
              <w:ind w:left="320" w:right="321"/>
              <w:jc w:val="center"/>
              <w:rPr>
                <w:b/>
                <w:sz w:val="16"/>
              </w:rPr>
            </w:pPr>
            <w:r>
              <w:rPr>
                <w:b/>
                <w:color w:val="FFFFFF"/>
                <w:sz w:val="16"/>
              </w:rPr>
              <w:t>FY23E</w:t>
            </w:r>
          </w:p>
        </w:tc>
      </w:tr>
      <w:tr>
        <w:trPr>
          <w:trHeight w:val="256" w:hRule="atLeast"/>
        </w:trPr>
        <w:tc>
          <w:tcPr>
            <w:tcW w:w="1007" w:type="dxa"/>
          </w:tcPr>
          <w:p>
            <w:pPr>
              <w:pStyle w:val="TableParagraph"/>
              <w:spacing w:line="219" w:lineRule="exact" w:before="17"/>
              <w:ind w:left="128"/>
              <w:rPr>
                <w:rFonts w:ascii="PMingLiU" w:eastAsia="PMingLiU" w:hint="eastAsia"/>
                <w:sz w:val="16"/>
              </w:rPr>
            </w:pPr>
            <w:r>
              <w:rPr>
                <w:rFonts w:ascii="PMingLiU" w:eastAsia="PMingLiU" w:hint="eastAsia"/>
                <w:sz w:val="16"/>
              </w:rPr>
              <w:t>科济药业</w:t>
            </w:r>
          </w:p>
        </w:tc>
        <w:tc>
          <w:tcPr>
            <w:tcW w:w="1265" w:type="dxa"/>
          </w:tcPr>
          <w:p>
            <w:pPr>
              <w:pStyle w:val="TableParagraph"/>
              <w:spacing w:before="42"/>
              <w:ind w:left="245"/>
              <w:rPr>
                <w:sz w:val="16"/>
              </w:rPr>
            </w:pPr>
            <w:r>
              <w:rPr>
                <w:sz w:val="16"/>
              </w:rPr>
              <w:t>2171 HK</w:t>
            </w:r>
          </w:p>
        </w:tc>
        <w:tc>
          <w:tcPr>
            <w:tcW w:w="1197" w:type="dxa"/>
          </w:tcPr>
          <w:p>
            <w:pPr>
              <w:pStyle w:val="TableParagraph"/>
              <w:spacing w:before="42"/>
              <w:ind w:right="177"/>
              <w:jc w:val="right"/>
              <w:rPr>
                <w:sz w:val="16"/>
              </w:rPr>
            </w:pPr>
            <w:r>
              <w:rPr>
                <w:sz w:val="16"/>
              </w:rPr>
              <w:t>1,029</w:t>
            </w:r>
          </w:p>
        </w:tc>
        <w:tc>
          <w:tcPr>
            <w:tcW w:w="1162" w:type="dxa"/>
          </w:tcPr>
          <w:p>
            <w:pPr>
              <w:pStyle w:val="TableParagraph"/>
              <w:spacing w:before="42"/>
              <w:ind w:right="211"/>
              <w:jc w:val="right"/>
              <w:rPr>
                <w:sz w:val="16"/>
              </w:rPr>
            </w:pPr>
            <w:r>
              <w:rPr>
                <w:sz w:val="16"/>
              </w:rPr>
              <w:t>-779</w:t>
            </w:r>
          </w:p>
        </w:tc>
        <w:tc>
          <w:tcPr>
            <w:tcW w:w="1135" w:type="dxa"/>
          </w:tcPr>
          <w:p>
            <w:pPr>
              <w:pStyle w:val="TableParagraph"/>
              <w:spacing w:before="42"/>
              <w:ind w:right="222"/>
              <w:jc w:val="right"/>
              <w:rPr>
                <w:sz w:val="16"/>
              </w:rPr>
            </w:pPr>
            <w:r>
              <w:rPr>
                <w:sz w:val="16"/>
              </w:rPr>
              <w:t>-873</w:t>
            </w:r>
          </w:p>
        </w:tc>
        <w:tc>
          <w:tcPr>
            <w:tcW w:w="1050" w:type="dxa"/>
          </w:tcPr>
          <w:p>
            <w:pPr>
              <w:pStyle w:val="TableParagraph"/>
              <w:spacing w:before="42"/>
              <w:ind w:left="204" w:right="314"/>
              <w:jc w:val="center"/>
              <w:rPr>
                <w:sz w:val="16"/>
              </w:rPr>
            </w:pPr>
            <w:r>
              <w:rPr>
                <w:sz w:val="16"/>
              </w:rPr>
              <w:t>388</w:t>
            </w:r>
          </w:p>
        </w:tc>
        <w:tc>
          <w:tcPr>
            <w:tcW w:w="1171" w:type="dxa"/>
          </w:tcPr>
          <w:p>
            <w:pPr>
              <w:pStyle w:val="TableParagraph"/>
              <w:spacing w:before="42"/>
              <w:ind w:left="320" w:right="320"/>
              <w:jc w:val="center"/>
              <w:rPr>
                <w:sz w:val="16"/>
              </w:rPr>
            </w:pPr>
            <w:r>
              <w:rPr>
                <w:sz w:val="16"/>
              </w:rPr>
              <w:t>106</w:t>
            </w:r>
          </w:p>
        </w:tc>
      </w:tr>
      <w:tr>
        <w:trPr>
          <w:trHeight w:val="268" w:hRule="atLeast"/>
        </w:trPr>
        <w:tc>
          <w:tcPr>
            <w:tcW w:w="1007" w:type="dxa"/>
          </w:tcPr>
          <w:p>
            <w:pPr>
              <w:pStyle w:val="TableParagraph"/>
              <w:spacing w:before="25"/>
              <w:ind w:left="128"/>
              <w:rPr>
                <w:rFonts w:ascii="PMingLiU" w:eastAsia="PMingLiU" w:hint="eastAsia"/>
                <w:sz w:val="16"/>
              </w:rPr>
            </w:pPr>
            <w:r>
              <w:rPr>
                <w:rFonts w:ascii="PMingLiU" w:eastAsia="PMingLiU" w:hint="eastAsia"/>
                <w:sz w:val="16"/>
              </w:rPr>
              <w:t>传奇生物</w:t>
            </w:r>
          </w:p>
        </w:tc>
        <w:tc>
          <w:tcPr>
            <w:tcW w:w="1265" w:type="dxa"/>
          </w:tcPr>
          <w:p>
            <w:pPr>
              <w:pStyle w:val="TableParagraph"/>
              <w:spacing w:before="49"/>
              <w:ind w:left="245"/>
              <w:rPr>
                <w:sz w:val="16"/>
              </w:rPr>
            </w:pPr>
            <w:r>
              <w:rPr>
                <w:sz w:val="16"/>
              </w:rPr>
              <w:t>LEGN O</w:t>
            </w:r>
          </w:p>
        </w:tc>
        <w:tc>
          <w:tcPr>
            <w:tcW w:w="1197" w:type="dxa"/>
          </w:tcPr>
          <w:p>
            <w:pPr>
              <w:pStyle w:val="TableParagraph"/>
              <w:spacing w:before="49"/>
              <w:ind w:right="177"/>
              <w:jc w:val="right"/>
              <w:rPr>
                <w:sz w:val="16"/>
              </w:rPr>
            </w:pPr>
            <w:r>
              <w:rPr>
                <w:sz w:val="16"/>
              </w:rPr>
              <w:t>6,293</w:t>
            </w:r>
          </w:p>
        </w:tc>
        <w:tc>
          <w:tcPr>
            <w:tcW w:w="1162" w:type="dxa"/>
          </w:tcPr>
          <w:p>
            <w:pPr>
              <w:pStyle w:val="TableParagraph"/>
              <w:spacing w:before="49"/>
              <w:ind w:right="211"/>
              <w:jc w:val="right"/>
              <w:rPr>
                <w:sz w:val="16"/>
              </w:rPr>
            </w:pPr>
            <w:r>
              <w:rPr>
                <w:sz w:val="16"/>
              </w:rPr>
              <w:t>-2,227</w:t>
            </w:r>
          </w:p>
        </w:tc>
        <w:tc>
          <w:tcPr>
            <w:tcW w:w="1135" w:type="dxa"/>
          </w:tcPr>
          <w:p>
            <w:pPr>
              <w:pStyle w:val="TableParagraph"/>
              <w:spacing w:before="49"/>
              <w:ind w:right="222"/>
              <w:jc w:val="right"/>
              <w:rPr>
                <w:sz w:val="16"/>
              </w:rPr>
            </w:pPr>
            <w:r>
              <w:rPr>
                <w:sz w:val="16"/>
              </w:rPr>
              <w:t>-1,838</w:t>
            </w:r>
          </w:p>
        </w:tc>
        <w:tc>
          <w:tcPr>
            <w:tcW w:w="1050" w:type="dxa"/>
          </w:tcPr>
          <w:p>
            <w:pPr>
              <w:pStyle w:val="TableParagraph"/>
              <w:spacing w:before="49"/>
              <w:ind w:left="204" w:right="311"/>
              <w:jc w:val="center"/>
              <w:rPr>
                <w:sz w:val="16"/>
              </w:rPr>
            </w:pPr>
            <w:r>
              <w:rPr>
                <w:sz w:val="16"/>
              </w:rPr>
              <w:t>36</w:t>
            </w:r>
          </w:p>
        </w:tc>
        <w:tc>
          <w:tcPr>
            <w:tcW w:w="1171" w:type="dxa"/>
          </w:tcPr>
          <w:p>
            <w:pPr>
              <w:pStyle w:val="TableParagraph"/>
              <w:spacing w:before="49"/>
              <w:ind w:left="320" w:right="317"/>
              <w:jc w:val="center"/>
              <w:rPr>
                <w:sz w:val="16"/>
              </w:rPr>
            </w:pPr>
            <w:r>
              <w:rPr>
                <w:sz w:val="16"/>
              </w:rPr>
              <w:t>26</w:t>
            </w:r>
          </w:p>
        </w:tc>
      </w:tr>
      <w:tr>
        <w:trPr>
          <w:trHeight w:val="284" w:hRule="atLeast"/>
        </w:trPr>
        <w:tc>
          <w:tcPr>
            <w:tcW w:w="1007" w:type="dxa"/>
            <w:tcBorders>
              <w:bottom w:val="single" w:sz="24" w:space="0" w:color="000000"/>
            </w:tcBorders>
          </w:tcPr>
          <w:p>
            <w:pPr>
              <w:pStyle w:val="TableParagraph"/>
              <w:spacing w:before="30"/>
              <w:ind w:left="128"/>
              <w:rPr>
                <w:rFonts w:ascii="PMingLiU" w:eastAsia="PMingLiU" w:hint="eastAsia"/>
                <w:sz w:val="16"/>
              </w:rPr>
            </w:pPr>
            <w:r>
              <w:rPr>
                <w:rFonts w:ascii="PMingLiU" w:eastAsia="PMingLiU" w:hint="eastAsia"/>
                <w:sz w:val="16"/>
              </w:rPr>
              <w:t>药明巨诺</w:t>
            </w:r>
          </w:p>
        </w:tc>
        <w:tc>
          <w:tcPr>
            <w:tcW w:w="1265" w:type="dxa"/>
            <w:tcBorders>
              <w:bottom w:val="single" w:sz="24" w:space="0" w:color="000000"/>
            </w:tcBorders>
          </w:tcPr>
          <w:p>
            <w:pPr>
              <w:pStyle w:val="TableParagraph"/>
              <w:spacing w:before="54"/>
              <w:ind w:left="245"/>
              <w:rPr>
                <w:sz w:val="16"/>
              </w:rPr>
            </w:pPr>
            <w:r>
              <w:rPr>
                <w:sz w:val="16"/>
              </w:rPr>
              <w:t>2126 HK</w:t>
            </w:r>
          </w:p>
        </w:tc>
        <w:tc>
          <w:tcPr>
            <w:tcW w:w="1197" w:type="dxa"/>
            <w:tcBorders>
              <w:bottom w:val="single" w:sz="24" w:space="0" w:color="000000"/>
            </w:tcBorders>
          </w:tcPr>
          <w:p>
            <w:pPr>
              <w:pStyle w:val="TableParagraph"/>
              <w:spacing w:before="54"/>
              <w:ind w:right="177"/>
              <w:jc w:val="right"/>
              <w:rPr>
                <w:sz w:val="16"/>
              </w:rPr>
            </w:pPr>
            <w:r>
              <w:rPr>
                <w:sz w:val="16"/>
              </w:rPr>
              <w:t>198</w:t>
            </w:r>
          </w:p>
        </w:tc>
        <w:tc>
          <w:tcPr>
            <w:tcW w:w="1162" w:type="dxa"/>
            <w:tcBorders>
              <w:bottom w:val="single" w:sz="24" w:space="0" w:color="000000"/>
            </w:tcBorders>
          </w:tcPr>
          <w:p>
            <w:pPr>
              <w:pStyle w:val="TableParagraph"/>
              <w:spacing w:before="54"/>
              <w:ind w:right="211"/>
              <w:jc w:val="right"/>
              <w:rPr>
                <w:sz w:val="16"/>
              </w:rPr>
            </w:pPr>
            <w:r>
              <w:rPr>
                <w:sz w:val="16"/>
              </w:rPr>
              <w:t>-854</w:t>
            </w:r>
          </w:p>
        </w:tc>
        <w:tc>
          <w:tcPr>
            <w:tcW w:w="1135" w:type="dxa"/>
            <w:tcBorders>
              <w:bottom w:val="single" w:sz="24" w:space="0" w:color="000000"/>
            </w:tcBorders>
          </w:tcPr>
          <w:p>
            <w:pPr>
              <w:pStyle w:val="TableParagraph"/>
              <w:spacing w:before="54"/>
              <w:ind w:right="222"/>
              <w:jc w:val="right"/>
              <w:rPr>
                <w:sz w:val="16"/>
              </w:rPr>
            </w:pPr>
            <w:r>
              <w:rPr>
                <w:sz w:val="16"/>
              </w:rPr>
              <w:t>-769</w:t>
            </w:r>
          </w:p>
        </w:tc>
        <w:tc>
          <w:tcPr>
            <w:tcW w:w="1050" w:type="dxa"/>
            <w:tcBorders>
              <w:bottom w:val="single" w:sz="24" w:space="0" w:color="000000"/>
            </w:tcBorders>
          </w:tcPr>
          <w:p>
            <w:pPr>
              <w:pStyle w:val="TableParagraph"/>
              <w:spacing w:before="54"/>
              <w:ind w:right="105"/>
              <w:jc w:val="center"/>
              <w:rPr>
                <w:sz w:val="16"/>
              </w:rPr>
            </w:pPr>
            <w:r>
              <w:rPr>
                <w:w w:val="98"/>
                <w:sz w:val="16"/>
              </w:rPr>
              <w:t>7</w:t>
            </w:r>
          </w:p>
        </w:tc>
        <w:tc>
          <w:tcPr>
            <w:tcW w:w="1171" w:type="dxa"/>
            <w:tcBorders>
              <w:bottom w:val="single" w:sz="24" w:space="0" w:color="000000"/>
            </w:tcBorders>
          </w:tcPr>
          <w:p>
            <w:pPr>
              <w:pStyle w:val="TableParagraph"/>
              <w:spacing w:before="54"/>
              <w:ind w:left="5"/>
              <w:jc w:val="center"/>
              <w:rPr>
                <w:sz w:val="16"/>
              </w:rPr>
            </w:pPr>
            <w:r>
              <w:rPr>
                <w:w w:val="98"/>
                <w:sz w:val="16"/>
              </w:rPr>
              <w:t>2</w:t>
            </w:r>
          </w:p>
        </w:tc>
      </w:tr>
    </w:tbl>
    <w:p>
      <w:pPr>
        <w:spacing w:before="18"/>
        <w:ind w:left="210" w:right="0" w:firstLine="0"/>
        <w:jc w:val="both"/>
        <w:rPr>
          <w:sz w:val="16"/>
        </w:rPr>
      </w:pPr>
      <w:r>
        <w:rPr>
          <w:sz w:val="16"/>
        </w:rPr>
        <w:t>资料来源</w:t>
      </w:r>
      <w:r>
        <w:rPr>
          <w:rFonts w:ascii="Arial" w:eastAsia="Arial"/>
          <w:sz w:val="16"/>
        </w:rPr>
        <w:t>: </w:t>
      </w:r>
      <w:r>
        <w:rPr>
          <w:sz w:val="16"/>
        </w:rPr>
        <w:t>公司、彭博及招银国际环球市场预测</w:t>
      </w:r>
    </w:p>
    <w:p>
      <w:pPr>
        <w:spacing w:after="0"/>
        <w:jc w:val="both"/>
        <w:rPr>
          <w:sz w:val="16"/>
        </w:rPr>
        <w:sectPr>
          <w:pgSz w:w="11910" w:h="16840"/>
          <w:pgMar w:header="682" w:footer="358" w:top="1380" w:bottom="540" w:left="640" w:right="300"/>
        </w:sectPr>
      </w:pPr>
    </w:p>
    <w:p>
      <w:pPr>
        <w:pStyle w:val="BodyText"/>
        <w:ind w:left="0"/>
      </w:pPr>
    </w:p>
    <w:p>
      <w:pPr>
        <w:pStyle w:val="BodyText"/>
        <w:spacing w:before="13" w:after="1"/>
        <w:ind w:left="0"/>
        <w:rPr>
          <w:sz w:val="15"/>
        </w:rPr>
      </w:pPr>
    </w:p>
    <w:tbl>
      <w:tblPr>
        <w:tblW w:w="0" w:type="auto"/>
        <w:jc w:val="left"/>
        <w:tblInd w:w="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64"/>
      </w:tblGrid>
      <w:tr>
        <w:trPr>
          <w:trHeight w:val="2425" w:hRule="atLeast"/>
        </w:trPr>
        <w:tc>
          <w:tcPr>
            <w:tcW w:w="10564" w:type="dxa"/>
          </w:tcPr>
          <w:p>
            <w:pPr>
              <w:pStyle w:val="TableParagraph"/>
              <w:spacing w:line="451" w:lineRule="exact"/>
              <w:ind w:left="14"/>
              <w:rPr>
                <w:rFonts w:ascii="Microsoft JhengHei UI" w:eastAsia="Microsoft JhengHei UI" w:hint="eastAsia"/>
                <w:b/>
                <w:sz w:val="30"/>
              </w:rPr>
            </w:pPr>
            <w:r>
              <w:rPr>
                <w:rFonts w:ascii="Microsoft JhengHei UI" w:eastAsia="Microsoft JhengHei UI" w:hint="eastAsia"/>
                <w:b/>
                <w:sz w:val="30"/>
              </w:rPr>
              <w:t>免责声明及披露</w:t>
            </w:r>
          </w:p>
          <w:p>
            <w:pPr>
              <w:pStyle w:val="TableParagraph"/>
              <w:spacing w:line="398" w:lineRule="exact" w:before="84"/>
              <w:ind w:left="14"/>
              <w:rPr>
                <w:rFonts w:ascii="Microsoft JhengHei UI" w:eastAsia="Microsoft JhengHei UI" w:hint="eastAsia"/>
                <w:b/>
                <w:sz w:val="23"/>
              </w:rPr>
            </w:pPr>
            <w:r>
              <w:rPr>
                <w:rFonts w:ascii="Microsoft JhengHei UI" w:eastAsia="Microsoft JhengHei UI" w:hint="eastAsia"/>
                <w:b/>
                <w:sz w:val="23"/>
              </w:rPr>
              <w:t>分析员声明</w:t>
            </w:r>
          </w:p>
          <w:p>
            <w:pPr>
              <w:pStyle w:val="TableParagraph"/>
              <w:spacing w:line="212" w:lineRule="exact"/>
              <w:ind w:left="14"/>
              <w:rPr>
                <w:rFonts w:ascii="PMingLiU" w:eastAsia="PMingLiU" w:hint="eastAsia"/>
                <w:sz w:val="16"/>
              </w:rPr>
            </w:pPr>
            <w:r>
              <w:rPr>
                <w:rFonts w:ascii="PMingLiU" w:eastAsia="PMingLiU" w:hint="eastAsia"/>
                <w:w w:val="95"/>
                <w:sz w:val="16"/>
              </w:rPr>
              <w:t>负责撰写本报告的全部或部分内容之分析员，就本报告所提及的证券及其发行人做出以下声明：（</w:t>
            </w:r>
            <w:r>
              <w:rPr>
                <w:w w:val="95"/>
                <w:sz w:val="16"/>
              </w:rPr>
              <w:t>1</w:t>
            </w:r>
            <w:r>
              <w:rPr>
                <w:rFonts w:ascii="PMingLiU" w:eastAsia="PMingLiU" w:hint="eastAsia"/>
                <w:w w:val="95"/>
                <w:sz w:val="16"/>
              </w:rPr>
              <w:t>）发表于本报告的观点准确地反映有关于他们个人</w:t>
            </w:r>
          </w:p>
          <w:p>
            <w:pPr>
              <w:pStyle w:val="TableParagraph"/>
              <w:spacing w:before="11"/>
              <w:ind w:left="14"/>
              <w:rPr>
                <w:rFonts w:ascii="PMingLiU" w:eastAsia="PMingLiU" w:hint="eastAsia"/>
                <w:sz w:val="16"/>
              </w:rPr>
            </w:pPr>
            <w:r>
              <w:rPr>
                <w:rFonts w:ascii="PMingLiU" w:eastAsia="PMingLiU" w:hint="eastAsia"/>
                <w:sz w:val="16"/>
              </w:rPr>
              <w:t>对所提及的证券及其发行人的观点；（</w:t>
            </w:r>
            <w:r>
              <w:rPr>
                <w:sz w:val="16"/>
              </w:rPr>
              <w:t>2</w:t>
            </w:r>
            <w:r>
              <w:rPr>
                <w:rFonts w:ascii="PMingLiU" w:eastAsia="PMingLiU" w:hint="eastAsia"/>
                <w:sz w:val="16"/>
              </w:rPr>
              <w:t>）他们的薪酬在过往、现在和将来与发表在报告上的观点并无直接或间接关系。</w:t>
            </w:r>
          </w:p>
          <w:p>
            <w:pPr>
              <w:pStyle w:val="TableParagraph"/>
              <w:spacing w:before="12"/>
              <w:rPr>
                <w:rFonts w:ascii="PMingLiU"/>
                <w:sz w:val="13"/>
              </w:rPr>
            </w:pPr>
          </w:p>
          <w:p>
            <w:pPr>
              <w:pStyle w:val="TableParagraph"/>
              <w:ind w:left="14"/>
              <w:rPr>
                <w:sz w:val="16"/>
              </w:rPr>
            </w:pPr>
            <w:r>
              <w:rPr>
                <w:rFonts w:ascii="PMingLiU" w:eastAsia="PMingLiU" w:hint="eastAsia"/>
                <w:sz w:val="16"/>
              </w:rPr>
              <w:t>此外，分析员确认，无论是他们本人还是他们的关联人士（按香港证券及期货事务监察委员会操作守则的相关定义）（</w:t>
            </w:r>
            <w:r>
              <w:rPr>
                <w:sz w:val="16"/>
              </w:rPr>
              <w:t>1</w:t>
            </w:r>
            <w:r>
              <w:rPr>
                <w:rFonts w:ascii="PMingLiU" w:eastAsia="PMingLiU" w:hint="eastAsia"/>
                <w:sz w:val="16"/>
              </w:rPr>
              <w:t>）并没有在发表研究报告 </w:t>
            </w:r>
            <w:r>
              <w:rPr>
                <w:sz w:val="16"/>
              </w:rPr>
              <w:t>30</w:t>
            </w:r>
          </w:p>
          <w:p>
            <w:pPr>
              <w:pStyle w:val="TableParagraph"/>
              <w:spacing w:line="252" w:lineRule="auto" w:before="7"/>
              <w:ind w:left="14" w:right="106"/>
              <w:rPr>
                <w:rFonts w:ascii="PMingLiU" w:eastAsia="PMingLiU" w:hint="eastAsia"/>
                <w:sz w:val="16"/>
              </w:rPr>
            </w:pPr>
            <w:r>
              <w:rPr>
                <w:rFonts w:ascii="PMingLiU" w:eastAsia="PMingLiU" w:hint="eastAsia"/>
                <w:sz w:val="16"/>
              </w:rPr>
              <w:t>日前处置或买卖该等证券；（</w:t>
            </w:r>
            <w:r>
              <w:rPr>
                <w:sz w:val="16"/>
              </w:rPr>
              <w:t>2</w:t>
            </w:r>
            <w:r>
              <w:rPr>
                <w:rFonts w:ascii="PMingLiU" w:eastAsia="PMingLiU" w:hint="eastAsia"/>
                <w:sz w:val="16"/>
              </w:rPr>
              <w:t>）不会在发表报告 </w:t>
            </w:r>
            <w:r>
              <w:rPr>
                <w:sz w:val="16"/>
              </w:rPr>
              <w:t>3 </w:t>
            </w:r>
            <w:r>
              <w:rPr>
                <w:rFonts w:ascii="PMingLiU" w:eastAsia="PMingLiU" w:hint="eastAsia"/>
                <w:sz w:val="16"/>
              </w:rPr>
              <w:t>个工作日内处置或买卖本报告中提及的该等证券；（</w:t>
            </w:r>
            <w:r>
              <w:rPr>
                <w:sz w:val="16"/>
              </w:rPr>
              <w:t>3</w:t>
            </w:r>
            <w:r>
              <w:rPr>
                <w:rFonts w:ascii="PMingLiU" w:eastAsia="PMingLiU" w:hint="eastAsia"/>
                <w:sz w:val="16"/>
              </w:rPr>
              <w:t>）没有在有关香港上市公司内任职高级人员；（</w:t>
            </w:r>
            <w:r>
              <w:rPr>
                <w:sz w:val="16"/>
              </w:rPr>
              <w:t>4</w:t>
            </w:r>
            <w:r>
              <w:rPr>
                <w:rFonts w:ascii="PMingLiU" w:eastAsia="PMingLiU" w:hint="eastAsia"/>
                <w:sz w:val="16"/>
              </w:rPr>
              <w:t>）并没有持有有关证券的任何权益。</w:t>
            </w:r>
          </w:p>
        </w:tc>
      </w:tr>
      <w:tr>
        <w:trPr>
          <w:trHeight w:val="2678" w:hRule="atLeast"/>
        </w:trPr>
        <w:tc>
          <w:tcPr>
            <w:tcW w:w="10564" w:type="dxa"/>
          </w:tcPr>
          <w:p>
            <w:pPr>
              <w:pStyle w:val="TableParagraph"/>
              <w:spacing w:line="383" w:lineRule="exact" w:before="111"/>
              <w:ind w:left="14"/>
              <w:rPr>
                <w:rFonts w:ascii="Microsoft JhengHei UI" w:eastAsia="Microsoft JhengHei UI" w:hint="eastAsia"/>
                <w:b/>
                <w:sz w:val="23"/>
              </w:rPr>
            </w:pPr>
            <w:r>
              <w:rPr>
                <w:rFonts w:ascii="Microsoft JhengHei UI" w:eastAsia="Microsoft JhengHei UI" w:hint="eastAsia"/>
                <w:b/>
                <w:sz w:val="23"/>
              </w:rPr>
              <w:t>招银国际环球市场投资评级</w:t>
            </w:r>
          </w:p>
          <w:p>
            <w:pPr>
              <w:pStyle w:val="TableParagraph"/>
              <w:tabs>
                <w:tab w:pos="1814" w:val="left" w:leader="none"/>
              </w:tabs>
              <w:spacing w:line="237" w:lineRule="exact"/>
              <w:ind w:left="14"/>
              <w:rPr>
                <w:sz w:val="16"/>
              </w:rPr>
            </w:pPr>
            <w:r>
              <w:rPr>
                <w:rFonts w:ascii="Microsoft JhengHei UI" w:eastAsia="Microsoft JhengHei UI" w:hint="eastAsia"/>
                <w:b/>
                <w:spacing w:val="4"/>
                <w:sz w:val="16"/>
              </w:rPr>
              <w:t>买</w:t>
            </w:r>
            <w:r>
              <w:rPr>
                <w:rFonts w:ascii="Microsoft JhengHei UI" w:eastAsia="Microsoft JhengHei UI" w:hint="eastAsia"/>
                <w:b/>
                <w:sz w:val="16"/>
              </w:rPr>
              <w:t>入</w:t>
              <w:tab/>
            </w:r>
            <w:r>
              <w:rPr>
                <w:sz w:val="16"/>
              </w:rPr>
              <w:t>:</w:t>
            </w:r>
            <w:r>
              <w:rPr>
                <w:spacing w:val="-4"/>
                <w:sz w:val="16"/>
              </w:rPr>
              <w:t> </w:t>
            </w:r>
            <w:r>
              <w:rPr>
                <w:rFonts w:ascii="PMingLiU" w:eastAsia="PMingLiU" w:hint="eastAsia"/>
                <w:sz w:val="16"/>
              </w:rPr>
              <w:t>股</w:t>
            </w:r>
            <w:r>
              <w:rPr>
                <w:rFonts w:ascii="PMingLiU" w:eastAsia="PMingLiU" w:hint="eastAsia"/>
                <w:spacing w:val="4"/>
                <w:sz w:val="16"/>
              </w:rPr>
              <w:t>价</w:t>
            </w:r>
            <w:r>
              <w:rPr>
                <w:rFonts w:ascii="PMingLiU" w:eastAsia="PMingLiU" w:hint="eastAsia"/>
                <w:sz w:val="16"/>
              </w:rPr>
              <w:t>于未来</w:t>
            </w:r>
            <w:r>
              <w:rPr>
                <w:rFonts w:ascii="PMingLiU" w:eastAsia="PMingLiU" w:hint="eastAsia"/>
                <w:spacing w:val="2"/>
                <w:sz w:val="16"/>
              </w:rPr>
              <w:t> </w:t>
            </w:r>
            <w:r>
              <w:rPr>
                <w:sz w:val="16"/>
              </w:rPr>
              <w:t>12</w:t>
            </w:r>
            <w:r>
              <w:rPr>
                <w:spacing w:val="-13"/>
                <w:sz w:val="16"/>
              </w:rPr>
              <w:t> </w:t>
            </w:r>
            <w:r>
              <w:rPr>
                <w:rFonts w:ascii="PMingLiU" w:eastAsia="PMingLiU" w:hint="eastAsia"/>
                <w:spacing w:val="4"/>
                <w:sz w:val="16"/>
              </w:rPr>
              <w:t>个</w:t>
            </w:r>
            <w:r>
              <w:rPr>
                <w:rFonts w:ascii="PMingLiU" w:eastAsia="PMingLiU" w:hint="eastAsia"/>
                <w:sz w:val="16"/>
              </w:rPr>
              <w:t>月的</w:t>
            </w:r>
            <w:r>
              <w:rPr>
                <w:rFonts w:ascii="PMingLiU" w:eastAsia="PMingLiU" w:hint="eastAsia"/>
                <w:spacing w:val="4"/>
                <w:sz w:val="16"/>
              </w:rPr>
              <w:t>潜</w:t>
            </w:r>
            <w:r>
              <w:rPr>
                <w:rFonts w:ascii="PMingLiU" w:eastAsia="PMingLiU" w:hint="eastAsia"/>
                <w:sz w:val="16"/>
              </w:rPr>
              <w:t>在涨</w:t>
            </w:r>
            <w:r>
              <w:rPr>
                <w:rFonts w:ascii="PMingLiU" w:eastAsia="PMingLiU" w:hint="eastAsia"/>
                <w:spacing w:val="4"/>
                <w:sz w:val="16"/>
              </w:rPr>
              <w:t>幅</w:t>
            </w:r>
            <w:r>
              <w:rPr>
                <w:rFonts w:ascii="PMingLiU" w:eastAsia="PMingLiU" w:hint="eastAsia"/>
                <w:sz w:val="16"/>
              </w:rPr>
              <w:t>超过</w:t>
            </w:r>
            <w:r>
              <w:rPr>
                <w:rFonts w:ascii="PMingLiU" w:eastAsia="PMingLiU" w:hint="eastAsia"/>
                <w:spacing w:val="3"/>
                <w:sz w:val="16"/>
              </w:rPr>
              <w:t> </w:t>
            </w:r>
            <w:r>
              <w:rPr>
                <w:sz w:val="16"/>
              </w:rPr>
              <w:t>15%</w:t>
            </w:r>
          </w:p>
          <w:p>
            <w:pPr>
              <w:pStyle w:val="TableParagraph"/>
              <w:tabs>
                <w:tab w:pos="1814" w:val="left" w:leader="none"/>
              </w:tabs>
              <w:spacing w:line="240" w:lineRule="exact"/>
              <w:ind w:left="14"/>
              <w:rPr>
                <w:rFonts w:ascii="PMingLiU" w:eastAsia="PMingLiU" w:hint="eastAsia"/>
                <w:sz w:val="16"/>
              </w:rPr>
            </w:pPr>
            <w:r>
              <w:rPr>
                <w:rFonts w:ascii="Microsoft JhengHei UI" w:eastAsia="Microsoft JhengHei UI" w:hint="eastAsia"/>
                <w:b/>
                <w:spacing w:val="4"/>
                <w:sz w:val="16"/>
              </w:rPr>
              <w:t>持</w:t>
            </w:r>
            <w:r>
              <w:rPr>
                <w:rFonts w:ascii="Microsoft JhengHei UI" w:eastAsia="Microsoft JhengHei UI" w:hint="eastAsia"/>
                <w:b/>
                <w:sz w:val="16"/>
              </w:rPr>
              <w:t>有</w:t>
              <w:tab/>
            </w:r>
            <w:r>
              <w:rPr>
                <w:sz w:val="16"/>
              </w:rPr>
              <w:t>:</w:t>
            </w:r>
            <w:r>
              <w:rPr>
                <w:spacing w:val="-4"/>
                <w:sz w:val="16"/>
              </w:rPr>
              <w:t> </w:t>
            </w:r>
            <w:r>
              <w:rPr>
                <w:rFonts w:ascii="PMingLiU" w:eastAsia="PMingLiU" w:hint="eastAsia"/>
                <w:sz w:val="16"/>
              </w:rPr>
              <w:t>股</w:t>
            </w:r>
            <w:r>
              <w:rPr>
                <w:rFonts w:ascii="PMingLiU" w:eastAsia="PMingLiU" w:hint="eastAsia"/>
                <w:spacing w:val="4"/>
                <w:sz w:val="16"/>
              </w:rPr>
              <w:t>价</w:t>
            </w:r>
            <w:r>
              <w:rPr>
                <w:rFonts w:ascii="PMingLiU" w:eastAsia="PMingLiU" w:hint="eastAsia"/>
                <w:sz w:val="16"/>
              </w:rPr>
              <w:t>于未来</w:t>
            </w:r>
            <w:r>
              <w:rPr>
                <w:rFonts w:ascii="PMingLiU" w:eastAsia="PMingLiU" w:hint="eastAsia"/>
                <w:spacing w:val="2"/>
                <w:sz w:val="16"/>
              </w:rPr>
              <w:t> </w:t>
            </w:r>
            <w:r>
              <w:rPr>
                <w:sz w:val="16"/>
              </w:rPr>
              <w:t>12</w:t>
            </w:r>
            <w:r>
              <w:rPr>
                <w:spacing w:val="-13"/>
                <w:sz w:val="16"/>
              </w:rPr>
              <w:t> </w:t>
            </w:r>
            <w:r>
              <w:rPr>
                <w:rFonts w:ascii="PMingLiU" w:eastAsia="PMingLiU" w:hint="eastAsia"/>
                <w:spacing w:val="4"/>
                <w:sz w:val="16"/>
              </w:rPr>
              <w:t>个</w:t>
            </w:r>
            <w:r>
              <w:rPr>
                <w:rFonts w:ascii="PMingLiU" w:eastAsia="PMingLiU" w:hint="eastAsia"/>
                <w:sz w:val="16"/>
              </w:rPr>
              <w:t>月的</w:t>
            </w:r>
            <w:r>
              <w:rPr>
                <w:rFonts w:ascii="PMingLiU" w:eastAsia="PMingLiU" w:hint="eastAsia"/>
                <w:spacing w:val="4"/>
                <w:sz w:val="16"/>
              </w:rPr>
              <w:t>潜</w:t>
            </w:r>
            <w:r>
              <w:rPr>
                <w:rFonts w:ascii="PMingLiU" w:eastAsia="PMingLiU" w:hint="eastAsia"/>
                <w:sz w:val="16"/>
              </w:rPr>
              <w:t>在变</w:t>
            </w:r>
            <w:r>
              <w:rPr>
                <w:rFonts w:ascii="PMingLiU" w:eastAsia="PMingLiU" w:hint="eastAsia"/>
                <w:spacing w:val="4"/>
                <w:sz w:val="16"/>
              </w:rPr>
              <w:t>幅</w:t>
            </w:r>
            <w:r>
              <w:rPr>
                <w:rFonts w:ascii="PMingLiU" w:eastAsia="PMingLiU" w:hint="eastAsia"/>
                <w:sz w:val="16"/>
              </w:rPr>
              <w:t>在</w:t>
            </w:r>
            <w:r>
              <w:rPr>
                <w:sz w:val="16"/>
              </w:rPr>
              <w:t>-10%</w:t>
            </w:r>
            <w:r>
              <w:rPr>
                <w:rFonts w:ascii="PMingLiU" w:eastAsia="PMingLiU" w:hint="eastAsia"/>
                <w:sz w:val="16"/>
              </w:rPr>
              <w:t>至</w:t>
            </w:r>
            <w:r>
              <w:rPr>
                <w:sz w:val="16"/>
              </w:rPr>
              <w:t>+15%</w:t>
            </w:r>
            <w:r>
              <w:rPr>
                <w:rFonts w:ascii="PMingLiU" w:eastAsia="PMingLiU" w:hint="eastAsia"/>
                <w:sz w:val="16"/>
              </w:rPr>
              <w:t>之间</w:t>
            </w:r>
          </w:p>
          <w:p>
            <w:pPr>
              <w:pStyle w:val="TableParagraph"/>
              <w:tabs>
                <w:tab w:pos="1814" w:val="left" w:leader="none"/>
              </w:tabs>
              <w:spacing w:line="240" w:lineRule="exact"/>
              <w:ind w:left="14"/>
              <w:rPr>
                <w:sz w:val="16"/>
              </w:rPr>
            </w:pPr>
            <w:r>
              <w:rPr>
                <w:rFonts w:ascii="Microsoft JhengHei UI" w:eastAsia="Microsoft JhengHei UI" w:hint="eastAsia"/>
                <w:b/>
                <w:spacing w:val="4"/>
                <w:sz w:val="16"/>
              </w:rPr>
              <w:t>卖</w:t>
            </w:r>
            <w:r>
              <w:rPr>
                <w:rFonts w:ascii="Microsoft JhengHei UI" w:eastAsia="Microsoft JhengHei UI" w:hint="eastAsia"/>
                <w:b/>
                <w:sz w:val="16"/>
              </w:rPr>
              <w:t>出</w:t>
              <w:tab/>
            </w:r>
            <w:r>
              <w:rPr>
                <w:sz w:val="16"/>
              </w:rPr>
              <w:t>:</w:t>
            </w:r>
            <w:r>
              <w:rPr>
                <w:spacing w:val="-4"/>
                <w:sz w:val="16"/>
              </w:rPr>
              <w:t> </w:t>
            </w:r>
            <w:r>
              <w:rPr>
                <w:rFonts w:ascii="PMingLiU" w:eastAsia="PMingLiU" w:hint="eastAsia"/>
                <w:sz w:val="16"/>
              </w:rPr>
              <w:t>股</w:t>
            </w:r>
            <w:r>
              <w:rPr>
                <w:rFonts w:ascii="PMingLiU" w:eastAsia="PMingLiU" w:hint="eastAsia"/>
                <w:spacing w:val="4"/>
                <w:sz w:val="16"/>
              </w:rPr>
              <w:t>价</w:t>
            </w:r>
            <w:r>
              <w:rPr>
                <w:rFonts w:ascii="PMingLiU" w:eastAsia="PMingLiU" w:hint="eastAsia"/>
                <w:sz w:val="16"/>
              </w:rPr>
              <w:t>于未来</w:t>
            </w:r>
            <w:r>
              <w:rPr>
                <w:rFonts w:ascii="PMingLiU" w:eastAsia="PMingLiU" w:hint="eastAsia"/>
                <w:spacing w:val="2"/>
                <w:sz w:val="16"/>
              </w:rPr>
              <w:t> </w:t>
            </w:r>
            <w:r>
              <w:rPr>
                <w:sz w:val="16"/>
              </w:rPr>
              <w:t>12</w:t>
            </w:r>
            <w:r>
              <w:rPr>
                <w:spacing w:val="-13"/>
                <w:sz w:val="16"/>
              </w:rPr>
              <w:t> </w:t>
            </w:r>
            <w:r>
              <w:rPr>
                <w:rFonts w:ascii="PMingLiU" w:eastAsia="PMingLiU" w:hint="eastAsia"/>
                <w:spacing w:val="4"/>
                <w:sz w:val="16"/>
              </w:rPr>
              <w:t>个</w:t>
            </w:r>
            <w:r>
              <w:rPr>
                <w:rFonts w:ascii="PMingLiU" w:eastAsia="PMingLiU" w:hint="eastAsia"/>
                <w:sz w:val="16"/>
              </w:rPr>
              <w:t>月的</w:t>
            </w:r>
            <w:r>
              <w:rPr>
                <w:rFonts w:ascii="PMingLiU" w:eastAsia="PMingLiU" w:hint="eastAsia"/>
                <w:spacing w:val="4"/>
                <w:sz w:val="16"/>
              </w:rPr>
              <w:t>潜</w:t>
            </w:r>
            <w:r>
              <w:rPr>
                <w:rFonts w:ascii="PMingLiU" w:eastAsia="PMingLiU" w:hint="eastAsia"/>
                <w:sz w:val="16"/>
              </w:rPr>
              <w:t>在跌</w:t>
            </w:r>
            <w:r>
              <w:rPr>
                <w:rFonts w:ascii="PMingLiU" w:eastAsia="PMingLiU" w:hint="eastAsia"/>
                <w:spacing w:val="4"/>
                <w:sz w:val="16"/>
              </w:rPr>
              <w:t>幅</w:t>
            </w:r>
            <w:r>
              <w:rPr>
                <w:rFonts w:ascii="PMingLiU" w:eastAsia="PMingLiU" w:hint="eastAsia"/>
                <w:sz w:val="16"/>
              </w:rPr>
              <w:t>超过</w:t>
            </w:r>
            <w:r>
              <w:rPr>
                <w:rFonts w:ascii="PMingLiU" w:eastAsia="PMingLiU" w:hint="eastAsia"/>
                <w:spacing w:val="3"/>
                <w:sz w:val="16"/>
              </w:rPr>
              <w:t> </w:t>
            </w:r>
            <w:r>
              <w:rPr>
                <w:sz w:val="16"/>
              </w:rPr>
              <w:t>10%</w:t>
            </w:r>
          </w:p>
          <w:p>
            <w:pPr>
              <w:pStyle w:val="TableParagraph"/>
              <w:tabs>
                <w:tab w:pos="1814" w:val="left" w:leader="none"/>
              </w:tabs>
              <w:spacing w:line="263" w:lineRule="exact"/>
              <w:ind w:left="14"/>
              <w:rPr>
                <w:rFonts w:ascii="PMingLiU" w:eastAsia="PMingLiU" w:hint="eastAsia"/>
                <w:sz w:val="16"/>
              </w:rPr>
            </w:pPr>
            <w:r>
              <w:rPr>
                <w:rFonts w:ascii="Microsoft JhengHei UI" w:eastAsia="Microsoft JhengHei UI" w:hint="eastAsia"/>
                <w:b/>
                <w:spacing w:val="4"/>
                <w:sz w:val="16"/>
              </w:rPr>
              <w:t>未</w:t>
            </w:r>
            <w:r>
              <w:rPr>
                <w:rFonts w:ascii="Microsoft JhengHei UI" w:eastAsia="Microsoft JhengHei UI" w:hint="eastAsia"/>
                <w:b/>
                <w:sz w:val="16"/>
              </w:rPr>
              <w:t>评级</w:t>
              <w:tab/>
            </w:r>
            <w:r>
              <w:rPr>
                <w:sz w:val="16"/>
              </w:rPr>
              <w:t>:</w:t>
            </w:r>
            <w:r>
              <w:rPr>
                <w:spacing w:val="-4"/>
                <w:sz w:val="16"/>
              </w:rPr>
              <w:t> </w:t>
            </w:r>
            <w:r>
              <w:rPr>
                <w:rFonts w:ascii="PMingLiU" w:eastAsia="PMingLiU" w:hint="eastAsia"/>
                <w:sz w:val="16"/>
              </w:rPr>
              <w:t>招</w:t>
            </w:r>
            <w:r>
              <w:rPr>
                <w:rFonts w:ascii="PMingLiU" w:eastAsia="PMingLiU" w:hint="eastAsia"/>
                <w:spacing w:val="4"/>
                <w:sz w:val="16"/>
              </w:rPr>
              <w:t>银</w:t>
            </w:r>
            <w:r>
              <w:rPr>
                <w:rFonts w:ascii="PMingLiU" w:eastAsia="PMingLiU" w:hint="eastAsia"/>
                <w:sz w:val="16"/>
              </w:rPr>
              <w:t>国际证</w:t>
            </w:r>
            <w:r>
              <w:rPr>
                <w:rFonts w:ascii="PMingLiU" w:eastAsia="PMingLiU" w:hint="eastAsia"/>
                <w:spacing w:val="4"/>
                <w:sz w:val="16"/>
              </w:rPr>
              <w:t>券</w:t>
            </w:r>
            <w:r>
              <w:rPr>
                <w:rFonts w:ascii="PMingLiU" w:eastAsia="PMingLiU" w:hint="eastAsia"/>
                <w:sz w:val="16"/>
              </w:rPr>
              <w:t>并未</w:t>
            </w:r>
            <w:r>
              <w:rPr>
                <w:rFonts w:ascii="PMingLiU" w:eastAsia="PMingLiU" w:hint="eastAsia"/>
                <w:spacing w:val="4"/>
                <w:sz w:val="16"/>
              </w:rPr>
              <w:t>给</w:t>
            </w:r>
            <w:r>
              <w:rPr>
                <w:rFonts w:ascii="PMingLiU" w:eastAsia="PMingLiU" w:hint="eastAsia"/>
                <w:sz w:val="16"/>
              </w:rPr>
              <w:t>予投</w:t>
            </w:r>
            <w:r>
              <w:rPr>
                <w:rFonts w:ascii="PMingLiU" w:eastAsia="PMingLiU" w:hint="eastAsia"/>
                <w:spacing w:val="4"/>
                <w:sz w:val="16"/>
              </w:rPr>
              <w:t>资</w:t>
            </w:r>
            <w:r>
              <w:rPr>
                <w:rFonts w:ascii="PMingLiU" w:eastAsia="PMingLiU" w:hint="eastAsia"/>
                <w:sz w:val="16"/>
              </w:rPr>
              <w:t>评级</w:t>
            </w:r>
          </w:p>
          <w:p>
            <w:pPr>
              <w:pStyle w:val="TableParagraph"/>
              <w:spacing w:line="379" w:lineRule="exact" w:before="49"/>
              <w:ind w:left="14"/>
              <w:rPr>
                <w:rFonts w:ascii="Microsoft JhengHei UI" w:eastAsia="Microsoft JhengHei UI" w:hint="eastAsia"/>
                <w:b/>
                <w:sz w:val="23"/>
              </w:rPr>
            </w:pPr>
            <w:r>
              <w:rPr>
                <w:rFonts w:ascii="Microsoft JhengHei UI" w:eastAsia="Microsoft JhengHei UI" w:hint="eastAsia"/>
                <w:b/>
                <w:sz w:val="23"/>
              </w:rPr>
              <w:t>招银国际环球市场行业投资评级</w:t>
            </w:r>
          </w:p>
          <w:p>
            <w:pPr>
              <w:pStyle w:val="TableParagraph"/>
              <w:tabs>
                <w:tab w:pos="1805" w:val="left" w:leader="none"/>
              </w:tabs>
              <w:spacing w:line="227" w:lineRule="exact"/>
              <w:ind w:left="14"/>
              <w:rPr>
                <w:rFonts w:ascii="PMingLiU" w:eastAsia="PMingLiU" w:hint="eastAsia"/>
                <w:sz w:val="16"/>
              </w:rPr>
            </w:pPr>
            <w:r>
              <w:rPr>
                <w:rFonts w:ascii="Microsoft JhengHei UI" w:eastAsia="Microsoft JhengHei UI" w:hint="eastAsia"/>
                <w:b/>
                <w:spacing w:val="4"/>
                <w:sz w:val="16"/>
              </w:rPr>
              <w:t>优</w:t>
            </w:r>
            <w:r>
              <w:rPr>
                <w:rFonts w:ascii="Microsoft JhengHei UI" w:eastAsia="Microsoft JhengHei UI" w:hint="eastAsia"/>
                <w:b/>
                <w:sz w:val="16"/>
              </w:rPr>
              <w:t>于大市</w:t>
              <w:tab/>
            </w:r>
            <w:r>
              <w:rPr>
                <w:sz w:val="16"/>
              </w:rPr>
              <w:t>:</w:t>
            </w:r>
            <w:r>
              <w:rPr>
                <w:spacing w:val="1"/>
                <w:sz w:val="16"/>
              </w:rPr>
              <w:t> </w:t>
            </w:r>
            <w:r>
              <w:rPr>
                <w:rFonts w:ascii="PMingLiU" w:eastAsia="PMingLiU" w:hint="eastAsia"/>
                <w:sz w:val="16"/>
              </w:rPr>
              <w:t>行</w:t>
            </w:r>
            <w:r>
              <w:rPr>
                <w:rFonts w:ascii="PMingLiU" w:eastAsia="PMingLiU" w:hint="eastAsia"/>
                <w:spacing w:val="4"/>
                <w:sz w:val="16"/>
              </w:rPr>
              <w:t>业</w:t>
            </w:r>
            <w:r>
              <w:rPr>
                <w:rFonts w:ascii="PMingLiU" w:eastAsia="PMingLiU" w:hint="eastAsia"/>
                <w:sz w:val="16"/>
              </w:rPr>
              <w:t>股价</w:t>
            </w:r>
            <w:r>
              <w:rPr>
                <w:rFonts w:ascii="PMingLiU" w:eastAsia="PMingLiU" w:hint="eastAsia"/>
                <w:spacing w:val="4"/>
                <w:sz w:val="16"/>
              </w:rPr>
              <w:t>于</w:t>
            </w:r>
            <w:r>
              <w:rPr>
                <w:rFonts w:ascii="PMingLiU" w:eastAsia="PMingLiU" w:hint="eastAsia"/>
                <w:sz w:val="16"/>
              </w:rPr>
              <w:t>未</w:t>
            </w:r>
            <w:r>
              <w:rPr>
                <w:rFonts w:ascii="PMingLiU" w:eastAsia="PMingLiU" w:hint="eastAsia"/>
                <w:spacing w:val="5"/>
                <w:sz w:val="16"/>
              </w:rPr>
              <w:t>来</w:t>
            </w:r>
            <w:r>
              <w:rPr>
                <w:sz w:val="16"/>
              </w:rPr>
              <w:t>12</w:t>
            </w:r>
            <w:r>
              <w:rPr>
                <w:spacing w:val="2"/>
                <w:sz w:val="16"/>
              </w:rPr>
              <w:t> </w:t>
            </w:r>
            <w:r>
              <w:rPr>
                <w:rFonts w:ascii="PMingLiU" w:eastAsia="PMingLiU" w:hint="eastAsia"/>
                <w:sz w:val="16"/>
              </w:rPr>
              <w:t>个月</w:t>
            </w:r>
            <w:r>
              <w:rPr>
                <w:rFonts w:ascii="PMingLiU" w:eastAsia="PMingLiU" w:hint="eastAsia"/>
                <w:spacing w:val="4"/>
                <w:sz w:val="16"/>
              </w:rPr>
              <w:t>预</w:t>
            </w:r>
            <w:r>
              <w:rPr>
                <w:rFonts w:ascii="PMingLiU" w:eastAsia="PMingLiU" w:hint="eastAsia"/>
                <w:sz w:val="16"/>
              </w:rPr>
              <w:t>期表</w:t>
            </w:r>
            <w:r>
              <w:rPr>
                <w:rFonts w:ascii="PMingLiU" w:eastAsia="PMingLiU" w:hint="eastAsia"/>
                <w:spacing w:val="4"/>
                <w:sz w:val="16"/>
              </w:rPr>
              <w:t>现</w:t>
            </w:r>
            <w:r>
              <w:rPr>
                <w:rFonts w:ascii="PMingLiU" w:eastAsia="PMingLiU" w:hint="eastAsia"/>
                <w:sz w:val="16"/>
              </w:rPr>
              <w:t>跑赢</w:t>
            </w:r>
            <w:r>
              <w:rPr>
                <w:rFonts w:ascii="PMingLiU" w:eastAsia="PMingLiU" w:hint="eastAsia"/>
                <w:spacing w:val="4"/>
                <w:sz w:val="16"/>
              </w:rPr>
              <w:t>大市</w:t>
            </w:r>
            <w:r>
              <w:rPr>
                <w:rFonts w:ascii="PMingLiU" w:eastAsia="PMingLiU" w:hint="eastAsia"/>
                <w:sz w:val="16"/>
              </w:rPr>
              <w:t>指标</w:t>
            </w:r>
          </w:p>
          <w:p>
            <w:pPr>
              <w:pStyle w:val="TableParagraph"/>
              <w:tabs>
                <w:tab w:pos="1805" w:val="left" w:leader="none"/>
              </w:tabs>
              <w:spacing w:line="233" w:lineRule="exact"/>
              <w:ind w:left="14"/>
              <w:rPr>
                <w:rFonts w:ascii="PMingLiU" w:eastAsia="PMingLiU" w:hint="eastAsia"/>
                <w:sz w:val="16"/>
              </w:rPr>
            </w:pPr>
            <w:r>
              <w:rPr>
                <w:rFonts w:ascii="Microsoft JhengHei UI" w:eastAsia="Microsoft JhengHei UI" w:hint="eastAsia"/>
                <w:b/>
                <w:spacing w:val="4"/>
                <w:sz w:val="16"/>
              </w:rPr>
              <w:t>同</w:t>
            </w:r>
            <w:r>
              <w:rPr>
                <w:rFonts w:ascii="Microsoft JhengHei UI" w:eastAsia="Microsoft JhengHei UI" w:hint="eastAsia"/>
                <w:b/>
                <w:sz w:val="16"/>
              </w:rPr>
              <w:t>步大市</w:t>
              <w:tab/>
            </w:r>
            <w:r>
              <w:rPr>
                <w:sz w:val="16"/>
              </w:rPr>
              <w:t>:</w:t>
            </w:r>
            <w:r>
              <w:rPr>
                <w:spacing w:val="1"/>
                <w:sz w:val="16"/>
              </w:rPr>
              <w:t> </w:t>
            </w:r>
            <w:r>
              <w:rPr>
                <w:rFonts w:ascii="PMingLiU" w:eastAsia="PMingLiU" w:hint="eastAsia"/>
                <w:sz w:val="16"/>
              </w:rPr>
              <w:t>行</w:t>
            </w:r>
            <w:r>
              <w:rPr>
                <w:rFonts w:ascii="PMingLiU" w:eastAsia="PMingLiU" w:hint="eastAsia"/>
                <w:spacing w:val="4"/>
                <w:sz w:val="16"/>
              </w:rPr>
              <w:t>业</w:t>
            </w:r>
            <w:r>
              <w:rPr>
                <w:rFonts w:ascii="PMingLiU" w:eastAsia="PMingLiU" w:hint="eastAsia"/>
                <w:sz w:val="16"/>
              </w:rPr>
              <w:t>股价</w:t>
            </w:r>
            <w:r>
              <w:rPr>
                <w:rFonts w:ascii="PMingLiU" w:eastAsia="PMingLiU" w:hint="eastAsia"/>
                <w:spacing w:val="4"/>
                <w:sz w:val="16"/>
              </w:rPr>
              <w:t>于</w:t>
            </w:r>
            <w:r>
              <w:rPr>
                <w:rFonts w:ascii="PMingLiU" w:eastAsia="PMingLiU" w:hint="eastAsia"/>
                <w:sz w:val="16"/>
              </w:rPr>
              <w:t>未</w:t>
            </w:r>
            <w:r>
              <w:rPr>
                <w:rFonts w:ascii="PMingLiU" w:eastAsia="PMingLiU" w:hint="eastAsia"/>
                <w:spacing w:val="5"/>
                <w:sz w:val="16"/>
              </w:rPr>
              <w:t>来</w:t>
            </w:r>
            <w:r>
              <w:rPr>
                <w:sz w:val="16"/>
              </w:rPr>
              <w:t>12</w:t>
            </w:r>
            <w:r>
              <w:rPr>
                <w:spacing w:val="2"/>
                <w:sz w:val="16"/>
              </w:rPr>
              <w:t> </w:t>
            </w:r>
            <w:r>
              <w:rPr>
                <w:rFonts w:ascii="PMingLiU" w:eastAsia="PMingLiU" w:hint="eastAsia"/>
                <w:sz w:val="16"/>
              </w:rPr>
              <w:t>个月</w:t>
            </w:r>
            <w:r>
              <w:rPr>
                <w:rFonts w:ascii="PMingLiU" w:eastAsia="PMingLiU" w:hint="eastAsia"/>
                <w:spacing w:val="4"/>
                <w:sz w:val="16"/>
              </w:rPr>
              <w:t>预</w:t>
            </w:r>
            <w:r>
              <w:rPr>
                <w:rFonts w:ascii="PMingLiU" w:eastAsia="PMingLiU" w:hint="eastAsia"/>
                <w:sz w:val="16"/>
              </w:rPr>
              <w:t>期表</w:t>
            </w:r>
            <w:r>
              <w:rPr>
                <w:rFonts w:ascii="PMingLiU" w:eastAsia="PMingLiU" w:hint="eastAsia"/>
                <w:spacing w:val="4"/>
                <w:sz w:val="16"/>
              </w:rPr>
              <w:t>现</w:t>
            </w:r>
            <w:r>
              <w:rPr>
                <w:rFonts w:ascii="PMingLiU" w:eastAsia="PMingLiU" w:hint="eastAsia"/>
                <w:sz w:val="16"/>
              </w:rPr>
              <w:t>与大</w:t>
            </w:r>
            <w:r>
              <w:rPr>
                <w:rFonts w:ascii="PMingLiU" w:eastAsia="PMingLiU" w:hint="eastAsia"/>
                <w:spacing w:val="4"/>
                <w:sz w:val="16"/>
              </w:rPr>
              <w:t>市指</w:t>
            </w:r>
            <w:r>
              <w:rPr>
                <w:rFonts w:ascii="PMingLiU" w:eastAsia="PMingLiU" w:hint="eastAsia"/>
                <w:sz w:val="16"/>
              </w:rPr>
              <w:t>标相若</w:t>
            </w:r>
          </w:p>
          <w:p>
            <w:pPr>
              <w:pStyle w:val="TableParagraph"/>
              <w:tabs>
                <w:tab w:pos="1805" w:val="left" w:leader="none"/>
              </w:tabs>
              <w:spacing w:line="260" w:lineRule="exact"/>
              <w:ind w:left="14"/>
              <w:rPr>
                <w:rFonts w:ascii="PMingLiU" w:eastAsia="PMingLiU" w:hint="eastAsia"/>
                <w:sz w:val="16"/>
              </w:rPr>
            </w:pPr>
            <w:r>
              <w:rPr>
                <w:rFonts w:ascii="Microsoft JhengHei UI" w:eastAsia="Microsoft JhengHei UI" w:hint="eastAsia"/>
                <w:b/>
                <w:spacing w:val="4"/>
                <w:sz w:val="16"/>
              </w:rPr>
              <w:t>落</w:t>
            </w:r>
            <w:r>
              <w:rPr>
                <w:rFonts w:ascii="Microsoft JhengHei UI" w:eastAsia="Microsoft JhengHei UI" w:hint="eastAsia"/>
                <w:b/>
                <w:sz w:val="16"/>
              </w:rPr>
              <w:t>后大市</w:t>
              <w:tab/>
            </w:r>
            <w:r>
              <w:rPr>
                <w:sz w:val="16"/>
              </w:rPr>
              <w:t>:</w:t>
            </w:r>
            <w:r>
              <w:rPr>
                <w:spacing w:val="1"/>
                <w:sz w:val="16"/>
              </w:rPr>
              <w:t> </w:t>
            </w:r>
            <w:r>
              <w:rPr>
                <w:rFonts w:ascii="PMingLiU" w:eastAsia="PMingLiU" w:hint="eastAsia"/>
                <w:sz w:val="16"/>
              </w:rPr>
              <w:t>行</w:t>
            </w:r>
            <w:r>
              <w:rPr>
                <w:rFonts w:ascii="PMingLiU" w:eastAsia="PMingLiU" w:hint="eastAsia"/>
                <w:spacing w:val="4"/>
                <w:sz w:val="16"/>
              </w:rPr>
              <w:t>业</w:t>
            </w:r>
            <w:r>
              <w:rPr>
                <w:rFonts w:ascii="PMingLiU" w:eastAsia="PMingLiU" w:hint="eastAsia"/>
                <w:sz w:val="16"/>
              </w:rPr>
              <w:t>股价</w:t>
            </w:r>
            <w:r>
              <w:rPr>
                <w:rFonts w:ascii="PMingLiU" w:eastAsia="PMingLiU" w:hint="eastAsia"/>
                <w:spacing w:val="4"/>
                <w:sz w:val="16"/>
              </w:rPr>
              <w:t>于</w:t>
            </w:r>
            <w:r>
              <w:rPr>
                <w:rFonts w:ascii="PMingLiU" w:eastAsia="PMingLiU" w:hint="eastAsia"/>
                <w:sz w:val="16"/>
              </w:rPr>
              <w:t>未来</w:t>
            </w:r>
            <w:r>
              <w:rPr>
                <w:rFonts w:ascii="PMingLiU" w:eastAsia="PMingLiU" w:hint="eastAsia"/>
                <w:spacing w:val="2"/>
                <w:sz w:val="16"/>
              </w:rPr>
              <w:t> </w:t>
            </w:r>
            <w:r>
              <w:rPr>
                <w:sz w:val="16"/>
              </w:rPr>
              <w:t>12</w:t>
            </w:r>
            <w:r>
              <w:rPr>
                <w:spacing w:val="2"/>
                <w:sz w:val="16"/>
              </w:rPr>
              <w:t> </w:t>
            </w:r>
            <w:r>
              <w:rPr>
                <w:rFonts w:ascii="PMingLiU" w:eastAsia="PMingLiU" w:hint="eastAsia"/>
                <w:sz w:val="16"/>
              </w:rPr>
              <w:t>个</w:t>
            </w:r>
            <w:r>
              <w:rPr>
                <w:rFonts w:ascii="PMingLiU" w:eastAsia="PMingLiU" w:hint="eastAsia"/>
                <w:spacing w:val="4"/>
                <w:sz w:val="16"/>
              </w:rPr>
              <w:t>月</w:t>
            </w:r>
            <w:r>
              <w:rPr>
                <w:rFonts w:ascii="PMingLiU" w:eastAsia="PMingLiU" w:hint="eastAsia"/>
                <w:sz w:val="16"/>
              </w:rPr>
              <w:t>预期</w:t>
            </w:r>
            <w:r>
              <w:rPr>
                <w:rFonts w:ascii="PMingLiU" w:eastAsia="PMingLiU" w:hint="eastAsia"/>
                <w:spacing w:val="4"/>
                <w:sz w:val="16"/>
              </w:rPr>
              <w:t>表</w:t>
            </w:r>
            <w:r>
              <w:rPr>
                <w:rFonts w:ascii="PMingLiU" w:eastAsia="PMingLiU" w:hint="eastAsia"/>
                <w:sz w:val="16"/>
              </w:rPr>
              <w:t>现跑</w:t>
            </w:r>
            <w:r>
              <w:rPr>
                <w:rFonts w:ascii="PMingLiU" w:eastAsia="PMingLiU" w:hint="eastAsia"/>
                <w:spacing w:val="4"/>
                <w:sz w:val="16"/>
              </w:rPr>
              <w:t>输</w:t>
            </w:r>
            <w:r>
              <w:rPr>
                <w:rFonts w:ascii="PMingLiU" w:eastAsia="PMingLiU" w:hint="eastAsia"/>
                <w:sz w:val="16"/>
              </w:rPr>
              <w:t>大</w:t>
            </w:r>
            <w:r>
              <w:rPr>
                <w:rFonts w:ascii="PMingLiU" w:eastAsia="PMingLiU" w:hint="eastAsia"/>
                <w:spacing w:val="4"/>
                <w:sz w:val="16"/>
              </w:rPr>
              <w:t>市</w:t>
            </w:r>
            <w:r>
              <w:rPr>
                <w:rFonts w:ascii="PMingLiU" w:eastAsia="PMingLiU" w:hint="eastAsia"/>
                <w:sz w:val="16"/>
              </w:rPr>
              <w:t>指标</w:t>
            </w:r>
          </w:p>
        </w:tc>
      </w:tr>
      <w:tr>
        <w:trPr>
          <w:trHeight w:val="384" w:hRule="atLeast"/>
        </w:trPr>
        <w:tc>
          <w:tcPr>
            <w:tcW w:w="10564" w:type="dxa"/>
            <w:tcBorders>
              <w:bottom w:val="single" w:sz="4" w:space="0" w:color="000000"/>
            </w:tcBorders>
          </w:tcPr>
          <w:p>
            <w:pPr>
              <w:pStyle w:val="TableParagraph"/>
              <w:spacing w:line="276" w:lineRule="exact" w:before="88"/>
              <w:ind w:left="14"/>
              <w:rPr>
                <w:rFonts w:ascii="PMingLiU" w:eastAsia="PMingLiU" w:hint="eastAsia"/>
                <w:sz w:val="21"/>
              </w:rPr>
            </w:pPr>
            <w:r>
              <w:rPr>
                <w:rFonts w:ascii="PMingLiU" w:eastAsia="PMingLiU" w:hint="eastAsia"/>
                <w:sz w:val="21"/>
              </w:rPr>
              <w:t>招银国际环球市场有限公司</w:t>
            </w:r>
          </w:p>
        </w:tc>
      </w:tr>
      <w:tr>
        <w:trPr>
          <w:trHeight w:val="234" w:hRule="atLeast"/>
        </w:trPr>
        <w:tc>
          <w:tcPr>
            <w:tcW w:w="10564" w:type="dxa"/>
            <w:tcBorders>
              <w:top w:val="single" w:sz="4" w:space="0" w:color="000000"/>
              <w:bottom w:val="single" w:sz="4" w:space="0" w:color="000000"/>
            </w:tcBorders>
          </w:tcPr>
          <w:p>
            <w:pPr>
              <w:pStyle w:val="TableParagraph"/>
              <w:tabs>
                <w:tab w:pos="3615" w:val="left" w:leader="none"/>
                <w:tab w:pos="5983" w:val="left" w:leader="none"/>
              </w:tabs>
              <w:spacing w:line="215" w:lineRule="exact"/>
              <w:ind w:left="14"/>
              <w:rPr>
                <w:rFonts w:ascii="Microsoft JhengHei UI" w:eastAsia="Microsoft JhengHei UI" w:hint="eastAsia"/>
                <w:b/>
                <w:sz w:val="16"/>
              </w:rPr>
            </w:pPr>
            <w:r>
              <w:rPr>
                <w:rFonts w:ascii="Microsoft JhengHei UI" w:eastAsia="Microsoft JhengHei UI" w:hint="eastAsia"/>
                <w:b/>
                <w:spacing w:val="4"/>
                <w:sz w:val="16"/>
              </w:rPr>
              <w:t>地</w:t>
            </w:r>
            <w:r>
              <w:rPr>
                <w:rFonts w:ascii="Microsoft JhengHei UI" w:eastAsia="Microsoft JhengHei UI" w:hint="eastAsia"/>
                <w:b/>
                <w:sz w:val="16"/>
              </w:rPr>
              <w:t>址:</w:t>
            </w:r>
            <w:r>
              <w:rPr>
                <w:rFonts w:ascii="Microsoft JhengHei UI" w:eastAsia="Microsoft JhengHei UI" w:hint="eastAsia"/>
                <w:b/>
                <w:spacing w:val="-10"/>
                <w:sz w:val="16"/>
              </w:rPr>
              <w:t> </w:t>
            </w:r>
            <w:r>
              <w:rPr>
                <w:rFonts w:ascii="Microsoft JhengHei UI" w:eastAsia="Microsoft JhengHei UI" w:hint="eastAsia"/>
                <w:b/>
                <w:sz w:val="16"/>
              </w:rPr>
              <w:t>香</w:t>
            </w:r>
            <w:r>
              <w:rPr>
                <w:rFonts w:ascii="Microsoft JhengHei UI" w:eastAsia="Microsoft JhengHei UI" w:hint="eastAsia"/>
                <w:b/>
                <w:spacing w:val="4"/>
                <w:sz w:val="16"/>
              </w:rPr>
              <w:t>港</w:t>
            </w:r>
            <w:r>
              <w:rPr>
                <w:rFonts w:ascii="Microsoft JhengHei UI" w:eastAsia="Microsoft JhengHei UI" w:hint="eastAsia"/>
                <w:b/>
                <w:sz w:val="16"/>
              </w:rPr>
              <w:t>中环</w:t>
            </w:r>
            <w:r>
              <w:rPr>
                <w:rFonts w:ascii="Microsoft JhengHei UI" w:eastAsia="Microsoft JhengHei UI" w:hint="eastAsia"/>
                <w:b/>
                <w:spacing w:val="4"/>
                <w:sz w:val="16"/>
              </w:rPr>
              <w:t>花</w:t>
            </w:r>
            <w:r>
              <w:rPr>
                <w:rFonts w:ascii="Microsoft JhengHei UI" w:eastAsia="Microsoft JhengHei UI" w:hint="eastAsia"/>
                <w:b/>
                <w:sz w:val="16"/>
              </w:rPr>
              <w:t>园道</w:t>
            </w:r>
            <w:r>
              <w:rPr>
                <w:rFonts w:ascii="Microsoft JhengHei UI" w:eastAsia="Microsoft JhengHei UI" w:hint="eastAsia"/>
                <w:b/>
                <w:spacing w:val="-7"/>
                <w:sz w:val="16"/>
              </w:rPr>
              <w:t> </w:t>
            </w:r>
            <w:r>
              <w:rPr>
                <w:rFonts w:ascii="Microsoft JhengHei UI" w:eastAsia="Microsoft JhengHei UI" w:hint="eastAsia"/>
                <w:b/>
                <w:sz w:val="16"/>
              </w:rPr>
              <w:t>3</w:t>
            </w:r>
            <w:r>
              <w:rPr>
                <w:rFonts w:ascii="Microsoft JhengHei UI" w:eastAsia="Microsoft JhengHei UI" w:hint="eastAsia"/>
                <w:b/>
                <w:spacing w:val="-11"/>
                <w:sz w:val="16"/>
              </w:rPr>
              <w:t> </w:t>
            </w:r>
            <w:r>
              <w:rPr>
                <w:rFonts w:ascii="Microsoft JhengHei UI" w:eastAsia="Microsoft JhengHei UI" w:hint="eastAsia"/>
                <w:b/>
                <w:sz w:val="16"/>
              </w:rPr>
              <w:t>号冠</w:t>
            </w:r>
            <w:r>
              <w:rPr>
                <w:rFonts w:ascii="Microsoft JhengHei UI" w:eastAsia="Microsoft JhengHei UI" w:hint="eastAsia"/>
                <w:b/>
                <w:spacing w:val="4"/>
                <w:sz w:val="16"/>
              </w:rPr>
              <w:t>君</w:t>
            </w:r>
            <w:r>
              <w:rPr>
                <w:rFonts w:ascii="Microsoft JhengHei UI" w:eastAsia="Microsoft JhengHei UI" w:hint="eastAsia"/>
                <w:b/>
                <w:sz w:val="16"/>
              </w:rPr>
              <w:t>大厦</w:t>
            </w:r>
            <w:r>
              <w:rPr>
                <w:rFonts w:ascii="Microsoft JhengHei UI" w:eastAsia="Microsoft JhengHei UI" w:hint="eastAsia"/>
                <w:b/>
                <w:spacing w:val="-8"/>
                <w:sz w:val="16"/>
              </w:rPr>
              <w:t> </w:t>
            </w:r>
            <w:r>
              <w:rPr>
                <w:rFonts w:ascii="Microsoft JhengHei UI" w:eastAsia="Microsoft JhengHei UI" w:hint="eastAsia"/>
                <w:b/>
                <w:sz w:val="16"/>
              </w:rPr>
              <w:t>45</w:t>
            </w:r>
            <w:r>
              <w:rPr>
                <w:rFonts w:ascii="Microsoft JhengHei UI" w:eastAsia="Microsoft JhengHei UI" w:hint="eastAsia"/>
                <w:b/>
                <w:spacing w:val="-13"/>
                <w:sz w:val="16"/>
              </w:rPr>
              <w:t> </w:t>
            </w:r>
            <w:r>
              <w:rPr>
                <w:rFonts w:ascii="Microsoft JhengHei UI" w:eastAsia="Microsoft JhengHei UI" w:hint="eastAsia"/>
                <w:b/>
                <w:sz w:val="16"/>
              </w:rPr>
              <w:t>楼</w:t>
              <w:tab/>
            </w:r>
            <w:r>
              <w:rPr>
                <w:rFonts w:ascii="Microsoft JhengHei UI" w:eastAsia="Microsoft JhengHei UI" w:hint="eastAsia"/>
                <w:b/>
                <w:spacing w:val="4"/>
                <w:w w:val="90"/>
                <w:sz w:val="16"/>
              </w:rPr>
              <w:t>电</w:t>
            </w:r>
            <w:r>
              <w:rPr>
                <w:rFonts w:ascii="Microsoft JhengHei UI" w:eastAsia="Microsoft JhengHei UI" w:hint="eastAsia"/>
                <w:b/>
                <w:w w:val="90"/>
                <w:sz w:val="16"/>
              </w:rPr>
              <w:t>话:</w:t>
            </w:r>
            <w:r>
              <w:rPr>
                <w:rFonts w:ascii="Microsoft JhengHei UI" w:eastAsia="Microsoft JhengHei UI" w:hint="eastAsia"/>
                <w:b/>
                <w:spacing w:val="-14"/>
                <w:w w:val="90"/>
                <w:sz w:val="16"/>
              </w:rPr>
              <w:t> </w:t>
            </w:r>
            <w:r>
              <w:rPr>
                <w:rFonts w:ascii="Microsoft JhengHei UI" w:eastAsia="Microsoft JhengHei UI" w:hint="eastAsia"/>
                <w:b/>
                <w:w w:val="90"/>
                <w:sz w:val="16"/>
              </w:rPr>
              <w:t>(852)</w:t>
            </w:r>
            <w:r>
              <w:rPr>
                <w:rFonts w:ascii="Microsoft JhengHei UI" w:eastAsia="Microsoft JhengHei UI" w:hint="eastAsia"/>
                <w:b/>
                <w:spacing w:val="-9"/>
                <w:w w:val="90"/>
                <w:sz w:val="16"/>
              </w:rPr>
              <w:t> </w:t>
            </w:r>
            <w:r>
              <w:rPr>
                <w:rFonts w:ascii="Microsoft JhengHei UI" w:eastAsia="Microsoft JhengHei UI" w:hint="eastAsia"/>
                <w:b/>
                <w:w w:val="90"/>
                <w:sz w:val="16"/>
              </w:rPr>
              <w:t>3900</w:t>
            </w:r>
            <w:r>
              <w:rPr>
                <w:rFonts w:ascii="Microsoft JhengHei UI" w:eastAsia="Microsoft JhengHei UI" w:hint="eastAsia"/>
                <w:b/>
                <w:spacing w:val="-12"/>
                <w:w w:val="90"/>
                <w:sz w:val="16"/>
              </w:rPr>
              <w:t> </w:t>
            </w:r>
            <w:r>
              <w:rPr>
                <w:rFonts w:ascii="Microsoft JhengHei UI" w:eastAsia="Microsoft JhengHei UI" w:hint="eastAsia"/>
                <w:b/>
                <w:w w:val="90"/>
                <w:sz w:val="16"/>
              </w:rPr>
              <w:t>0888</w:t>
              <w:tab/>
            </w:r>
            <w:r>
              <w:rPr>
                <w:rFonts w:ascii="Microsoft JhengHei UI" w:eastAsia="Microsoft JhengHei UI" w:hint="eastAsia"/>
                <w:b/>
                <w:sz w:val="16"/>
              </w:rPr>
              <w:t>传真:</w:t>
            </w:r>
            <w:r>
              <w:rPr>
                <w:rFonts w:ascii="Microsoft JhengHei UI" w:eastAsia="Microsoft JhengHei UI" w:hint="eastAsia"/>
                <w:b/>
                <w:spacing w:val="-1"/>
                <w:sz w:val="16"/>
              </w:rPr>
              <w:t> </w:t>
            </w:r>
            <w:r>
              <w:rPr>
                <w:rFonts w:ascii="Microsoft JhengHei UI" w:eastAsia="Microsoft JhengHei UI" w:hint="eastAsia"/>
                <w:b/>
                <w:sz w:val="16"/>
              </w:rPr>
              <w:t>(852)</w:t>
            </w:r>
            <w:r>
              <w:rPr>
                <w:rFonts w:ascii="Microsoft JhengHei UI" w:eastAsia="Microsoft JhengHei UI" w:hint="eastAsia"/>
                <w:b/>
                <w:spacing w:val="-4"/>
                <w:sz w:val="16"/>
              </w:rPr>
              <w:t> </w:t>
            </w:r>
            <w:r>
              <w:rPr>
                <w:rFonts w:ascii="Microsoft JhengHei UI" w:eastAsia="Microsoft JhengHei UI" w:hint="eastAsia"/>
                <w:b/>
                <w:sz w:val="16"/>
              </w:rPr>
              <w:t>3900</w:t>
            </w:r>
            <w:r>
              <w:rPr>
                <w:rFonts w:ascii="Microsoft JhengHei UI" w:eastAsia="Microsoft JhengHei UI" w:hint="eastAsia"/>
                <w:b/>
                <w:spacing w:val="-3"/>
                <w:sz w:val="16"/>
              </w:rPr>
              <w:t> </w:t>
            </w:r>
            <w:r>
              <w:rPr>
                <w:rFonts w:ascii="Microsoft JhengHei UI" w:eastAsia="Microsoft JhengHei UI" w:hint="eastAsia"/>
                <w:b/>
                <w:sz w:val="16"/>
              </w:rPr>
              <w:t>0800</w:t>
            </w:r>
          </w:p>
        </w:tc>
      </w:tr>
      <w:tr>
        <w:trPr>
          <w:trHeight w:val="234" w:hRule="atLeast"/>
        </w:trPr>
        <w:tc>
          <w:tcPr>
            <w:tcW w:w="10564" w:type="dxa"/>
            <w:tcBorders>
              <w:top w:val="single" w:sz="4" w:space="0" w:color="000000"/>
              <w:bottom w:val="single" w:sz="4" w:space="0" w:color="000000"/>
            </w:tcBorders>
          </w:tcPr>
          <w:p>
            <w:pPr>
              <w:pStyle w:val="TableParagraph"/>
              <w:spacing w:line="215" w:lineRule="exact"/>
              <w:ind w:left="14"/>
              <w:rPr>
                <w:rFonts w:ascii="Microsoft JhengHei UI" w:hAnsi="Microsoft JhengHei UI" w:eastAsia="Microsoft JhengHei UI" w:hint="eastAsia"/>
                <w:b/>
                <w:sz w:val="16"/>
              </w:rPr>
            </w:pPr>
            <w:r>
              <w:rPr>
                <w:rFonts w:ascii="Microsoft JhengHei UI" w:hAnsi="Microsoft JhengHei UI" w:eastAsia="Microsoft JhengHei UI" w:hint="eastAsia"/>
                <w:b/>
                <w:w w:val="99"/>
                <w:sz w:val="16"/>
              </w:rPr>
              <w:t>招银国际环球市场有限公司</w:t>
            </w:r>
            <w:r>
              <w:rPr>
                <w:rFonts w:ascii="Microsoft JhengHei UI" w:hAnsi="Microsoft JhengHei UI" w:eastAsia="Microsoft JhengHei UI" w:hint="eastAsia"/>
                <w:b/>
                <w:spacing w:val="1"/>
                <w:w w:val="82"/>
                <w:sz w:val="16"/>
              </w:rPr>
              <w:t>(</w:t>
            </w:r>
            <w:r>
              <w:rPr>
                <w:rFonts w:ascii="Microsoft JhengHei UI" w:hAnsi="Microsoft JhengHei UI" w:eastAsia="Microsoft JhengHei UI" w:hint="eastAsia"/>
                <w:b/>
                <w:spacing w:val="5"/>
                <w:w w:val="262"/>
                <w:sz w:val="16"/>
              </w:rPr>
              <w:t>“</w:t>
            </w:r>
            <w:r>
              <w:rPr>
                <w:rFonts w:ascii="Microsoft JhengHei UI" w:hAnsi="Microsoft JhengHei UI" w:eastAsia="Microsoft JhengHei UI" w:hint="eastAsia"/>
                <w:b/>
                <w:w w:val="99"/>
                <w:sz w:val="16"/>
              </w:rPr>
              <w:t>招银国际环球市场</w:t>
            </w:r>
            <w:r>
              <w:rPr>
                <w:rFonts w:ascii="Microsoft JhengHei UI" w:hAnsi="Microsoft JhengHei UI" w:eastAsia="Microsoft JhengHei UI" w:hint="eastAsia"/>
                <w:b/>
                <w:w w:val="262"/>
                <w:sz w:val="16"/>
              </w:rPr>
              <w:t>”</w:t>
            </w:r>
            <w:r>
              <w:rPr>
                <w:rFonts w:ascii="Microsoft JhengHei UI" w:hAnsi="Microsoft JhengHei UI" w:eastAsia="Microsoft JhengHei UI" w:hint="eastAsia"/>
                <w:b/>
                <w:spacing w:val="1"/>
                <w:w w:val="82"/>
                <w:sz w:val="16"/>
              </w:rPr>
              <w:t>)</w:t>
            </w:r>
            <w:r>
              <w:rPr>
                <w:rFonts w:ascii="Microsoft JhengHei UI" w:hAnsi="Microsoft JhengHei UI" w:eastAsia="Microsoft JhengHei UI" w:hint="eastAsia"/>
                <w:b/>
                <w:w w:val="99"/>
                <w:sz w:val="16"/>
              </w:rPr>
              <w:t>为招银国际金融有限公司之全资附属公司</w:t>
            </w:r>
            <w:r>
              <w:rPr>
                <w:rFonts w:ascii="Microsoft JhengHei UI" w:hAnsi="Microsoft JhengHei UI" w:eastAsia="Microsoft JhengHei UI" w:hint="eastAsia"/>
                <w:b/>
                <w:sz w:val="16"/>
              </w:rPr>
              <w:t> </w:t>
            </w:r>
            <w:r>
              <w:rPr>
                <w:rFonts w:ascii="Microsoft JhengHei UI" w:hAnsi="Microsoft JhengHei UI" w:eastAsia="Microsoft JhengHei UI" w:hint="eastAsia"/>
                <w:b/>
                <w:spacing w:val="1"/>
                <w:w w:val="82"/>
                <w:sz w:val="16"/>
              </w:rPr>
              <w:t>(</w:t>
            </w:r>
            <w:r>
              <w:rPr>
                <w:rFonts w:ascii="Microsoft JhengHei UI" w:hAnsi="Microsoft JhengHei UI" w:eastAsia="Microsoft JhengHei UI" w:hint="eastAsia"/>
                <w:b/>
                <w:w w:val="99"/>
                <w:sz w:val="16"/>
              </w:rPr>
              <w:t>招银国际金融有限公司为招商银行之全资附属公司</w:t>
            </w:r>
            <w:r>
              <w:rPr>
                <w:rFonts w:ascii="Microsoft JhengHei UI" w:hAnsi="Microsoft JhengHei UI" w:eastAsia="Microsoft JhengHei UI" w:hint="eastAsia"/>
                <w:b/>
                <w:w w:val="82"/>
                <w:sz w:val="16"/>
              </w:rPr>
              <w:t>)</w:t>
            </w:r>
          </w:p>
        </w:tc>
      </w:tr>
      <w:tr>
        <w:trPr>
          <w:trHeight w:val="6914" w:hRule="atLeast"/>
        </w:trPr>
        <w:tc>
          <w:tcPr>
            <w:tcW w:w="10564" w:type="dxa"/>
            <w:tcBorders>
              <w:top w:val="single" w:sz="4" w:space="0" w:color="000000"/>
            </w:tcBorders>
          </w:tcPr>
          <w:p>
            <w:pPr>
              <w:pStyle w:val="TableParagraph"/>
              <w:spacing w:line="344" w:lineRule="exact"/>
              <w:ind w:left="14"/>
              <w:rPr>
                <w:rFonts w:ascii="Microsoft JhengHei UI" w:eastAsia="Microsoft JhengHei UI" w:hint="eastAsia"/>
                <w:b/>
                <w:sz w:val="23"/>
              </w:rPr>
            </w:pPr>
            <w:r>
              <w:rPr>
                <w:rFonts w:ascii="Microsoft JhengHei UI" w:eastAsia="Microsoft JhengHei UI" w:hint="eastAsia"/>
                <w:b/>
                <w:sz w:val="23"/>
              </w:rPr>
              <w:t>重要披露</w:t>
            </w:r>
          </w:p>
          <w:p>
            <w:pPr>
              <w:pStyle w:val="TableParagraph"/>
              <w:spacing w:line="249" w:lineRule="auto"/>
              <w:ind w:left="14" w:right="113"/>
              <w:jc w:val="both"/>
              <w:rPr>
                <w:rFonts w:ascii="PMingLiU" w:eastAsia="PMingLiU" w:hint="eastAsia"/>
                <w:sz w:val="14"/>
              </w:rPr>
            </w:pPr>
            <w:r>
              <w:rPr>
                <w:rFonts w:ascii="PMingLiU" w:eastAsia="PMingLiU" w:hint="eastAsia"/>
                <w:w w:val="95"/>
                <w:sz w:val="14"/>
              </w:rPr>
              <w:t>本报告内所提及的任何投资都可能涉及相当大的风险。报告所载数据可能不适合所有投资者。招银国际环球市场不提供任何针对个人的投资建议。本报告没有把任何人的           投资目标、财务状况和特殊需求考虑进去。而过去的表现亦不代表未来的表现，实际情况可能和报告中所载的大不相同。本报告中所提及的投资价值或回报存在不确定性           及难以保证，并可能会受目标资产表现以及其他市场因素影响。招银国际环球市场建议投资者应该独立评估投资和策略，并鼓励投资者咨询专业财务顾问以便作出投资决          </w:t>
            </w:r>
            <w:r>
              <w:rPr>
                <w:rFonts w:ascii="PMingLiU" w:eastAsia="PMingLiU" w:hint="eastAsia"/>
                <w:sz w:val="14"/>
              </w:rPr>
              <w:t>定。</w:t>
            </w:r>
          </w:p>
          <w:p>
            <w:pPr>
              <w:pStyle w:val="TableParagraph"/>
              <w:spacing w:line="252" w:lineRule="auto"/>
              <w:ind w:left="14" w:right="109"/>
              <w:jc w:val="both"/>
              <w:rPr>
                <w:rFonts w:ascii="PMingLiU" w:eastAsia="PMingLiU" w:hint="eastAsia"/>
                <w:sz w:val="14"/>
              </w:rPr>
            </w:pPr>
            <w:r>
              <w:rPr>
                <w:rFonts w:ascii="PMingLiU" w:eastAsia="PMingLiU" w:hint="eastAsia"/>
                <w:w w:val="95"/>
                <w:sz w:val="14"/>
              </w:rPr>
              <w:t>本报告包含的任何信息由招银国际环球市场编写，仅为本公司及其关联机构的特定客户和其他专业人士提供的参考数据。报告中的信息或所表达的意见皆不可作为或被视           为证券出售要约或证券买卖的邀请，亦不构成任何投资、法律、会计或税务方面的最终操作建议，本公司及其雇员不就报告中的内容对最终操作建议作出任何担保。我们           不对因依赖本报告所载资料采取任何行动而引致之任何直接或间接的错误、疏忽、违约、不谨慎或各类损失或损害承担任何的法律责任。任何使用本报告信息所作的投资          </w:t>
            </w:r>
            <w:r>
              <w:rPr>
                <w:rFonts w:ascii="PMingLiU" w:eastAsia="PMingLiU" w:hint="eastAsia"/>
                <w:sz w:val="14"/>
              </w:rPr>
              <w:t>决定完全由投资者自己承担风险。</w:t>
            </w:r>
          </w:p>
          <w:p>
            <w:pPr>
              <w:pStyle w:val="TableParagraph"/>
              <w:spacing w:line="252" w:lineRule="auto"/>
              <w:ind w:left="14" w:right="106"/>
              <w:jc w:val="both"/>
              <w:rPr>
                <w:rFonts w:ascii="PMingLiU" w:eastAsia="PMingLiU" w:hint="eastAsia"/>
                <w:sz w:val="14"/>
              </w:rPr>
            </w:pPr>
            <w:r>
              <w:rPr>
                <w:rFonts w:ascii="PMingLiU" w:eastAsia="PMingLiU" w:hint="eastAsia"/>
                <w:w w:val="95"/>
                <w:sz w:val="14"/>
              </w:rPr>
              <w:t>本报告基于我们认为可靠且已经公开的信息，我们力求但不担保这些信息的准确性、有效性和完整性。本报告中的资料、意见、预测均反映报告初次公开发布时的判断，           可能会随时调整，且不承诺作出任何相关变更的通知。本公司可发布其它与本报告所载资料及</w:t>
            </w:r>
            <w:r>
              <w:rPr>
                <w:w w:val="95"/>
                <w:sz w:val="14"/>
              </w:rPr>
              <w:t>/</w:t>
            </w:r>
            <w:r>
              <w:rPr>
                <w:rFonts w:ascii="PMingLiU" w:eastAsia="PMingLiU" w:hint="eastAsia"/>
                <w:w w:val="95"/>
                <w:sz w:val="14"/>
              </w:rPr>
              <w:t>或结论不一致的报告。这些报告均反映报告编写时不同的假设、观点及分析          方法。客户应该小心注意本报告中所提及的前瞻性预测和实际情况可能有显着区别，唯我们已合理、谨慎地确保预测所用的假设基础是公平、合理。招银国际环球市场可           </w:t>
            </w:r>
            <w:r>
              <w:rPr>
                <w:rFonts w:ascii="PMingLiU" w:eastAsia="PMingLiU" w:hint="eastAsia"/>
                <w:sz w:val="14"/>
              </w:rPr>
              <w:t>能采取与报告中建议及</w:t>
            </w:r>
            <w:r>
              <w:rPr>
                <w:sz w:val="14"/>
              </w:rPr>
              <w:t>/</w:t>
            </w:r>
            <w:r>
              <w:rPr>
                <w:rFonts w:ascii="PMingLiU" w:eastAsia="PMingLiU" w:hint="eastAsia"/>
                <w:sz w:val="14"/>
              </w:rPr>
              <w:t>或观点不一致的立场或投资决定。</w:t>
            </w:r>
          </w:p>
          <w:p>
            <w:pPr>
              <w:pStyle w:val="TableParagraph"/>
              <w:spacing w:line="249" w:lineRule="auto"/>
              <w:ind w:left="14" w:right="197"/>
              <w:jc w:val="both"/>
              <w:rPr>
                <w:rFonts w:ascii="PMingLiU" w:eastAsia="PMingLiU" w:hint="eastAsia"/>
                <w:sz w:val="14"/>
              </w:rPr>
            </w:pPr>
            <w:r>
              <w:rPr>
                <w:rFonts w:ascii="PMingLiU" w:eastAsia="PMingLiU" w:hint="eastAsia"/>
                <w:w w:val="95"/>
                <w:sz w:val="14"/>
              </w:rPr>
              <w:t>本公司或其附属关联机构可能持有报告中提到的公司所发行的证券头寸并不时自行及</w:t>
            </w:r>
            <w:r>
              <w:rPr>
                <w:w w:val="95"/>
                <w:sz w:val="14"/>
              </w:rPr>
              <w:t>/</w:t>
            </w:r>
            <w:r>
              <w:rPr>
                <w:rFonts w:ascii="PMingLiU" w:eastAsia="PMingLiU" w:hint="eastAsia"/>
                <w:w w:val="95"/>
                <w:sz w:val="14"/>
              </w:rPr>
              <w:t>或代表其客户进行交易或持有该等证券的权益，还可能与这些公司具有其他投资银          行相关业务联系。因此，投资者应注意本报告可能存在的客观性及利益冲突的情况，本公司将不会承担任何责任。本报告版权仅为本公司所有，任何机构或个人于未经           </w:t>
            </w:r>
            <w:r>
              <w:rPr>
                <w:rFonts w:ascii="PMingLiU" w:eastAsia="PMingLiU" w:hint="eastAsia"/>
                <w:sz w:val="14"/>
              </w:rPr>
              <w:t>本公司书面授权的情况下，不得以任何形式翻版、复制、转售、转发及或向特定读者以外的人士传阅，否则有可能触犯相关证券法规。</w:t>
            </w:r>
          </w:p>
          <w:p>
            <w:pPr>
              <w:pStyle w:val="TableParagraph"/>
              <w:ind w:left="14"/>
              <w:rPr>
                <w:rFonts w:ascii="PMingLiU" w:eastAsia="PMingLiU" w:hint="eastAsia"/>
                <w:sz w:val="14"/>
              </w:rPr>
            </w:pPr>
            <w:r>
              <w:rPr>
                <w:rFonts w:ascii="PMingLiU" w:eastAsia="PMingLiU" w:hint="eastAsia"/>
                <w:sz w:val="14"/>
              </w:rPr>
              <w:t>如需索取更多有关证券的信息，请与我们联络。</w:t>
            </w:r>
          </w:p>
          <w:p>
            <w:pPr>
              <w:pStyle w:val="TableParagraph"/>
              <w:spacing w:before="149"/>
              <w:ind w:left="14"/>
              <w:rPr>
                <w:rFonts w:ascii="PMingLiU" w:eastAsia="PMingLiU" w:hint="eastAsia"/>
                <w:sz w:val="14"/>
              </w:rPr>
            </w:pPr>
            <w:r>
              <w:rPr>
                <w:rFonts w:ascii="PMingLiU" w:eastAsia="PMingLiU" w:hint="eastAsia"/>
                <w:sz w:val="14"/>
              </w:rPr>
              <w:t>对于接收此份报告的英国投资者</w:t>
            </w:r>
          </w:p>
          <w:p>
            <w:pPr>
              <w:pStyle w:val="TableParagraph"/>
              <w:spacing w:line="247" w:lineRule="auto" w:before="6"/>
              <w:ind w:left="14" w:right="98"/>
              <w:rPr>
                <w:rFonts w:ascii="PMingLiU" w:hAnsi="PMingLiU" w:eastAsia="PMingLiU" w:hint="eastAsia"/>
                <w:sz w:val="14"/>
              </w:rPr>
            </w:pPr>
            <w:r>
              <w:rPr>
                <w:rFonts w:ascii="PMingLiU" w:hAnsi="PMingLiU" w:eastAsia="PMingLiU" w:hint="eastAsia"/>
                <w:sz w:val="14"/>
              </w:rPr>
              <w:t>本报告仅提供给符合</w:t>
            </w:r>
            <w:r>
              <w:rPr>
                <w:sz w:val="14"/>
              </w:rPr>
              <w:t>(I)</w:t>
            </w:r>
            <w:r>
              <w:rPr>
                <w:rFonts w:ascii="PMingLiU" w:hAnsi="PMingLiU" w:eastAsia="PMingLiU" w:hint="eastAsia"/>
                <w:sz w:val="14"/>
              </w:rPr>
              <w:t>不时修订之英国 </w:t>
            </w:r>
            <w:r>
              <w:rPr>
                <w:sz w:val="14"/>
              </w:rPr>
              <w:t>2000 </w:t>
            </w:r>
            <w:r>
              <w:rPr>
                <w:rFonts w:ascii="PMingLiU" w:hAnsi="PMingLiU" w:eastAsia="PMingLiU" w:hint="eastAsia"/>
                <w:sz w:val="14"/>
              </w:rPr>
              <w:t>年金融服务及市场法令 </w:t>
            </w:r>
            <w:r>
              <w:rPr>
                <w:sz w:val="14"/>
              </w:rPr>
              <w:t>2005 </w:t>
            </w:r>
            <w:r>
              <w:rPr>
                <w:rFonts w:ascii="PMingLiU" w:hAnsi="PMingLiU" w:eastAsia="PMingLiU" w:hint="eastAsia"/>
                <w:sz w:val="14"/>
              </w:rPr>
              <w:t>年</w:t>
            </w:r>
            <w:r>
              <w:rPr>
                <w:sz w:val="14"/>
              </w:rPr>
              <w:t>(</w:t>
            </w:r>
            <w:r>
              <w:rPr>
                <w:rFonts w:ascii="PMingLiU" w:hAnsi="PMingLiU" w:eastAsia="PMingLiU" w:hint="eastAsia"/>
                <w:sz w:val="14"/>
              </w:rPr>
              <w:t>金融推广</w:t>
            </w:r>
            <w:r>
              <w:rPr>
                <w:sz w:val="14"/>
              </w:rPr>
              <w:t>)</w:t>
            </w:r>
            <w:r>
              <w:rPr>
                <w:rFonts w:ascii="PMingLiU" w:hAnsi="PMingLiU" w:eastAsia="PMingLiU" w:hint="eastAsia"/>
                <w:sz w:val="14"/>
              </w:rPr>
              <w:t>令</w:t>
            </w:r>
            <w:r>
              <w:rPr>
                <w:sz w:val="14"/>
              </w:rPr>
              <w:t>(“</w:t>
            </w:r>
            <w:r>
              <w:rPr>
                <w:rFonts w:ascii="PMingLiU" w:hAnsi="PMingLiU" w:eastAsia="PMingLiU" w:hint="eastAsia"/>
                <w:sz w:val="14"/>
              </w:rPr>
              <w:t>金融服务令</w:t>
            </w:r>
            <w:r>
              <w:rPr>
                <w:sz w:val="14"/>
              </w:rPr>
              <w:t>”)</w:t>
            </w:r>
            <w:r>
              <w:rPr>
                <w:rFonts w:ascii="PMingLiU" w:hAnsi="PMingLiU" w:eastAsia="PMingLiU" w:hint="eastAsia"/>
                <w:sz w:val="14"/>
              </w:rPr>
              <w:t>第 </w:t>
            </w:r>
            <w:r>
              <w:rPr>
                <w:sz w:val="14"/>
              </w:rPr>
              <w:t>19(5) </w:t>
            </w:r>
            <w:r>
              <w:rPr>
                <w:rFonts w:ascii="PMingLiU" w:hAnsi="PMingLiU" w:eastAsia="PMingLiU" w:hint="eastAsia"/>
                <w:sz w:val="14"/>
              </w:rPr>
              <w:t>条之人士及</w:t>
            </w:r>
            <w:r>
              <w:rPr>
                <w:sz w:val="14"/>
              </w:rPr>
              <w:t>(II) </w:t>
            </w:r>
            <w:r>
              <w:rPr>
                <w:rFonts w:ascii="PMingLiU" w:hAnsi="PMingLiU" w:eastAsia="PMingLiU" w:hint="eastAsia"/>
                <w:sz w:val="14"/>
              </w:rPr>
              <w:t>属金融服务令第 </w:t>
            </w:r>
            <w:r>
              <w:rPr>
                <w:sz w:val="14"/>
              </w:rPr>
              <w:t>49(2) (a) </w:t>
            </w:r>
            <w:r>
              <w:rPr>
                <w:rFonts w:ascii="PMingLiU" w:hAnsi="PMingLiU" w:eastAsia="PMingLiU" w:hint="eastAsia"/>
                <w:sz w:val="14"/>
              </w:rPr>
              <w:t>至</w:t>
            </w:r>
            <w:r>
              <w:rPr>
                <w:sz w:val="14"/>
              </w:rPr>
              <w:t>(d) </w:t>
            </w:r>
            <w:r>
              <w:rPr>
                <w:rFonts w:ascii="PMingLiU" w:hAnsi="PMingLiU" w:eastAsia="PMingLiU" w:hint="eastAsia"/>
                <w:sz w:val="14"/>
              </w:rPr>
              <w:t>条</w:t>
            </w:r>
            <w:r>
              <w:rPr>
                <w:sz w:val="14"/>
              </w:rPr>
              <w:t>(</w:t>
            </w:r>
            <w:r>
              <w:rPr>
                <w:rFonts w:ascii="PMingLiU" w:hAnsi="PMingLiU" w:eastAsia="PMingLiU" w:hint="eastAsia"/>
                <w:sz w:val="14"/>
              </w:rPr>
              <w:t>高净值公司或非公司社团等</w:t>
            </w:r>
            <w:r>
              <w:rPr>
                <w:sz w:val="14"/>
              </w:rPr>
              <w:t>)</w:t>
            </w:r>
            <w:r>
              <w:rPr>
                <w:rFonts w:ascii="PMingLiU" w:hAnsi="PMingLiU" w:eastAsia="PMingLiU" w:hint="eastAsia"/>
                <w:sz w:val="14"/>
              </w:rPr>
              <w:t>之机构人士，未经招银国际环球市场书面授权不得提供给其他任何人。</w:t>
            </w:r>
          </w:p>
          <w:p>
            <w:pPr>
              <w:pStyle w:val="TableParagraph"/>
              <w:spacing w:before="9"/>
              <w:rPr>
                <w:rFonts w:ascii="PMingLiU"/>
                <w:sz w:val="11"/>
              </w:rPr>
            </w:pPr>
          </w:p>
          <w:p>
            <w:pPr>
              <w:pStyle w:val="TableParagraph"/>
              <w:ind w:left="14"/>
              <w:rPr>
                <w:rFonts w:ascii="PMingLiU" w:eastAsia="PMingLiU" w:hint="eastAsia"/>
                <w:sz w:val="14"/>
              </w:rPr>
            </w:pPr>
            <w:r>
              <w:rPr>
                <w:rFonts w:ascii="PMingLiU" w:eastAsia="PMingLiU" w:hint="eastAsia"/>
                <w:sz w:val="14"/>
              </w:rPr>
              <w:t>对于接收此份报告的美国投资者</w:t>
            </w:r>
          </w:p>
          <w:p>
            <w:pPr>
              <w:pStyle w:val="TableParagraph"/>
              <w:spacing w:line="249" w:lineRule="auto" w:before="11"/>
              <w:ind w:left="14" w:right="96"/>
              <w:jc w:val="both"/>
              <w:rPr>
                <w:rFonts w:ascii="PMingLiU" w:hAnsi="PMingLiU" w:eastAsia="PMingLiU" w:hint="eastAsia"/>
                <w:sz w:val="14"/>
              </w:rPr>
            </w:pPr>
            <w:r>
              <w:rPr>
                <w:rFonts w:ascii="PMingLiU" w:hAnsi="PMingLiU" w:eastAsia="PMingLiU" w:hint="eastAsia"/>
                <w:w w:val="95"/>
                <w:sz w:val="14"/>
              </w:rPr>
              <w:t>招银国际环球市场不是在美国的注册经纪交易商。因此，招银国际环球市场不受美国就有关研究报告准备和研究分析员独立性的规则的约束。负责撰写本报告的全部或部           分内容之分析员，未在美国金融业监管局（</w:t>
            </w:r>
            <w:r>
              <w:rPr>
                <w:w w:val="95"/>
                <w:sz w:val="14"/>
              </w:rPr>
              <w:t>“FINRA”</w:t>
            </w:r>
            <w:r>
              <w:rPr>
                <w:rFonts w:ascii="PMingLiU" w:hAnsi="PMingLiU" w:eastAsia="PMingLiU" w:hint="eastAsia"/>
                <w:w w:val="95"/>
                <w:sz w:val="14"/>
              </w:rPr>
              <w:t>）注册或获得研究分析师的资格。分析员不受旨在确保分析师不受可能影响研究报告可靠性的潜在利益冲突的相关   </w:t>
            </w:r>
            <w:r>
              <w:rPr>
                <w:sz w:val="14"/>
              </w:rPr>
              <w:t>FINRA </w:t>
            </w:r>
            <w:r>
              <w:rPr>
                <w:rFonts w:ascii="PMingLiU" w:hAnsi="PMingLiU" w:eastAsia="PMingLiU" w:hint="eastAsia"/>
                <w:sz w:val="14"/>
              </w:rPr>
              <w:t>规则的限制。本报告仅提供给美国 </w:t>
            </w:r>
            <w:r>
              <w:rPr>
                <w:sz w:val="14"/>
              </w:rPr>
              <w:t>1934 </w:t>
            </w:r>
            <w:r>
              <w:rPr>
                <w:rFonts w:ascii="PMingLiU" w:hAnsi="PMingLiU" w:eastAsia="PMingLiU" w:hint="eastAsia"/>
                <w:sz w:val="14"/>
              </w:rPr>
              <w:t>年证券交易法 </w:t>
            </w:r>
            <w:r>
              <w:rPr>
                <w:sz w:val="14"/>
              </w:rPr>
              <w:t>(</w:t>
            </w:r>
            <w:r>
              <w:rPr>
                <w:rFonts w:ascii="PMingLiU" w:hAnsi="PMingLiU" w:eastAsia="PMingLiU" w:hint="eastAsia"/>
                <w:sz w:val="14"/>
              </w:rPr>
              <w:t>经修订</w:t>
            </w:r>
            <w:r>
              <w:rPr>
                <w:sz w:val="14"/>
              </w:rPr>
              <w:t>) </w:t>
            </w:r>
            <w:r>
              <w:rPr>
                <w:rFonts w:ascii="PMingLiU" w:hAnsi="PMingLiU" w:eastAsia="PMingLiU" w:hint="eastAsia"/>
                <w:sz w:val="14"/>
              </w:rPr>
              <w:t>规则 </w:t>
            </w:r>
            <w:r>
              <w:rPr>
                <w:sz w:val="14"/>
              </w:rPr>
              <w:t>15a-6 </w:t>
            </w:r>
            <w:r>
              <w:rPr>
                <w:rFonts w:ascii="PMingLiU" w:hAnsi="PMingLiU" w:eastAsia="PMingLiU" w:hint="eastAsia"/>
                <w:sz w:val="14"/>
              </w:rPr>
              <w:t>定义的 </w:t>
            </w:r>
            <w:r>
              <w:rPr>
                <w:sz w:val="14"/>
              </w:rPr>
              <w:t>“</w:t>
            </w:r>
            <w:r>
              <w:rPr>
                <w:rFonts w:ascii="PMingLiU" w:hAnsi="PMingLiU" w:eastAsia="PMingLiU" w:hint="eastAsia"/>
                <w:sz w:val="14"/>
              </w:rPr>
              <w:t>主要机构投资者</w:t>
            </w:r>
            <w:r>
              <w:rPr>
                <w:sz w:val="14"/>
              </w:rPr>
              <w:t>”</w:t>
            </w:r>
            <w:r>
              <w:rPr>
                <w:rFonts w:ascii="PMingLiU" w:hAnsi="PMingLiU" w:eastAsia="PMingLiU" w:hint="eastAsia"/>
                <w:sz w:val="14"/>
              </w:rPr>
              <w:t>，不得提供给其他任何个人。接收本报告之行为即表明同意接</w:t>
            </w:r>
            <w:r>
              <w:rPr>
                <w:rFonts w:ascii="PMingLiU" w:hAnsi="PMingLiU" w:eastAsia="PMingLiU" w:hint="eastAsia"/>
                <w:w w:val="95"/>
                <w:sz w:val="14"/>
              </w:rPr>
              <w:t>受协议不得将本报告分发或提供给任何其他人。接收本报告的美国收件人如想根据本报告中提供的信息进行任何买卖证券交易，都应仅通过美国注册的经纪交易商来进行           </w:t>
            </w:r>
            <w:r>
              <w:rPr>
                <w:rFonts w:ascii="PMingLiU" w:hAnsi="PMingLiU" w:eastAsia="PMingLiU" w:hint="eastAsia"/>
                <w:sz w:val="14"/>
              </w:rPr>
              <w:t>交易。</w:t>
            </w:r>
          </w:p>
          <w:p>
            <w:pPr>
              <w:pStyle w:val="TableParagraph"/>
              <w:spacing w:before="9"/>
              <w:rPr>
                <w:rFonts w:ascii="PMingLiU"/>
                <w:sz w:val="11"/>
              </w:rPr>
            </w:pPr>
          </w:p>
          <w:p>
            <w:pPr>
              <w:pStyle w:val="TableParagraph"/>
              <w:spacing w:before="1"/>
              <w:ind w:left="14"/>
              <w:rPr>
                <w:rFonts w:ascii="PMingLiU" w:eastAsia="PMingLiU" w:hint="eastAsia"/>
                <w:sz w:val="14"/>
              </w:rPr>
            </w:pPr>
            <w:r>
              <w:rPr>
                <w:rFonts w:ascii="PMingLiU" w:eastAsia="PMingLiU" w:hint="eastAsia"/>
                <w:sz w:val="14"/>
              </w:rPr>
              <w:t>对于在新加坡的收件人</w:t>
            </w:r>
          </w:p>
          <w:p>
            <w:pPr>
              <w:pStyle w:val="TableParagraph"/>
              <w:spacing w:line="249" w:lineRule="auto" w:before="5"/>
              <w:ind w:left="14" w:right="104"/>
              <w:jc w:val="both"/>
              <w:rPr>
                <w:rFonts w:ascii="PMingLiU" w:eastAsia="PMingLiU" w:hint="eastAsia"/>
                <w:sz w:val="14"/>
              </w:rPr>
            </w:pPr>
            <w:r>
              <w:rPr>
                <w:rFonts w:ascii="PMingLiU" w:eastAsia="PMingLiU" w:hint="eastAsia"/>
                <w:sz w:val="14"/>
              </w:rPr>
              <w:t>本报告由</w:t>
            </w:r>
            <w:r>
              <w:rPr>
                <w:sz w:val="14"/>
              </w:rPr>
              <w:t>CMBI (Singapore) Pte. Limited </w:t>
            </w:r>
            <w:r>
              <w:rPr>
                <w:rFonts w:ascii="PMingLiU" w:eastAsia="PMingLiU" w:hint="eastAsia"/>
                <w:sz w:val="14"/>
              </w:rPr>
              <w:t>（</w:t>
            </w:r>
            <w:r>
              <w:rPr>
                <w:sz w:val="14"/>
              </w:rPr>
              <w:t>CMBISG</w:t>
            </w:r>
            <w:r>
              <w:rPr>
                <w:rFonts w:ascii="PMingLiU" w:eastAsia="PMingLiU" w:hint="eastAsia"/>
                <w:sz w:val="14"/>
              </w:rPr>
              <w:t>）（公司注册号 </w:t>
            </w:r>
            <w:r>
              <w:rPr>
                <w:sz w:val="14"/>
              </w:rPr>
              <w:t>201731928D</w:t>
            </w:r>
            <w:r>
              <w:rPr>
                <w:rFonts w:ascii="PMingLiU" w:eastAsia="PMingLiU" w:hint="eastAsia"/>
                <w:sz w:val="14"/>
              </w:rPr>
              <w:t>）在新加坡分发。</w:t>
            </w:r>
            <w:r>
              <w:rPr>
                <w:sz w:val="14"/>
              </w:rPr>
              <w:t>CMBISG </w:t>
            </w:r>
            <w:r>
              <w:rPr>
                <w:rFonts w:ascii="PMingLiU" w:eastAsia="PMingLiU" w:hint="eastAsia"/>
                <w:sz w:val="14"/>
              </w:rPr>
              <w:t>是在《财务顾问法案》（新加坡法例第 </w:t>
            </w:r>
            <w:r>
              <w:rPr>
                <w:sz w:val="14"/>
              </w:rPr>
              <w:t>110 </w:t>
            </w:r>
            <w:r>
              <w:rPr>
                <w:rFonts w:ascii="PMingLiU" w:eastAsia="PMingLiU" w:hint="eastAsia"/>
                <w:sz w:val="14"/>
              </w:rPr>
              <w:t>章）下所界定， 并由新加坡金融管理局监管的豁免财务顾问公司。 </w:t>
            </w:r>
            <w:r>
              <w:rPr>
                <w:sz w:val="14"/>
              </w:rPr>
              <w:t>CMBISG </w:t>
            </w:r>
            <w:r>
              <w:rPr>
                <w:rFonts w:ascii="PMingLiU" w:eastAsia="PMingLiU" w:hint="eastAsia"/>
                <w:sz w:val="14"/>
              </w:rPr>
              <w:t>可根据《财务顾问条例》第 </w:t>
            </w:r>
            <w:r>
              <w:rPr>
                <w:sz w:val="14"/>
              </w:rPr>
              <w:t>32C </w:t>
            </w:r>
            <w:r>
              <w:rPr>
                <w:rFonts w:ascii="PMingLiU" w:eastAsia="PMingLiU" w:hint="eastAsia"/>
                <w:sz w:val="14"/>
              </w:rPr>
              <w:t>条下的安排分发其各自的外国实体，附属机构或其他外国研究机构篇制的报告。 如果报告在新加坡分发给非《证券与期货法案》（新加坡法例第 </w:t>
            </w:r>
            <w:r>
              <w:rPr>
                <w:sz w:val="14"/>
              </w:rPr>
              <w:t>289 </w:t>
            </w:r>
            <w:r>
              <w:rPr>
                <w:rFonts w:ascii="PMingLiU" w:eastAsia="PMingLiU" w:hint="eastAsia"/>
                <w:sz w:val="14"/>
              </w:rPr>
              <w:t>章）所定义的认可投资者，专家投资者或机构投资者，则 </w:t>
            </w:r>
            <w:r>
              <w:rPr>
                <w:sz w:val="14"/>
              </w:rPr>
              <w:t>CMBISG </w:t>
            </w:r>
            <w:r>
              <w:rPr>
                <w:rFonts w:ascii="PMingLiU" w:eastAsia="PMingLiU" w:hint="eastAsia"/>
                <w:sz w:val="14"/>
              </w:rPr>
              <w:t>仅会在法律要求的范围内对</w:t>
            </w:r>
          </w:p>
          <w:p>
            <w:pPr>
              <w:pStyle w:val="TableParagraph"/>
              <w:spacing w:line="164" w:lineRule="exact" w:before="4"/>
              <w:ind w:left="14"/>
              <w:jc w:val="both"/>
              <w:rPr>
                <w:rFonts w:ascii="PMingLiU" w:eastAsia="PMingLiU" w:hint="eastAsia"/>
                <w:sz w:val="14"/>
              </w:rPr>
            </w:pPr>
            <w:r>
              <w:rPr>
                <w:rFonts w:ascii="PMingLiU" w:eastAsia="PMingLiU" w:hint="eastAsia"/>
                <w:sz w:val="14"/>
              </w:rPr>
              <w:t>这些人士就报告内容承担法律责任。 新加坡的收件人应致电（</w:t>
            </w:r>
            <w:r>
              <w:rPr>
                <w:sz w:val="14"/>
              </w:rPr>
              <w:t>+65 6350 4400</w:t>
            </w:r>
            <w:r>
              <w:rPr>
                <w:rFonts w:ascii="PMingLiU" w:eastAsia="PMingLiU" w:hint="eastAsia"/>
                <w:sz w:val="14"/>
              </w:rPr>
              <w:t>）联系</w:t>
            </w:r>
            <w:r>
              <w:rPr>
                <w:sz w:val="14"/>
              </w:rPr>
              <w:t>CMBISG</w:t>
            </w:r>
            <w:r>
              <w:rPr>
                <w:rFonts w:ascii="PMingLiU" w:eastAsia="PMingLiU" w:hint="eastAsia"/>
                <w:sz w:val="14"/>
              </w:rPr>
              <w:t>，以了解由本报告引起或与之相关的事宜。</w:t>
            </w:r>
          </w:p>
        </w:tc>
      </w:tr>
    </w:tbl>
    <w:sectPr>
      <w:pgSz w:w="11910" w:h="16840"/>
      <w:pgMar w:header="682" w:footer="358" w:top="1380" w:bottom="540" w:left="64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PMingLiU">
    <w:altName w:val="PMingLiU"/>
    <w:charset w:val="0"/>
    <w:family w:val="roman"/>
    <w:pitch w:val="variable"/>
  </w:font>
  <w:font w:name="Microsoft JhengHei UI">
    <w:altName w:val="Microsoft JhengHei UI"/>
    <w:charset w:val="0"/>
    <w:family w:val="swiss"/>
    <w:pitch w:val="variable"/>
  </w:font>
  <w:font w:name="Wingdings">
    <w:altName w:val="Wingdings"/>
    <w:charset w:val="2"/>
    <w:family w:val="auto"/>
    <w:pitch w:val="variable"/>
  </w:font>
  <w:font w:name="MS Gothic">
    <w:altName w:val="MS Gothic"/>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shapetype id="_x0000_t202" o:spt="202" coordsize="21600,21600" path="m,l,21600r21600,l21600,xe">
          <v:stroke joinstyle="miter"/>
          <v:path gradientshapeok="t" o:connecttype="rect"/>
        </v:shapetype>
        <v:shape style="position:absolute;margin-left:47.023998pt;margin-top:813.65741pt;width:315.05pt;height:11.1pt;mso-position-horizontal-relative:page;mso-position-vertical-relative:page;z-index:-19986944" type="#_x0000_t202" filled="false" stroked="false">
          <v:textbox inset="0,0,0,0">
            <w:txbxContent>
              <w:p>
                <w:pPr>
                  <w:spacing w:before="17"/>
                  <w:ind w:left="20" w:right="0" w:firstLine="0"/>
                  <w:jc w:val="left"/>
                  <w:rPr>
                    <w:sz w:val="14"/>
                  </w:rPr>
                </w:pPr>
                <w:r>
                  <w:rPr>
                    <w:sz w:val="14"/>
                  </w:rPr>
                  <w:t>请到彭博 </w:t>
                </w:r>
                <w:r>
                  <w:rPr>
                    <w:rFonts w:ascii="Arial" w:eastAsia="Arial"/>
                    <w:sz w:val="14"/>
                  </w:rPr>
                  <w:t>(</w:t>
                </w:r>
                <w:r>
                  <w:rPr>
                    <w:sz w:val="14"/>
                  </w:rPr>
                  <w:t>搜索代码</w:t>
                </w:r>
                <w:r>
                  <w:rPr>
                    <w:rFonts w:ascii="Arial" w:eastAsia="Arial"/>
                    <w:sz w:val="14"/>
                  </w:rPr>
                  <w:t>: RESP CMBR &lt;GO&gt;)</w:t>
                </w:r>
                <w:r>
                  <w:rPr>
                    <w:sz w:val="14"/>
                  </w:rPr>
                  <w:t>或 </w:t>
                </w:r>
                <w:r>
                  <w:rPr>
                    <w:rFonts w:ascii="Arial" w:eastAsia="Arial"/>
                    <w:sz w:val="14"/>
                  </w:rPr>
                  <w:t>http:// </w:t>
                </w:r>
                <w:hyperlink r:id="rId1">
                  <w:r>
                    <w:rPr>
                      <w:rFonts w:ascii="Arial" w:eastAsia="Arial"/>
                      <w:sz w:val="14"/>
                    </w:rPr>
                    <w:t>www.cmbi.com.hk </w:t>
                  </w:r>
                </w:hyperlink>
                <w:r>
                  <w:rPr>
                    <w:sz w:val="14"/>
                  </w:rPr>
                  <w:t>下载更多招银国际证券研究报告</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shape style="position:absolute;margin-left:42.504002pt;margin-top:810pt;width:527.5pt;height:1.45pt;mso-position-horizontal-relative:page;mso-position-vertical-relative:page;z-index:-19985408" coordorigin="850,16200" coordsize="10550,29" path="m7779,16200l850,16200,850,16229,7779,16229,7779,16200xm11400,16200l7808,16200,7779,16200,7779,16229,7808,16229,11400,16229,11400,16200xe" filled="true" fillcolor="#938953" stroked="false">
          <v:path arrowok="t"/>
          <v:fill type="solid"/>
          <w10:wrap type="none"/>
        </v:shape>
      </w:pict>
    </w:r>
    <w:r>
      <w:rPr/>
      <w:pict>
        <v:shape style="position:absolute;margin-left:41.504002pt;margin-top:810.537415pt;width:78.8pt;height:11.1pt;mso-position-horizontal-relative:page;mso-position-vertical-relative:page;z-index:-19984896" type="#_x0000_t202" filled="false" stroked="false">
          <v:textbox inset="0,0,0,0">
            <w:txbxContent>
              <w:p>
                <w:pPr>
                  <w:spacing w:before="17"/>
                  <w:ind w:left="20" w:right="0" w:firstLine="0"/>
                  <w:jc w:val="left"/>
                  <w:rPr>
                    <w:sz w:val="14"/>
                  </w:rPr>
                </w:pPr>
                <w:r>
                  <w:rPr>
                    <w:sz w:val="14"/>
                  </w:rPr>
                  <w:t>敬请参阅尾页之免责声明</w:t>
                </w:r>
              </w:p>
            </w:txbxContent>
          </v:textbox>
          <w10:wrap type="none"/>
        </v:shape>
      </w:pict>
    </w:r>
    <w:r>
      <w:rPr/>
      <w:pict>
        <v:shape style="position:absolute;margin-left:558.359985pt;margin-top:810.710205pt;width:14.75pt;height:10.85pt;mso-position-horizontal-relative:page;mso-position-vertical-relative:page;z-index:-19984384" type="#_x0000_t202" filled="false" stroked="false">
          <v:textbox inset="0,0,0,0">
            <w:txbxContent>
              <w:p>
                <w:pPr>
                  <w:spacing w:before="13"/>
                  <w:ind w:left="60" w:right="0" w:firstLine="0"/>
                  <w:jc w:val="left"/>
                  <w:rPr>
                    <w:rFonts w:ascii="Arial"/>
                    <w:sz w:val="16"/>
                  </w:rPr>
                </w:pPr>
                <w:r>
                  <w:rPr/>
                  <w:fldChar w:fldCharType="begin"/>
                </w:r>
                <w:r>
                  <w:rPr>
                    <w:rFonts w:ascii="Arial"/>
                    <w:sz w:val="16"/>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shape style="position:absolute;margin-left:42.504002pt;margin-top:810pt;width:527.5pt;height:1.45pt;mso-position-horizontal-relative:page;mso-position-vertical-relative:page;z-index:-19983360" coordorigin="850,16200" coordsize="10550,29" path="m7779,16200l850,16200,850,16229,7779,16229,7779,16200xm11400,16200l7808,16200,7779,16200,7779,16229,7808,16229,11400,16229,11400,16200xe" filled="true" fillcolor="#938953" stroked="false">
          <v:path arrowok="t"/>
          <v:fill type="solid"/>
          <w10:wrap type="none"/>
        </v:shape>
      </w:pict>
    </w:r>
    <w:r>
      <w:rPr/>
      <w:pict>
        <v:shape style="position:absolute;margin-left:41.504002pt;margin-top:810.537415pt;width:78.8pt;height:11.1pt;mso-position-horizontal-relative:page;mso-position-vertical-relative:page;z-index:-19982848" type="#_x0000_t202" filled="false" stroked="false">
          <v:textbox inset="0,0,0,0">
            <w:txbxContent>
              <w:p>
                <w:pPr>
                  <w:spacing w:before="17"/>
                  <w:ind w:left="20" w:right="0" w:firstLine="0"/>
                  <w:jc w:val="left"/>
                  <w:rPr>
                    <w:sz w:val="14"/>
                  </w:rPr>
                </w:pPr>
                <w:r>
                  <w:rPr>
                    <w:sz w:val="14"/>
                  </w:rPr>
                  <w:t>敬请参阅尾页之免责声明</w:t>
                </w:r>
              </w:p>
            </w:txbxContent>
          </v:textbox>
          <w10:wrap type="none"/>
        </v:shape>
      </w:pict>
    </w:r>
    <w:r>
      <w:rPr/>
      <w:pict>
        <v:shape style="position:absolute;margin-left:558.359985pt;margin-top:810.710205pt;width:14.65pt;height:10.85pt;mso-position-horizontal-relative:page;mso-position-vertical-relative:page;z-index:-19982336" type="#_x0000_t202" filled="false" stroked="false">
          <v:textbox inset="0,0,0,0">
            <w:txbxContent>
              <w:p>
                <w:pPr>
                  <w:spacing w:before="13"/>
                  <w:ind w:left="60" w:right="0" w:firstLine="0"/>
                  <w:jc w:val="left"/>
                  <w:rPr>
                    <w:rFonts w:ascii="Arial"/>
                    <w:sz w:val="16"/>
                  </w:rPr>
                </w:pPr>
                <w:r>
                  <w:rPr/>
                  <w:fldChar w:fldCharType="begin"/>
                </w:r>
                <w:r>
                  <w:rPr>
                    <w:rFonts w:ascii="Arial"/>
                    <w:sz w:val="16"/>
                  </w:rPr>
                  <w:instrText> PAGE </w:instrText>
                </w:r>
                <w:r>
                  <w:rPr/>
                  <w:fldChar w:fldCharType="separate"/>
                </w:r>
                <w:r>
                  <w:rPr/>
                  <w:t>26</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shape style="position:absolute;margin-left:42.504002pt;margin-top:810pt;width:527.5pt;height:1.45pt;mso-position-horizontal-relative:page;mso-position-vertical-relative:page;z-index:-19980800" coordorigin="850,16200" coordsize="10550,29" path="m7779,16200l850,16200,850,16229,7779,16229,7779,16200xm11400,16200l7808,16200,7779,16200,7779,16229,7808,16229,11400,16229,11400,16200xe" filled="true" fillcolor="#938953" stroked="false">
          <v:path arrowok="t"/>
          <v:fill type="solid"/>
          <w10:wrap type="none"/>
        </v:shape>
      </w:pict>
    </w:r>
    <w:r>
      <w:rPr/>
      <w:pict>
        <v:shape style="position:absolute;margin-left:41.504002pt;margin-top:810.537415pt;width:78.8pt;height:11.1pt;mso-position-horizontal-relative:page;mso-position-vertical-relative:page;z-index:-19980288" type="#_x0000_t202" filled="false" stroked="false">
          <v:textbox inset="0,0,0,0">
            <w:txbxContent>
              <w:p>
                <w:pPr>
                  <w:spacing w:before="17"/>
                  <w:ind w:left="20" w:right="0" w:firstLine="0"/>
                  <w:jc w:val="left"/>
                  <w:rPr>
                    <w:sz w:val="14"/>
                  </w:rPr>
                </w:pPr>
                <w:r>
                  <w:rPr>
                    <w:sz w:val="14"/>
                  </w:rPr>
                  <w:t>敬请参阅尾页之免责声明</w:t>
                </w:r>
              </w:p>
            </w:txbxContent>
          </v:textbox>
          <w10:wrap type="none"/>
        </v:shape>
      </w:pict>
    </w:r>
    <w:r>
      <w:rPr/>
      <w:pict>
        <v:shape style="position:absolute;margin-left:558.359985pt;margin-top:810.710205pt;width:14.65pt;height:10.85pt;mso-position-horizontal-relative:page;mso-position-vertical-relative:page;z-index:-19979776" type="#_x0000_t202" filled="false" stroked="false">
          <v:textbox inset="0,0,0,0">
            <w:txbxContent>
              <w:p>
                <w:pPr>
                  <w:spacing w:before="13"/>
                  <w:ind w:left="60" w:right="0" w:firstLine="0"/>
                  <w:jc w:val="left"/>
                  <w:rPr>
                    <w:rFonts w:ascii="Arial"/>
                    <w:sz w:val="16"/>
                  </w:rPr>
                </w:pPr>
                <w:r>
                  <w:rPr/>
                  <w:fldChar w:fldCharType="begin"/>
                </w:r>
                <w:r>
                  <w:rPr>
                    <w:rFonts w:ascii="Arial"/>
                    <w:sz w:val="16"/>
                  </w:rPr>
                  <w:instrText> PAGE </w:instrText>
                </w:r>
                <w:r>
                  <w:rPr/>
                  <w:fldChar w:fldCharType="separate"/>
                </w:r>
                <w:r>
                  <w:rPr/>
                  <w:t>27</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group style="position:absolute;margin-left:41.784pt;margin-top:34.079983pt;width:528.25pt;height:35.3pt;mso-position-horizontal-relative:page;mso-position-vertical-relative:page;z-index:-19986432" coordorigin="836,682" coordsize="10565,706">
          <v:shape style="position:absolute;left:835;top:1344;width:10565;height:44" coordorigin="836,1344" coordsize="10565,44" path="m11400,1344l5998,1344,5969,1344,5954,1344,836,1344,836,1388,5954,1388,5969,1388,5998,1388,11400,1388,11400,1344xe" filled="true" fillcolor="#938953" stroked="false">
            <v:path arrowok="t"/>
            <v:fill type="solid"/>
          </v:shape>
          <v:shape style="position:absolute;left:9696;top:681;width:1668;height:663" type="#_x0000_t75" stroked="false">
            <v:imagedata r:id="rId1" o:title=""/>
          </v:shape>
          <w10:wrap type="none"/>
        </v:group>
      </w:pict>
    </w:r>
    <w:r>
      <w:rPr/>
      <w:pict>
        <v:shape style="position:absolute;margin-left:41.504002pt;margin-top:33.241104pt;width:84.85pt;height:15.15pt;mso-position-horizontal-relative:page;mso-position-vertical-relative:page;z-index:-19985920" type="#_x0000_t202" filled="false" stroked="false">
          <v:textbox inset="0,0,0,0">
            <w:txbxContent>
              <w:p>
                <w:pPr>
                  <w:spacing w:line="302" w:lineRule="exact" w:before="0"/>
                  <w:ind w:left="20" w:right="0" w:firstLine="0"/>
                  <w:jc w:val="left"/>
                  <w:rPr>
                    <w:rFonts w:ascii="Microsoft JhengHei UI" w:eastAsia="Microsoft JhengHei UI" w:hint="eastAsia"/>
                    <w:b/>
                    <w:sz w:val="20"/>
                  </w:rPr>
                </w:pPr>
                <w:r>
                  <w:rPr>
                    <w:rFonts w:ascii="Arial" w:eastAsia="Arial"/>
                    <w:b/>
                    <w:sz w:val="20"/>
                  </w:rPr>
                  <w:t>2022 </w:t>
                </w:r>
                <w:r>
                  <w:rPr>
                    <w:rFonts w:ascii="Microsoft JhengHei UI" w:eastAsia="Microsoft JhengHei UI" w:hint="eastAsia"/>
                    <w:b/>
                    <w:sz w:val="20"/>
                  </w:rPr>
                  <w:t>年 </w:t>
                </w:r>
                <w:r>
                  <w:rPr>
                    <w:rFonts w:ascii="Arial" w:eastAsia="Arial"/>
                    <w:b/>
                    <w:sz w:val="20"/>
                  </w:rPr>
                  <w:t>9 </w:t>
                </w:r>
                <w:r>
                  <w:rPr>
                    <w:rFonts w:ascii="Microsoft JhengHei UI" w:eastAsia="Microsoft JhengHei UI" w:hint="eastAsia"/>
                    <w:b/>
                    <w:sz w:val="20"/>
                  </w:rPr>
                  <w:t>月 </w:t>
                </w:r>
                <w:r>
                  <w:rPr>
                    <w:rFonts w:ascii="Arial" w:eastAsia="Arial"/>
                    <w:b/>
                    <w:sz w:val="20"/>
                  </w:rPr>
                  <w:t>28 </w:t>
                </w:r>
                <w:r>
                  <w:rPr>
                    <w:rFonts w:ascii="Microsoft JhengHei UI" w:eastAsia="Microsoft JhengHei UI" w:hint="eastAsia"/>
                    <w:b/>
                    <w:sz w:val="20"/>
                  </w:rPr>
                  <w:t>日</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shape style="position:absolute;margin-left:41.504002pt;margin-top:33.241104pt;width:84.85pt;height:15.15pt;mso-position-horizontal-relative:page;mso-position-vertical-relative:page;z-index:-19983872" type="#_x0000_t202" filled="false" stroked="false">
          <v:textbox inset="0,0,0,0">
            <w:txbxContent>
              <w:p>
                <w:pPr>
                  <w:spacing w:line="302" w:lineRule="exact" w:before="0"/>
                  <w:ind w:left="20" w:right="0" w:firstLine="0"/>
                  <w:jc w:val="left"/>
                  <w:rPr>
                    <w:rFonts w:ascii="Microsoft JhengHei UI" w:eastAsia="Microsoft JhengHei UI" w:hint="eastAsia"/>
                    <w:b/>
                    <w:sz w:val="20"/>
                  </w:rPr>
                </w:pPr>
                <w:r>
                  <w:rPr>
                    <w:rFonts w:ascii="Arial" w:eastAsia="Arial"/>
                    <w:b/>
                    <w:sz w:val="20"/>
                  </w:rPr>
                  <w:t>2022 </w:t>
                </w:r>
                <w:r>
                  <w:rPr>
                    <w:rFonts w:ascii="Microsoft JhengHei UI" w:eastAsia="Microsoft JhengHei UI" w:hint="eastAsia"/>
                    <w:b/>
                    <w:sz w:val="20"/>
                  </w:rPr>
                  <w:t>年 </w:t>
                </w:r>
                <w:r>
                  <w:rPr>
                    <w:rFonts w:ascii="Arial" w:eastAsia="Arial"/>
                    <w:b/>
                    <w:sz w:val="20"/>
                  </w:rPr>
                  <w:t>9 </w:t>
                </w:r>
                <w:r>
                  <w:rPr>
                    <w:rFonts w:ascii="Microsoft JhengHei UI" w:eastAsia="Microsoft JhengHei UI" w:hint="eastAsia"/>
                    <w:b/>
                    <w:sz w:val="20"/>
                  </w:rPr>
                  <w:t>月 </w:t>
                </w:r>
                <w:r>
                  <w:rPr>
                    <w:rFonts w:ascii="Arial" w:eastAsia="Arial"/>
                    <w:b/>
                    <w:sz w:val="20"/>
                  </w:rPr>
                  <w:t>28 </w:t>
                </w:r>
                <w:r>
                  <w:rPr>
                    <w:rFonts w:ascii="Microsoft JhengHei UI" w:eastAsia="Microsoft JhengHei UI" w:hint="eastAsia"/>
                    <w:b/>
                    <w:sz w:val="20"/>
                  </w:rPr>
                  <w:t>日</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pPr>
    <w:r>
      <w:rPr/>
      <w:pict>
        <v:group style="position:absolute;margin-left:41.784pt;margin-top:34.079983pt;width:528.25pt;height:35.3pt;mso-position-horizontal-relative:page;mso-position-vertical-relative:page;z-index:-19981824" coordorigin="836,682" coordsize="10565,706">
          <v:shape style="position:absolute;left:835;top:1344;width:10565;height:44" coordorigin="836,1344" coordsize="10565,44" path="m11400,1344l5998,1344,5969,1344,5954,1344,836,1344,836,1388,5954,1388,5969,1388,5998,1388,11400,1388,11400,1344xe" filled="true" fillcolor="#938953" stroked="false">
            <v:path arrowok="t"/>
            <v:fill type="solid"/>
          </v:shape>
          <v:shape style="position:absolute;left:9696;top:681;width:1668;height:663" type="#_x0000_t75" stroked="false">
            <v:imagedata r:id="rId1" o:title=""/>
          </v:shape>
          <w10:wrap type="none"/>
        </v:group>
      </w:pict>
    </w:r>
    <w:r>
      <w:rPr/>
      <w:pict>
        <v:shape style="position:absolute;margin-left:41.504002pt;margin-top:33.241104pt;width:84.85pt;height:15.15pt;mso-position-horizontal-relative:page;mso-position-vertical-relative:page;z-index:-19981312" type="#_x0000_t202" filled="false" stroked="false">
          <v:textbox inset="0,0,0,0">
            <w:txbxContent>
              <w:p>
                <w:pPr>
                  <w:spacing w:line="302" w:lineRule="exact" w:before="0"/>
                  <w:ind w:left="20" w:right="0" w:firstLine="0"/>
                  <w:jc w:val="left"/>
                  <w:rPr>
                    <w:rFonts w:ascii="Microsoft JhengHei UI" w:eastAsia="Microsoft JhengHei UI" w:hint="eastAsia"/>
                    <w:b/>
                    <w:sz w:val="20"/>
                  </w:rPr>
                </w:pPr>
                <w:r>
                  <w:rPr>
                    <w:rFonts w:ascii="Arial" w:eastAsia="Arial"/>
                    <w:b/>
                    <w:sz w:val="20"/>
                  </w:rPr>
                  <w:t>2022 </w:t>
                </w:r>
                <w:r>
                  <w:rPr>
                    <w:rFonts w:ascii="Microsoft JhengHei UI" w:eastAsia="Microsoft JhengHei UI" w:hint="eastAsia"/>
                    <w:b/>
                    <w:sz w:val="20"/>
                  </w:rPr>
                  <w:t>年 </w:t>
                </w:r>
                <w:r>
                  <w:rPr>
                    <w:rFonts w:ascii="Arial" w:eastAsia="Arial"/>
                    <w:b/>
                    <w:sz w:val="20"/>
                  </w:rPr>
                  <w:t>9 </w:t>
                </w:r>
                <w:r>
                  <w:rPr>
                    <w:rFonts w:ascii="Microsoft JhengHei UI" w:eastAsia="Microsoft JhengHei UI" w:hint="eastAsia"/>
                    <w:b/>
                    <w:sz w:val="20"/>
                  </w:rPr>
                  <w:t>月 </w:t>
                </w:r>
                <w:r>
                  <w:rPr>
                    <w:rFonts w:ascii="Arial" w:eastAsia="Arial"/>
                    <w:b/>
                    <w:sz w:val="20"/>
                  </w:rPr>
                  <w:t>28 </w:t>
                </w:r>
                <w:r>
                  <w:rPr>
                    <w:rFonts w:ascii="Microsoft JhengHei UI" w:eastAsia="Microsoft JhengHei UI" w:hint="eastAsia"/>
                    <w:b/>
                    <w:sz w:val="20"/>
                  </w:rPr>
                  <w:t>日</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210" w:hanging="317"/>
        <w:jc w:val="left"/>
      </w:pPr>
      <w:rPr>
        <w:rFonts w:hint="default" w:ascii="Arial" w:hAnsi="Arial" w:eastAsia="Arial" w:cs="Arial"/>
        <w:b/>
        <w:bCs/>
        <w:spacing w:val="-2"/>
        <w:w w:val="100"/>
        <w:sz w:val="18"/>
        <w:szCs w:val="18"/>
        <w:lang w:val="en-US" w:eastAsia="en-US" w:bidi="ar-SA"/>
      </w:rPr>
    </w:lvl>
    <w:lvl w:ilvl="1">
      <w:start w:val="0"/>
      <w:numFmt w:val="bullet"/>
      <w:lvlText w:val="•"/>
      <w:lvlJc w:val="left"/>
      <w:pPr>
        <w:ind w:left="1294" w:hanging="317"/>
      </w:pPr>
      <w:rPr>
        <w:rFonts w:hint="default"/>
        <w:lang w:val="en-US" w:eastAsia="en-US" w:bidi="ar-SA"/>
      </w:rPr>
    </w:lvl>
    <w:lvl w:ilvl="2">
      <w:start w:val="0"/>
      <w:numFmt w:val="bullet"/>
      <w:lvlText w:val="•"/>
      <w:lvlJc w:val="left"/>
      <w:pPr>
        <w:ind w:left="2369" w:hanging="317"/>
      </w:pPr>
      <w:rPr>
        <w:rFonts w:hint="default"/>
        <w:lang w:val="en-US" w:eastAsia="en-US" w:bidi="ar-SA"/>
      </w:rPr>
    </w:lvl>
    <w:lvl w:ilvl="3">
      <w:start w:val="0"/>
      <w:numFmt w:val="bullet"/>
      <w:lvlText w:val="•"/>
      <w:lvlJc w:val="left"/>
      <w:pPr>
        <w:ind w:left="3444" w:hanging="317"/>
      </w:pPr>
      <w:rPr>
        <w:rFonts w:hint="default"/>
        <w:lang w:val="en-US" w:eastAsia="en-US" w:bidi="ar-SA"/>
      </w:rPr>
    </w:lvl>
    <w:lvl w:ilvl="4">
      <w:start w:val="0"/>
      <w:numFmt w:val="bullet"/>
      <w:lvlText w:val="•"/>
      <w:lvlJc w:val="left"/>
      <w:pPr>
        <w:ind w:left="4519" w:hanging="317"/>
      </w:pPr>
      <w:rPr>
        <w:rFonts w:hint="default"/>
        <w:lang w:val="en-US" w:eastAsia="en-US" w:bidi="ar-SA"/>
      </w:rPr>
    </w:lvl>
    <w:lvl w:ilvl="5">
      <w:start w:val="0"/>
      <w:numFmt w:val="bullet"/>
      <w:lvlText w:val="•"/>
      <w:lvlJc w:val="left"/>
      <w:pPr>
        <w:ind w:left="5594" w:hanging="317"/>
      </w:pPr>
      <w:rPr>
        <w:rFonts w:hint="default"/>
        <w:lang w:val="en-US" w:eastAsia="en-US" w:bidi="ar-SA"/>
      </w:rPr>
    </w:lvl>
    <w:lvl w:ilvl="6">
      <w:start w:val="0"/>
      <w:numFmt w:val="bullet"/>
      <w:lvlText w:val="•"/>
      <w:lvlJc w:val="left"/>
      <w:pPr>
        <w:ind w:left="6669" w:hanging="317"/>
      </w:pPr>
      <w:rPr>
        <w:rFonts w:hint="default"/>
        <w:lang w:val="en-US" w:eastAsia="en-US" w:bidi="ar-SA"/>
      </w:rPr>
    </w:lvl>
    <w:lvl w:ilvl="7">
      <w:start w:val="0"/>
      <w:numFmt w:val="bullet"/>
      <w:lvlText w:val="•"/>
      <w:lvlJc w:val="left"/>
      <w:pPr>
        <w:ind w:left="7744" w:hanging="317"/>
      </w:pPr>
      <w:rPr>
        <w:rFonts w:hint="default"/>
        <w:lang w:val="en-US" w:eastAsia="en-US" w:bidi="ar-SA"/>
      </w:rPr>
    </w:lvl>
    <w:lvl w:ilvl="8">
      <w:start w:val="0"/>
      <w:numFmt w:val="bullet"/>
      <w:lvlText w:val="•"/>
      <w:lvlJc w:val="left"/>
      <w:pPr>
        <w:ind w:left="8819" w:hanging="317"/>
      </w:pPr>
      <w:rPr>
        <w:rFonts w:hint="default"/>
        <w:lang w:val="en-US" w:eastAsia="en-US" w:bidi="ar-SA"/>
      </w:rPr>
    </w:lvl>
  </w:abstractNum>
  <w:abstractNum w:abstractNumId="3">
    <w:multiLevelType w:val="hybridMultilevel"/>
    <w:lvl w:ilvl="0">
      <w:start w:val="1"/>
      <w:numFmt w:val="decimal"/>
      <w:lvlText w:val="%1)"/>
      <w:lvlJc w:val="left"/>
      <w:pPr>
        <w:ind w:left="570" w:hanging="360"/>
        <w:jc w:val="left"/>
      </w:pPr>
      <w:rPr>
        <w:rFonts w:hint="default" w:ascii="Arial" w:hAnsi="Arial" w:eastAsia="Arial" w:cs="Arial"/>
        <w:spacing w:val="-2"/>
        <w:w w:val="100"/>
        <w:sz w:val="20"/>
        <w:szCs w:val="20"/>
        <w:lang w:val="en-US" w:eastAsia="en-US" w:bidi="ar-SA"/>
      </w:rPr>
    </w:lvl>
    <w:lvl w:ilvl="1">
      <w:start w:val="0"/>
      <w:numFmt w:val="bullet"/>
      <w:lvlText w:val="•"/>
      <w:lvlJc w:val="left"/>
      <w:pPr>
        <w:ind w:left="1618" w:hanging="360"/>
      </w:pPr>
      <w:rPr>
        <w:rFonts w:hint="default"/>
        <w:lang w:val="en-US" w:eastAsia="en-US" w:bidi="ar-SA"/>
      </w:rPr>
    </w:lvl>
    <w:lvl w:ilvl="2">
      <w:start w:val="0"/>
      <w:numFmt w:val="bullet"/>
      <w:lvlText w:val="•"/>
      <w:lvlJc w:val="left"/>
      <w:pPr>
        <w:ind w:left="2657" w:hanging="360"/>
      </w:pPr>
      <w:rPr>
        <w:rFonts w:hint="default"/>
        <w:lang w:val="en-US" w:eastAsia="en-US" w:bidi="ar-SA"/>
      </w:rPr>
    </w:lvl>
    <w:lvl w:ilvl="3">
      <w:start w:val="0"/>
      <w:numFmt w:val="bullet"/>
      <w:lvlText w:val="•"/>
      <w:lvlJc w:val="left"/>
      <w:pPr>
        <w:ind w:left="3696" w:hanging="360"/>
      </w:pPr>
      <w:rPr>
        <w:rFonts w:hint="default"/>
        <w:lang w:val="en-US" w:eastAsia="en-US" w:bidi="ar-SA"/>
      </w:rPr>
    </w:lvl>
    <w:lvl w:ilvl="4">
      <w:start w:val="0"/>
      <w:numFmt w:val="bullet"/>
      <w:lvlText w:val="•"/>
      <w:lvlJc w:val="left"/>
      <w:pPr>
        <w:ind w:left="4735" w:hanging="360"/>
      </w:pPr>
      <w:rPr>
        <w:rFonts w:hint="default"/>
        <w:lang w:val="en-US" w:eastAsia="en-US" w:bidi="ar-SA"/>
      </w:rPr>
    </w:lvl>
    <w:lvl w:ilvl="5">
      <w:start w:val="0"/>
      <w:numFmt w:val="bullet"/>
      <w:lvlText w:val="•"/>
      <w:lvlJc w:val="left"/>
      <w:pPr>
        <w:ind w:left="5774" w:hanging="360"/>
      </w:pPr>
      <w:rPr>
        <w:rFonts w:hint="default"/>
        <w:lang w:val="en-US" w:eastAsia="en-US" w:bidi="ar-SA"/>
      </w:rPr>
    </w:lvl>
    <w:lvl w:ilvl="6">
      <w:start w:val="0"/>
      <w:numFmt w:val="bullet"/>
      <w:lvlText w:val="•"/>
      <w:lvlJc w:val="left"/>
      <w:pPr>
        <w:ind w:left="6813" w:hanging="360"/>
      </w:pPr>
      <w:rPr>
        <w:rFonts w:hint="default"/>
        <w:lang w:val="en-US" w:eastAsia="en-US" w:bidi="ar-SA"/>
      </w:rPr>
    </w:lvl>
    <w:lvl w:ilvl="7">
      <w:start w:val="0"/>
      <w:numFmt w:val="bullet"/>
      <w:lvlText w:val="•"/>
      <w:lvlJc w:val="left"/>
      <w:pPr>
        <w:ind w:left="7852" w:hanging="360"/>
      </w:pPr>
      <w:rPr>
        <w:rFonts w:hint="default"/>
        <w:lang w:val="en-US" w:eastAsia="en-US" w:bidi="ar-SA"/>
      </w:rPr>
    </w:lvl>
    <w:lvl w:ilvl="8">
      <w:start w:val="0"/>
      <w:numFmt w:val="bullet"/>
      <w:lvlText w:val="•"/>
      <w:lvlJc w:val="left"/>
      <w:pPr>
        <w:ind w:left="8891" w:hanging="360"/>
      </w:pPr>
      <w:rPr>
        <w:rFonts w:hint="default"/>
        <w:lang w:val="en-US" w:eastAsia="en-US" w:bidi="ar-SA"/>
      </w:rPr>
    </w:lvl>
  </w:abstractNum>
  <w:abstractNum w:abstractNumId="2">
    <w:multiLevelType w:val="hybridMultilevel"/>
    <w:lvl w:ilvl="0">
      <w:start w:val="1"/>
      <w:numFmt w:val="decimal"/>
      <w:lvlText w:val="%1)"/>
      <w:lvlJc w:val="left"/>
      <w:pPr>
        <w:ind w:left="570" w:hanging="360"/>
        <w:jc w:val="left"/>
      </w:pPr>
      <w:rPr>
        <w:rFonts w:hint="default" w:ascii="Arial" w:hAnsi="Arial" w:eastAsia="Arial" w:cs="Arial"/>
        <w:spacing w:val="-2"/>
        <w:w w:val="100"/>
        <w:sz w:val="20"/>
        <w:szCs w:val="20"/>
        <w:lang w:val="en-US" w:eastAsia="en-US" w:bidi="ar-SA"/>
      </w:rPr>
    </w:lvl>
    <w:lvl w:ilvl="1">
      <w:start w:val="0"/>
      <w:numFmt w:val="bullet"/>
      <w:lvlText w:val="•"/>
      <w:lvlJc w:val="left"/>
      <w:pPr>
        <w:ind w:left="1618" w:hanging="360"/>
      </w:pPr>
      <w:rPr>
        <w:rFonts w:hint="default"/>
        <w:lang w:val="en-US" w:eastAsia="en-US" w:bidi="ar-SA"/>
      </w:rPr>
    </w:lvl>
    <w:lvl w:ilvl="2">
      <w:start w:val="0"/>
      <w:numFmt w:val="bullet"/>
      <w:lvlText w:val="•"/>
      <w:lvlJc w:val="left"/>
      <w:pPr>
        <w:ind w:left="2657" w:hanging="360"/>
      </w:pPr>
      <w:rPr>
        <w:rFonts w:hint="default"/>
        <w:lang w:val="en-US" w:eastAsia="en-US" w:bidi="ar-SA"/>
      </w:rPr>
    </w:lvl>
    <w:lvl w:ilvl="3">
      <w:start w:val="0"/>
      <w:numFmt w:val="bullet"/>
      <w:lvlText w:val="•"/>
      <w:lvlJc w:val="left"/>
      <w:pPr>
        <w:ind w:left="3696" w:hanging="360"/>
      </w:pPr>
      <w:rPr>
        <w:rFonts w:hint="default"/>
        <w:lang w:val="en-US" w:eastAsia="en-US" w:bidi="ar-SA"/>
      </w:rPr>
    </w:lvl>
    <w:lvl w:ilvl="4">
      <w:start w:val="0"/>
      <w:numFmt w:val="bullet"/>
      <w:lvlText w:val="•"/>
      <w:lvlJc w:val="left"/>
      <w:pPr>
        <w:ind w:left="4735" w:hanging="360"/>
      </w:pPr>
      <w:rPr>
        <w:rFonts w:hint="default"/>
        <w:lang w:val="en-US" w:eastAsia="en-US" w:bidi="ar-SA"/>
      </w:rPr>
    </w:lvl>
    <w:lvl w:ilvl="5">
      <w:start w:val="0"/>
      <w:numFmt w:val="bullet"/>
      <w:lvlText w:val="•"/>
      <w:lvlJc w:val="left"/>
      <w:pPr>
        <w:ind w:left="5774" w:hanging="360"/>
      </w:pPr>
      <w:rPr>
        <w:rFonts w:hint="default"/>
        <w:lang w:val="en-US" w:eastAsia="en-US" w:bidi="ar-SA"/>
      </w:rPr>
    </w:lvl>
    <w:lvl w:ilvl="6">
      <w:start w:val="0"/>
      <w:numFmt w:val="bullet"/>
      <w:lvlText w:val="•"/>
      <w:lvlJc w:val="left"/>
      <w:pPr>
        <w:ind w:left="6813" w:hanging="360"/>
      </w:pPr>
      <w:rPr>
        <w:rFonts w:hint="default"/>
        <w:lang w:val="en-US" w:eastAsia="en-US" w:bidi="ar-SA"/>
      </w:rPr>
    </w:lvl>
    <w:lvl w:ilvl="7">
      <w:start w:val="0"/>
      <w:numFmt w:val="bullet"/>
      <w:lvlText w:val="•"/>
      <w:lvlJc w:val="left"/>
      <w:pPr>
        <w:ind w:left="7852" w:hanging="360"/>
      </w:pPr>
      <w:rPr>
        <w:rFonts w:hint="default"/>
        <w:lang w:val="en-US" w:eastAsia="en-US" w:bidi="ar-SA"/>
      </w:rPr>
    </w:lvl>
    <w:lvl w:ilvl="8">
      <w:start w:val="0"/>
      <w:numFmt w:val="bullet"/>
      <w:lvlText w:val="•"/>
      <w:lvlJc w:val="left"/>
      <w:pPr>
        <w:ind w:left="8891" w:hanging="360"/>
      </w:pPr>
      <w:rPr>
        <w:rFonts w:hint="default"/>
        <w:lang w:val="en-US" w:eastAsia="en-US" w:bidi="ar-SA"/>
      </w:rPr>
    </w:lvl>
  </w:abstractNum>
  <w:abstractNum w:abstractNumId="1">
    <w:multiLevelType w:val="hybridMultilevel"/>
    <w:lvl w:ilvl="0">
      <w:start w:val="1"/>
      <w:numFmt w:val="decimal"/>
      <w:lvlText w:val="%1)"/>
      <w:lvlJc w:val="left"/>
      <w:pPr>
        <w:ind w:left="570" w:hanging="360"/>
        <w:jc w:val="left"/>
      </w:pPr>
      <w:rPr>
        <w:rFonts w:hint="default" w:ascii="Arial" w:hAnsi="Arial" w:eastAsia="Arial" w:cs="Arial"/>
        <w:spacing w:val="-2"/>
        <w:w w:val="100"/>
        <w:sz w:val="20"/>
        <w:szCs w:val="20"/>
        <w:lang w:val="en-US" w:eastAsia="en-US" w:bidi="ar-SA"/>
      </w:rPr>
    </w:lvl>
    <w:lvl w:ilvl="1">
      <w:start w:val="0"/>
      <w:numFmt w:val="bullet"/>
      <w:lvlText w:val="•"/>
      <w:lvlJc w:val="left"/>
      <w:pPr>
        <w:ind w:left="1618" w:hanging="360"/>
      </w:pPr>
      <w:rPr>
        <w:rFonts w:hint="default"/>
        <w:lang w:val="en-US" w:eastAsia="en-US" w:bidi="ar-SA"/>
      </w:rPr>
    </w:lvl>
    <w:lvl w:ilvl="2">
      <w:start w:val="0"/>
      <w:numFmt w:val="bullet"/>
      <w:lvlText w:val="•"/>
      <w:lvlJc w:val="left"/>
      <w:pPr>
        <w:ind w:left="2657" w:hanging="360"/>
      </w:pPr>
      <w:rPr>
        <w:rFonts w:hint="default"/>
        <w:lang w:val="en-US" w:eastAsia="en-US" w:bidi="ar-SA"/>
      </w:rPr>
    </w:lvl>
    <w:lvl w:ilvl="3">
      <w:start w:val="0"/>
      <w:numFmt w:val="bullet"/>
      <w:lvlText w:val="•"/>
      <w:lvlJc w:val="left"/>
      <w:pPr>
        <w:ind w:left="3696" w:hanging="360"/>
      </w:pPr>
      <w:rPr>
        <w:rFonts w:hint="default"/>
        <w:lang w:val="en-US" w:eastAsia="en-US" w:bidi="ar-SA"/>
      </w:rPr>
    </w:lvl>
    <w:lvl w:ilvl="4">
      <w:start w:val="0"/>
      <w:numFmt w:val="bullet"/>
      <w:lvlText w:val="•"/>
      <w:lvlJc w:val="left"/>
      <w:pPr>
        <w:ind w:left="4735" w:hanging="360"/>
      </w:pPr>
      <w:rPr>
        <w:rFonts w:hint="default"/>
        <w:lang w:val="en-US" w:eastAsia="en-US" w:bidi="ar-SA"/>
      </w:rPr>
    </w:lvl>
    <w:lvl w:ilvl="5">
      <w:start w:val="0"/>
      <w:numFmt w:val="bullet"/>
      <w:lvlText w:val="•"/>
      <w:lvlJc w:val="left"/>
      <w:pPr>
        <w:ind w:left="5774" w:hanging="360"/>
      </w:pPr>
      <w:rPr>
        <w:rFonts w:hint="default"/>
        <w:lang w:val="en-US" w:eastAsia="en-US" w:bidi="ar-SA"/>
      </w:rPr>
    </w:lvl>
    <w:lvl w:ilvl="6">
      <w:start w:val="0"/>
      <w:numFmt w:val="bullet"/>
      <w:lvlText w:val="•"/>
      <w:lvlJc w:val="left"/>
      <w:pPr>
        <w:ind w:left="6813" w:hanging="360"/>
      </w:pPr>
      <w:rPr>
        <w:rFonts w:hint="default"/>
        <w:lang w:val="en-US" w:eastAsia="en-US" w:bidi="ar-SA"/>
      </w:rPr>
    </w:lvl>
    <w:lvl w:ilvl="7">
      <w:start w:val="0"/>
      <w:numFmt w:val="bullet"/>
      <w:lvlText w:val="•"/>
      <w:lvlJc w:val="left"/>
      <w:pPr>
        <w:ind w:left="7852" w:hanging="360"/>
      </w:pPr>
      <w:rPr>
        <w:rFonts w:hint="default"/>
        <w:lang w:val="en-US" w:eastAsia="en-US" w:bidi="ar-SA"/>
      </w:rPr>
    </w:lvl>
    <w:lvl w:ilvl="8">
      <w:start w:val="0"/>
      <w:numFmt w:val="bullet"/>
      <w:lvlText w:val="•"/>
      <w:lvlJc w:val="left"/>
      <w:pPr>
        <w:ind w:left="8891" w:hanging="360"/>
      </w:pPr>
      <w:rPr>
        <w:rFonts w:hint="default"/>
        <w:lang w:val="en-US" w:eastAsia="en-US" w:bidi="ar-SA"/>
      </w:rPr>
    </w:lvl>
  </w:abstractNum>
  <w:abstractNum w:abstractNumId="0">
    <w:multiLevelType w:val="hybridMultilevel"/>
    <w:lvl w:ilvl="0">
      <w:start w:val="0"/>
      <w:numFmt w:val="bullet"/>
      <w:lvlText w:val=""/>
      <w:lvlJc w:val="left"/>
      <w:pPr>
        <w:ind w:left="550" w:hanging="356"/>
      </w:pPr>
      <w:rPr>
        <w:rFonts w:hint="default" w:ascii="Wingdings" w:hAnsi="Wingdings" w:eastAsia="Wingdings" w:cs="Wingdings"/>
        <w:w w:val="100"/>
        <w:sz w:val="24"/>
        <w:szCs w:val="24"/>
        <w:lang w:val="en-US" w:eastAsia="en-US" w:bidi="ar-SA"/>
      </w:rPr>
    </w:lvl>
    <w:lvl w:ilvl="1">
      <w:start w:val="0"/>
      <w:numFmt w:val="bullet"/>
      <w:lvlText w:val="•"/>
      <w:lvlJc w:val="left"/>
      <w:pPr>
        <w:ind w:left="1224" w:hanging="356"/>
      </w:pPr>
      <w:rPr>
        <w:rFonts w:hint="default"/>
        <w:lang w:val="en-US" w:eastAsia="en-US" w:bidi="ar-SA"/>
      </w:rPr>
    </w:lvl>
    <w:lvl w:ilvl="2">
      <w:start w:val="0"/>
      <w:numFmt w:val="bullet"/>
      <w:lvlText w:val="•"/>
      <w:lvlJc w:val="left"/>
      <w:pPr>
        <w:ind w:left="1888" w:hanging="356"/>
      </w:pPr>
      <w:rPr>
        <w:rFonts w:hint="default"/>
        <w:lang w:val="en-US" w:eastAsia="en-US" w:bidi="ar-SA"/>
      </w:rPr>
    </w:lvl>
    <w:lvl w:ilvl="3">
      <w:start w:val="0"/>
      <w:numFmt w:val="bullet"/>
      <w:lvlText w:val="•"/>
      <w:lvlJc w:val="left"/>
      <w:pPr>
        <w:ind w:left="2553" w:hanging="356"/>
      </w:pPr>
      <w:rPr>
        <w:rFonts w:hint="default"/>
        <w:lang w:val="en-US" w:eastAsia="en-US" w:bidi="ar-SA"/>
      </w:rPr>
    </w:lvl>
    <w:lvl w:ilvl="4">
      <w:start w:val="0"/>
      <w:numFmt w:val="bullet"/>
      <w:lvlText w:val="•"/>
      <w:lvlJc w:val="left"/>
      <w:pPr>
        <w:ind w:left="3217" w:hanging="356"/>
      </w:pPr>
      <w:rPr>
        <w:rFonts w:hint="default"/>
        <w:lang w:val="en-US" w:eastAsia="en-US" w:bidi="ar-SA"/>
      </w:rPr>
    </w:lvl>
    <w:lvl w:ilvl="5">
      <w:start w:val="0"/>
      <w:numFmt w:val="bullet"/>
      <w:lvlText w:val="•"/>
      <w:lvlJc w:val="left"/>
      <w:pPr>
        <w:ind w:left="3881" w:hanging="356"/>
      </w:pPr>
      <w:rPr>
        <w:rFonts w:hint="default"/>
        <w:lang w:val="en-US" w:eastAsia="en-US" w:bidi="ar-SA"/>
      </w:rPr>
    </w:lvl>
    <w:lvl w:ilvl="6">
      <w:start w:val="0"/>
      <w:numFmt w:val="bullet"/>
      <w:lvlText w:val="•"/>
      <w:lvlJc w:val="left"/>
      <w:pPr>
        <w:ind w:left="4546" w:hanging="356"/>
      </w:pPr>
      <w:rPr>
        <w:rFonts w:hint="default"/>
        <w:lang w:val="en-US" w:eastAsia="en-US" w:bidi="ar-SA"/>
      </w:rPr>
    </w:lvl>
    <w:lvl w:ilvl="7">
      <w:start w:val="0"/>
      <w:numFmt w:val="bullet"/>
      <w:lvlText w:val="•"/>
      <w:lvlJc w:val="left"/>
      <w:pPr>
        <w:ind w:left="5210" w:hanging="356"/>
      </w:pPr>
      <w:rPr>
        <w:rFonts w:hint="default"/>
        <w:lang w:val="en-US" w:eastAsia="en-US" w:bidi="ar-SA"/>
      </w:rPr>
    </w:lvl>
    <w:lvl w:ilvl="8">
      <w:start w:val="0"/>
      <w:numFmt w:val="bullet"/>
      <w:lvlText w:val="•"/>
      <w:lvlJc w:val="left"/>
      <w:pPr>
        <w:ind w:left="5874" w:hanging="356"/>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TOC1" w:type="paragraph">
    <w:name w:val="TOC 1"/>
    <w:basedOn w:val="Normal"/>
    <w:uiPriority w:val="1"/>
    <w:qFormat/>
    <w:pPr>
      <w:spacing w:before="196"/>
      <w:ind w:left="210"/>
    </w:pPr>
    <w:rPr>
      <w:rFonts w:ascii="Microsoft JhengHei UI" w:hAnsi="Microsoft JhengHei UI" w:eastAsia="Microsoft JhengHei UI" w:cs="Microsoft JhengHei UI"/>
      <w:b/>
      <w:bCs/>
      <w:sz w:val="28"/>
      <w:szCs w:val="28"/>
      <w:lang w:val="en-US" w:eastAsia="en-US" w:bidi="ar-SA"/>
    </w:rPr>
  </w:style>
  <w:style w:styleId="TOC2" w:type="paragraph">
    <w:name w:val="TOC 2"/>
    <w:basedOn w:val="Normal"/>
    <w:uiPriority w:val="1"/>
    <w:qFormat/>
    <w:pPr>
      <w:spacing w:before="33"/>
      <w:ind w:left="210"/>
    </w:pPr>
    <w:rPr>
      <w:rFonts w:ascii="Microsoft JhengHei UI" w:hAnsi="Microsoft JhengHei UI" w:eastAsia="Microsoft JhengHei UI" w:cs="Microsoft JhengHei UI"/>
      <w:b/>
      <w:bCs/>
      <w:sz w:val="20"/>
      <w:szCs w:val="20"/>
      <w:lang w:val="en-US" w:eastAsia="en-US" w:bidi="ar-SA"/>
    </w:rPr>
  </w:style>
  <w:style w:styleId="TOC3" w:type="paragraph">
    <w:name w:val="TOC 3"/>
    <w:basedOn w:val="Normal"/>
    <w:uiPriority w:val="1"/>
    <w:qFormat/>
    <w:pPr>
      <w:spacing w:before="38"/>
      <w:ind w:left="430"/>
    </w:pPr>
    <w:rPr>
      <w:rFonts w:ascii="Microsoft JhengHei UI" w:hAnsi="Microsoft JhengHei UI" w:eastAsia="Microsoft JhengHei UI" w:cs="Microsoft JhengHei UI"/>
      <w:b/>
      <w:bCs/>
      <w:sz w:val="20"/>
      <w:szCs w:val="20"/>
      <w:lang w:val="en-US" w:eastAsia="en-US" w:bidi="ar-SA"/>
    </w:rPr>
  </w:style>
  <w:style w:styleId="BodyText" w:type="paragraph">
    <w:name w:val="Body Text"/>
    <w:basedOn w:val="Normal"/>
    <w:uiPriority w:val="1"/>
    <w:qFormat/>
    <w:pPr>
      <w:ind w:left="210"/>
    </w:pPr>
    <w:rPr>
      <w:rFonts w:ascii="PMingLiU" w:hAnsi="PMingLiU" w:eastAsia="PMingLiU" w:cs="PMingLiU"/>
      <w:sz w:val="20"/>
      <w:szCs w:val="20"/>
      <w:lang w:val="en-US" w:eastAsia="en-US" w:bidi="ar-SA"/>
    </w:rPr>
  </w:style>
  <w:style w:styleId="Heading1" w:type="paragraph">
    <w:name w:val="Heading 1"/>
    <w:basedOn w:val="Normal"/>
    <w:uiPriority w:val="1"/>
    <w:qFormat/>
    <w:pPr>
      <w:spacing w:before="19"/>
      <w:ind w:left="210"/>
      <w:outlineLvl w:val="1"/>
    </w:pPr>
    <w:rPr>
      <w:rFonts w:ascii="Microsoft JhengHei UI" w:hAnsi="Microsoft JhengHei UI" w:eastAsia="Microsoft JhengHei UI" w:cs="Microsoft JhengHei UI"/>
      <w:b/>
      <w:bCs/>
      <w:sz w:val="28"/>
      <w:szCs w:val="28"/>
      <w:lang w:val="en-US" w:eastAsia="en-US" w:bidi="ar-SA"/>
    </w:rPr>
  </w:style>
  <w:style w:styleId="Heading2" w:type="paragraph">
    <w:name w:val="Heading 2"/>
    <w:basedOn w:val="Normal"/>
    <w:uiPriority w:val="1"/>
    <w:qFormat/>
    <w:pPr>
      <w:spacing w:before="32"/>
      <w:ind w:left="210"/>
      <w:outlineLvl w:val="2"/>
    </w:pPr>
    <w:rPr>
      <w:rFonts w:ascii="Microsoft JhengHei UI" w:hAnsi="Microsoft JhengHei UI" w:eastAsia="Microsoft JhengHei UI" w:cs="Microsoft JhengHei UI"/>
      <w:b/>
      <w:bCs/>
      <w:sz w:val="24"/>
      <w:szCs w:val="24"/>
      <w:lang w:val="en-US" w:eastAsia="en-US" w:bidi="ar-SA"/>
    </w:rPr>
  </w:style>
  <w:style w:styleId="Heading3" w:type="paragraph">
    <w:name w:val="Heading 3"/>
    <w:basedOn w:val="Normal"/>
    <w:uiPriority w:val="1"/>
    <w:qFormat/>
    <w:pPr>
      <w:spacing w:before="68"/>
      <w:ind w:left="210"/>
      <w:jc w:val="both"/>
      <w:outlineLvl w:val="3"/>
    </w:pPr>
    <w:rPr>
      <w:rFonts w:ascii="Microsoft JhengHei UI" w:hAnsi="Microsoft JhengHei UI" w:eastAsia="Microsoft JhengHei UI" w:cs="Microsoft JhengHei UI"/>
      <w:b/>
      <w:bCs/>
      <w:sz w:val="20"/>
      <w:szCs w:val="20"/>
      <w:lang w:val="en-US" w:eastAsia="en-US" w:bidi="ar-SA"/>
    </w:rPr>
  </w:style>
  <w:style w:styleId="Title" w:type="paragraph">
    <w:name w:val="Title"/>
    <w:basedOn w:val="Normal"/>
    <w:uiPriority w:val="1"/>
    <w:qFormat/>
    <w:pPr>
      <w:spacing w:line="789" w:lineRule="exact"/>
      <w:ind w:left="195"/>
    </w:pPr>
    <w:rPr>
      <w:rFonts w:ascii="Arial" w:hAnsi="Arial" w:eastAsia="Arial" w:cs="Arial"/>
      <w:b/>
      <w:bCs/>
      <w:sz w:val="48"/>
      <w:szCs w:val="48"/>
      <w:lang w:val="en-US" w:eastAsia="en-US" w:bidi="ar-SA"/>
    </w:rPr>
  </w:style>
  <w:style w:styleId="ListParagraph" w:type="paragraph">
    <w:name w:val="List Paragraph"/>
    <w:basedOn w:val="Normal"/>
    <w:uiPriority w:val="1"/>
    <w:qFormat/>
    <w:pPr>
      <w:spacing w:line="299" w:lineRule="exact"/>
      <w:ind w:left="570" w:hanging="361"/>
      <w:jc w:val="both"/>
    </w:pPr>
    <w:rPr>
      <w:rFonts w:ascii="PMingLiU" w:hAnsi="PMingLiU" w:eastAsia="PMingLiU" w:cs="PMingLiU"/>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mailto:jillwu@cmbi.com.hk" TargetMode="External"/><Relationship Id="rId8" Type="http://schemas.openxmlformats.org/officeDocument/2006/relationships/header" Target="header1.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hyperlink" Target="https://pubmed.ncbi.nlm.nih.gov/33482051/" TargetMode="External"/><Relationship Id="rId26" Type="http://schemas.openxmlformats.org/officeDocument/2006/relationships/hyperlink" Target="https://ashpublications.org/bloodadvances/article/5/20/4149/476779/Comparison-of-2-year-outcomes-with-CAR-T-cells" TargetMode="External"/><Relationship Id="rId27" Type="http://schemas.openxmlformats.org/officeDocument/2006/relationships/hyperlink" Target="https://ashpublications.org/bloodadvances/article/4/19/4669/463994/Outcomes-in-patients-with-DLBCL-treated-with"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eader" Target="header2.xml"/><Relationship Id="rId36" Type="http://schemas.openxmlformats.org/officeDocument/2006/relationships/footer" Target="footer3.xml"/><Relationship Id="rId37" Type="http://schemas.openxmlformats.org/officeDocument/2006/relationships/image" Target="media/image2.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yperlink" Target="https://www.ncbi.nlm.nih.gov/pmc/articles/PMC6820050/" TargetMode="External"/><Relationship Id="rId41" Type="http://schemas.openxmlformats.org/officeDocument/2006/relationships/hyperlink" Target="https://www.nature.com/articles/s41375-022-01531-2" TargetMode="External"/><Relationship Id="rId42" Type="http://schemas.openxmlformats.org/officeDocument/2006/relationships/hyperlink" Target="https://www.clinical-lymphoma-myeloma-leukemia.com/article/S2152-2650(21)02416-2/fulltext" TargetMode="External"/><Relationship Id="rId43" Type="http://schemas.openxmlformats.org/officeDocument/2006/relationships/header" Target="header3.xml"/><Relationship Id="rId44" Type="http://schemas.openxmlformats.org/officeDocument/2006/relationships/footer" Target="footer4.xml"/><Relationship Id="rId45" Type="http://schemas.openxmlformats.org/officeDocument/2006/relationships/image" Target="media/image27.png"/><Relationship Id="rId46" Type="http://schemas.openxmlformats.org/officeDocument/2006/relationships/image" Target="media/image28.jpeg"/><Relationship Id="rId47" Type="http://schemas.openxmlformats.org/officeDocument/2006/relationships/image" Target="media/image29.jpe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jpe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jpeg"/><Relationship Id="rId57" Type="http://schemas.openxmlformats.org/officeDocument/2006/relationships/image" Target="media/image39.png"/><Relationship Id="rId58" Type="http://schemas.openxmlformats.org/officeDocument/2006/relationships/image" Target="media/image40.jpeg"/><Relationship Id="rId59" Type="http://schemas.openxmlformats.org/officeDocument/2006/relationships/image" Target="media/image41.jpeg"/><Relationship Id="rId60" Type="http://schemas.openxmlformats.org/officeDocument/2006/relationships/image" Target="media/image42.jpeg"/><Relationship Id="rId61" Type="http://schemas.openxmlformats.org/officeDocument/2006/relationships/image" Target="media/image43.png"/><Relationship Id="rId62" Type="http://schemas.openxmlformats.org/officeDocument/2006/relationships/image" Target="media/image44.jpeg"/><Relationship Id="rId63" Type="http://schemas.openxmlformats.org/officeDocument/2006/relationships/image" Target="media/image45.png"/><Relationship Id="rId64" Type="http://schemas.openxmlformats.org/officeDocument/2006/relationships/image" Target="media/image46.jpeg"/><Relationship Id="rId65" Type="http://schemas.openxmlformats.org/officeDocument/2006/relationships/image" Target="media/image47.png"/><Relationship Id="rId66" Type="http://schemas.openxmlformats.org/officeDocument/2006/relationships/image" Target="media/image48.jpe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cmbi.com.h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招银国际-CAR-T细胞治疗行业：血液瘤突破早线治疗，期待实体瘤突破和商业化腾飞-220928.pdf</dc:title>
  <dcterms:created xsi:type="dcterms:W3CDTF">2022-09-29T11:30:46Z</dcterms:created>
  <dcterms:modified xsi:type="dcterms:W3CDTF">2022-09-29T11:30:46Z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2022-09-29T00:00:00Z</vt:filetime>
  </property>
  <property fmtid="{D5CDD505-2E9C-101B-9397-08002B2CF9AE}" pid="3" name="LastSaved">
    <vt:filetime>2022-09-29T00:00:00Z</vt:filetime>
  </property>
</Properties>
</file>