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rFonts w:ascii="Times New Roman"/>
          <w:sz w:val="29"/>
        </w:rPr>
      </w:pPr>
    </w:p>
    <w:p>
      <w:pPr>
        <w:pStyle w:val="BodyText"/>
        <w:spacing w:before="70"/>
        <w:ind w:left="1196"/>
      </w:pPr>
      <w:r>
        <w:rPr/>
        <w:pict>
          <v:shape style="position:absolute;margin-left:55.650002pt;margin-top:22.350012pt;width:507.1pt;height:.1pt;mso-position-horizontal-relative:page;mso-position-vertical-relative:paragraph;z-index:-15728640;mso-wrap-distance-left:0;mso-wrap-distance-right:0" coordorigin="1113,447" coordsize="10142,0" path="m1113,447l11255,447e" filled="false" stroked="true" strokeweight="1.25pt" strokecolor="#fac504">
            <v:path arrowok="t"/>
            <v:stroke dashstyle="solid"/>
            <w10:wrap type="topAndBottom"/>
          </v:shape>
        </w:pict>
      </w:r>
      <w:r>
        <w:rPr/>
        <w:drawing>
          <wp:anchor distT="0" distB="0" distL="0" distR="0" allowOverlap="1" layoutInCell="1" locked="0" behindDoc="1" simplePos="0" relativeHeight="486144000">
            <wp:simplePos x="0" y="0"/>
            <wp:positionH relativeFrom="page">
              <wp:posOffset>5289550</wp:posOffset>
            </wp:positionH>
            <wp:positionV relativeFrom="paragraph">
              <wp:posOffset>-211587</wp:posOffset>
            </wp:positionV>
            <wp:extent cx="1668891" cy="396486"/>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668891" cy="396486"/>
                    </a:xfrm>
                    <a:prstGeom prst="rect">
                      <a:avLst/>
                    </a:prstGeom>
                  </pic:spPr>
                </pic:pic>
              </a:graphicData>
            </a:graphic>
          </wp:anchor>
        </w:drawing>
      </w:r>
      <w:r>
        <w:rPr/>
        <w:t>2020 年 03 月 26 日</w:t>
      </w:r>
    </w:p>
    <w:p>
      <w:pPr>
        <w:pStyle w:val="BodyText"/>
        <w:tabs>
          <w:tab w:pos="7472" w:val="left" w:leader="none"/>
        </w:tabs>
        <w:spacing w:line="182" w:lineRule="exact"/>
        <w:ind w:left="178"/>
        <w:rPr>
          <w:rFonts w:ascii="仿宋" w:eastAsia="仿宋" w:hint="eastAsia"/>
        </w:rPr>
      </w:pPr>
      <w:r>
        <w:rPr>
          <w:b/>
          <w:color w:val="FFFFFF"/>
          <w:spacing w:val="-285"/>
          <w:position w:val="-5"/>
          <w:sz w:val="30"/>
        </w:rPr>
        <w:t>医</w:t>
      </w:r>
      <w:r>
        <w:rPr>
          <w:rFonts w:ascii="仿宋" w:eastAsia="仿宋" w:hint="eastAsia"/>
        </w:rPr>
        <w:t>用户上传限个人学习使用</w:t>
      </w:r>
      <w:r>
        <w:rPr>
          <w:rFonts w:ascii="仿宋" w:eastAsia="仿宋" w:hint="eastAsia"/>
          <w:spacing w:val="28"/>
        </w:rPr>
        <w:t> </w:t>
      </w:r>
      <w:r>
        <w:rPr>
          <w:rFonts w:ascii="仿宋" w:eastAsia="仿宋" w:hint="eastAsia"/>
        </w:rPr>
        <w:t>百万免费报告</w:t>
      </w:r>
      <w:r>
        <w:rPr>
          <w:rFonts w:ascii="仿宋" w:eastAsia="仿宋" w:hint="eastAsia"/>
          <w:spacing w:val="29"/>
        </w:rPr>
        <w:t> </w:t>
      </w:r>
      <w:r>
        <w:rPr>
          <w:rFonts w:ascii="仿宋" w:eastAsia="仿宋" w:hint="eastAsia"/>
        </w:rPr>
        <w:t>天天更新</w:t>
      </w:r>
      <w:r>
        <w:rPr>
          <w:rFonts w:ascii="仿宋" w:eastAsia="仿宋" w:hint="eastAsia"/>
          <w:spacing w:val="28"/>
        </w:rPr>
        <w:t> </w:t>
      </w:r>
      <w:r>
        <w:rPr>
          <w:rFonts w:ascii="仿宋" w:eastAsia="仿宋" w:hint="eastAsia"/>
        </w:rPr>
        <w:t>手机商店搜索研报客app</w:t>
        <w:tab/>
        <w:t>电脑网页版</w:t>
      </w:r>
      <w:hyperlink r:id="rId6">
        <w:r>
          <w:rPr>
            <w:rFonts w:ascii="仿宋" w:eastAsia="仿宋" w:hint="eastAsia"/>
          </w:rPr>
          <w:t>www.yanbaoke.com</w:t>
        </w:r>
      </w:hyperlink>
    </w:p>
    <w:p>
      <w:pPr>
        <w:spacing w:after="0" w:line="182" w:lineRule="exact"/>
        <w:rPr>
          <w:rFonts w:ascii="仿宋" w:eastAsia="仿宋" w:hint="eastAsia"/>
        </w:rPr>
        <w:sectPr>
          <w:type w:val="continuous"/>
          <w:pgSz w:w="11910" w:h="16850"/>
          <w:pgMar w:top="260" w:bottom="0" w:left="260" w:right="300"/>
        </w:sectPr>
      </w:pPr>
    </w:p>
    <w:p>
      <w:pPr>
        <w:tabs>
          <w:tab w:pos="1106" w:val="left" w:leader="none"/>
        </w:tabs>
        <w:spacing w:line="201" w:lineRule="auto" w:before="15"/>
        <w:ind w:left="178" w:right="0" w:firstLine="0"/>
        <w:jc w:val="left"/>
        <w:rPr>
          <w:b/>
          <w:sz w:val="28"/>
        </w:rPr>
      </w:pPr>
      <w:r>
        <w:rPr>
          <w:b/>
          <w:color w:val="FFFFFF"/>
          <w:position w:val="-13"/>
          <w:sz w:val="30"/>
        </w:rPr>
        <w:t>药</w:t>
        <w:tab/>
      </w:r>
      <w:r>
        <w:rPr>
          <w:b/>
          <w:spacing w:val="14"/>
          <w:sz w:val="28"/>
        </w:rPr>
        <w:t>投资</w:t>
      </w:r>
      <w:r>
        <w:rPr>
          <w:b/>
          <w:sz w:val="28"/>
        </w:rPr>
        <w:t>评级</w:t>
      </w:r>
      <w:r>
        <w:rPr>
          <w:b/>
          <w:spacing w:val="-8"/>
          <w:sz w:val="28"/>
        </w:rPr>
        <w:t>:</w:t>
      </w:r>
      <w:r>
        <w:rPr>
          <w:b/>
          <w:sz w:val="28"/>
        </w:rPr>
        <w:t>增持</w:t>
      </w:r>
      <w:r>
        <w:rPr>
          <w:b/>
          <w:spacing w:val="-8"/>
          <w:sz w:val="28"/>
        </w:rPr>
        <w:t>(</w:t>
      </w:r>
      <w:r>
        <w:rPr>
          <w:b/>
          <w:sz w:val="28"/>
        </w:rPr>
        <w:t>维持)</w:t>
      </w:r>
    </w:p>
    <w:p>
      <w:pPr>
        <w:spacing w:line="187" w:lineRule="auto" w:before="31"/>
        <w:ind w:left="178" w:right="3392" w:firstLine="0"/>
        <w:jc w:val="left"/>
        <w:rPr>
          <w:b/>
          <w:sz w:val="30"/>
        </w:rPr>
      </w:pPr>
      <w:r>
        <w:rPr/>
        <w:pict>
          <v:line style="position:absolute;mso-position-horizontal-relative:page;mso-position-vertical-relative:paragraph;z-index:15730688" from="55.549999pt,4.83999pt" to="562.749999pt,4.83999pt" stroked="true" strokeweight="1.25pt" strokecolor="#fac504">
            <v:stroke dashstyle="solid"/>
            <w10:wrap type="none"/>
          </v:line>
        </w:pict>
      </w:r>
      <w:r>
        <w:rPr>
          <w:b/>
          <w:color w:val="FFFFFF"/>
          <w:sz w:val="30"/>
        </w:rPr>
        <w:t>生物</w:t>
      </w:r>
    </w:p>
    <w:p>
      <w:pPr>
        <w:pStyle w:val="Title"/>
      </w:pPr>
      <w:r>
        <w:rPr>
          <w:b w:val="0"/>
        </w:rPr>
        <w:br w:type="column"/>
      </w:r>
      <w:r>
        <w:rPr>
          <w:color w:val="A11D04"/>
        </w:rPr>
        <w:t>Car-T 细胞治疗行业报告</w:t>
      </w:r>
    </w:p>
    <w:p>
      <w:pPr>
        <w:spacing w:before="319"/>
        <w:ind w:left="178" w:right="0" w:firstLine="0"/>
        <w:jc w:val="left"/>
        <w:rPr>
          <w:b/>
          <w:sz w:val="28"/>
        </w:rPr>
      </w:pPr>
      <w:r>
        <w:rPr>
          <w:b/>
          <w:sz w:val="28"/>
        </w:rPr>
        <w:t>道由白云尽，春与青溪长，看好Car-T 行业长期发展</w:t>
      </w:r>
    </w:p>
    <w:p>
      <w:pPr>
        <w:spacing w:after="0"/>
        <w:jc w:val="left"/>
        <w:rPr>
          <w:sz w:val="28"/>
        </w:rPr>
        <w:sectPr>
          <w:type w:val="continuous"/>
          <w:pgSz w:w="11910" w:h="16850"/>
          <w:pgMar w:top="260" w:bottom="0" w:left="260" w:right="300"/>
          <w:cols w:num="2" w:equalWidth="0">
            <w:col w:w="3873" w:space="465"/>
            <w:col w:w="7012"/>
          </w:cols>
        </w:sectPr>
      </w:pPr>
    </w:p>
    <w:p>
      <w:pPr>
        <w:pStyle w:val="BodyText"/>
        <w:spacing w:before="8"/>
        <w:rPr>
          <w:b/>
          <w:sz w:val="10"/>
        </w:rPr>
      </w:pPr>
    </w:p>
    <w:p>
      <w:pPr>
        <w:spacing w:after="0"/>
        <w:rPr>
          <w:sz w:val="10"/>
        </w:rPr>
        <w:sectPr>
          <w:type w:val="continuous"/>
          <w:pgSz w:w="11910" w:h="16850"/>
          <w:pgMar w:top="260" w:bottom="0" w:left="260" w:right="300"/>
        </w:sectPr>
      </w:pPr>
    </w:p>
    <w:p>
      <w:pPr>
        <w:pStyle w:val="Heading2"/>
        <w:spacing w:before="71"/>
        <w:ind w:left="881"/>
      </w:pPr>
      <w:r>
        <w:rPr>
          <w:color w:val="FFFFFF"/>
        </w:rPr>
        <w:t>最近一年行业指数走势</w:t>
      </w:r>
    </w:p>
    <w:p>
      <w:pPr>
        <w:pStyle w:val="BodyText"/>
        <w:spacing w:before="5"/>
        <w:rPr>
          <w:b/>
          <w:sz w:val="18"/>
        </w:rPr>
      </w:pPr>
      <w:r>
        <w:rPr/>
        <w:br w:type="column"/>
      </w:r>
      <w:r>
        <w:rPr>
          <w:b/>
          <w:sz w:val="18"/>
        </w:rPr>
      </w:r>
    </w:p>
    <w:p>
      <w:pPr>
        <w:spacing w:before="1"/>
        <w:ind w:left="881" w:right="0" w:firstLine="0"/>
        <w:jc w:val="left"/>
        <w:rPr>
          <w:b/>
          <w:sz w:val="21"/>
        </w:rPr>
      </w:pPr>
      <w:r>
        <w:rPr>
          <w:b/>
          <w:sz w:val="21"/>
        </w:rPr>
        <w:t>投资要点：</w:t>
      </w:r>
    </w:p>
    <w:p>
      <w:pPr>
        <w:spacing w:after="0"/>
        <w:jc w:val="left"/>
        <w:rPr>
          <w:sz w:val="21"/>
        </w:rPr>
        <w:sectPr>
          <w:type w:val="continuous"/>
          <w:pgSz w:w="11910" w:h="16850"/>
          <w:pgMar w:top="260" w:bottom="0" w:left="260" w:right="300"/>
          <w:cols w:num="2" w:equalWidth="0">
            <w:col w:w="3085" w:space="714"/>
            <w:col w:w="7551"/>
          </w:cols>
        </w:sectPr>
      </w:pPr>
    </w:p>
    <w:p>
      <w:pPr>
        <w:pStyle w:val="BodyText"/>
        <w:rPr>
          <w:b/>
          <w:sz w:val="14"/>
        </w:rPr>
      </w:pPr>
    </w:p>
    <w:p>
      <w:pPr>
        <w:spacing w:before="118"/>
        <w:ind w:left="0" w:right="56" w:firstLine="0"/>
        <w:jc w:val="right"/>
        <w:rPr>
          <w:sz w:val="13"/>
        </w:rPr>
      </w:pPr>
      <w:r>
        <w:rPr>
          <w:w w:val="105"/>
          <w:sz w:val="13"/>
        </w:rPr>
        <w:t>24%</w:t>
      </w:r>
    </w:p>
    <w:p>
      <w:pPr>
        <w:spacing w:before="60"/>
        <w:ind w:left="0" w:right="56" w:firstLine="0"/>
        <w:jc w:val="right"/>
        <w:rPr>
          <w:sz w:val="13"/>
        </w:rPr>
      </w:pPr>
      <w:r>
        <w:rPr>
          <w:w w:val="105"/>
          <w:sz w:val="13"/>
        </w:rPr>
        <w:t>18%</w:t>
      </w:r>
    </w:p>
    <w:p>
      <w:pPr>
        <w:spacing w:before="59"/>
        <w:ind w:left="0" w:right="56" w:firstLine="0"/>
        <w:jc w:val="right"/>
        <w:rPr>
          <w:sz w:val="13"/>
        </w:rPr>
      </w:pPr>
      <w:r>
        <w:rPr>
          <w:w w:val="105"/>
          <w:sz w:val="13"/>
        </w:rPr>
        <w:t>12%</w:t>
      </w:r>
    </w:p>
    <w:p>
      <w:pPr>
        <w:spacing w:before="60"/>
        <w:ind w:left="0" w:right="38" w:firstLine="0"/>
        <w:jc w:val="right"/>
        <w:rPr>
          <w:sz w:val="13"/>
        </w:rPr>
      </w:pPr>
      <w:r>
        <w:rPr>
          <w:spacing w:val="8"/>
          <w:w w:val="105"/>
          <w:sz w:val="13"/>
        </w:rPr>
        <w:t>6%</w:t>
      </w:r>
    </w:p>
    <w:p>
      <w:pPr>
        <w:spacing w:before="60"/>
        <w:ind w:left="0" w:right="38" w:firstLine="0"/>
        <w:jc w:val="right"/>
        <w:rPr>
          <w:sz w:val="13"/>
        </w:rPr>
      </w:pPr>
      <w:r>
        <w:rPr>
          <w:spacing w:val="7"/>
          <w:w w:val="105"/>
          <w:sz w:val="13"/>
        </w:rPr>
        <w:t>0%</w:t>
      </w:r>
    </w:p>
    <w:p>
      <w:pPr>
        <w:spacing w:before="59"/>
        <w:ind w:left="0" w:right="56" w:firstLine="0"/>
        <w:jc w:val="right"/>
        <w:rPr>
          <w:sz w:val="13"/>
        </w:rPr>
      </w:pPr>
      <w:r>
        <w:rPr>
          <w:w w:val="105"/>
          <w:sz w:val="13"/>
        </w:rPr>
        <w:t>-6%</w:t>
      </w:r>
    </w:p>
    <w:p>
      <w:pPr>
        <w:tabs>
          <w:tab w:pos="940" w:val="left" w:leader="none"/>
        </w:tabs>
        <w:spacing w:line="325" w:lineRule="exact" w:before="20"/>
        <w:ind w:left="148" w:right="0" w:firstLine="0"/>
        <w:jc w:val="left"/>
        <w:rPr>
          <w:sz w:val="13"/>
        </w:rPr>
      </w:pPr>
      <w:r>
        <w:rPr>
          <w:b/>
          <w:color w:val="FFFFFF"/>
          <w:position w:val="-12"/>
          <w:sz w:val="30"/>
        </w:rPr>
        <w:t>证</w:t>
        <w:tab/>
      </w:r>
      <w:r>
        <w:rPr>
          <w:sz w:val="13"/>
        </w:rPr>
        <w:t>-12%</w:t>
      </w:r>
    </w:p>
    <w:p>
      <w:pPr>
        <w:spacing w:line="105" w:lineRule="exact" w:before="0"/>
        <w:ind w:left="0" w:right="51" w:firstLine="0"/>
        <w:jc w:val="right"/>
        <w:rPr>
          <w:sz w:val="13"/>
        </w:rPr>
      </w:pPr>
      <w:r>
        <w:rPr/>
        <w:pict>
          <v:shapetype id="_x0000_t202" o:spt="202" coordsize="21600,21600" path="m,l,21600r21600,l21600,xe">
            <v:stroke joinstyle="miter"/>
            <v:path gradientshapeok="t" o:connecttype="rect"/>
          </v:shapetype>
          <v:shape style="position:absolute;margin-left:20.406pt;margin-top:.623535pt;width:15.05pt;height:15.05pt;mso-position-horizontal-relative:page;mso-position-vertical-relative:paragraph;z-index:-17168896" type="#_x0000_t202" filled="false" stroked="false">
            <v:textbox inset="0,0,0,0">
              <w:txbxContent>
                <w:p>
                  <w:pPr>
                    <w:spacing w:line="301" w:lineRule="exact" w:before="0"/>
                    <w:ind w:left="0" w:right="0" w:firstLine="0"/>
                    <w:jc w:val="left"/>
                    <w:rPr>
                      <w:b/>
                      <w:sz w:val="30"/>
                    </w:rPr>
                  </w:pPr>
                  <w:r>
                    <w:rPr>
                      <w:b/>
                      <w:color w:val="FFFFFF"/>
                      <w:w w:val="99"/>
                      <w:sz w:val="30"/>
                    </w:rPr>
                    <w:t>券</w:t>
                  </w:r>
                </w:p>
              </w:txbxContent>
            </v:textbox>
            <w10:wrap type="none"/>
          </v:shape>
        </w:pict>
      </w:r>
      <w:r>
        <w:rPr>
          <w:w w:val="105"/>
          <w:sz w:val="13"/>
        </w:rPr>
        <w:t>-18%</w:t>
      </w:r>
    </w:p>
    <w:p>
      <w:pPr>
        <w:tabs>
          <w:tab w:pos="1251" w:val="left" w:leader="none"/>
          <w:tab w:pos="2354" w:val="left" w:leader="none"/>
        </w:tabs>
        <w:spacing w:before="102"/>
        <w:ind w:left="148" w:right="0" w:firstLine="0"/>
        <w:jc w:val="left"/>
        <w:rPr>
          <w:sz w:val="13"/>
        </w:rPr>
      </w:pPr>
      <w:r>
        <w:rPr/>
        <w:br w:type="column"/>
      </w:r>
      <w:r>
        <w:rPr>
          <w:spacing w:val="14"/>
          <w:w w:val="105"/>
          <w:sz w:val="13"/>
        </w:rPr>
        <w:t>医</w:t>
      </w:r>
      <w:r>
        <w:rPr>
          <w:w w:val="105"/>
          <w:sz w:val="13"/>
        </w:rPr>
        <w:t>药生物</w:t>
        <w:tab/>
      </w:r>
      <w:r>
        <w:rPr>
          <w:spacing w:val="14"/>
          <w:w w:val="105"/>
          <w:sz w:val="13"/>
        </w:rPr>
        <w:t>上</w:t>
      </w:r>
      <w:r>
        <w:rPr>
          <w:w w:val="105"/>
          <w:sz w:val="13"/>
        </w:rPr>
        <w:t>证指数</w:t>
        <w:tab/>
      </w:r>
      <w:r>
        <w:rPr>
          <w:spacing w:val="14"/>
          <w:w w:val="105"/>
          <w:sz w:val="13"/>
        </w:rPr>
        <w:t>深</w:t>
      </w:r>
      <w:r>
        <w:rPr>
          <w:w w:val="105"/>
          <w:sz w:val="13"/>
        </w:rPr>
        <w:t>证成指</w:t>
      </w:r>
    </w:p>
    <w:p>
      <w:pPr>
        <w:pStyle w:val="BodyText"/>
        <w:spacing w:before="1"/>
        <w:rPr>
          <w:sz w:val="8"/>
        </w:rPr>
      </w:pPr>
    </w:p>
    <w:p>
      <w:pPr>
        <w:pStyle w:val="BodyText"/>
        <w:ind w:left="-43"/>
        <w:rPr>
          <w:sz w:val="20"/>
        </w:rPr>
      </w:pPr>
      <w:r>
        <w:rPr>
          <w:sz w:val="20"/>
        </w:rPr>
        <w:pict>
          <v:group style="width:142.15pt;height:81.4pt;mso-position-horizontal-relative:char;mso-position-vertical-relative:line" coordorigin="0,0" coordsize="2843,1628">
            <v:shape style="position:absolute;left:45;top:7;width:2791;height:1575" coordorigin="45,8" coordsize="2791,1575" path="m45,1583l2835,1583m45,1358l2835,1358m45,1133l2835,1133m45,908l2835,908m45,683l2835,683m45,458l2835,458m45,233l2835,233m45,8l2835,8e" filled="false" stroked="true" strokeweight=".75pt" strokecolor="#e3e3e3">
              <v:path arrowok="t"/>
              <v:stroke dashstyle="solid"/>
            </v:shape>
            <v:shape style="position:absolute;left:0;top:7;width:2836;height:1620" coordorigin="0,8" coordsize="2836,1620" path="m45,1583l45,8m0,1583l45,1583m0,1358l45,1358m0,1133l45,1133m0,908l45,908m0,683l45,683m0,458l45,458m0,233l45,233m0,8l45,8m45,1583l2835,1583m45,1583l45,1628m960,1583l960,1628m1905,1583l1905,1628m2820,1583l2820,1628e" filled="false" stroked="true" strokeweight=".75pt" strokecolor="#4d4d4f">
              <v:path arrowok="t"/>
              <v:stroke dashstyle="solid"/>
            </v:shape>
            <v:shape style="position:absolute;left:45;top:82;width:2791;height:1320" coordorigin="45,83" coordsize="2791,1320" path="m45,908l45,998,60,878,60,923,75,818,90,728,105,743,105,713,120,698,150,713,150,653,165,578,165,698,180,758,195,803,210,728,210,713,225,743,225,728,255,773,255,788,270,773,285,848,285,908,315,908,315,893,360,1118,375,1043,375,1073,390,1163,390,1058,420,1073,420,1103,435,1028,435,983,450,1088,465,1148,480,1088,480,1103,495,1193,495,1208,525,1148,525,1118,540,1148,540,1178,555,1178,570,1208,585,1268,585,1343,600,1403,630,1388,630,1283,645,1298,645,1283,660,1298,675,1283,690,1268,690,1223,705,1163,705,1133,735,1133,735,1163,750,1118,750,1088,765,1118,795,1013,795,968,810,1013,810,1058,825,1013,840,1103,855,1103,870,1088,870,1073,900,1058,900,1073,915,1088,915,1133,930,1133,945,1178,960,1163,960,1133,975,1118,975,1088,1005,1118,1005,1103,1020,1118,1020,1148,1035,1178,1050,1238,1065,1283,1065,1268,1080,1223,1110,1178,1125,1133,1125,1103,1140,1073,1155,983,1170,983,1170,1013,1185,983,1185,893,1215,878,1215,833,1230,878,1245,878,1275,818,1275,848,1290,848,1290,833,1305,818,1320,788,1335,743,1335,803,1350,788,1380,788,1380,848,1395,818,1395,788,1410,758,1425,818,1440,773,1440,818,1455,893,1455,878,1485,893,1545,878,1560,773,1560,758,1590,728,1605,713,1620,728,1635,788,1650,728,1650,788,1665,818,1665,773,1695,713,1710,743,1710,713,1725,668,1755,608,1770,638,1770,593,1785,608,1800,698,1815,683,1815,653,1830,608,1830,638,1860,623,1860,548,1875,548,1875,593,1890,713,1905,758,1920,728,1920,758,1935,743,1935,818,1965,863,1980,848,1980,803,1995,773,2010,833,2025,803,2025,818,2040,818,2040,758,2070,728,2070,698,2085,728,2085,713,2100,758,2115,788,2130,773,2145,743,2145,773,2175,758,2175,668,2190,653,2205,668,2220,698,2235,638,2250,683,2250,578,2265,563,2280,533,2295,548,2295,533,2310,533,2310,503,2340,428,2340,338,2355,398,2355,488,2445,623,2445,488,2460,308,2460,158,2475,233,2490,293,2505,308,2505,263,2520,323,2520,308,2550,218,2565,323,2565,278,2580,248,2595,203,2610,143,2610,278,2625,263,2625,383,2655,293,2655,188,2670,203,2670,113,2685,83,2700,143,2715,158,2715,203,2730,323,2745,413,2760,533,2775,563,2775,593,2790,653,2790,548,2820,608,2820,533,2835,383e" filled="false" stroked="true" strokeweight=".75pt" strokecolor="#a11d04">
              <v:path arrowok="t"/>
              <v:stroke dashstyle="solid"/>
            </v:shape>
            <v:shape style="position:absolute;left:45;top:637;width:2791;height:735" coordorigin="45,638" coordsize="2791,735" path="m45,908l45,968,60,938,60,968,75,848,90,758,105,743,105,698,120,668,150,668,165,668,165,728,180,743,195,743,210,653,210,638,225,668,225,638,255,698,255,728,270,713,285,818,285,863,315,893,315,863,360,1073,375,1058,375,1088,390,1148,390,1043,420,1088,420,1103,435,1043,435,1013,450,1103,465,1118,480,1073,480,1103,495,1148,525,1088,525,1073,540,1073,555,1088,570,1103,585,1133,600,1178,630,1148,630,1058,645,1073,660,1103,675,1103,690,1103,690,1058,705,983,705,968,735,953,735,983,750,998,750,968,765,983,795,908,810,953,825,953,840,1043,855,1058,855,1073,870,1058,870,1043,900,1028,900,1043,915,1043,915,1088,930,1058,945,1103,960,1088,960,1058,975,1043,975,1028,1005,1043,1005,1028,1020,1043,1020,1073,1035,1118,1050,1178,1065,1238,1080,1208,1080,1238,1110,1193,1110,1208,1125,1193,1140,1178,1155,1103,1170,1103,1185,1103,1185,1088,1215,1133,1215,1088,1230,1088,1230,1103,1245,1103,1275,1058,1275,1043,1290,1013,1290,983,1305,968,1320,938,1335,938,1335,953,1350,923,1380,923,1380,998,1395,983,1395,968,1410,953,1425,998,1440,983,1440,1013,1455,1043,1485,1073,1545,1073,1545,1058,1560,1028,1560,998,1590,953,1590,968,1605,983,1605,998,1620,1043,1635,1043,1650,1013,1650,1028,1665,1043,1665,1013,1695,983,1695,1013,1710,1043,1710,1058,1725,1013,1755,998,1755,968,1770,998,1770,983,1785,1013,1800,1073,1815,1073,1830,1073,1830,1103,1860,1073,1860,1043,1875,1073,1875,1088,1890,1103,1905,1073,1920,1073,1920,1088,1935,1103,1935,1118,1965,1118,1965,1103,1980,1118,1980,1088,1995,1073,2010,1073,2025,1058,2040,1073,2040,998,2070,983,2070,938,2085,938,2100,953,2115,1013,2130,983,2145,953,2175,923,2175,908,2190,863,2205,863,2220,863,2235,833,2250,878,2250,848,2265,848,2280,818,2295,833,2295,863,2310,878,2340,848,2340,908,2355,893,2355,998,2445,1268,2445,1223,2460,1178,2460,1133,2475,1118,2490,1103,2505,1088,2505,1058,2520,1073,2520,1058,2550,983,2565,998,2565,923,2580,923,2595,923,2610,953,2610,983,2625,968,2625,1103,2655,998,2655,968,2670,953,2670,878,2685,923,2700,1028,2715,968,2715,998,2730,1058,2745,1103,2760,1223,2775,1238,2775,1298,2790,1328,2790,1268,2820,1373,2820,1298,2835,1223e" filled="false" stroked="true" strokeweight=".75pt" strokecolor="#a6a6a6">
              <v:path arrowok="t"/>
              <v:stroke dashstyle="solid"/>
            </v:shape>
            <v:shape style="position:absolute;left:37;top:375;width:2460;height:960" coordorigin="38,375" coordsize="2460,960" path="m38,915l53,990,53,945,68,975,68,840,98,690,98,705,113,675,113,645,143,660,158,630,173,735,173,750,203,780,203,690,218,675,218,690,233,645,248,720,263,750,263,705,278,840,293,885,308,945,323,915,368,1200,368,1140,383,1185,383,1230,398,1095,413,1140,428,1170,428,1080,443,1065,443,1185,473,1215,473,1140,488,1170,488,1245,503,1260,518,1185,533,1170,548,1200,548,1215,578,1230,578,1275,593,1275,593,1335,623,1290,638,1170,638,1200,653,1200,653,1245,683,1260,698,1200,698,1125,713,1095,728,1095,743,1140,743,1125,758,1095,758,1110,788,975,803,975,803,1020,818,1035,818,1005,848,1110,863,1110,863,1125,878,1095,893,1065,908,1065,923,1125,923,1095,953,1125,953,1110,968,1080,968,1050,983,1050,998,1050,1013,1020,1013,1050,1028,1080,1028,1125,1058,1185,1058,1230,1073,1245,1073,1215,1088,1260,1103,1185,1118,1215,1118,1185,1133,1170,1133,1155,1163,1050,1178,1050,1193,1035,1208,1080,1223,1005,1223,1020,1238,1020,1238,1035,1268,960,1283,945,1283,915,1298,885,1298,870,1328,795,1328,810,1343,855,1343,825,1373,825,1388,900,1388,885,1403,855,1403,840,1433,885,1433,870,1448,930,1448,1005,1463,975,1478,1005,1538,1005,1553,990,1553,930,1568,930,1583,885,1598,930,1613,930,1613,975,1643,975,1643,930,1658,960,1673,930,1688,870,1703,900,1703,915,1718,930,1718,870,1748,855,1763,825,1763,855,1778,825,1778,840,1808,915,1808,930,1823,915,1823,900,1838,930,1853,900,1868,840,1868,870,1883,885,1883,945,1913,945,1913,915,1928,930,1928,945,1943,960,1958,945,1973,930,1973,915,1988,870,1988,840,2018,840,2018,825,2033,855,2048,795,2063,735,2078,675,2078,690,2093,690,2093,705,2123,780,2123,720,2138,705,2138,690,2153,705,2168,660,2183,630,2198,555,2228,540,2243,480,2243,525,2258,450,2258,465,2288,405,2288,420,2303,435,2318,435,2333,375,2348,435,2348,390,2363,540,2438,885,2453,765,2453,675,2468,570,2498,525,2498,510e" filled="false" stroked="true" strokeweight="1.5pt" strokecolor="#ff8000">
              <v:path arrowok="t"/>
              <v:stroke dashstyle="solid"/>
            </v:shape>
            <v:shape style="position:absolute;left:2497;top:90;width:330;height:825" coordorigin="2498,90" coordsize="330,825" path="m2498,510l2513,435,2513,465,2528,450,2543,330,2558,300,2558,330,2573,225,2573,180,2603,120,2603,90,2618,225,2618,210,2633,420,2648,270,2663,240,2663,225,2678,150,2678,195,2708,375,2708,270,2723,345,2738,435,2738,480,2768,705,2768,720,2783,780,2783,795,2798,735,2813,915,2828,825,2828,705e" filled="false" stroked="true" strokeweight="1.5pt" strokecolor="#ff8000">
              <v:path arrowok="t"/>
              <v:stroke dashstyle="solid"/>
            </v:shape>
          </v:group>
        </w:pict>
      </w:r>
      <w:r>
        <w:rPr>
          <w:sz w:val="20"/>
        </w:rPr>
      </w:r>
    </w:p>
    <w:p>
      <w:pPr>
        <w:pStyle w:val="BodyText"/>
        <w:spacing w:before="3"/>
        <w:rPr>
          <w:sz w:val="15"/>
        </w:rPr>
      </w:pPr>
      <w:r>
        <w:rPr/>
        <w:br w:type="column"/>
      </w:r>
      <w:r>
        <w:rPr>
          <w:sz w:val="15"/>
        </w:rPr>
      </w:r>
    </w:p>
    <w:p>
      <w:pPr>
        <w:pStyle w:val="Heading2"/>
        <w:numPr>
          <w:ilvl w:val="0"/>
          <w:numId w:val="1"/>
        </w:numPr>
        <w:tabs>
          <w:tab w:pos="539" w:val="left" w:leader="none"/>
        </w:tabs>
        <w:spacing w:line="268" w:lineRule="auto" w:before="0" w:after="0"/>
        <w:ind w:left="538" w:right="218" w:hanging="331"/>
        <w:jc w:val="left"/>
        <w:rPr>
          <w:rFonts w:ascii="Wingdings" w:hAnsi="Wingdings" w:eastAsia="Wingdings"/>
        </w:rPr>
      </w:pPr>
      <w:r>
        <w:rPr/>
        <w:pict>
          <v:line style="position:absolute;mso-position-horizontal-relative:page;mso-position-vertical-relative:paragraph;z-index:15731200" from="65.625pt,-.530024pt" to="84.375pt,-.530024pt" stroked="true" strokeweight=".75pt" strokecolor="#a11d04">
            <v:stroke dashstyle="solid"/>
            <w10:wrap type="none"/>
          </v:line>
        </w:pict>
      </w:r>
      <w:r>
        <w:rPr/>
        <w:pict>
          <v:line style="position:absolute;mso-position-horizontal-relative:page;mso-position-vertical-relative:paragraph;z-index:-17170432" from="120.370003pt,-.530024pt" to="139.880003pt,-.530024pt" stroked="true" strokeweight=".75pt" strokecolor="#a6a6a6">
            <v:stroke dashstyle="solid"/>
            <w10:wrap type="none"/>
          </v:line>
        </w:pict>
      </w:r>
      <w:r>
        <w:rPr/>
        <w:pict>
          <v:line style="position:absolute;mso-position-horizontal-relative:page;mso-position-vertical-relative:paragraph;z-index:-17169920" from="175.5pt,-.150024pt" to="195pt,-.150024pt" stroked="true" strokeweight="1.5pt" strokecolor="#ff8000">
            <v:stroke dashstyle="solid"/>
            <w10:wrap type="none"/>
          </v:line>
        </w:pict>
      </w:r>
      <w:r>
        <w:rPr>
          <w:spacing w:val="-20"/>
        </w:rPr>
        <w:t>未来 </w:t>
      </w:r>
      <w:r>
        <w:rPr/>
        <w:t>Car-T</w:t>
      </w:r>
      <w:r>
        <w:rPr>
          <w:spacing w:val="-10"/>
        </w:rPr>
        <w:t> 行业将逐步淘汰不达标企业，逐步进入行业龙头确立时期</w:t>
      </w:r>
    </w:p>
    <w:p>
      <w:pPr>
        <w:pStyle w:val="BodyText"/>
        <w:spacing w:before="1"/>
        <w:rPr>
          <w:b/>
          <w:sz w:val="15"/>
        </w:rPr>
      </w:pPr>
    </w:p>
    <w:p>
      <w:pPr>
        <w:spacing w:line="319" w:lineRule="auto" w:before="1"/>
        <w:ind w:left="148" w:right="124" w:firstLine="0"/>
        <w:jc w:val="left"/>
        <w:rPr>
          <w:sz w:val="18"/>
        </w:rPr>
      </w:pPr>
      <w:r>
        <w:rPr>
          <w:spacing w:val="-9"/>
          <w:sz w:val="18"/>
        </w:rPr>
        <w:t>复兴凯特 </w:t>
      </w:r>
      <w:r>
        <w:rPr>
          <w:sz w:val="18"/>
        </w:rPr>
        <w:t>Car-T</w:t>
      </w:r>
      <w:r>
        <w:rPr>
          <w:spacing w:val="-7"/>
          <w:sz w:val="18"/>
        </w:rPr>
        <w:t> 报产获受理，相关监管政策逐步完善，行业正式进入龙头确立期。</w:t>
      </w:r>
      <w:r>
        <w:rPr>
          <w:spacing w:val="-10"/>
          <w:sz w:val="18"/>
        </w:rPr>
        <w:t>复星凯特的益基利仑赛注射液于 </w:t>
      </w:r>
      <w:r>
        <w:rPr>
          <w:sz w:val="18"/>
        </w:rPr>
        <w:t>2</w:t>
      </w:r>
      <w:r>
        <w:rPr>
          <w:spacing w:val="-31"/>
          <w:sz w:val="18"/>
        </w:rPr>
        <w:t> 月 </w:t>
      </w:r>
      <w:r>
        <w:rPr>
          <w:sz w:val="18"/>
        </w:rPr>
        <w:t>24</w:t>
      </w:r>
      <w:r>
        <w:rPr>
          <w:spacing w:val="-8"/>
          <w:sz w:val="18"/>
        </w:rPr>
        <w:t> 日获得国家药监局药品上市注册审评受理， </w:t>
      </w:r>
      <w:r>
        <w:rPr>
          <w:spacing w:val="-15"/>
          <w:sz w:val="18"/>
        </w:rPr>
        <w:t>喜得 </w:t>
      </w:r>
      <w:r>
        <w:rPr>
          <w:sz w:val="18"/>
        </w:rPr>
        <w:t>Car-T</w:t>
      </w:r>
      <w:r>
        <w:rPr>
          <w:spacing w:val="-10"/>
          <w:sz w:val="18"/>
        </w:rPr>
        <w:t> 报产头筹，</w:t>
      </w:r>
      <w:r>
        <w:rPr>
          <w:spacing w:val="-5"/>
          <w:sz w:val="18"/>
        </w:rPr>
        <w:t>Car-T</w:t>
      </w:r>
      <w:r>
        <w:rPr>
          <w:spacing w:val="-9"/>
          <w:sz w:val="18"/>
        </w:rPr>
        <w:t> 行业向产业化发展又迈出了一大步。考虑到药明巨诺、</w:t>
      </w:r>
    </w:p>
    <w:p>
      <w:pPr>
        <w:spacing w:line="123" w:lineRule="exact" w:before="10"/>
        <w:ind w:left="148" w:right="0" w:firstLine="0"/>
        <w:jc w:val="left"/>
        <w:rPr>
          <w:sz w:val="18"/>
        </w:rPr>
      </w:pPr>
      <w:r>
        <w:rPr>
          <w:sz w:val="18"/>
        </w:rPr>
        <w:t>复星凯特引进国外生产工艺和质量控制体系后到本次正式报产，我国监管机构对整</w:t>
      </w:r>
    </w:p>
    <w:p>
      <w:pPr>
        <w:spacing w:after="0" w:line="123" w:lineRule="exact"/>
        <w:jc w:val="left"/>
        <w:rPr>
          <w:sz w:val="18"/>
        </w:rPr>
        <w:sectPr>
          <w:type w:val="continuous"/>
          <w:pgSz w:w="11910" w:h="16850"/>
          <w:pgMar w:top="260" w:bottom="0" w:left="260" w:right="300"/>
          <w:cols w:num="3" w:equalWidth="0">
            <w:col w:w="1272" w:space="55"/>
            <w:col w:w="2952" w:space="224"/>
            <w:col w:w="6847"/>
          </w:cols>
        </w:sectPr>
      </w:pPr>
    </w:p>
    <w:p>
      <w:pPr>
        <w:tabs>
          <w:tab w:pos="2019" w:val="left" w:leader="none"/>
          <w:tab w:pos="2957" w:val="left" w:leader="none"/>
          <w:tab w:pos="3880" w:val="left" w:leader="none"/>
        </w:tabs>
        <w:spacing w:line="153" w:lineRule="exact" w:before="0"/>
        <w:ind w:left="1089" w:right="0" w:firstLine="0"/>
        <w:jc w:val="left"/>
        <w:rPr>
          <w:sz w:val="13"/>
        </w:rPr>
      </w:pPr>
      <w:r>
        <w:rPr>
          <w:w w:val="105"/>
          <w:sz w:val="13"/>
        </w:rPr>
        <w:t>2019-03</w:t>
        <w:tab/>
        <w:t>2019-07</w:t>
        <w:tab/>
        <w:t>2019-11</w:t>
        <w:tab/>
      </w:r>
      <w:r>
        <w:rPr>
          <w:spacing w:val="2"/>
          <w:w w:val="105"/>
          <w:sz w:val="13"/>
        </w:rPr>
        <w:t>2020-</w:t>
      </w:r>
    </w:p>
    <w:p>
      <w:pPr>
        <w:spacing w:line="341" w:lineRule="exact" w:before="13"/>
        <w:ind w:left="148" w:right="0" w:firstLine="0"/>
        <w:jc w:val="left"/>
        <w:rPr>
          <w:b/>
          <w:sz w:val="30"/>
        </w:rPr>
      </w:pPr>
      <w:r>
        <w:rPr>
          <w:b/>
          <w:color w:val="FFFFFF"/>
          <w:w w:val="99"/>
          <w:sz w:val="30"/>
        </w:rPr>
        <w:t>研</w:t>
      </w:r>
    </w:p>
    <w:p>
      <w:pPr>
        <w:tabs>
          <w:tab w:pos="911" w:val="left" w:leader="none"/>
        </w:tabs>
        <w:spacing w:line="301" w:lineRule="exact" w:before="0"/>
        <w:ind w:left="148" w:right="0" w:firstLine="0"/>
        <w:jc w:val="left"/>
        <w:rPr>
          <w:b/>
          <w:sz w:val="21"/>
        </w:rPr>
      </w:pPr>
      <w:r>
        <w:rPr>
          <w:b/>
          <w:color w:val="FFFFFF"/>
          <w:position w:val="-2"/>
          <w:sz w:val="30"/>
        </w:rPr>
        <w:t>究</w:t>
        <w:tab/>
      </w:r>
      <w:r>
        <w:rPr>
          <w:b/>
          <w:color w:val="FFFFFF"/>
          <w:spacing w:val="15"/>
          <w:sz w:val="21"/>
        </w:rPr>
        <w:t>联系信息</w:t>
      </w:r>
    </w:p>
    <w:p>
      <w:pPr>
        <w:tabs>
          <w:tab w:pos="911" w:val="left" w:leader="none"/>
          <w:tab w:pos="3314" w:val="left" w:leader="none"/>
        </w:tabs>
        <w:spacing w:line="295" w:lineRule="exact" w:before="0"/>
        <w:ind w:left="148" w:right="0" w:firstLine="0"/>
        <w:jc w:val="left"/>
        <w:rPr>
          <w:b/>
          <w:sz w:val="21"/>
        </w:rPr>
      </w:pPr>
      <w:r>
        <w:rPr>
          <w:b/>
          <w:color w:val="FFFFFF"/>
          <w:sz w:val="30"/>
        </w:rPr>
        <w:t>报</w:t>
        <w:tab/>
      </w:r>
      <w:r>
        <w:rPr>
          <w:b/>
          <w:spacing w:val="15"/>
          <w:sz w:val="21"/>
        </w:rPr>
        <w:t>张文</w:t>
      </w:r>
      <w:r>
        <w:rPr>
          <w:b/>
          <w:sz w:val="21"/>
        </w:rPr>
        <w:t>录</w:t>
        <w:tab/>
      </w:r>
      <w:r>
        <w:rPr>
          <w:b/>
          <w:spacing w:val="15"/>
          <w:sz w:val="21"/>
        </w:rPr>
        <w:t>分析师</w:t>
      </w:r>
    </w:p>
    <w:p>
      <w:pPr>
        <w:tabs>
          <w:tab w:pos="911" w:val="left" w:leader="none"/>
        </w:tabs>
        <w:spacing w:line="331" w:lineRule="exact" w:before="0"/>
        <w:ind w:left="148" w:right="0" w:firstLine="0"/>
        <w:jc w:val="left"/>
        <w:rPr>
          <w:sz w:val="16"/>
        </w:rPr>
      </w:pPr>
      <w:r>
        <w:rPr>
          <w:b/>
          <w:color w:val="FFFFFF"/>
          <w:w w:val="105"/>
          <w:sz w:val="30"/>
        </w:rPr>
        <w:t>告</w:t>
        <w:tab/>
      </w:r>
      <w:r>
        <w:rPr>
          <w:w w:val="105"/>
          <w:sz w:val="16"/>
        </w:rPr>
        <w:t>SAC</w:t>
      </w:r>
      <w:r>
        <w:rPr>
          <w:spacing w:val="-48"/>
          <w:w w:val="105"/>
          <w:sz w:val="16"/>
        </w:rPr>
        <w:t> </w:t>
      </w:r>
      <w:r>
        <w:rPr>
          <w:w w:val="105"/>
          <w:sz w:val="16"/>
        </w:rPr>
        <w:t>证书</w:t>
      </w:r>
      <w:r>
        <w:rPr>
          <w:spacing w:val="-16"/>
          <w:w w:val="105"/>
          <w:sz w:val="16"/>
        </w:rPr>
        <w:t>编</w:t>
      </w:r>
      <w:r>
        <w:rPr>
          <w:w w:val="105"/>
          <w:sz w:val="16"/>
        </w:rPr>
        <w:t>号</w:t>
      </w:r>
      <w:r>
        <w:rPr>
          <w:spacing w:val="-5"/>
          <w:w w:val="105"/>
          <w:sz w:val="16"/>
        </w:rPr>
        <w:t>：S0160517100001</w:t>
      </w:r>
    </w:p>
    <w:p>
      <w:pPr>
        <w:spacing w:line="201" w:lineRule="exact" w:before="0"/>
        <w:ind w:left="911" w:right="0" w:firstLine="0"/>
        <w:jc w:val="left"/>
        <w:rPr>
          <w:sz w:val="16"/>
        </w:rPr>
      </w:pPr>
      <w:hyperlink r:id="rId7">
        <w:r>
          <w:rPr>
            <w:w w:val="105"/>
            <w:sz w:val="16"/>
          </w:rPr>
          <w:t>zhangwenlu@ctsec.com</w:t>
        </w:r>
      </w:hyperlink>
    </w:p>
    <w:p>
      <w:pPr>
        <w:pStyle w:val="Heading2"/>
        <w:tabs>
          <w:tab w:pos="3314" w:val="left" w:leader="none"/>
        </w:tabs>
        <w:spacing w:before="16"/>
        <w:ind w:left="911"/>
      </w:pPr>
      <w:r>
        <w:rPr>
          <w:spacing w:val="15"/>
        </w:rPr>
        <w:t>华</w:t>
      </w:r>
      <w:r>
        <w:rPr/>
        <w:t>挺</w:t>
        <w:tab/>
      </w:r>
      <w:r>
        <w:rPr>
          <w:spacing w:val="15"/>
        </w:rPr>
        <w:t>联系人</w:t>
      </w:r>
    </w:p>
    <w:p>
      <w:pPr>
        <w:tabs>
          <w:tab w:pos="911" w:val="left" w:leader="none"/>
        </w:tabs>
        <w:spacing w:line="362" w:lineRule="exact" w:before="55"/>
        <w:ind w:left="116" w:right="0" w:firstLine="0"/>
        <w:jc w:val="left"/>
        <w:rPr>
          <w:sz w:val="16"/>
        </w:rPr>
      </w:pPr>
      <w:r>
        <w:rPr>
          <w:b/>
          <w:position w:val="-10"/>
          <w:sz w:val="31"/>
        </w:rPr>
        <w:t>行</w:t>
        <w:tab/>
      </w:r>
      <w:hyperlink r:id="rId8">
        <w:r>
          <w:rPr>
            <w:sz w:val="16"/>
          </w:rPr>
          <w:t>huating@ctsec.com</w:t>
        </w:r>
      </w:hyperlink>
    </w:p>
    <w:p>
      <w:pPr>
        <w:spacing w:line="328" w:lineRule="exact" w:before="0"/>
        <w:ind w:left="116" w:right="0" w:firstLine="0"/>
        <w:jc w:val="left"/>
        <w:rPr>
          <w:b/>
          <w:sz w:val="31"/>
        </w:rPr>
      </w:pPr>
      <w:r>
        <w:rPr/>
        <w:pict>
          <v:shape style="position:absolute;margin-left:53.325001pt;margin-top:5.42782pt;width:184pt;height:15.75pt;mso-position-horizontal-relative:page;mso-position-vertical-relative:paragraph;z-index:-17169408" type="#_x0000_t202" filled="true" fillcolor="#a11d04" stroked="false">
            <v:textbox inset="0,0,0,0">
              <w:txbxContent>
                <w:p>
                  <w:pPr>
                    <w:spacing w:before="15"/>
                    <w:ind w:left="105" w:right="0" w:firstLine="0"/>
                    <w:jc w:val="left"/>
                    <w:rPr>
                      <w:b/>
                      <w:sz w:val="21"/>
                    </w:rPr>
                  </w:pPr>
                  <w:r>
                    <w:rPr>
                      <w:b/>
                      <w:color w:val="FFFFFF"/>
                      <w:sz w:val="21"/>
                    </w:rPr>
                    <w:t>相关报告</w:t>
                  </w:r>
                </w:p>
              </w:txbxContent>
            </v:textbox>
            <v:fill type="solid"/>
            <w10:wrap type="none"/>
          </v:shape>
        </w:pict>
      </w:r>
      <w:r>
        <w:rPr>
          <w:b/>
          <w:w w:val="101"/>
          <w:sz w:val="31"/>
        </w:rPr>
        <w:t>业</w:t>
      </w:r>
    </w:p>
    <w:p>
      <w:pPr>
        <w:spacing w:line="194" w:lineRule="auto" w:before="31"/>
        <w:ind w:left="116" w:right="56" w:firstLine="0"/>
        <w:jc w:val="both"/>
        <w:rPr>
          <w:sz w:val="18"/>
        </w:rPr>
      </w:pPr>
      <w:r>
        <w:rPr>
          <w:b/>
          <w:spacing w:val="4"/>
          <w:position w:val="3"/>
          <w:sz w:val="31"/>
        </w:rPr>
        <w:t>专  </w:t>
      </w:r>
      <w:r>
        <w:rPr>
          <w:sz w:val="18"/>
        </w:rPr>
        <w:t>1</w:t>
      </w:r>
      <w:r>
        <w:rPr>
          <w:spacing w:val="-15"/>
          <w:sz w:val="18"/>
        </w:rPr>
        <w:t> 《 海外 疫 情爆 发， 关 注出 口抗 疫 企</w:t>
      </w:r>
      <w:r>
        <w:rPr>
          <w:b/>
          <w:spacing w:val="4"/>
          <w:sz w:val="31"/>
        </w:rPr>
        <w:t>题  </w:t>
      </w:r>
      <w:r>
        <w:rPr>
          <w:sz w:val="18"/>
        </w:rPr>
        <w:t>业:“ 药” 倾听市场的声音第一一二期》</w:t>
      </w:r>
      <w:r>
        <w:rPr>
          <w:b/>
          <w:spacing w:val="5"/>
          <w:sz w:val="31"/>
        </w:rPr>
        <w:t>报 </w:t>
      </w:r>
      <w:r>
        <w:rPr>
          <w:sz w:val="18"/>
        </w:rPr>
        <w:t>2020-03-17</w:t>
      </w:r>
    </w:p>
    <w:p>
      <w:pPr>
        <w:spacing w:line="330" w:lineRule="exact" w:before="0"/>
        <w:ind w:left="116" w:right="0" w:firstLine="0"/>
        <w:jc w:val="both"/>
        <w:rPr>
          <w:sz w:val="18"/>
        </w:rPr>
      </w:pPr>
      <w:r>
        <w:rPr>
          <w:b/>
          <w:sz w:val="31"/>
        </w:rPr>
        <w:t>告 </w:t>
      </w:r>
      <w:r>
        <w:rPr>
          <w:sz w:val="18"/>
        </w:rPr>
        <w:t>2 《全球疫情叠加原油暴跌，防疫加避险情</w:t>
      </w:r>
    </w:p>
    <w:p>
      <w:pPr>
        <w:spacing w:line="328" w:lineRule="auto" w:before="46"/>
        <w:ind w:left="911" w:right="17" w:firstLine="0"/>
        <w:jc w:val="left"/>
        <w:rPr>
          <w:sz w:val="18"/>
        </w:rPr>
      </w:pPr>
      <w:r>
        <w:rPr>
          <w:sz w:val="18"/>
        </w:rPr>
        <w:t>绪推高医药板块:“ 药” 倾听市场的声音第一百一十一期》 2020-03-10</w:t>
      </w:r>
    </w:p>
    <w:p>
      <w:pPr>
        <w:spacing w:line="214" w:lineRule="exact" w:before="0"/>
        <w:ind w:left="911" w:right="0" w:firstLine="0"/>
        <w:jc w:val="left"/>
        <w:rPr>
          <w:sz w:val="18"/>
        </w:rPr>
      </w:pPr>
      <w:r>
        <w:rPr>
          <w:sz w:val="18"/>
        </w:rPr>
        <w:t>3 《三月精选行业大趋势下的相对滞涨公</w:t>
      </w:r>
    </w:p>
    <w:p>
      <w:pPr>
        <w:spacing w:line="328" w:lineRule="auto" w:before="85"/>
        <w:ind w:left="911" w:right="58" w:firstLine="0"/>
        <w:jc w:val="left"/>
        <w:rPr>
          <w:sz w:val="18"/>
        </w:rPr>
      </w:pPr>
      <w:r>
        <w:rPr>
          <w:sz w:val="18"/>
        </w:rPr>
        <w:t>司:“ 药”倾听市场的声音第一百一十期》2020-03-03</w:t>
      </w:r>
    </w:p>
    <w:p>
      <w:pPr>
        <w:pStyle w:val="BodyText"/>
        <w:rPr>
          <w:sz w:val="18"/>
        </w:rPr>
      </w:pPr>
    </w:p>
    <w:p>
      <w:pPr>
        <w:pStyle w:val="BodyText"/>
      </w:pPr>
    </w:p>
    <w:p>
      <w:pPr>
        <w:spacing w:line="189" w:lineRule="auto" w:before="0"/>
        <w:ind w:left="163" w:right="3988" w:firstLine="0"/>
        <w:jc w:val="both"/>
        <w:rPr>
          <w:b/>
          <w:sz w:val="30"/>
        </w:rPr>
      </w:pPr>
      <w:r>
        <w:rPr>
          <w:b/>
          <w:color w:val="FFFFFF"/>
          <w:sz w:val="30"/>
        </w:rPr>
        <w:t>行业研究</w:t>
      </w:r>
    </w:p>
    <w:p>
      <w:pPr>
        <w:pStyle w:val="BodyText"/>
        <w:spacing w:before="11"/>
        <w:rPr>
          <w:b/>
          <w:sz w:val="30"/>
        </w:rPr>
      </w:pPr>
    </w:p>
    <w:p>
      <w:pPr>
        <w:spacing w:line="187" w:lineRule="auto" w:before="0"/>
        <w:ind w:left="163" w:right="3988" w:firstLine="0"/>
        <w:jc w:val="both"/>
        <w:rPr>
          <w:b/>
          <w:sz w:val="30"/>
        </w:rPr>
      </w:pPr>
      <w:r>
        <w:rPr>
          <w:b/>
          <w:color w:val="FFFFFF"/>
          <w:sz w:val="30"/>
        </w:rPr>
        <w:t>财通证券研究所</w:t>
      </w:r>
    </w:p>
    <w:p>
      <w:pPr>
        <w:pStyle w:val="BodyText"/>
        <w:rPr>
          <w:b/>
          <w:sz w:val="15"/>
        </w:rPr>
      </w:pPr>
      <w:r>
        <w:rPr/>
        <w:br w:type="column"/>
      </w:r>
      <w:r>
        <w:rPr>
          <w:b/>
          <w:sz w:val="15"/>
        </w:rPr>
      </w:r>
    </w:p>
    <w:p>
      <w:pPr>
        <w:spacing w:line="319" w:lineRule="auto" w:before="1"/>
        <w:ind w:left="116" w:right="209" w:firstLine="0"/>
        <w:jc w:val="both"/>
        <w:rPr>
          <w:sz w:val="18"/>
        </w:rPr>
      </w:pPr>
      <w:r>
        <w:rPr>
          <w:spacing w:val="-4"/>
          <w:sz w:val="18"/>
        </w:rPr>
        <w:t>个生产过程以及无菌性保证有了更充分的认识，近期发布的《</w:t>
      </w:r>
      <w:r>
        <w:rPr>
          <w:sz w:val="18"/>
        </w:rPr>
        <w:t>GMP</w:t>
      </w:r>
      <w:r>
        <w:rPr>
          <w:spacing w:val="-7"/>
          <w:sz w:val="18"/>
        </w:rPr>
        <w:t> 附录-细胞治疗产</w:t>
      </w:r>
      <w:r>
        <w:rPr>
          <w:spacing w:val="-16"/>
          <w:sz w:val="18"/>
        </w:rPr>
        <w:t>品》、《人用基因治疗制品总论-中国药典 </w:t>
      </w:r>
      <w:r>
        <w:rPr>
          <w:sz w:val="18"/>
        </w:rPr>
        <w:t>2020</w:t>
      </w:r>
      <w:r>
        <w:rPr>
          <w:spacing w:val="-5"/>
          <w:sz w:val="18"/>
        </w:rPr>
        <w:t>》直接提高了 </w:t>
      </w:r>
      <w:r>
        <w:rPr>
          <w:sz w:val="18"/>
        </w:rPr>
        <w:t>ATMP</w:t>
      </w:r>
      <w:r>
        <w:rPr>
          <w:spacing w:val="-7"/>
          <w:sz w:val="18"/>
        </w:rPr>
        <w:t> 行业门槛， 行业</w:t>
      </w:r>
      <w:r>
        <w:rPr>
          <w:sz w:val="18"/>
        </w:rPr>
        <w:t>中实力较弱公司将逐步出清。</w:t>
      </w:r>
    </w:p>
    <w:p>
      <w:pPr>
        <w:pStyle w:val="Heading2"/>
        <w:numPr>
          <w:ilvl w:val="0"/>
          <w:numId w:val="1"/>
        </w:numPr>
        <w:tabs>
          <w:tab w:pos="507" w:val="left" w:leader="none"/>
        </w:tabs>
        <w:spacing w:line="240" w:lineRule="auto" w:before="160" w:after="0"/>
        <w:ind w:left="506" w:right="0" w:hanging="331"/>
        <w:jc w:val="left"/>
        <w:rPr>
          <w:rFonts w:ascii="Wingdings" w:hAnsi="Wingdings" w:eastAsia="Wingdings"/>
        </w:rPr>
      </w:pPr>
      <w:r>
        <w:rPr>
          <w:spacing w:val="9"/>
        </w:rPr>
        <w:t>Car-T</w:t>
      </w:r>
      <w:r>
        <w:rPr>
          <w:spacing w:val="-6"/>
        </w:rPr>
        <w:t> 设计与研发不断升级，应用上掣肘正在逐步改善</w:t>
      </w:r>
    </w:p>
    <w:p>
      <w:pPr>
        <w:pStyle w:val="BodyText"/>
        <w:spacing w:before="7"/>
        <w:rPr>
          <w:b/>
          <w:sz w:val="16"/>
        </w:rPr>
      </w:pPr>
    </w:p>
    <w:p>
      <w:pPr>
        <w:spacing w:line="326" w:lineRule="auto" w:before="0"/>
        <w:ind w:left="176" w:right="139" w:firstLine="0"/>
        <w:jc w:val="left"/>
        <w:rPr>
          <w:sz w:val="18"/>
        </w:rPr>
      </w:pPr>
      <w:r>
        <w:rPr>
          <w:spacing w:val="-2"/>
          <w:sz w:val="18"/>
        </w:rPr>
        <w:t>随着技术进步，</w:t>
      </w:r>
      <w:r>
        <w:rPr>
          <w:spacing w:val="-10"/>
          <w:sz w:val="18"/>
        </w:rPr>
        <w:t>Car-T</w:t>
      </w:r>
      <w:r>
        <w:rPr>
          <w:spacing w:val="-12"/>
          <w:sz w:val="18"/>
        </w:rPr>
        <w:t> 在适应症有限、不良反应大等方面的问题均有了一定的改善。</w:t>
      </w:r>
      <w:r>
        <w:rPr>
          <w:sz w:val="18"/>
        </w:rPr>
        <w:t>Car-T</w:t>
      </w:r>
      <w:r>
        <w:rPr>
          <w:spacing w:val="-7"/>
          <w:sz w:val="18"/>
        </w:rPr>
        <w:t> 产品技术不断革新，围绕着扩展应用范围、减少副作用、实体瘤治疗应用等方面已经发展到了第五代。目前，Car-T 产品在血液瘤领域不断扩大靶点，有望从</w:t>
      </w:r>
      <w:r>
        <w:rPr>
          <w:spacing w:val="-10"/>
          <w:sz w:val="18"/>
        </w:rPr>
        <w:t>目前有限的适应症扩展到面向更多患者的适应症，并实现治疗方案升线；实体瘤领</w:t>
      </w:r>
      <w:r>
        <w:rPr>
          <w:spacing w:val="-19"/>
          <w:sz w:val="18"/>
        </w:rPr>
        <w:t>域虽然 </w:t>
      </w:r>
      <w:r>
        <w:rPr>
          <w:sz w:val="18"/>
        </w:rPr>
        <w:t>Car-T</w:t>
      </w:r>
      <w:r>
        <w:rPr>
          <w:spacing w:val="-11"/>
          <w:sz w:val="18"/>
        </w:rPr>
        <w:t> 还未取得突破性进展，但最新研究及临床试验令人对实体瘤及术后循</w:t>
      </w:r>
      <w:r>
        <w:rPr>
          <w:spacing w:val="-15"/>
          <w:sz w:val="18"/>
        </w:rPr>
        <w:t>环治疗领域充满期待。在临床上，随着产品使用经验的增加及产品设计改善，</w:t>
      </w:r>
      <w:r>
        <w:rPr>
          <w:spacing w:val="-7"/>
          <w:sz w:val="18"/>
        </w:rPr>
        <w:t>Car-T </w:t>
      </w:r>
      <w:r>
        <w:rPr>
          <w:sz w:val="18"/>
        </w:rPr>
        <w:t>正变得越来越安全可靠。</w:t>
      </w:r>
    </w:p>
    <w:p>
      <w:pPr>
        <w:pStyle w:val="Heading2"/>
        <w:numPr>
          <w:ilvl w:val="0"/>
          <w:numId w:val="1"/>
        </w:numPr>
        <w:tabs>
          <w:tab w:pos="507" w:val="left" w:leader="none"/>
        </w:tabs>
        <w:spacing w:line="240" w:lineRule="auto" w:before="131" w:after="0"/>
        <w:ind w:left="506" w:right="0" w:hanging="331"/>
        <w:jc w:val="left"/>
        <w:rPr>
          <w:rFonts w:ascii="Wingdings" w:hAnsi="Wingdings" w:eastAsia="Wingdings"/>
        </w:rPr>
      </w:pPr>
      <w:r>
        <w:rPr/>
        <w:t>商业化挑战与机遇并存，生产壁垒助力龙头提升份额</w:t>
      </w:r>
    </w:p>
    <w:p>
      <w:pPr>
        <w:pStyle w:val="BodyText"/>
        <w:spacing w:before="9"/>
        <w:rPr>
          <w:b/>
          <w:sz w:val="17"/>
        </w:rPr>
      </w:pPr>
    </w:p>
    <w:p>
      <w:pPr>
        <w:spacing w:line="324" w:lineRule="auto" w:before="0"/>
        <w:ind w:left="116" w:right="212" w:firstLine="0"/>
        <w:jc w:val="both"/>
        <w:rPr>
          <w:sz w:val="18"/>
        </w:rPr>
      </w:pPr>
      <w:r>
        <w:rPr>
          <w:spacing w:val="-15"/>
          <w:sz w:val="18"/>
        </w:rPr>
        <w:t>针对 </w:t>
      </w:r>
      <w:r>
        <w:rPr>
          <w:sz w:val="18"/>
        </w:rPr>
        <w:t>Car-T</w:t>
      </w:r>
      <w:r>
        <w:rPr>
          <w:spacing w:val="-8"/>
          <w:sz w:val="18"/>
        </w:rPr>
        <w:t> 产品目前商业化前景不明朗的问题，我们经分析认为主要受到以下因素限制：1）</w:t>
      </w:r>
      <w:r>
        <w:rPr>
          <w:spacing w:val="-2"/>
          <w:sz w:val="18"/>
        </w:rPr>
        <w:t>有资质开展治疗医院数量；</w:t>
      </w:r>
      <w:r>
        <w:rPr>
          <w:sz w:val="18"/>
        </w:rPr>
        <w:t>2）美国医保政策影响医院积极性；</w:t>
      </w:r>
      <w:r>
        <w:rPr>
          <w:spacing w:val="5"/>
          <w:sz w:val="18"/>
        </w:rPr>
        <w:t>3）</w:t>
      </w:r>
      <w:r>
        <w:rPr>
          <w:sz w:val="18"/>
        </w:rPr>
        <w:t>有较</w:t>
      </w:r>
      <w:r>
        <w:rPr>
          <w:spacing w:val="-3"/>
          <w:sz w:val="18"/>
        </w:rPr>
        <w:t>多零床试验影响商业化产品销售。我们认为中国的医疗体制更适合 </w:t>
      </w:r>
      <w:r>
        <w:rPr>
          <w:sz w:val="18"/>
        </w:rPr>
        <w:t>Car-T</w:t>
      </w:r>
      <w:r>
        <w:rPr>
          <w:spacing w:val="-10"/>
          <w:sz w:val="18"/>
        </w:rPr>
        <w:t> 类产品治</w:t>
      </w:r>
      <w:r>
        <w:rPr>
          <w:spacing w:val="-14"/>
          <w:sz w:val="18"/>
        </w:rPr>
        <w:t>疗模式，若今后通用型 </w:t>
      </w:r>
      <w:r>
        <w:rPr>
          <w:sz w:val="18"/>
        </w:rPr>
        <w:t>UniCar</w:t>
      </w:r>
      <w:r>
        <w:rPr>
          <w:spacing w:val="-5"/>
          <w:sz w:val="18"/>
        </w:rPr>
        <w:t>、国产替代、更多 </w:t>
      </w:r>
      <w:r>
        <w:rPr>
          <w:spacing w:val="3"/>
          <w:sz w:val="18"/>
        </w:rPr>
        <w:t>CDMO</w:t>
      </w:r>
      <w:r>
        <w:rPr>
          <w:spacing w:val="-11"/>
          <w:sz w:val="18"/>
        </w:rPr>
        <w:t> 加入等因素能助力 </w:t>
      </w:r>
      <w:r>
        <w:rPr>
          <w:spacing w:val="3"/>
          <w:sz w:val="18"/>
        </w:rPr>
        <w:t>Car-T</w:t>
      </w:r>
      <w:r>
        <w:rPr>
          <w:spacing w:val="-23"/>
          <w:sz w:val="18"/>
        </w:rPr>
        <w:t> 成本下降，使产品医保可承受，Car-T</w:t>
      </w:r>
      <w:r>
        <w:rPr>
          <w:spacing w:val="-4"/>
          <w:sz w:val="18"/>
        </w:rPr>
        <w:t> 产品有望单血液瘤领域通过增加适应症，在中</w:t>
      </w:r>
      <w:r>
        <w:rPr>
          <w:spacing w:val="-10"/>
          <w:sz w:val="18"/>
        </w:rPr>
        <w:t>国每年创造近 </w:t>
      </w:r>
      <w:r>
        <w:rPr>
          <w:sz w:val="18"/>
        </w:rPr>
        <w:t>270</w:t>
      </w:r>
      <w:r>
        <w:rPr>
          <w:spacing w:val="-11"/>
          <w:sz w:val="18"/>
        </w:rPr>
        <w:t> 亿市场。同时，由于 </w:t>
      </w:r>
      <w:r>
        <w:rPr>
          <w:sz w:val="18"/>
        </w:rPr>
        <w:t>Car-T</w:t>
      </w:r>
      <w:r>
        <w:rPr>
          <w:spacing w:val="-8"/>
          <w:sz w:val="18"/>
        </w:rPr>
        <w:t> 产品生产壁垒高、需要企业有上下游</w:t>
      </w:r>
      <w:r>
        <w:rPr>
          <w:sz w:val="18"/>
        </w:rPr>
        <w:t>综合整合能力，将有利龙头企业形成规模优势。</w:t>
      </w:r>
    </w:p>
    <w:p>
      <w:pPr>
        <w:pStyle w:val="Heading2"/>
        <w:numPr>
          <w:ilvl w:val="0"/>
          <w:numId w:val="1"/>
        </w:numPr>
        <w:tabs>
          <w:tab w:pos="507" w:val="left" w:leader="none"/>
        </w:tabs>
        <w:spacing w:line="240" w:lineRule="auto" w:before="148" w:after="0"/>
        <w:ind w:left="506" w:right="0" w:hanging="331"/>
        <w:jc w:val="left"/>
        <w:rPr>
          <w:rFonts w:ascii="Wingdings" w:hAnsi="Wingdings" w:eastAsia="Wingdings"/>
          <w:sz w:val="18"/>
        </w:rPr>
      </w:pPr>
      <w:r>
        <w:rPr>
          <w:spacing w:val="8"/>
        </w:rPr>
        <w:t>投资建议：</w:t>
      </w:r>
    </w:p>
    <w:p>
      <w:pPr>
        <w:pStyle w:val="BodyText"/>
        <w:spacing w:before="6"/>
        <w:rPr>
          <w:b/>
          <w:sz w:val="16"/>
        </w:rPr>
      </w:pPr>
    </w:p>
    <w:p>
      <w:pPr>
        <w:spacing w:line="324" w:lineRule="auto" w:before="0"/>
        <w:ind w:left="146" w:right="107" w:firstLine="0"/>
        <w:jc w:val="left"/>
        <w:rPr>
          <w:b/>
          <w:sz w:val="18"/>
        </w:rPr>
      </w:pPr>
      <w:r>
        <w:rPr>
          <w:sz w:val="18"/>
        </w:rPr>
        <w:t>Car-T</w:t>
      </w:r>
      <w:r>
        <w:rPr>
          <w:spacing w:val="-7"/>
          <w:sz w:val="18"/>
        </w:rPr>
        <w:t> 作为细胞治疗领域跨世代的产品，治疗优势明显，且随着临床使用的推广及</w:t>
      </w:r>
      <w:r>
        <w:rPr>
          <w:spacing w:val="-9"/>
          <w:sz w:val="18"/>
        </w:rPr>
        <w:t>在新靶点、实体瘤领域的不断研究，其治疗劣势将被逐步改善。</w:t>
      </w:r>
      <w:r>
        <w:rPr>
          <w:b/>
          <w:sz w:val="18"/>
        </w:rPr>
        <w:t>若后续随着产业化成本下降，医保支付不断发力，Car-T</w:t>
      </w:r>
      <w:r>
        <w:rPr>
          <w:b/>
          <w:spacing w:val="-6"/>
          <w:sz w:val="18"/>
        </w:rPr>
        <w:t> 行业将大有可为，看好产业长期发展，给予</w:t>
      </w:r>
      <w:r>
        <w:rPr>
          <w:b/>
          <w:spacing w:val="-7"/>
          <w:sz w:val="18"/>
        </w:rPr>
        <w:t>行业“增持”评级。</w:t>
      </w:r>
      <w:r>
        <w:rPr>
          <w:spacing w:val="-12"/>
          <w:sz w:val="18"/>
        </w:rPr>
        <w:t>同时，我们认为 </w:t>
      </w:r>
      <w:r>
        <w:rPr>
          <w:sz w:val="18"/>
        </w:rPr>
        <w:t>Car-T</w:t>
      </w:r>
      <w:r>
        <w:rPr>
          <w:spacing w:val="-10"/>
          <w:sz w:val="18"/>
        </w:rPr>
        <w:t> 产业将逐步进入“激浊扬清、吐故纳新， </w:t>
      </w:r>
      <w:r>
        <w:rPr>
          <w:spacing w:val="-2"/>
          <w:sz w:val="18"/>
        </w:rPr>
        <w:t>淘汰低效产能”的阶段，行业龙头将逐步确立。长期看好 </w:t>
      </w:r>
      <w:r>
        <w:rPr>
          <w:sz w:val="18"/>
        </w:rPr>
        <w:t>Car-T</w:t>
      </w:r>
      <w:r>
        <w:rPr>
          <w:spacing w:val="-24"/>
          <w:sz w:val="18"/>
        </w:rPr>
        <w:t> 领域 </w:t>
      </w:r>
      <w:r>
        <w:rPr>
          <w:sz w:val="18"/>
        </w:rPr>
        <w:t>1）在研发端</w:t>
      </w:r>
      <w:r>
        <w:rPr>
          <w:spacing w:val="-4"/>
          <w:sz w:val="18"/>
        </w:rPr>
        <w:t>具有技术、研发优势能快速转化为申报批件的企业； </w:t>
      </w:r>
      <w:r>
        <w:rPr>
          <w:sz w:val="18"/>
        </w:rPr>
        <w:t>2）能够对商业化产品快速产</w:t>
      </w:r>
      <w:r>
        <w:rPr>
          <w:spacing w:val="-5"/>
          <w:sz w:val="18"/>
        </w:rPr>
        <w:t>业化，显著降低成本的企业。</w:t>
      </w:r>
      <w:r>
        <w:rPr>
          <w:b/>
          <w:spacing w:val="-2"/>
          <w:sz w:val="18"/>
        </w:rPr>
        <w:t>推荐上市公司复星医药、安科生物、佐力药业</w:t>
      </w:r>
      <w:r>
        <w:rPr>
          <w:b/>
          <w:sz w:val="18"/>
        </w:rPr>
        <w:t>（科济</w:t>
      </w:r>
      <w:r>
        <w:rPr>
          <w:b/>
          <w:spacing w:val="15"/>
          <w:w w:val="99"/>
          <w:sz w:val="18"/>
        </w:rPr>
        <w:t>生物</w:t>
      </w:r>
      <w:r>
        <w:rPr>
          <w:b/>
          <w:spacing w:val="-76"/>
          <w:w w:val="99"/>
          <w:sz w:val="18"/>
        </w:rPr>
        <w:t>）</w:t>
      </w:r>
      <w:r>
        <w:rPr>
          <w:b/>
          <w:w w:val="99"/>
          <w:sz w:val="18"/>
        </w:rPr>
        <w:t>，建议关注未上市公司斯丹赛、华道生物。</w:t>
      </w:r>
    </w:p>
    <w:p>
      <w:pPr>
        <w:pStyle w:val="ListParagraph"/>
        <w:numPr>
          <w:ilvl w:val="0"/>
          <w:numId w:val="1"/>
        </w:numPr>
        <w:tabs>
          <w:tab w:pos="507" w:val="left" w:leader="none"/>
        </w:tabs>
        <w:spacing w:line="295" w:lineRule="auto" w:before="152" w:after="0"/>
        <w:ind w:left="506" w:right="216" w:hanging="331"/>
        <w:jc w:val="left"/>
        <w:rPr>
          <w:rFonts w:ascii="Wingdings" w:hAnsi="Wingdings" w:eastAsia="Wingdings"/>
          <w:sz w:val="18"/>
        </w:rPr>
      </w:pPr>
      <w:r>
        <w:rPr>
          <w:b/>
          <w:sz w:val="21"/>
        </w:rPr>
        <w:t>风险提示：</w:t>
      </w:r>
      <w:r>
        <w:rPr>
          <w:spacing w:val="-1"/>
          <w:sz w:val="18"/>
        </w:rPr>
        <w:t>研发不及预期、竞争品冲击、成本下降不及预期、医保和商业化</w:t>
      </w:r>
      <w:r>
        <w:rPr>
          <w:sz w:val="18"/>
        </w:rPr>
        <w:t>进程不及预期</w:t>
      </w:r>
    </w:p>
    <w:p>
      <w:pPr>
        <w:spacing w:after="0" w:line="295" w:lineRule="auto"/>
        <w:jc w:val="left"/>
        <w:rPr>
          <w:rFonts w:ascii="Wingdings" w:hAnsi="Wingdings" w:eastAsia="Wingdings"/>
          <w:sz w:val="18"/>
        </w:rPr>
        <w:sectPr>
          <w:type w:val="continuous"/>
          <w:pgSz w:w="11910" w:h="16850"/>
          <w:pgMar w:top="260" w:bottom="0" w:left="260" w:right="300"/>
          <w:cols w:num="2" w:equalWidth="0">
            <w:col w:w="4455" w:space="80"/>
            <w:col w:w="6815"/>
          </w:cols>
        </w:sectPr>
      </w:pPr>
    </w:p>
    <w:p>
      <w:pPr>
        <w:pStyle w:val="BodyText"/>
        <w:rPr>
          <w:sz w:val="20"/>
        </w:rPr>
      </w:pPr>
      <w:r>
        <w:rPr/>
        <w:pict>
          <v:group style="position:absolute;margin-left:9.65pt;margin-top:0pt;width:560.3pt;height:841.9pt;mso-position-horizontal-relative:page;mso-position-vertical-relative:page;z-index:-17171968" coordorigin="193,0" coordsize="11206,16838">
            <v:shape style="position:absolute;left:205;top:6912;width:783;height:2584" coordorigin="205,6912" coordsize="783,2584" path="m988,6912l205,6912,205,9435,205,9496,988,9496,988,9435,988,6912xe" filled="true" fillcolor="#a6a6a6" stroked="false">
              <v:path arrowok="t"/>
              <v:fill type="solid"/>
            </v:shape>
            <v:rect style="position:absolute;left:193;top:9435;width:785;height:7403" filled="true" fillcolor="#a11d04" stroked="false">
              <v:fill type="solid"/>
            </v:rect>
            <v:rect style="position:absolute;left:1021;top:2642;width:3680;height:315" filled="true" fillcolor="#a11d04" stroked="false">
              <v:fill type="solid"/>
            </v:rect>
            <v:rect style="position:absolute;left:202;top:0;width:783;height:6919" filled="true" fillcolor="#a11d04" stroked="false">
              <v:fill type="solid"/>
            </v:rect>
            <v:line style="position:absolute" from="1230,16212" to="11399,16212" stroked="true" strokeweight="1.25pt" strokecolor="#fac504">
              <v:stroke dashstyle="solid"/>
            </v:line>
            <v:rect style="position:absolute;left:1066;top:5645;width:3680;height:316" filled="true" fillcolor="#a11d04" stroked="false">
              <v:fill type="solid"/>
            </v:rect>
            <w10:wrap type="none"/>
          </v:group>
        </w:pict>
      </w:r>
    </w:p>
    <w:p>
      <w:pPr>
        <w:pStyle w:val="BodyText"/>
        <w:spacing w:before="3"/>
        <w:rPr>
          <w:sz w:val="15"/>
        </w:rPr>
      </w:pPr>
    </w:p>
    <w:p>
      <w:pPr>
        <w:tabs>
          <w:tab w:pos="9306" w:val="left" w:leader="none"/>
        </w:tabs>
        <w:spacing w:before="75"/>
        <w:ind w:left="941" w:right="0" w:firstLine="0"/>
        <w:jc w:val="left"/>
        <w:rPr>
          <w:b/>
          <w:sz w:val="18"/>
        </w:rPr>
      </w:pPr>
      <w:r>
        <w:rPr>
          <w:b/>
          <w:spacing w:val="15"/>
          <w:sz w:val="18"/>
        </w:rPr>
        <w:t>请阅</w:t>
      </w:r>
      <w:r>
        <w:rPr>
          <w:b/>
          <w:spacing w:val="14"/>
          <w:sz w:val="18"/>
        </w:rPr>
        <w:t>读</w:t>
      </w:r>
      <w:r>
        <w:rPr>
          <w:b/>
          <w:sz w:val="18"/>
        </w:rPr>
        <w:t>最后一页的重</w:t>
      </w:r>
      <w:r>
        <w:rPr>
          <w:b/>
          <w:spacing w:val="15"/>
          <w:sz w:val="18"/>
        </w:rPr>
        <w:t>要</w:t>
      </w:r>
      <w:r>
        <w:rPr>
          <w:b/>
          <w:sz w:val="18"/>
        </w:rPr>
        <w:t>声明</w:t>
        <w:tab/>
      </w:r>
      <w:r>
        <w:rPr>
          <w:b/>
          <w:spacing w:val="15"/>
          <w:sz w:val="18"/>
        </w:rPr>
        <w:t>以才聚</w:t>
      </w:r>
      <w:r>
        <w:rPr>
          <w:b/>
          <w:sz w:val="18"/>
        </w:rPr>
        <w:t>财，财通天下</w:t>
      </w:r>
    </w:p>
    <w:p>
      <w:pPr>
        <w:spacing w:after="0"/>
        <w:jc w:val="left"/>
        <w:rPr>
          <w:sz w:val="18"/>
        </w:rPr>
        <w:sectPr>
          <w:type w:val="continuous"/>
          <w:pgSz w:w="11910" w:h="16850"/>
          <w:pgMar w:top="260" w:bottom="0" w:left="260" w:right="300"/>
        </w:sectPr>
      </w:pPr>
    </w:p>
    <w:p>
      <w:pPr>
        <w:pStyle w:val="BodyText"/>
        <w:spacing w:before="1"/>
        <w:rPr>
          <w:b/>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rPr>
          <w:b/>
          <w:sz w:val="20"/>
        </w:rPr>
      </w:pPr>
    </w:p>
    <w:p>
      <w:pPr>
        <w:pStyle w:val="BodyText"/>
        <w:rPr>
          <w:b/>
          <w:sz w:val="20"/>
        </w:rPr>
      </w:pPr>
    </w:p>
    <w:p>
      <w:pPr>
        <w:pStyle w:val="BodyText"/>
        <w:spacing w:before="7"/>
        <w:rPr>
          <w:b/>
          <w:sz w:val="17"/>
        </w:rPr>
      </w:pPr>
    </w:p>
    <w:p>
      <w:pPr>
        <w:spacing w:before="58"/>
        <w:ind w:left="3164" w:right="0" w:firstLine="0"/>
        <w:jc w:val="left"/>
        <w:rPr>
          <w:b/>
          <w:sz w:val="30"/>
        </w:rPr>
      </w:pPr>
      <w:r>
        <w:rPr>
          <w:b/>
          <w:color w:val="C00000"/>
          <w:sz w:val="30"/>
        </w:rPr>
        <w:t>内容目录</w:t>
      </w:r>
    </w:p>
    <w:p>
      <w:pPr>
        <w:spacing w:after="0"/>
        <w:jc w:val="left"/>
        <w:rPr>
          <w:sz w:val="30"/>
        </w:rPr>
        <w:sectPr>
          <w:headerReference w:type="default" r:id="rId9"/>
          <w:footerReference w:type="default" r:id="rId10"/>
          <w:pgSz w:w="11910" w:h="16850"/>
          <w:pgMar w:header="796" w:footer="1296" w:top="1340" w:bottom="1857" w:left="260" w:right="300"/>
          <w:pgNumType w:start="2"/>
        </w:sectPr>
      </w:pPr>
    </w:p>
    <w:sdt>
      <w:sdtPr>
        <w:docPartObj>
          <w:docPartGallery w:val="Table of Contents"/>
          <w:docPartUnique/>
        </w:docPartObj>
      </w:sdtPr>
      <w:sdtEndPr/>
      <w:sdtContent>
        <w:p>
          <w:pPr>
            <w:pStyle w:val="TOC2"/>
            <w:tabs>
              <w:tab w:pos="10192" w:val="left" w:leader="dot"/>
            </w:tabs>
            <w:spacing w:before="21"/>
          </w:pPr>
          <w:hyperlink w:history="true" w:anchor="_TOC_250023">
            <w:r>
              <w:rPr>
                <w:spacing w:val="15"/>
              </w:rPr>
              <w:t>1</w:t>
            </w:r>
            <w:r>
              <w:rPr/>
              <w:t>、</w:t>
            </w:r>
            <w:r>
              <w:rPr>
                <w:spacing w:val="-22"/>
              </w:rPr>
              <w:t> </w:t>
            </w:r>
            <w:r>
              <w:rPr>
                <w:spacing w:val="10"/>
              </w:rPr>
              <w:t>Car-T，</w:t>
            </w:r>
            <w:r>
              <w:rPr/>
              <w:t>肿瘤治疗的下一代疗法</w:t>
            </w:r>
            <w:r>
              <w:rPr>
                <w:rFonts w:ascii="Times New Roman" w:eastAsia="Times New Roman"/>
              </w:rPr>
              <w:tab/>
            </w:r>
            <w:r>
              <w:rPr/>
              <w:t>5</w:t>
            </w:r>
          </w:hyperlink>
        </w:p>
        <w:p>
          <w:pPr>
            <w:pStyle w:val="TOC2"/>
            <w:tabs>
              <w:tab w:pos="10192" w:val="left" w:leader="dot"/>
            </w:tabs>
            <w:spacing w:before="2"/>
          </w:pPr>
          <w:hyperlink w:history="true" w:anchor="_TOC_250022">
            <w:r>
              <w:rPr>
                <w:spacing w:val="15"/>
              </w:rPr>
              <w:t>2</w:t>
            </w:r>
            <w:r>
              <w:rPr/>
              <w:t>、</w:t>
            </w:r>
            <w:r>
              <w:rPr>
                <w:spacing w:val="-22"/>
              </w:rPr>
              <w:t> </w:t>
            </w:r>
            <w:r>
              <w:rPr>
                <w:spacing w:val="15"/>
              </w:rPr>
              <w:t>而今已</w:t>
            </w:r>
            <w:r>
              <w:rPr/>
              <w:t>过而</w:t>
            </w:r>
            <w:r>
              <w:rPr>
                <w:spacing w:val="15"/>
              </w:rPr>
              <w:t>立</w:t>
            </w:r>
            <w:r>
              <w:rPr/>
              <w:t>岁，Car-T</w:t>
            </w:r>
            <w:r>
              <w:rPr>
                <w:spacing w:val="-64"/>
              </w:rPr>
              <w:t> </w:t>
            </w:r>
            <w:r>
              <w:rPr>
                <w:spacing w:val="15"/>
              </w:rPr>
              <w:t>发</w:t>
            </w:r>
            <w:r>
              <w:rPr/>
              <w:t>展历程</w:t>
            </w:r>
            <w:r>
              <w:rPr>
                <w:rFonts w:ascii="Times New Roman" w:eastAsia="Times New Roman"/>
              </w:rPr>
              <w:tab/>
            </w:r>
            <w:r>
              <w:rPr/>
              <w:t>8</w:t>
            </w:r>
          </w:hyperlink>
        </w:p>
        <w:p>
          <w:pPr>
            <w:pStyle w:val="TOC4"/>
            <w:numPr>
              <w:ilvl w:val="1"/>
              <w:numId w:val="2"/>
            </w:numPr>
            <w:tabs>
              <w:tab w:pos="3945" w:val="left" w:leader="none"/>
              <w:tab w:pos="10192" w:val="left" w:leader="dot"/>
            </w:tabs>
            <w:spacing w:line="240" w:lineRule="auto" w:before="15" w:after="0"/>
            <w:ind w:left="3945" w:right="0" w:hanging="421"/>
            <w:jc w:val="left"/>
          </w:pPr>
          <w:hyperlink w:history="true" w:anchor="_TOC_250021">
            <w:r>
              <w:rPr/>
              <w:t>从第一到第三代</w:t>
            </w:r>
            <w:r>
              <w:rPr>
                <w:spacing w:val="-46"/>
              </w:rPr>
              <w:t> </w:t>
            </w:r>
            <w:r>
              <w:rPr/>
              <w:t>CAR</w:t>
              <w:tab/>
              <w:t>9</w:t>
            </w:r>
          </w:hyperlink>
        </w:p>
        <w:p>
          <w:pPr>
            <w:pStyle w:val="TOC4"/>
            <w:numPr>
              <w:ilvl w:val="1"/>
              <w:numId w:val="2"/>
            </w:numPr>
            <w:tabs>
              <w:tab w:pos="3945" w:val="left" w:leader="none"/>
              <w:tab w:pos="10192" w:val="left" w:leader="dot"/>
            </w:tabs>
            <w:spacing w:line="240" w:lineRule="auto" w:before="2" w:after="0"/>
            <w:ind w:left="3945" w:right="0" w:hanging="421"/>
            <w:jc w:val="left"/>
          </w:pPr>
          <w:hyperlink w:history="true" w:anchor="_TOC_250020">
            <w:r>
              <w:rPr/>
              <w:t>第四代</w:t>
            </w:r>
            <w:r>
              <w:rPr>
                <w:spacing w:val="-45"/>
              </w:rPr>
              <w:t> </w:t>
            </w:r>
            <w:r>
              <w:rPr/>
              <w:t>CAR</w:t>
            </w:r>
            <w:r>
              <w:rPr>
                <w:spacing w:val="-45"/>
              </w:rPr>
              <w:t> </w:t>
            </w:r>
            <w:r>
              <w:rPr/>
              <w:t>与新颖的第五代</w:t>
            </w:r>
            <w:r>
              <w:rPr>
                <w:spacing w:val="-47"/>
              </w:rPr>
              <w:t> </w:t>
            </w:r>
            <w:r>
              <w:rPr/>
              <w:t>CAR</w:t>
              <w:tab/>
              <w:t>11</w:t>
            </w:r>
          </w:hyperlink>
        </w:p>
        <w:p>
          <w:pPr>
            <w:pStyle w:val="TOC2"/>
            <w:tabs>
              <w:tab w:pos="10192" w:val="left" w:leader="dot"/>
            </w:tabs>
          </w:pPr>
          <w:hyperlink w:history="true" w:anchor="_TOC_250019">
            <w:r>
              <w:rPr>
                <w:spacing w:val="15"/>
              </w:rPr>
              <w:t>3</w:t>
            </w:r>
            <w:r>
              <w:rPr/>
              <w:t>、</w:t>
            </w:r>
            <w:r>
              <w:rPr>
                <w:spacing w:val="-24"/>
              </w:rPr>
              <w:t> </w:t>
            </w:r>
            <w:r>
              <w:rPr>
                <w:spacing w:val="15"/>
              </w:rPr>
              <w:t>雄关漫</w:t>
            </w:r>
            <w:r>
              <w:rPr/>
              <w:t>道真</w:t>
            </w:r>
            <w:r>
              <w:rPr>
                <w:spacing w:val="15"/>
              </w:rPr>
              <w:t>如</w:t>
            </w:r>
            <w:r>
              <w:rPr/>
              <w:t>铁，Car-T</w:t>
            </w:r>
            <w:r>
              <w:rPr>
                <w:spacing w:val="-64"/>
              </w:rPr>
              <w:t> </w:t>
            </w:r>
            <w:r>
              <w:rPr>
                <w:spacing w:val="15"/>
              </w:rPr>
              <w:t>在</w:t>
            </w:r>
            <w:r>
              <w:rPr/>
              <w:t>适应症拓展方面的进展</w:t>
            </w:r>
            <w:r>
              <w:rPr>
                <w:rFonts w:ascii="Times New Roman" w:eastAsia="Times New Roman"/>
              </w:rPr>
              <w:tab/>
            </w:r>
            <w:r>
              <w:rPr>
                <w:spacing w:val="15"/>
              </w:rPr>
              <w:t>12</w:t>
            </w:r>
          </w:hyperlink>
        </w:p>
        <w:p>
          <w:pPr>
            <w:pStyle w:val="TOC4"/>
            <w:numPr>
              <w:ilvl w:val="1"/>
              <w:numId w:val="3"/>
            </w:numPr>
            <w:tabs>
              <w:tab w:pos="3945" w:val="left" w:leader="none"/>
              <w:tab w:pos="10192" w:val="left" w:leader="dot"/>
            </w:tabs>
            <w:spacing w:line="240" w:lineRule="auto" w:before="1" w:after="0"/>
            <w:ind w:left="3945" w:right="0" w:hanging="421"/>
            <w:jc w:val="left"/>
          </w:pPr>
          <w:hyperlink w:history="true" w:anchor="_TOC_250018">
            <w:r>
              <w:rPr/>
              <w:t>CD19</w:t>
            </w:r>
            <w:r>
              <w:rPr>
                <w:spacing w:val="-44"/>
              </w:rPr>
              <w:t> </w:t>
            </w:r>
            <w:r>
              <w:rPr/>
              <w:t>以外的血液瘤靶点</w:t>
            </w:r>
            <w:r>
              <w:rPr>
                <w:rFonts w:ascii="Times New Roman" w:eastAsia="Times New Roman"/>
              </w:rPr>
              <w:tab/>
            </w:r>
            <w:r>
              <w:rPr/>
              <w:t>12</w:t>
            </w:r>
          </w:hyperlink>
        </w:p>
        <w:p>
          <w:pPr>
            <w:pStyle w:val="TOC4"/>
            <w:numPr>
              <w:ilvl w:val="1"/>
              <w:numId w:val="3"/>
            </w:numPr>
            <w:tabs>
              <w:tab w:pos="3945" w:val="left" w:leader="none"/>
              <w:tab w:pos="10192" w:val="left" w:leader="dot"/>
            </w:tabs>
            <w:spacing w:line="240" w:lineRule="auto" w:before="1" w:after="0"/>
            <w:ind w:left="3945" w:right="0" w:hanging="421"/>
            <w:jc w:val="left"/>
          </w:pPr>
          <w:hyperlink w:history="true" w:anchor="_TOC_250017">
            <w:r>
              <w:rPr/>
              <w:t>Car-T</w:t>
            </w:r>
            <w:r>
              <w:rPr>
                <w:spacing w:val="-46"/>
              </w:rPr>
              <w:t> </w:t>
            </w:r>
            <w:r>
              <w:rPr/>
              <w:t>在实体瘤领域的挑战与进展</w:t>
            </w:r>
            <w:r>
              <w:rPr>
                <w:rFonts w:ascii="Times New Roman" w:eastAsia="Times New Roman"/>
              </w:rPr>
              <w:tab/>
            </w:r>
            <w:r>
              <w:rPr/>
              <w:t>13</w:t>
            </w:r>
          </w:hyperlink>
        </w:p>
        <w:p>
          <w:pPr>
            <w:pStyle w:val="TOC5"/>
            <w:numPr>
              <w:ilvl w:val="2"/>
              <w:numId w:val="3"/>
            </w:numPr>
            <w:tabs>
              <w:tab w:pos="4516" w:val="left" w:leader="none"/>
              <w:tab w:pos="10192" w:val="left" w:leader="dot"/>
            </w:tabs>
            <w:spacing w:line="240" w:lineRule="auto" w:before="2" w:after="0"/>
            <w:ind w:left="4516" w:right="0" w:hanging="631"/>
            <w:jc w:val="left"/>
          </w:pPr>
          <w:hyperlink w:history="true" w:anchor="_TOC_250016">
            <w:r>
              <w:rPr/>
              <w:t>实体瘤的治疗充满了挑战</w:t>
            </w:r>
            <w:r>
              <w:rPr>
                <w:rFonts w:ascii="Times New Roman" w:eastAsia="Times New Roman"/>
              </w:rPr>
              <w:tab/>
            </w:r>
            <w:r>
              <w:rPr/>
              <w:t>13</w:t>
            </w:r>
          </w:hyperlink>
        </w:p>
        <w:p>
          <w:pPr>
            <w:pStyle w:val="TOC5"/>
            <w:numPr>
              <w:ilvl w:val="2"/>
              <w:numId w:val="3"/>
            </w:numPr>
            <w:tabs>
              <w:tab w:pos="4516" w:val="left" w:leader="none"/>
              <w:tab w:pos="10192" w:val="left" w:leader="dot"/>
            </w:tabs>
            <w:spacing w:line="240" w:lineRule="auto" w:before="15" w:after="0"/>
            <w:ind w:left="4516" w:right="0" w:hanging="631"/>
            <w:jc w:val="left"/>
          </w:pPr>
          <w:hyperlink w:history="true" w:anchor="_TOC_250015">
            <w:r>
              <w:rPr/>
              <w:t>Car-T</w:t>
            </w:r>
            <w:r>
              <w:rPr>
                <w:spacing w:val="-46"/>
              </w:rPr>
              <w:t> </w:t>
            </w:r>
            <w:r>
              <w:rPr/>
              <w:t>实体瘤上进展</w:t>
            </w:r>
            <w:r>
              <w:rPr>
                <w:rFonts w:ascii="Times New Roman" w:eastAsia="Times New Roman"/>
              </w:rPr>
              <w:tab/>
            </w:r>
            <w:r>
              <w:rPr/>
              <w:t>15</w:t>
            </w:r>
          </w:hyperlink>
        </w:p>
        <w:p>
          <w:pPr>
            <w:pStyle w:val="TOC2"/>
            <w:tabs>
              <w:tab w:pos="10192" w:val="left" w:leader="dot"/>
            </w:tabs>
            <w:spacing w:before="2"/>
          </w:pPr>
          <w:hyperlink w:history="true" w:anchor="_TOC_250014">
            <w:r>
              <w:rPr>
                <w:spacing w:val="15"/>
              </w:rPr>
              <w:t>4</w:t>
            </w:r>
            <w:r>
              <w:rPr/>
              <w:t>、</w:t>
            </w:r>
            <w:r>
              <w:rPr>
                <w:spacing w:val="-24"/>
              </w:rPr>
              <w:t> </w:t>
            </w:r>
            <w:r>
              <w:rPr>
                <w:spacing w:val="15"/>
              </w:rPr>
              <w:t>路修远</w:t>
            </w:r>
            <w:r>
              <w:rPr/>
              <w:t>以多</w:t>
            </w:r>
            <w:r>
              <w:rPr>
                <w:spacing w:val="15"/>
              </w:rPr>
              <w:t>艰</w:t>
            </w:r>
            <w:r>
              <w:rPr/>
              <w:t>兮，Car-T</w:t>
            </w:r>
            <w:r>
              <w:rPr>
                <w:spacing w:val="-64"/>
              </w:rPr>
              <w:t> </w:t>
            </w:r>
            <w:r>
              <w:rPr>
                <w:spacing w:val="15"/>
              </w:rPr>
              <w:t>临</w:t>
            </w:r>
            <w:r>
              <w:rPr/>
              <w:t>床副作用与解决方案</w:t>
            </w:r>
            <w:r>
              <w:rPr>
                <w:rFonts w:ascii="Times New Roman" w:eastAsia="Times New Roman"/>
              </w:rPr>
              <w:tab/>
            </w:r>
            <w:r>
              <w:rPr>
                <w:spacing w:val="15"/>
              </w:rPr>
              <w:t>16</w:t>
            </w:r>
          </w:hyperlink>
        </w:p>
        <w:p>
          <w:pPr>
            <w:pStyle w:val="TOC2"/>
            <w:tabs>
              <w:tab w:pos="10192" w:val="left" w:leader="dot"/>
            </w:tabs>
          </w:pPr>
          <w:hyperlink w:history="true" w:anchor="_TOC_250013">
            <w:r>
              <w:rPr>
                <w:spacing w:val="15"/>
              </w:rPr>
              <w:t>5</w:t>
            </w:r>
            <w:r>
              <w:rPr/>
              <w:t>、</w:t>
            </w:r>
            <w:r>
              <w:rPr>
                <w:spacing w:val="-22"/>
              </w:rPr>
              <w:t> </w:t>
            </w:r>
            <w:r>
              <w:rPr>
                <w:spacing w:val="15"/>
              </w:rPr>
              <w:t>祸兮福</w:t>
            </w:r>
            <w:r>
              <w:rPr/>
              <w:t>所依</w:t>
            </w:r>
            <w:r>
              <w:rPr>
                <w:spacing w:val="15"/>
              </w:rPr>
              <w:t>，</w:t>
            </w:r>
            <w:r>
              <w:rPr/>
              <w:t>复杂的生产工艺筑</w:t>
            </w:r>
            <w:r>
              <w:rPr>
                <w:spacing w:val="-51"/>
              </w:rPr>
              <w:t> </w:t>
            </w:r>
            <w:r>
              <w:rPr/>
              <w:t>Car-T</w:t>
            </w:r>
            <w:r>
              <w:rPr>
                <w:spacing w:val="-64"/>
              </w:rPr>
              <w:t> </w:t>
            </w:r>
            <w:r>
              <w:rPr/>
              <w:t>高壁垒</w:t>
            </w:r>
            <w:r>
              <w:rPr>
                <w:rFonts w:ascii="Times New Roman" w:eastAsia="Times New Roman"/>
              </w:rPr>
              <w:tab/>
            </w:r>
            <w:r>
              <w:rPr>
                <w:spacing w:val="15"/>
              </w:rPr>
              <w:t>18</w:t>
            </w:r>
          </w:hyperlink>
        </w:p>
        <w:p>
          <w:pPr>
            <w:pStyle w:val="TOC2"/>
            <w:tabs>
              <w:tab w:pos="10192" w:val="left" w:leader="dot"/>
            </w:tabs>
          </w:pPr>
          <w:hyperlink w:history="true" w:anchor="_TOC_250012">
            <w:r>
              <w:rPr>
                <w:spacing w:val="15"/>
              </w:rPr>
              <w:t>6</w:t>
            </w:r>
            <w:r>
              <w:rPr/>
              <w:t>、</w:t>
            </w:r>
            <w:r>
              <w:rPr>
                <w:spacing w:val="-24"/>
              </w:rPr>
              <w:t> </w:t>
            </w:r>
            <w:r>
              <w:rPr>
                <w:spacing w:val="15"/>
              </w:rPr>
              <w:t>孤棹自</w:t>
            </w:r>
            <w:r>
              <w:rPr/>
              <w:t>迟从</w:t>
            </w:r>
            <w:r>
              <w:rPr>
                <w:spacing w:val="15"/>
              </w:rPr>
              <w:t>蹭</w:t>
            </w:r>
            <w:r>
              <w:rPr/>
              <w:t>蹬，Car-T</w:t>
            </w:r>
            <w:r>
              <w:rPr>
                <w:spacing w:val="-65"/>
              </w:rPr>
              <w:t> </w:t>
            </w:r>
            <w:r>
              <w:rPr>
                <w:spacing w:val="15"/>
              </w:rPr>
              <w:t>商</w:t>
            </w:r>
            <w:r>
              <w:rPr/>
              <w:t>业化有困难，但也充满展望</w:t>
            </w:r>
            <w:r>
              <w:rPr>
                <w:rFonts w:ascii="Times New Roman" w:eastAsia="Times New Roman"/>
              </w:rPr>
              <w:tab/>
            </w:r>
            <w:r>
              <w:rPr>
                <w:spacing w:val="15"/>
              </w:rPr>
              <w:t>22</w:t>
            </w:r>
          </w:hyperlink>
        </w:p>
        <w:p>
          <w:pPr>
            <w:pStyle w:val="TOC4"/>
            <w:numPr>
              <w:ilvl w:val="1"/>
              <w:numId w:val="4"/>
            </w:numPr>
            <w:tabs>
              <w:tab w:pos="3945" w:val="left" w:leader="none"/>
              <w:tab w:pos="10192" w:val="left" w:leader="dot"/>
            </w:tabs>
            <w:spacing w:line="240" w:lineRule="auto" w:before="1" w:after="0"/>
            <w:ind w:left="3945" w:right="0" w:hanging="421"/>
            <w:jc w:val="left"/>
          </w:pPr>
          <w:hyperlink w:history="true" w:anchor="_TOC_250011">
            <w:r>
              <w:rPr/>
              <w:t>有资格开展</w:t>
            </w:r>
            <w:r>
              <w:rPr>
                <w:spacing w:val="-46"/>
              </w:rPr>
              <w:t> </w:t>
            </w:r>
            <w:r>
              <w:rPr/>
              <w:t>Car-T</w:t>
            </w:r>
            <w:r>
              <w:rPr>
                <w:spacing w:val="-45"/>
              </w:rPr>
              <w:t> </w:t>
            </w:r>
            <w:r>
              <w:rPr/>
              <w:t>治疗的医院数量对产品销售有影响</w:t>
            </w:r>
            <w:r>
              <w:rPr>
                <w:rFonts w:ascii="Times New Roman" w:eastAsia="Times New Roman"/>
              </w:rPr>
              <w:tab/>
            </w:r>
            <w:r>
              <w:rPr/>
              <w:t>23</w:t>
            </w:r>
          </w:hyperlink>
        </w:p>
        <w:p>
          <w:pPr>
            <w:pStyle w:val="TOC4"/>
            <w:numPr>
              <w:ilvl w:val="1"/>
              <w:numId w:val="4"/>
            </w:numPr>
            <w:tabs>
              <w:tab w:pos="3945" w:val="left" w:leader="none"/>
              <w:tab w:pos="10192" w:val="left" w:leader="dot"/>
            </w:tabs>
            <w:spacing w:line="240" w:lineRule="auto" w:before="2" w:after="0"/>
            <w:ind w:left="3945" w:right="0" w:hanging="421"/>
            <w:jc w:val="left"/>
          </w:pPr>
          <w:hyperlink w:history="true" w:anchor="_TOC_250010">
            <w:r>
              <w:rPr/>
              <w:t>现有的美国医保政策影响医生选择</w:t>
            </w:r>
            <w:r>
              <w:rPr>
                <w:spacing w:val="-49"/>
              </w:rPr>
              <w:t> </w:t>
            </w:r>
            <w:r>
              <w:rPr/>
              <w:t>Car-T</w:t>
            </w:r>
            <w:r>
              <w:rPr>
                <w:spacing w:val="-45"/>
              </w:rPr>
              <w:t> </w:t>
            </w:r>
            <w:r>
              <w:rPr/>
              <w:t>的积极性</w:t>
            </w:r>
            <w:r>
              <w:rPr>
                <w:rFonts w:ascii="Times New Roman" w:eastAsia="Times New Roman"/>
              </w:rPr>
              <w:tab/>
            </w:r>
            <w:r>
              <w:rPr/>
              <w:t>25</w:t>
            </w:r>
          </w:hyperlink>
        </w:p>
        <w:p>
          <w:pPr>
            <w:pStyle w:val="TOC4"/>
            <w:numPr>
              <w:ilvl w:val="1"/>
              <w:numId w:val="4"/>
            </w:numPr>
            <w:tabs>
              <w:tab w:pos="3945" w:val="left" w:leader="none"/>
              <w:tab w:pos="10192" w:val="left" w:leader="dot"/>
            </w:tabs>
            <w:spacing w:line="240" w:lineRule="auto" w:before="16" w:after="0"/>
            <w:ind w:left="3945" w:right="0" w:hanging="421"/>
            <w:jc w:val="left"/>
          </w:pPr>
          <w:hyperlink w:history="true" w:anchor="_TOC_250009">
            <w:r>
              <w:rPr/>
              <w:t>临床试验对商业化</w:t>
            </w:r>
            <w:r>
              <w:rPr>
                <w:spacing w:val="-46"/>
              </w:rPr>
              <w:t> </w:t>
            </w:r>
            <w:r>
              <w:rPr/>
              <w:t>Car-T</w:t>
            </w:r>
            <w:r>
              <w:rPr>
                <w:spacing w:val="-45"/>
              </w:rPr>
              <w:t> </w:t>
            </w:r>
            <w:r>
              <w:rPr/>
              <w:t>产品产生一定替代效应</w:t>
            </w:r>
            <w:r>
              <w:rPr>
                <w:rFonts w:ascii="Times New Roman" w:eastAsia="Times New Roman"/>
              </w:rPr>
              <w:tab/>
            </w:r>
            <w:r>
              <w:rPr/>
              <w:t>27</w:t>
            </w:r>
          </w:hyperlink>
        </w:p>
        <w:p>
          <w:pPr>
            <w:pStyle w:val="TOC4"/>
            <w:numPr>
              <w:ilvl w:val="1"/>
              <w:numId w:val="4"/>
            </w:numPr>
            <w:tabs>
              <w:tab w:pos="3945" w:val="left" w:leader="none"/>
              <w:tab w:pos="10192" w:val="left" w:leader="dot"/>
            </w:tabs>
            <w:spacing w:line="240" w:lineRule="auto" w:before="1" w:after="0"/>
            <w:ind w:left="3945" w:right="0" w:hanging="421"/>
            <w:jc w:val="left"/>
          </w:pPr>
          <w:hyperlink w:history="true" w:anchor="_TOC_250008">
            <w:r>
              <w:rPr/>
              <w:t>Car-T</w:t>
            </w:r>
            <w:r>
              <w:rPr>
                <w:spacing w:val="-46"/>
              </w:rPr>
              <w:t> </w:t>
            </w:r>
            <w:r>
              <w:rPr/>
              <w:t>生产销售过程中有一定损耗</w:t>
            </w:r>
            <w:r>
              <w:rPr>
                <w:rFonts w:ascii="Times New Roman" w:eastAsia="Times New Roman"/>
              </w:rPr>
              <w:tab/>
            </w:r>
            <w:r>
              <w:rPr/>
              <w:t>28</w:t>
            </w:r>
          </w:hyperlink>
        </w:p>
        <w:p>
          <w:pPr>
            <w:pStyle w:val="TOC4"/>
            <w:numPr>
              <w:ilvl w:val="1"/>
              <w:numId w:val="4"/>
            </w:numPr>
            <w:tabs>
              <w:tab w:pos="3945" w:val="left" w:leader="none"/>
              <w:tab w:pos="10192" w:val="left" w:leader="dot"/>
            </w:tabs>
            <w:spacing w:line="240" w:lineRule="auto" w:before="1" w:after="0"/>
            <w:ind w:left="3945" w:right="0" w:hanging="421"/>
            <w:jc w:val="left"/>
          </w:pPr>
          <w:hyperlink w:history="true" w:anchor="_TOC_250007">
            <w:r>
              <w:rPr/>
              <w:t>不应对吉利德减值过分担忧</w:t>
            </w:r>
            <w:r>
              <w:rPr>
                <w:rFonts w:ascii="Times New Roman" w:eastAsia="Times New Roman"/>
              </w:rPr>
              <w:tab/>
            </w:r>
            <w:r>
              <w:rPr/>
              <w:t>28</w:t>
            </w:r>
          </w:hyperlink>
        </w:p>
        <w:p>
          <w:pPr>
            <w:pStyle w:val="TOC2"/>
            <w:tabs>
              <w:tab w:pos="10192" w:val="left" w:leader="dot"/>
            </w:tabs>
            <w:spacing w:before="2"/>
          </w:pPr>
          <w:hyperlink w:history="true" w:anchor="_TOC_250006">
            <w:r>
              <w:rPr>
                <w:spacing w:val="15"/>
              </w:rPr>
              <w:t>7</w:t>
            </w:r>
            <w:r>
              <w:rPr/>
              <w:t>、</w:t>
            </w:r>
            <w:r>
              <w:rPr>
                <w:spacing w:val="-21"/>
              </w:rPr>
              <w:t> </w:t>
            </w:r>
            <w:r>
              <w:rPr>
                <w:spacing w:val="15"/>
              </w:rPr>
              <w:t>春与青</w:t>
            </w:r>
            <w:r>
              <w:rPr/>
              <w:t>溪长</w:t>
            </w:r>
            <w:r>
              <w:rPr>
                <w:spacing w:val="15"/>
              </w:rPr>
              <w:t>，</w:t>
            </w:r>
            <w:r>
              <w:rPr/>
              <w:t>看好</w:t>
            </w:r>
            <w:r>
              <w:rPr>
                <w:spacing w:val="-63"/>
              </w:rPr>
              <w:t> </w:t>
            </w:r>
            <w:r>
              <w:rPr/>
              <w:t>Car-T</w:t>
            </w:r>
            <w:r>
              <w:rPr>
                <w:spacing w:val="-50"/>
              </w:rPr>
              <w:t> </w:t>
            </w:r>
            <w:r>
              <w:rPr/>
              <w:t>产业长期发展</w:t>
            </w:r>
            <w:r>
              <w:rPr>
                <w:rFonts w:ascii="Times New Roman" w:eastAsia="Times New Roman"/>
              </w:rPr>
              <w:tab/>
            </w:r>
            <w:r>
              <w:rPr>
                <w:spacing w:val="15"/>
              </w:rPr>
              <w:t>29</w:t>
            </w:r>
          </w:hyperlink>
        </w:p>
        <w:p>
          <w:pPr>
            <w:pStyle w:val="TOC4"/>
            <w:numPr>
              <w:ilvl w:val="1"/>
              <w:numId w:val="5"/>
            </w:numPr>
            <w:tabs>
              <w:tab w:pos="3945" w:val="left" w:leader="none"/>
              <w:tab w:pos="10192" w:val="left" w:leader="dot"/>
            </w:tabs>
            <w:spacing w:line="240" w:lineRule="auto" w:before="0" w:after="0"/>
            <w:ind w:left="3524" w:right="877" w:firstLine="0"/>
            <w:jc w:val="left"/>
          </w:pPr>
          <w:hyperlink w:history="true" w:anchor="_TOC_250005">
            <w:r>
              <w:rPr/>
              <w:t>美国市场销售将随获批医疗机构增加逐步增长，治疗方式切合中国医疗体系</w:t>
            </w:r>
            <w:r>
              <w:rPr>
                <w:rFonts w:ascii="Times New Roman" w:eastAsia="Times New Roman"/>
              </w:rPr>
              <w:tab/>
              <w:tab/>
            </w:r>
            <w:r>
              <w:rPr/>
              <w:t>29</w:t>
            </w:r>
          </w:hyperlink>
        </w:p>
        <w:p>
          <w:pPr>
            <w:pStyle w:val="TOC4"/>
            <w:numPr>
              <w:ilvl w:val="1"/>
              <w:numId w:val="5"/>
            </w:numPr>
            <w:tabs>
              <w:tab w:pos="3945" w:val="left" w:leader="none"/>
              <w:tab w:pos="10192" w:val="left" w:leader="dot"/>
            </w:tabs>
            <w:spacing w:line="240" w:lineRule="auto" w:before="3" w:after="0"/>
            <w:ind w:left="3945" w:right="0" w:hanging="421"/>
            <w:jc w:val="left"/>
          </w:pPr>
          <w:hyperlink w:history="true" w:anchor="_TOC_250004">
            <w:r>
              <w:rPr/>
              <w:t>Car-T</w:t>
            </w:r>
            <w:r>
              <w:rPr>
                <w:spacing w:val="-46"/>
              </w:rPr>
              <w:t> </w:t>
            </w:r>
            <w:r>
              <w:rPr/>
              <w:t>生产成本有望逐步下降，并且国产替代有空间</w:t>
            </w:r>
            <w:r>
              <w:rPr>
                <w:rFonts w:ascii="Times New Roman" w:eastAsia="Times New Roman"/>
              </w:rPr>
              <w:tab/>
            </w:r>
            <w:r>
              <w:rPr/>
              <w:t>30</w:t>
            </w:r>
          </w:hyperlink>
        </w:p>
        <w:p>
          <w:pPr>
            <w:pStyle w:val="TOC4"/>
            <w:numPr>
              <w:ilvl w:val="1"/>
              <w:numId w:val="5"/>
            </w:numPr>
            <w:tabs>
              <w:tab w:pos="3945" w:val="left" w:leader="none"/>
              <w:tab w:pos="10192" w:val="left" w:leader="dot"/>
            </w:tabs>
            <w:spacing w:line="240" w:lineRule="auto" w:before="16" w:after="0"/>
            <w:ind w:left="3945" w:right="0" w:hanging="421"/>
            <w:jc w:val="left"/>
          </w:pPr>
          <w:hyperlink w:history="true" w:anchor="_TOC_250003">
            <w:r>
              <w:rPr/>
              <w:t>Car-T</w:t>
            </w:r>
            <w:r>
              <w:rPr>
                <w:spacing w:val="-46"/>
              </w:rPr>
              <w:t> </w:t>
            </w:r>
            <w:r>
              <w:rPr/>
              <w:t>产业与细胞、基因治疗产业发展相辅相成</w:t>
            </w:r>
            <w:r>
              <w:rPr>
                <w:rFonts w:ascii="Times New Roman" w:eastAsia="Times New Roman"/>
              </w:rPr>
              <w:tab/>
            </w:r>
            <w:r>
              <w:rPr/>
              <w:t>31</w:t>
            </w:r>
          </w:hyperlink>
        </w:p>
        <w:p>
          <w:pPr>
            <w:pStyle w:val="TOC4"/>
            <w:numPr>
              <w:ilvl w:val="1"/>
              <w:numId w:val="5"/>
            </w:numPr>
            <w:tabs>
              <w:tab w:pos="3945" w:val="left" w:leader="none"/>
              <w:tab w:pos="10192" w:val="left" w:leader="dot"/>
            </w:tabs>
            <w:spacing w:line="240" w:lineRule="auto" w:before="1" w:after="0"/>
            <w:ind w:left="3945" w:right="0" w:hanging="421"/>
            <w:jc w:val="left"/>
          </w:pPr>
          <w:hyperlink w:history="true" w:anchor="_TOC_250002">
            <w:r>
              <w:rPr/>
              <w:t>Car-T</w:t>
            </w:r>
            <w:r>
              <w:rPr>
                <w:spacing w:val="-46"/>
              </w:rPr>
              <w:t> </w:t>
            </w:r>
            <w:r>
              <w:rPr/>
              <w:t>市场仍具有极大潜力</w:t>
            </w:r>
            <w:r>
              <w:rPr>
                <w:rFonts w:ascii="Times New Roman" w:eastAsia="Times New Roman"/>
              </w:rPr>
              <w:tab/>
            </w:r>
            <w:r>
              <w:rPr/>
              <w:t>31</w:t>
            </w:r>
          </w:hyperlink>
        </w:p>
        <w:p>
          <w:pPr>
            <w:pStyle w:val="TOC2"/>
            <w:tabs>
              <w:tab w:pos="10192" w:val="left" w:leader="dot"/>
            </w:tabs>
          </w:pPr>
          <w:hyperlink w:history="true" w:anchor="_TOC_250001">
            <w:r>
              <w:rPr>
                <w:spacing w:val="15"/>
              </w:rPr>
              <w:t>8</w:t>
            </w:r>
            <w:r>
              <w:rPr/>
              <w:t>、</w:t>
            </w:r>
            <w:r>
              <w:rPr>
                <w:spacing w:val="-20"/>
              </w:rPr>
              <w:t> </w:t>
            </w:r>
            <w:r>
              <w:rPr>
                <w:spacing w:val="15"/>
              </w:rPr>
              <w:t>相关公</w:t>
            </w:r>
            <w:r>
              <w:rPr/>
              <w:t>司情</w:t>
            </w:r>
            <w:r>
              <w:rPr>
                <w:spacing w:val="15"/>
              </w:rPr>
              <w:t>况</w:t>
            </w:r>
            <w:r>
              <w:rPr/>
              <w:t>介绍</w:t>
            </w:r>
            <w:r>
              <w:rPr>
                <w:rFonts w:ascii="Times New Roman" w:eastAsia="Times New Roman"/>
              </w:rPr>
              <w:tab/>
            </w:r>
            <w:r>
              <w:rPr>
                <w:spacing w:val="15"/>
              </w:rPr>
              <w:t>33</w:t>
            </w:r>
          </w:hyperlink>
        </w:p>
        <w:p>
          <w:pPr>
            <w:pStyle w:val="TOC2"/>
            <w:tabs>
              <w:tab w:pos="10192" w:val="left" w:leader="dot"/>
            </w:tabs>
          </w:pPr>
          <w:hyperlink w:history="true" w:anchor="_TOC_250000">
            <w:r>
              <w:rPr>
                <w:spacing w:val="15"/>
              </w:rPr>
              <w:t>9</w:t>
            </w:r>
            <w:r>
              <w:rPr/>
              <w:t>、</w:t>
            </w:r>
            <w:r>
              <w:rPr>
                <w:spacing w:val="-18"/>
              </w:rPr>
              <w:t> </w:t>
            </w:r>
            <w:r>
              <w:rPr>
                <w:spacing w:val="15"/>
              </w:rPr>
              <w:t>风险提示</w:t>
            </w:r>
            <w:r>
              <w:rPr>
                <w:rFonts w:ascii="Times New Roman" w:eastAsia="Times New Roman"/>
                <w:spacing w:val="15"/>
              </w:rPr>
              <w:tab/>
            </w:r>
            <w:r>
              <w:rPr>
                <w:spacing w:val="15"/>
              </w:rPr>
              <w:t>38</w:t>
            </w:r>
          </w:hyperlink>
        </w:p>
        <w:p>
          <w:pPr>
            <w:pStyle w:val="TOC1"/>
          </w:pPr>
          <w:r>
            <w:rPr>
              <w:color w:val="C00000"/>
            </w:rPr>
            <w:t>图表目录</w:t>
          </w:r>
        </w:p>
        <w:p>
          <w:pPr>
            <w:pStyle w:val="TOC2"/>
            <w:tabs>
              <w:tab w:pos="10192" w:val="left" w:leader="dot"/>
            </w:tabs>
            <w:spacing w:before="21"/>
          </w:pPr>
          <w:r>
            <w:rPr/>
            <w:t>图</w:t>
          </w:r>
          <w:r>
            <w:rPr>
              <w:spacing w:val="-34"/>
            </w:rPr>
            <w:t> </w:t>
          </w:r>
          <w:r>
            <w:rPr>
              <w:spacing w:val="14"/>
            </w:rPr>
            <w:t>1：</w:t>
          </w:r>
          <w:r>
            <w:rPr/>
            <w:t>嵌合抗原受体</w:t>
          </w:r>
          <w:r>
            <w:rPr>
              <w:spacing w:val="-49"/>
            </w:rPr>
            <w:t> </w:t>
          </w:r>
          <w:r>
            <w:rPr/>
            <w:t>T</w:t>
          </w:r>
          <w:r>
            <w:rPr>
              <w:spacing w:val="-62"/>
            </w:rPr>
            <w:t> </w:t>
          </w:r>
          <w:r>
            <w:rPr/>
            <w:t>细胞免疫疗法</w:t>
          </w:r>
          <w:r>
            <w:rPr>
              <w:rFonts w:ascii="Times New Roman" w:eastAsia="Times New Roman"/>
            </w:rPr>
            <w:tab/>
          </w:r>
          <w:r>
            <w:rPr/>
            <w:t>5</w:t>
          </w:r>
        </w:p>
        <w:p>
          <w:pPr>
            <w:pStyle w:val="TOC2"/>
            <w:tabs>
              <w:tab w:pos="10192" w:val="left" w:leader="dot"/>
            </w:tabs>
            <w:spacing w:before="2"/>
          </w:pPr>
          <w:r>
            <w:rPr/>
            <w:t>图</w:t>
          </w:r>
          <w:r>
            <w:rPr>
              <w:spacing w:val="-35"/>
            </w:rPr>
            <w:t> </w:t>
          </w:r>
          <w:r>
            <w:rPr>
              <w:spacing w:val="14"/>
            </w:rPr>
            <w:t>2：</w:t>
          </w:r>
          <w:r>
            <w:rPr/>
            <w:t>全球热点靶点研究情况</w:t>
          </w:r>
          <w:r>
            <w:rPr>
              <w:rFonts w:ascii="Times New Roman" w:eastAsia="Times New Roman"/>
            </w:rPr>
            <w:tab/>
          </w:r>
          <w:r>
            <w:rPr/>
            <w:t>6</w:t>
          </w:r>
        </w:p>
        <w:p>
          <w:pPr>
            <w:pStyle w:val="TOC2"/>
            <w:tabs>
              <w:tab w:pos="10192" w:val="left" w:leader="dot"/>
            </w:tabs>
            <w:spacing w:before="16"/>
          </w:pPr>
          <w:r>
            <w:rPr/>
            <w:t>图</w:t>
          </w:r>
          <w:r>
            <w:rPr>
              <w:spacing w:val="-34"/>
            </w:rPr>
            <w:t> </w:t>
          </w:r>
          <w:r>
            <w:rPr>
              <w:spacing w:val="4"/>
            </w:rPr>
            <w:t>3：Car-T</w:t>
          </w:r>
          <w:r>
            <w:rPr>
              <w:spacing w:val="-48"/>
            </w:rPr>
            <w:t> </w:t>
          </w:r>
          <w:r>
            <w:rPr/>
            <w:t>结构域</w:t>
          </w:r>
          <w:r>
            <w:rPr>
              <w:rFonts w:ascii="Times New Roman" w:eastAsia="Times New Roman"/>
            </w:rPr>
            <w:tab/>
          </w:r>
          <w:r>
            <w:rPr/>
            <w:t>7</w:t>
          </w:r>
        </w:p>
        <w:p>
          <w:pPr>
            <w:pStyle w:val="TOC2"/>
            <w:tabs>
              <w:tab w:pos="10192" w:val="left" w:leader="dot"/>
            </w:tabs>
          </w:pPr>
          <w:r>
            <w:rPr/>
            <w:t>图</w:t>
          </w:r>
          <w:r>
            <w:rPr>
              <w:spacing w:val="-35"/>
            </w:rPr>
            <w:t> </w:t>
          </w:r>
          <w:r>
            <w:rPr>
              <w:spacing w:val="14"/>
            </w:rPr>
            <w:t>4：</w:t>
          </w:r>
          <w:r>
            <w:rPr/>
            <w:t>目前</w:t>
          </w:r>
          <w:r>
            <w:rPr>
              <w:spacing w:val="-62"/>
            </w:rPr>
            <w:t> </w:t>
          </w:r>
          <w:r>
            <w:rPr>
              <w:spacing w:val="3"/>
            </w:rPr>
            <w:t>Car-T</w:t>
          </w:r>
          <w:r>
            <w:rPr>
              <w:spacing w:val="-63"/>
            </w:rPr>
            <w:t> </w:t>
          </w:r>
          <w:r>
            <w:rPr/>
            <w:t>血液瘤研究</w:t>
          </w:r>
          <w:r>
            <w:rPr>
              <w:spacing w:val="15"/>
            </w:rPr>
            <w:t>靶</w:t>
          </w:r>
          <w:r>
            <w:rPr/>
            <w:t>点情况</w:t>
          </w:r>
          <w:r>
            <w:rPr>
              <w:rFonts w:ascii="Times New Roman" w:eastAsia="Times New Roman"/>
            </w:rPr>
            <w:tab/>
          </w:r>
          <w:r>
            <w:rPr/>
            <w:t>7</w:t>
          </w:r>
        </w:p>
        <w:p>
          <w:pPr>
            <w:pStyle w:val="TOC2"/>
            <w:tabs>
              <w:tab w:pos="10192" w:val="left" w:leader="dot"/>
            </w:tabs>
          </w:pPr>
          <w:r>
            <w:rPr/>
            <w:t>图</w:t>
          </w:r>
          <w:r>
            <w:rPr>
              <w:spacing w:val="-34"/>
            </w:rPr>
            <w:t> </w:t>
          </w:r>
          <w:r>
            <w:rPr>
              <w:spacing w:val="4"/>
            </w:rPr>
            <w:t>5：Car-T</w:t>
          </w:r>
          <w:r>
            <w:rPr>
              <w:spacing w:val="-49"/>
            </w:rPr>
            <w:t> </w:t>
          </w:r>
          <w:r>
            <w:rPr/>
            <w:t>发展历程</w:t>
          </w:r>
          <w:r>
            <w:rPr>
              <w:rFonts w:ascii="Times New Roman" w:eastAsia="Times New Roman"/>
            </w:rPr>
            <w:tab/>
          </w:r>
          <w:r>
            <w:rPr/>
            <w:t>8</w:t>
          </w:r>
        </w:p>
        <w:p>
          <w:pPr>
            <w:pStyle w:val="TOC2"/>
            <w:tabs>
              <w:tab w:pos="10192" w:val="left" w:leader="dot"/>
            </w:tabs>
          </w:pPr>
          <w:r>
            <w:rPr/>
            <w:t>图</w:t>
          </w:r>
          <w:r>
            <w:rPr>
              <w:spacing w:val="-33"/>
            </w:rPr>
            <w:t> </w:t>
          </w:r>
          <w:r>
            <w:rPr>
              <w:spacing w:val="14"/>
            </w:rPr>
            <w:t>6：</w:t>
          </w:r>
          <w:r>
            <w:rPr/>
            <w:t>第一代</w:t>
          </w:r>
          <w:r>
            <w:rPr>
              <w:spacing w:val="-62"/>
            </w:rPr>
            <w:t> </w:t>
          </w:r>
          <w:r>
            <w:rPr>
              <w:spacing w:val="2"/>
            </w:rPr>
            <w:t>Car-T</w:t>
          </w:r>
          <w:r>
            <w:rPr>
              <w:spacing w:val="-62"/>
            </w:rPr>
            <w:t> </w:t>
          </w:r>
          <w:r>
            <w:rPr/>
            <w:t>结构</w:t>
          </w:r>
          <w:r>
            <w:rPr>
              <w:rFonts w:ascii="Times New Roman" w:eastAsia="Times New Roman"/>
            </w:rPr>
            <w:tab/>
          </w:r>
          <w:r>
            <w:rPr/>
            <w:t>9</w:t>
          </w:r>
        </w:p>
        <w:p>
          <w:pPr>
            <w:pStyle w:val="TOC2"/>
            <w:tabs>
              <w:tab w:pos="10192" w:val="left" w:leader="dot"/>
            </w:tabs>
          </w:pPr>
          <w:r>
            <w:rPr/>
            <w:t>图</w:t>
          </w:r>
          <w:r>
            <w:rPr>
              <w:spacing w:val="-33"/>
            </w:rPr>
            <w:t> </w:t>
          </w:r>
          <w:r>
            <w:rPr>
              <w:spacing w:val="14"/>
            </w:rPr>
            <w:t>7：</w:t>
          </w:r>
          <w:r>
            <w:rPr/>
            <w:t>第二代</w:t>
          </w:r>
          <w:r>
            <w:rPr>
              <w:spacing w:val="-62"/>
            </w:rPr>
            <w:t> </w:t>
          </w:r>
          <w:r>
            <w:rPr>
              <w:spacing w:val="2"/>
            </w:rPr>
            <w:t>Car-T</w:t>
          </w:r>
          <w:r>
            <w:rPr>
              <w:spacing w:val="-62"/>
            </w:rPr>
            <w:t> </w:t>
          </w:r>
          <w:r>
            <w:rPr/>
            <w:t>结构</w:t>
          </w:r>
          <w:r>
            <w:rPr>
              <w:rFonts w:ascii="Times New Roman" w:eastAsia="Times New Roman"/>
            </w:rPr>
            <w:tab/>
          </w:r>
          <w:r>
            <w:rPr>
              <w:spacing w:val="15"/>
            </w:rPr>
            <w:t>10</w:t>
          </w:r>
        </w:p>
        <w:p>
          <w:pPr>
            <w:pStyle w:val="TOC2"/>
            <w:tabs>
              <w:tab w:pos="10192" w:val="left" w:leader="dot"/>
            </w:tabs>
            <w:spacing w:before="2"/>
          </w:pPr>
          <w:r>
            <w:rPr/>
            <w:t>图</w:t>
          </w:r>
          <w:r>
            <w:rPr>
              <w:spacing w:val="-33"/>
            </w:rPr>
            <w:t> </w:t>
          </w:r>
          <w:r>
            <w:rPr>
              <w:spacing w:val="14"/>
            </w:rPr>
            <w:t>8：</w:t>
          </w:r>
          <w:r>
            <w:rPr/>
            <w:t>第三代</w:t>
          </w:r>
          <w:r>
            <w:rPr>
              <w:spacing w:val="-62"/>
            </w:rPr>
            <w:t> </w:t>
          </w:r>
          <w:r>
            <w:rPr>
              <w:spacing w:val="2"/>
            </w:rPr>
            <w:t>Car-T</w:t>
          </w:r>
          <w:r>
            <w:rPr>
              <w:spacing w:val="-62"/>
            </w:rPr>
            <w:t> </w:t>
          </w:r>
          <w:r>
            <w:rPr/>
            <w:t>结构</w:t>
          </w:r>
          <w:r>
            <w:rPr>
              <w:rFonts w:ascii="Times New Roman" w:eastAsia="Times New Roman"/>
            </w:rPr>
            <w:tab/>
          </w:r>
          <w:r>
            <w:rPr>
              <w:spacing w:val="15"/>
            </w:rPr>
            <w:t>11</w:t>
          </w:r>
        </w:p>
        <w:p>
          <w:pPr>
            <w:pStyle w:val="TOC2"/>
            <w:tabs>
              <w:tab w:pos="10192" w:val="left" w:leader="dot"/>
            </w:tabs>
            <w:spacing w:before="16"/>
          </w:pPr>
          <w:r>
            <w:rPr/>
            <w:t>图</w:t>
          </w:r>
          <w:r>
            <w:rPr>
              <w:spacing w:val="-34"/>
            </w:rPr>
            <w:t> </w:t>
          </w:r>
          <w:r>
            <w:rPr>
              <w:spacing w:val="14"/>
            </w:rPr>
            <w:t>9：</w:t>
          </w:r>
          <w:r>
            <w:rPr/>
            <w:t>第四、第五代</w:t>
          </w:r>
          <w:r>
            <w:rPr>
              <w:spacing w:val="-49"/>
            </w:rPr>
            <w:t> </w:t>
          </w:r>
          <w:r>
            <w:rPr/>
            <w:t>Car-T</w:t>
            <w:tab/>
          </w:r>
          <w:r>
            <w:rPr>
              <w:spacing w:val="15"/>
            </w:rPr>
            <w:t>12</w:t>
          </w:r>
        </w:p>
        <w:p>
          <w:pPr>
            <w:pStyle w:val="TOC2"/>
            <w:tabs>
              <w:tab w:pos="10192" w:val="left" w:leader="dot"/>
            </w:tabs>
          </w:pPr>
          <w:r>
            <w:rPr/>
            <w:t>图</w:t>
          </w:r>
          <w:r>
            <w:rPr>
              <w:spacing w:val="-37"/>
            </w:rPr>
            <w:t> </w:t>
          </w:r>
          <w:r>
            <w:rPr>
              <w:spacing w:val="10"/>
            </w:rPr>
            <w:t>10：</w:t>
          </w:r>
          <w:r>
            <w:rPr/>
            <w:t>针对血液瘤的</w:t>
          </w:r>
          <w:r>
            <w:rPr>
              <w:spacing w:val="-52"/>
            </w:rPr>
            <w:t> </w:t>
          </w:r>
          <w:r>
            <w:rPr/>
            <w:t>CAR-T</w:t>
          </w:r>
          <w:r>
            <w:rPr>
              <w:spacing w:val="-64"/>
            </w:rPr>
            <w:t> </w:t>
          </w:r>
          <w:r>
            <w:rPr>
              <w:spacing w:val="15"/>
            </w:rPr>
            <w:t>疗</w:t>
          </w:r>
          <w:r>
            <w:rPr/>
            <w:t>法常用靶点及对应临床试验数量</w:t>
          </w:r>
          <w:r>
            <w:rPr>
              <w:rFonts w:ascii="Times New Roman" w:eastAsia="Times New Roman"/>
            </w:rPr>
            <w:tab/>
          </w:r>
          <w:r>
            <w:rPr>
              <w:spacing w:val="15"/>
            </w:rPr>
            <w:t>13</w:t>
          </w:r>
        </w:p>
        <w:p>
          <w:pPr>
            <w:pStyle w:val="TOC2"/>
            <w:tabs>
              <w:tab w:pos="10192" w:val="left" w:leader="dot"/>
            </w:tabs>
          </w:pPr>
          <w:r>
            <w:rPr/>
            <w:t>图</w:t>
          </w:r>
          <w:r>
            <w:rPr>
              <w:spacing w:val="-35"/>
            </w:rPr>
            <w:t> </w:t>
          </w:r>
          <w:r>
            <w:rPr>
              <w:spacing w:val="10"/>
            </w:rPr>
            <w:t>11：</w:t>
          </w:r>
          <w:r>
            <w:rPr/>
            <w:t>实体</w:t>
          </w:r>
          <w:r>
            <w:rPr>
              <w:spacing w:val="44"/>
            </w:rPr>
            <w:t>瘤</w:t>
          </w:r>
          <w:r>
            <w:rPr>
              <w:spacing w:val="2"/>
            </w:rPr>
            <w:t>Car-T</w:t>
          </w:r>
          <w:r>
            <w:rPr>
              <w:spacing w:val="-63"/>
            </w:rPr>
            <w:t> </w:t>
          </w:r>
          <w:r>
            <w:rPr/>
            <w:t>占总研</w:t>
          </w:r>
          <w:r>
            <w:rPr>
              <w:spacing w:val="15"/>
            </w:rPr>
            <w:t>究</w:t>
          </w:r>
          <w:r>
            <w:rPr/>
            <w:t>比例</w:t>
          </w:r>
          <w:r>
            <w:rPr>
              <w:rFonts w:ascii="Times New Roman" w:eastAsia="Times New Roman"/>
            </w:rPr>
            <w:tab/>
          </w:r>
          <w:r>
            <w:rPr>
              <w:spacing w:val="15"/>
            </w:rPr>
            <w:t>14</w:t>
          </w:r>
        </w:p>
        <w:p>
          <w:pPr>
            <w:pStyle w:val="TOC2"/>
            <w:tabs>
              <w:tab w:pos="10192" w:val="left" w:leader="dot"/>
            </w:tabs>
          </w:pPr>
          <w:r>
            <w:rPr/>
            <w:t>图</w:t>
          </w:r>
          <w:r>
            <w:rPr>
              <w:spacing w:val="-34"/>
            </w:rPr>
            <w:t> </w:t>
          </w:r>
          <w:r>
            <w:rPr>
              <w:spacing w:val="10"/>
            </w:rPr>
            <w:t>12：</w:t>
          </w:r>
          <w:r>
            <w:rPr>
              <w:spacing w:val="-33"/>
            </w:rPr>
            <w:t> </w:t>
          </w:r>
          <w:r>
            <w:rPr>
              <w:spacing w:val="6"/>
            </w:rPr>
            <w:t>Car-T</w:t>
          </w:r>
          <w:r>
            <w:rPr>
              <w:spacing w:val="-48"/>
            </w:rPr>
            <w:t> </w:t>
          </w:r>
          <w:r>
            <w:rPr/>
            <w:t>制备流程</w:t>
          </w:r>
          <w:r>
            <w:rPr>
              <w:rFonts w:ascii="Times New Roman" w:eastAsia="Times New Roman"/>
            </w:rPr>
            <w:tab/>
          </w:r>
          <w:r>
            <w:rPr>
              <w:spacing w:val="15"/>
            </w:rPr>
            <w:t>18</w:t>
          </w:r>
        </w:p>
        <w:p>
          <w:pPr>
            <w:pStyle w:val="TOC2"/>
            <w:tabs>
              <w:tab w:pos="10192" w:val="left" w:leader="dot"/>
            </w:tabs>
          </w:pPr>
          <w:r>
            <w:rPr/>
            <w:t>图</w:t>
          </w:r>
          <w:r>
            <w:rPr>
              <w:spacing w:val="-33"/>
            </w:rPr>
            <w:t> </w:t>
          </w:r>
          <w:r>
            <w:rPr>
              <w:spacing w:val="3"/>
            </w:rPr>
            <w:t>13：Car-T</w:t>
          </w:r>
          <w:r>
            <w:rPr>
              <w:spacing w:val="-48"/>
            </w:rPr>
            <w:t> </w:t>
          </w:r>
          <w:r>
            <w:rPr/>
            <w:t>一般制备时间</w:t>
          </w:r>
          <w:r>
            <w:rPr>
              <w:rFonts w:ascii="Times New Roman" w:eastAsia="Times New Roman"/>
            </w:rPr>
            <w:tab/>
          </w:r>
          <w:r>
            <w:rPr>
              <w:spacing w:val="15"/>
            </w:rPr>
            <w:t>20</w:t>
          </w:r>
        </w:p>
        <w:p>
          <w:pPr>
            <w:pStyle w:val="TOC2"/>
            <w:tabs>
              <w:tab w:pos="10192" w:val="left" w:leader="dot"/>
            </w:tabs>
          </w:pPr>
          <w:r>
            <w:rPr/>
            <w:t>图</w:t>
          </w:r>
          <w:r>
            <w:rPr>
              <w:spacing w:val="-33"/>
            </w:rPr>
            <w:t> </w:t>
          </w:r>
          <w:r>
            <w:rPr>
              <w:spacing w:val="3"/>
            </w:rPr>
            <w:t>14：Car-T</w:t>
          </w:r>
          <w:r>
            <w:rPr>
              <w:spacing w:val="-47"/>
            </w:rPr>
            <w:t> </w:t>
          </w:r>
          <w:r>
            <w:rPr/>
            <w:t>制备成本</w:t>
          </w:r>
          <w:r>
            <w:rPr>
              <w:rFonts w:ascii="Times New Roman" w:eastAsia="Times New Roman"/>
            </w:rPr>
            <w:tab/>
          </w:r>
          <w:r>
            <w:rPr>
              <w:spacing w:val="15"/>
            </w:rPr>
            <w:t>21</w:t>
          </w:r>
        </w:p>
        <w:p>
          <w:pPr>
            <w:pStyle w:val="TOC2"/>
            <w:tabs>
              <w:tab w:pos="10192" w:val="left" w:leader="dot"/>
            </w:tabs>
            <w:spacing w:before="17"/>
          </w:pPr>
          <w:r>
            <w:rPr/>
            <w:t>图</w:t>
          </w:r>
          <w:r>
            <w:rPr>
              <w:spacing w:val="-34"/>
            </w:rPr>
            <w:t> </w:t>
          </w:r>
          <w:r>
            <w:rPr>
              <w:spacing w:val="3"/>
            </w:rPr>
            <w:t>15：Car-T</w:t>
          </w:r>
          <w:r>
            <w:rPr>
              <w:spacing w:val="-47"/>
            </w:rPr>
            <w:t> </w:t>
          </w:r>
          <w:r>
            <w:rPr/>
            <w:t>成本敏感性分析</w:t>
          </w:r>
          <w:r>
            <w:rPr>
              <w:rFonts w:ascii="Times New Roman" w:eastAsia="Times New Roman"/>
            </w:rPr>
            <w:tab/>
          </w:r>
          <w:r>
            <w:rPr>
              <w:spacing w:val="15"/>
            </w:rPr>
            <w:t>21</w:t>
          </w:r>
        </w:p>
        <w:p>
          <w:pPr>
            <w:pStyle w:val="TOC2"/>
            <w:tabs>
              <w:tab w:pos="10192" w:val="left" w:leader="dot"/>
            </w:tabs>
          </w:pPr>
          <w:r>
            <w:rPr/>
            <w:t>图</w:t>
          </w:r>
          <w:r>
            <w:rPr>
              <w:spacing w:val="-33"/>
            </w:rPr>
            <w:t> </w:t>
          </w:r>
          <w:r>
            <w:rPr>
              <w:spacing w:val="3"/>
            </w:rPr>
            <w:t>16：Car-T</w:t>
          </w:r>
          <w:r>
            <w:rPr>
              <w:spacing w:val="-48"/>
            </w:rPr>
            <w:t> </w:t>
          </w:r>
          <w:r>
            <w:rPr/>
            <w:t>全球销售额</w:t>
          </w:r>
          <w:r>
            <w:rPr>
              <w:rFonts w:ascii="Times New Roman" w:eastAsia="Times New Roman"/>
            </w:rPr>
            <w:tab/>
          </w:r>
          <w:r>
            <w:rPr>
              <w:spacing w:val="15"/>
            </w:rPr>
            <w:t>22</w:t>
          </w:r>
        </w:p>
        <w:p>
          <w:pPr>
            <w:pStyle w:val="TOC2"/>
            <w:tabs>
              <w:tab w:pos="10192" w:val="left" w:leader="dot"/>
            </w:tabs>
            <w:spacing w:after="20"/>
          </w:pPr>
          <w:r>
            <w:rPr/>
            <w:t>图</w:t>
          </w:r>
          <w:r>
            <w:rPr>
              <w:spacing w:val="-35"/>
            </w:rPr>
            <w:t> </w:t>
          </w:r>
          <w:r>
            <w:rPr>
              <w:spacing w:val="3"/>
            </w:rPr>
            <w:t>17：Car-T</w:t>
          </w:r>
          <w:r>
            <w:rPr>
              <w:spacing w:val="-49"/>
            </w:rPr>
            <w:t> </w:t>
          </w:r>
          <w:r>
            <w:rPr/>
            <w:t>全球销售额与获批医院数量</w:t>
          </w:r>
          <w:r>
            <w:rPr>
              <w:rFonts w:ascii="Times New Roman" w:eastAsia="Times New Roman"/>
            </w:rPr>
            <w:tab/>
          </w:r>
          <w:r>
            <w:rPr>
              <w:spacing w:val="15"/>
            </w:rPr>
            <w:t>23</w:t>
          </w:r>
        </w:p>
        <w:p>
          <w:pPr>
            <w:pStyle w:val="TOC2"/>
            <w:tabs>
              <w:tab w:pos="10432" w:val="right" w:leader="dot"/>
            </w:tabs>
            <w:spacing w:before="89"/>
          </w:pPr>
          <w:r>
            <w:rPr/>
            <w:pict>
              <v:line style="position:absolute;mso-position-horizontal-relative:page;mso-position-vertical-relative:paragraph;z-index:15734272" from="36.549999pt,2.469983pt" to="534.549999pt,2.469983pt" stroked="true" strokeweight="1pt" strokecolor="#a6a6a6">
                <v:stroke dashstyle="solid"/>
                <w10:wrap type="none"/>
              </v:line>
            </w:pict>
          </w:r>
          <w:r>
            <w:rPr/>
            <w:t>图</w:t>
          </w:r>
          <w:r>
            <w:rPr>
              <w:spacing w:val="-32"/>
            </w:rPr>
            <w:t> </w:t>
          </w:r>
          <w:r>
            <w:rPr>
              <w:spacing w:val="3"/>
            </w:rPr>
            <w:t>18：Car-T</w:t>
          </w:r>
          <w:r>
            <w:rPr>
              <w:spacing w:val="-46"/>
            </w:rPr>
            <w:t> </w:t>
          </w:r>
          <w:r>
            <w:rPr/>
            <w:t>医院和销售额回归模型</w:t>
          </w:r>
          <w:r>
            <w:rPr>
              <w:rFonts w:ascii="Times New Roman" w:eastAsia="Times New Roman"/>
            </w:rPr>
            <w:tab/>
          </w:r>
          <w:r>
            <w:rPr>
              <w:spacing w:val="15"/>
            </w:rPr>
            <w:t>24</w:t>
          </w:r>
        </w:p>
        <w:p>
          <w:pPr>
            <w:pStyle w:val="TOC2"/>
            <w:tabs>
              <w:tab w:pos="10432" w:val="right" w:leader="dot"/>
            </w:tabs>
            <w:spacing w:before="2"/>
          </w:pPr>
          <w:r>
            <w:rPr/>
            <w:t>图</w:t>
          </w:r>
          <w:r>
            <w:rPr>
              <w:spacing w:val="-32"/>
            </w:rPr>
            <w:t> </w:t>
          </w:r>
          <w:r>
            <w:rPr>
              <w:spacing w:val="3"/>
            </w:rPr>
            <w:t>19：d(hos)</w:t>
          </w:r>
          <w:r>
            <w:rPr/>
            <w:t>与</w:t>
          </w:r>
          <w:r>
            <w:rPr>
              <w:spacing w:val="-46"/>
            </w:rPr>
            <w:t> </w:t>
          </w:r>
          <w:r>
            <w:rPr/>
            <w:t>sale</w:t>
          </w:r>
          <w:r>
            <w:rPr>
              <w:spacing w:val="-61"/>
            </w:rPr>
            <w:t> </w:t>
          </w:r>
          <w:r>
            <w:rPr/>
            <w:t>均</w:t>
          </w:r>
          <w:r>
            <w:rPr>
              <w:spacing w:val="15"/>
            </w:rPr>
            <w:t>衡</w:t>
          </w:r>
          <w:r>
            <w:rPr/>
            <w:t>关系</w:t>
          </w:r>
          <w:r>
            <w:rPr>
              <w:rFonts w:ascii="Times New Roman" w:eastAsia="Times New Roman"/>
            </w:rPr>
            <w:tab/>
          </w:r>
          <w:r>
            <w:rPr>
              <w:spacing w:val="15"/>
            </w:rPr>
            <w:t>24</w:t>
          </w:r>
        </w:p>
        <w:p>
          <w:pPr>
            <w:pStyle w:val="TOC2"/>
            <w:tabs>
              <w:tab w:pos="10432" w:val="right" w:leader="dot"/>
            </w:tabs>
          </w:pPr>
          <w:r>
            <w:rPr/>
            <w:t>图</w:t>
          </w:r>
          <w:r>
            <w:rPr>
              <w:spacing w:val="-32"/>
            </w:rPr>
            <w:t> </w:t>
          </w:r>
          <w:r>
            <w:rPr>
              <w:spacing w:val="10"/>
            </w:rPr>
            <w:t>20：</w:t>
          </w:r>
          <w:r>
            <w:rPr/>
            <w:t>无法进行格兰杰因果检验</w:t>
          </w:r>
          <w:r>
            <w:rPr>
              <w:rFonts w:ascii="Times New Roman" w:eastAsia="Times New Roman"/>
            </w:rPr>
            <w:tab/>
          </w:r>
          <w:r>
            <w:rPr>
              <w:spacing w:val="15"/>
            </w:rPr>
            <w:t>25</w:t>
          </w:r>
        </w:p>
        <w:p>
          <w:pPr>
            <w:pStyle w:val="TOC2"/>
            <w:tabs>
              <w:tab w:pos="10432" w:val="right" w:leader="dot"/>
            </w:tabs>
          </w:pPr>
          <w:r>
            <w:rPr>
              <w:w w:val="99"/>
            </w:rPr>
            <w:t>图</w:t>
          </w:r>
          <w:r>
            <w:rPr>
              <w:spacing w:val="-31"/>
            </w:rPr>
            <w:t> </w:t>
          </w:r>
          <w:r>
            <w:rPr>
              <w:spacing w:val="15"/>
              <w:w w:val="99"/>
            </w:rPr>
            <w:t>21</w:t>
          </w:r>
          <w:r>
            <w:rPr>
              <w:spacing w:val="-105"/>
              <w:w w:val="99"/>
            </w:rPr>
            <w:t>：</w:t>
          </w:r>
          <w:r>
            <w:rPr>
              <w:w w:val="99"/>
            </w:rPr>
            <w:t>：美国</w:t>
          </w:r>
          <w:r>
            <w:rPr>
              <w:spacing w:val="-61"/>
            </w:rPr>
            <w:t> </w:t>
          </w:r>
          <w:r>
            <w:rPr>
              <w:w w:val="99"/>
            </w:rPr>
            <w:t>M</w:t>
          </w:r>
          <w:r>
            <w:rPr>
              <w:spacing w:val="14"/>
              <w:w w:val="99"/>
            </w:rPr>
            <w:t>e</w:t>
          </w:r>
          <w:r>
            <w:rPr>
              <w:w w:val="99"/>
            </w:rPr>
            <w:t>dicare</w:t>
          </w:r>
          <w:r>
            <w:rPr>
              <w:spacing w:val="-60"/>
            </w:rPr>
            <w:t> </w:t>
          </w:r>
          <w:r>
            <w:rPr>
              <w:w w:val="99"/>
            </w:rPr>
            <w:t>报</w:t>
          </w:r>
          <w:r>
            <w:rPr>
              <w:spacing w:val="15"/>
              <w:w w:val="99"/>
            </w:rPr>
            <w:t>销</w:t>
          </w:r>
          <w:r>
            <w:rPr>
              <w:w w:val="99"/>
            </w:rPr>
            <w:t>流程</w:t>
          </w:r>
          <w:r>
            <w:rPr>
              <w:rFonts w:ascii="Times New Roman" w:eastAsia="Times New Roman"/>
            </w:rPr>
            <w:t> </w:t>
            <w:tab/>
          </w:r>
          <w:r>
            <w:rPr>
              <w:spacing w:val="15"/>
              <w:w w:val="99"/>
            </w:rPr>
            <w:t>26</w:t>
          </w:r>
        </w:p>
        <w:p>
          <w:pPr>
            <w:pStyle w:val="TOC2"/>
            <w:tabs>
              <w:tab w:pos="10432" w:val="right" w:leader="dot"/>
            </w:tabs>
            <w:spacing w:before="16"/>
          </w:pPr>
          <w:r>
            <w:rPr/>
            <w:t>图</w:t>
          </w:r>
          <w:r>
            <w:rPr>
              <w:spacing w:val="-32"/>
            </w:rPr>
            <w:t> </w:t>
          </w:r>
          <w:r>
            <w:rPr>
              <w:spacing w:val="3"/>
            </w:rPr>
            <w:t>22：Car-T</w:t>
          </w:r>
          <w:r>
            <w:rPr>
              <w:spacing w:val="-46"/>
            </w:rPr>
            <w:t> </w:t>
          </w:r>
          <w:r>
            <w:rPr/>
            <w:t>试验及临床招募情况</w:t>
          </w:r>
          <w:r>
            <w:rPr>
              <w:rFonts w:ascii="Times New Roman" w:eastAsia="Times New Roman"/>
            </w:rPr>
            <w:tab/>
          </w:r>
          <w:r>
            <w:rPr>
              <w:spacing w:val="15"/>
            </w:rPr>
            <w:t>28</w:t>
          </w:r>
        </w:p>
        <w:p>
          <w:pPr>
            <w:pStyle w:val="TOC2"/>
            <w:tabs>
              <w:tab w:pos="10432" w:val="right" w:leader="dot"/>
            </w:tabs>
          </w:pPr>
          <w:r>
            <w:rPr/>
            <w:t>图</w:t>
          </w:r>
          <w:r>
            <w:rPr>
              <w:spacing w:val="-32"/>
            </w:rPr>
            <w:t> </w:t>
          </w:r>
          <w:r>
            <w:rPr>
              <w:spacing w:val="10"/>
            </w:rPr>
            <w:t>23：</w:t>
          </w:r>
          <w:r>
            <w:rPr/>
            <w:t>吉利德一般会给予收购标的</w:t>
          </w:r>
          <w:r>
            <w:rPr>
              <w:spacing w:val="15"/>
            </w:rPr>
            <w:t>较</w:t>
          </w:r>
          <w:r>
            <w:rPr/>
            <w:t>高估值</w:t>
          </w:r>
          <w:r>
            <w:rPr>
              <w:rFonts w:ascii="Times New Roman" w:eastAsia="Times New Roman"/>
            </w:rPr>
            <w:tab/>
          </w:r>
          <w:r>
            <w:rPr>
              <w:spacing w:val="15"/>
            </w:rPr>
            <w:t>29</w:t>
          </w:r>
        </w:p>
        <w:p>
          <w:pPr>
            <w:pStyle w:val="TOC2"/>
            <w:tabs>
              <w:tab w:pos="10432" w:val="right" w:leader="dot"/>
            </w:tabs>
          </w:pPr>
          <w:r>
            <w:rPr/>
            <w:t>图</w:t>
          </w:r>
          <w:r>
            <w:rPr>
              <w:spacing w:val="-32"/>
            </w:rPr>
            <w:t> </w:t>
          </w:r>
          <w:r>
            <w:rPr>
              <w:spacing w:val="3"/>
            </w:rPr>
            <w:t>24：Car-T</w:t>
          </w:r>
          <w:r>
            <w:rPr>
              <w:spacing w:val="-46"/>
            </w:rPr>
            <w:t> </w:t>
          </w:r>
          <w:r>
            <w:rPr/>
            <w:t>临床数量对比</w:t>
          </w:r>
          <w:r>
            <w:rPr>
              <w:rFonts w:ascii="Times New Roman" w:eastAsia="Times New Roman"/>
            </w:rPr>
            <w:tab/>
          </w:r>
          <w:r>
            <w:rPr>
              <w:spacing w:val="15"/>
            </w:rPr>
            <w:t>30</w:t>
          </w:r>
        </w:p>
        <w:p>
          <w:pPr>
            <w:pStyle w:val="TOC2"/>
            <w:tabs>
              <w:tab w:pos="10432" w:val="right" w:leader="dot"/>
            </w:tabs>
          </w:pPr>
          <w:r>
            <w:rPr/>
            <w:t>图</w:t>
          </w:r>
          <w:r>
            <w:rPr>
              <w:spacing w:val="-32"/>
            </w:rPr>
            <w:t> </w:t>
          </w:r>
          <w:r>
            <w:rPr>
              <w:spacing w:val="10"/>
            </w:rPr>
            <w:t>25：</w:t>
          </w:r>
          <w:r>
            <w:rPr/>
            <w:t>中国获批开展细胞治疗临床</w:t>
          </w:r>
          <w:r>
            <w:rPr>
              <w:spacing w:val="15"/>
            </w:rPr>
            <w:t>研</w:t>
          </w:r>
          <w:r>
            <w:rPr/>
            <w:t>究医院数</w:t>
          </w:r>
          <w:r>
            <w:rPr>
              <w:rFonts w:ascii="Times New Roman" w:eastAsia="Times New Roman"/>
            </w:rPr>
            <w:tab/>
          </w:r>
          <w:r>
            <w:rPr>
              <w:spacing w:val="15"/>
            </w:rPr>
            <w:t>30</w:t>
          </w:r>
        </w:p>
        <w:p>
          <w:pPr>
            <w:pStyle w:val="TOC2"/>
            <w:tabs>
              <w:tab w:pos="10432" w:val="right" w:leader="dot"/>
            </w:tabs>
            <w:spacing w:before="2"/>
          </w:pPr>
          <w:r>
            <w:rPr/>
            <w:t>图</w:t>
          </w:r>
          <w:r>
            <w:rPr>
              <w:spacing w:val="-32"/>
            </w:rPr>
            <w:t> </w:t>
          </w:r>
          <w:r>
            <w:rPr>
              <w:spacing w:val="10"/>
            </w:rPr>
            <w:t>26：</w:t>
          </w:r>
          <w:r>
            <w:rPr/>
            <w:t>各类肿瘤发病率</w:t>
          </w:r>
          <w:r>
            <w:rPr>
              <w:rFonts w:ascii="Times New Roman" w:eastAsia="Times New Roman"/>
            </w:rPr>
            <w:tab/>
          </w:r>
          <w:r>
            <w:rPr>
              <w:spacing w:val="15"/>
            </w:rPr>
            <w:t>32</w:t>
          </w:r>
        </w:p>
        <w:p>
          <w:pPr>
            <w:pStyle w:val="TOC2"/>
            <w:tabs>
              <w:tab w:pos="10432" w:val="right" w:leader="dot"/>
            </w:tabs>
          </w:pPr>
          <w:r>
            <w:rPr/>
            <w:t>图</w:t>
          </w:r>
          <w:r>
            <w:rPr>
              <w:spacing w:val="-32"/>
            </w:rPr>
            <w:t> </w:t>
          </w:r>
          <w:r>
            <w:rPr>
              <w:spacing w:val="10"/>
            </w:rPr>
            <w:t>27：</w:t>
          </w:r>
          <w:r>
            <w:rPr/>
            <w:t>美国主要</w:t>
          </w:r>
          <w:r>
            <w:rPr>
              <w:spacing w:val="-47"/>
            </w:rPr>
            <w:t> </w:t>
          </w:r>
          <w:r>
            <w:rPr/>
            <w:t>Car-T</w:t>
          </w:r>
          <w:r>
            <w:rPr>
              <w:spacing w:val="-62"/>
            </w:rPr>
            <w:t> </w:t>
          </w:r>
          <w:r>
            <w:rPr/>
            <w:t>治疗</w:t>
          </w:r>
          <w:r>
            <w:rPr>
              <w:spacing w:val="15"/>
            </w:rPr>
            <w:t>医</w:t>
          </w:r>
          <w:r>
            <w:rPr/>
            <w:t>院治疗病人数量</w:t>
          </w:r>
          <w:r>
            <w:rPr>
              <w:rFonts w:ascii="Times New Roman" w:eastAsia="Times New Roman"/>
            </w:rPr>
            <w:tab/>
          </w:r>
          <w:r>
            <w:rPr>
              <w:spacing w:val="15"/>
            </w:rPr>
            <w:t>33</w:t>
          </w:r>
        </w:p>
        <w:p>
          <w:pPr>
            <w:pStyle w:val="TOC2"/>
            <w:spacing w:before="16"/>
          </w:pPr>
          <w:r>
            <w:rPr>
              <w:spacing w:val="-26"/>
            </w:rPr>
            <w:t>图 </w:t>
          </w:r>
          <w:r>
            <w:rPr/>
            <w:t>28：复星医药目前部分进入临床及重要产品管线（</w:t>
          </w:r>
          <w:r>
            <w:rPr>
              <w:spacing w:val="-18"/>
            </w:rPr>
            <w:t>截至 </w:t>
          </w:r>
          <w:r>
            <w:rPr/>
            <w:t>2020</w:t>
          </w:r>
          <w:r>
            <w:rPr>
              <w:spacing w:val="-29"/>
            </w:rPr>
            <w:t> 年 </w:t>
          </w:r>
          <w:r>
            <w:rPr/>
            <w:t>3</w:t>
          </w:r>
          <w:r>
            <w:rPr>
              <w:spacing w:val="-34"/>
            </w:rPr>
            <w:t> 月 </w:t>
          </w:r>
          <w:r>
            <w:rPr/>
            <w:t>23</w:t>
          </w:r>
          <w:r>
            <w:rPr>
              <w:spacing w:val="-25"/>
            </w:rPr>
            <w:t> 日</w:t>
          </w:r>
          <w:r>
            <w:rPr/>
            <w:t>）</w:t>
          </w:r>
        </w:p>
        <w:p>
          <w:pPr>
            <w:pStyle w:val="TOC3"/>
          </w:pPr>
          <w:r>
            <w:rPr>
              <w:spacing w:val="14"/>
            </w:rPr>
            <w:t>..........................................................</w:t>
          </w:r>
          <w:r>
            <w:rPr>
              <w:spacing w:val="-90"/>
            </w:rPr>
            <w:t> </w:t>
          </w:r>
          <w:r>
            <w:rPr>
              <w:spacing w:val="15"/>
            </w:rPr>
            <w:t>34</w:t>
          </w:r>
        </w:p>
        <w:p>
          <w:pPr>
            <w:pStyle w:val="TOC2"/>
            <w:tabs>
              <w:tab w:pos="10432" w:val="right" w:leader="dot"/>
            </w:tabs>
          </w:pPr>
          <w:r>
            <w:rPr/>
            <w:t>图</w:t>
          </w:r>
          <w:r>
            <w:rPr>
              <w:spacing w:val="-32"/>
            </w:rPr>
            <w:t> </w:t>
          </w:r>
          <w:r>
            <w:rPr>
              <w:spacing w:val="10"/>
            </w:rPr>
            <w:t>29：</w:t>
          </w:r>
          <w:r>
            <w:rPr/>
            <w:t>科济生物临床管线</w:t>
          </w:r>
          <w:r>
            <w:rPr>
              <w:rFonts w:ascii="Times New Roman" w:eastAsia="Times New Roman"/>
            </w:rPr>
            <w:tab/>
          </w:r>
          <w:r>
            <w:rPr>
              <w:spacing w:val="15"/>
            </w:rPr>
            <w:t>36</w:t>
          </w:r>
        </w:p>
        <w:p>
          <w:pPr>
            <w:pStyle w:val="TOC2"/>
            <w:tabs>
              <w:tab w:pos="10432" w:val="right" w:leader="dot"/>
            </w:tabs>
          </w:pPr>
          <w:r>
            <w:rPr/>
            <w:t>图</w:t>
          </w:r>
          <w:r>
            <w:rPr>
              <w:spacing w:val="-32"/>
            </w:rPr>
            <w:t> </w:t>
          </w:r>
          <w:r>
            <w:rPr>
              <w:spacing w:val="10"/>
            </w:rPr>
            <w:t>30：</w:t>
          </w:r>
          <w:r>
            <w:rPr/>
            <w:t>斯丹</w:t>
          </w:r>
          <w:r>
            <w:rPr>
              <w:spacing w:val="44"/>
            </w:rPr>
            <w:t>赛</w:t>
          </w:r>
          <w:r>
            <w:rPr>
              <w:spacing w:val="2"/>
            </w:rPr>
            <w:t>Car-T</w:t>
          </w:r>
          <w:r>
            <w:rPr>
              <w:spacing w:val="-62"/>
            </w:rPr>
            <w:t> </w:t>
          </w:r>
          <w:r>
            <w:rPr/>
            <w:t>管线</w:t>
          </w:r>
          <w:r>
            <w:rPr>
              <w:rFonts w:ascii="Times New Roman" w:eastAsia="Times New Roman"/>
            </w:rPr>
            <w:tab/>
          </w:r>
          <w:r>
            <w:rPr>
              <w:spacing w:val="15"/>
            </w:rPr>
            <w:t>37</w:t>
          </w:r>
        </w:p>
        <w:p>
          <w:pPr>
            <w:pStyle w:val="TOC2"/>
            <w:tabs>
              <w:tab w:pos="10432" w:val="right" w:leader="dot"/>
            </w:tabs>
            <w:spacing w:before="2"/>
          </w:pPr>
          <w:r>
            <w:rPr/>
            <w:t>图</w:t>
          </w:r>
          <w:r>
            <w:rPr>
              <w:spacing w:val="-32"/>
            </w:rPr>
            <w:t> </w:t>
          </w:r>
          <w:r>
            <w:rPr>
              <w:spacing w:val="10"/>
            </w:rPr>
            <w:t>31：</w:t>
          </w:r>
          <w:r>
            <w:rPr/>
            <w:t>华道生物</w:t>
          </w:r>
          <w:r>
            <w:rPr>
              <w:spacing w:val="-47"/>
            </w:rPr>
            <w:t> </w:t>
          </w:r>
          <w:r>
            <w:rPr/>
            <w:t>Car-T</w:t>
          </w:r>
          <w:r>
            <w:rPr>
              <w:spacing w:val="-61"/>
            </w:rPr>
            <w:t> </w:t>
          </w:r>
          <w:r>
            <w:rPr/>
            <w:t>管线</w:t>
          </w:r>
          <w:r>
            <w:rPr>
              <w:rFonts w:ascii="Times New Roman" w:eastAsia="Times New Roman"/>
            </w:rPr>
            <w:tab/>
          </w:r>
          <w:r>
            <w:rPr>
              <w:spacing w:val="15"/>
            </w:rPr>
            <w:t>38</w:t>
          </w:r>
        </w:p>
        <w:p>
          <w:pPr>
            <w:pStyle w:val="TOC2"/>
            <w:tabs>
              <w:tab w:pos="10192" w:val="left" w:leader="dot"/>
            </w:tabs>
            <w:spacing w:before="677"/>
          </w:pPr>
          <w:r>
            <w:rPr/>
            <w:t>表</w:t>
          </w:r>
          <w:r>
            <w:rPr>
              <w:spacing w:val="-34"/>
            </w:rPr>
            <w:t> </w:t>
          </w:r>
          <w:r>
            <w:rPr>
              <w:spacing w:val="4"/>
            </w:rPr>
            <w:t>1：Car-T</w:t>
          </w:r>
          <w:r>
            <w:rPr>
              <w:spacing w:val="-50"/>
            </w:rPr>
            <w:t> </w:t>
          </w:r>
          <w:r>
            <w:rPr/>
            <w:t>展现绝对疗效</w:t>
          </w:r>
          <w:r>
            <w:rPr>
              <w:rFonts w:ascii="Times New Roman" w:eastAsia="Times New Roman"/>
            </w:rPr>
            <w:tab/>
          </w:r>
          <w:r>
            <w:rPr/>
            <w:t>9</w:t>
          </w:r>
        </w:p>
        <w:p>
          <w:pPr>
            <w:pStyle w:val="TOC2"/>
            <w:tabs>
              <w:tab w:pos="10192" w:val="left" w:leader="dot"/>
            </w:tabs>
          </w:pPr>
          <w:r>
            <w:rPr/>
            <w:t>表</w:t>
          </w:r>
          <w:r>
            <w:rPr>
              <w:spacing w:val="-35"/>
            </w:rPr>
            <w:t> </w:t>
          </w:r>
          <w:r>
            <w:rPr>
              <w:spacing w:val="2"/>
            </w:rPr>
            <w:t>2：Car-TCD19</w:t>
          </w:r>
          <w:r>
            <w:rPr>
              <w:spacing w:val="-48"/>
            </w:rPr>
            <w:t> </w:t>
          </w:r>
          <w:r>
            <w:rPr/>
            <w:t>意外血液瘤部分靶点研发情况</w:t>
          </w:r>
          <w:r>
            <w:rPr>
              <w:rFonts w:ascii="Times New Roman" w:eastAsia="Times New Roman"/>
            </w:rPr>
            <w:tab/>
          </w:r>
          <w:r>
            <w:rPr>
              <w:spacing w:val="15"/>
            </w:rPr>
            <w:t>12</w:t>
          </w:r>
        </w:p>
        <w:p>
          <w:pPr>
            <w:pStyle w:val="TOC2"/>
            <w:tabs>
              <w:tab w:pos="10192" w:val="left" w:leader="dot"/>
            </w:tabs>
          </w:pPr>
          <w:r>
            <w:rPr/>
            <w:t>表</w:t>
          </w:r>
          <w:r>
            <w:rPr>
              <w:spacing w:val="-34"/>
            </w:rPr>
            <w:t> </w:t>
          </w:r>
          <w:r>
            <w:rPr>
              <w:spacing w:val="14"/>
            </w:rPr>
            <w:t>3：</w:t>
          </w:r>
          <w:r>
            <w:rPr/>
            <w:t>常见实体瘤</w:t>
          </w:r>
          <w:r>
            <w:rPr>
              <w:spacing w:val="-48"/>
            </w:rPr>
            <w:t> </w:t>
          </w:r>
          <w:r>
            <w:rPr/>
            <w:t>CAR-T</w:t>
          </w:r>
          <w:r>
            <w:rPr>
              <w:spacing w:val="-63"/>
            </w:rPr>
            <w:t> </w:t>
          </w:r>
          <w:r>
            <w:rPr/>
            <w:t>靶点</w:t>
          </w:r>
          <w:r>
            <w:rPr>
              <w:rFonts w:ascii="Times New Roman" w:eastAsia="Times New Roman"/>
            </w:rPr>
            <w:tab/>
          </w:r>
          <w:r>
            <w:rPr>
              <w:spacing w:val="15"/>
            </w:rPr>
            <w:t>14</w:t>
          </w:r>
        </w:p>
        <w:p>
          <w:pPr>
            <w:pStyle w:val="TOC2"/>
            <w:tabs>
              <w:tab w:pos="10432" w:val="right" w:leader="dot"/>
            </w:tabs>
          </w:pPr>
          <w:r>
            <w:rPr/>
            <w:t>表</w:t>
          </w:r>
          <w:r>
            <w:rPr>
              <w:spacing w:val="-32"/>
            </w:rPr>
            <w:t> </w:t>
          </w:r>
          <w:r>
            <w:rPr>
              <w:spacing w:val="4"/>
            </w:rPr>
            <w:t>4：Car-T</w:t>
          </w:r>
          <w:r>
            <w:rPr>
              <w:spacing w:val="-47"/>
            </w:rPr>
            <w:t> </w:t>
          </w:r>
          <w:r>
            <w:rPr/>
            <w:t>部分实体瘤进展情况</w:t>
          </w:r>
          <w:r>
            <w:rPr>
              <w:rFonts w:ascii="Times New Roman" w:eastAsia="Times New Roman"/>
            </w:rPr>
            <w:tab/>
          </w:r>
          <w:r>
            <w:rPr>
              <w:spacing w:val="15"/>
            </w:rPr>
            <w:t>15</w:t>
          </w:r>
        </w:p>
        <w:p>
          <w:pPr>
            <w:pStyle w:val="TOC2"/>
            <w:tabs>
              <w:tab w:pos="10432" w:val="right" w:leader="dot"/>
            </w:tabs>
            <w:spacing w:before="2"/>
          </w:pPr>
          <w:r>
            <w:rPr/>
            <w:t>表</w:t>
          </w:r>
          <w:r>
            <w:rPr>
              <w:spacing w:val="-32"/>
            </w:rPr>
            <w:t> </w:t>
          </w:r>
          <w:r>
            <w:rPr>
              <w:spacing w:val="4"/>
            </w:rPr>
            <w:t>5：Car-T</w:t>
          </w:r>
          <w:r>
            <w:rPr>
              <w:spacing w:val="-47"/>
            </w:rPr>
            <w:t> </w:t>
          </w:r>
          <w:r>
            <w:rPr/>
            <w:t>实体瘤新靶点新机制进展</w:t>
          </w:r>
          <w:r>
            <w:rPr>
              <w:rFonts w:ascii="Times New Roman" w:eastAsia="Times New Roman"/>
            </w:rPr>
            <w:tab/>
          </w:r>
          <w:r>
            <w:rPr>
              <w:spacing w:val="15"/>
            </w:rPr>
            <w:t>16</w:t>
          </w:r>
        </w:p>
        <w:p>
          <w:pPr>
            <w:pStyle w:val="TOC2"/>
            <w:tabs>
              <w:tab w:pos="10432" w:val="right" w:leader="dot"/>
            </w:tabs>
            <w:spacing w:before="0"/>
          </w:pPr>
          <w:r>
            <w:rPr/>
            <w:t>表</w:t>
          </w:r>
          <w:r>
            <w:rPr>
              <w:spacing w:val="-32"/>
            </w:rPr>
            <w:t> </w:t>
          </w:r>
          <w:r>
            <w:rPr>
              <w:spacing w:val="4"/>
            </w:rPr>
            <w:t>6：Car-T</w:t>
          </w:r>
          <w:r>
            <w:rPr>
              <w:spacing w:val="-47"/>
            </w:rPr>
            <w:t> </w:t>
          </w:r>
          <w:r>
            <w:rPr/>
            <w:t>常见不良反应</w:t>
          </w:r>
          <w:r>
            <w:rPr>
              <w:rFonts w:ascii="Times New Roman" w:eastAsia="Times New Roman"/>
            </w:rPr>
            <w:tab/>
          </w:r>
          <w:r>
            <w:rPr>
              <w:spacing w:val="15"/>
            </w:rPr>
            <w:t>17</w:t>
          </w:r>
        </w:p>
        <w:p>
          <w:pPr>
            <w:pStyle w:val="TOC2"/>
            <w:tabs>
              <w:tab w:pos="10432" w:val="right" w:leader="dot"/>
            </w:tabs>
            <w:spacing w:before="17"/>
          </w:pPr>
          <w:r>
            <w:rPr/>
            <w:t>表</w:t>
          </w:r>
          <w:r>
            <w:rPr>
              <w:spacing w:val="-32"/>
            </w:rPr>
            <w:t> </w:t>
          </w:r>
          <w:r>
            <w:rPr>
              <w:spacing w:val="4"/>
            </w:rPr>
            <w:t>7：Car-T</w:t>
          </w:r>
          <w:r>
            <w:rPr>
              <w:spacing w:val="-47"/>
            </w:rPr>
            <w:t> </w:t>
          </w:r>
          <w:r>
            <w:rPr/>
            <w:t>主要不良反应治疗手段</w:t>
          </w:r>
          <w:r>
            <w:rPr>
              <w:rFonts w:ascii="Times New Roman" w:eastAsia="Times New Roman"/>
            </w:rPr>
            <w:tab/>
          </w:r>
          <w:r>
            <w:rPr>
              <w:spacing w:val="15"/>
            </w:rPr>
            <w:t>17</w:t>
          </w:r>
        </w:p>
        <w:p>
          <w:pPr>
            <w:pStyle w:val="TOC2"/>
            <w:tabs>
              <w:tab w:pos="10432" w:val="right" w:leader="dot"/>
            </w:tabs>
          </w:pPr>
          <w:r>
            <w:rPr/>
            <w:t>表</w:t>
          </w:r>
          <w:r>
            <w:rPr>
              <w:spacing w:val="-32"/>
            </w:rPr>
            <w:t> </w:t>
          </w:r>
          <w:r>
            <w:rPr>
              <w:spacing w:val="4"/>
            </w:rPr>
            <w:t>8：Car-T</w:t>
          </w:r>
          <w:r>
            <w:rPr>
              <w:spacing w:val="-47"/>
            </w:rPr>
            <w:t> </w:t>
          </w:r>
          <w:r>
            <w:rPr/>
            <w:t>生产各阶段遇到的挑战及解决方案</w:t>
          </w:r>
          <w:r>
            <w:rPr>
              <w:rFonts w:ascii="Times New Roman" w:eastAsia="Times New Roman"/>
            </w:rPr>
            <w:tab/>
          </w:r>
          <w:r>
            <w:rPr>
              <w:spacing w:val="15"/>
            </w:rPr>
            <w:t>19</w:t>
          </w:r>
        </w:p>
        <w:p>
          <w:pPr>
            <w:pStyle w:val="TOC2"/>
            <w:tabs>
              <w:tab w:pos="10432" w:val="right" w:leader="dot"/>
            </w:tabs>
          </w:pPr>
          <w:r>
            <w:rPr/>
            <w:t>表</w:t>
          </w:r>
          <w:r>
            <w:rPr>
              <w:spacing w:val="-32"/>
            </w:rPr>
            <w:t> </w:t>
          </w:r>
          <w:r>
            <w:rPr>
              <w:spacing w:val="2"/>
            </w:rPr>
            <w:t>9：Medicare</w:t>
          </w:r>
          <w:r>
            <w:rPr>
              <w:spacing w:val="-31"/>
            </w:rPr>
            <w:t> </w:t>
          </w:r>
          <w:r>
            <w:rPr>
              <w:spacing w:val="9"/>
            </w:rPr>
            <w:t>PartA</w:t>
          </w:r>
          <w:r>
            <w:rPr/>
            <w:t>、B</w:t>
          </w:r>
          <w:r>
            <w:rPr>
              <w:spacing w:val="-62"/>
            </w:rPr>
            <w:t> </w:t>
          </w:r>
          <w:r>
            <w:rPr/>
            <w:t>具体保费、</w:t>
          </w:r>
          <w:r>
            <w:rPr>
              <w:spacing w:val="15"/>
            </w:rPr>
            <w:t>报</w:t>
          </w:r>
          <w:r>
            <w:rPr/>
            <w:t>销情况</w:t>
          </w:r>
          <w:r>
            <w:rPr>
              <w:rFonts w:ascii="Times New Roman" w:eastAsia="Times New Roman"/>
            </w:rPr>
            <w:tab/>
          </w:r>
          <w:r>
            <w:rPr>
              <w:spacing w:val="15"/>
            </w:rPr>
            <w:t>26</w:t>
          </w:r>
        </w:p>
        <w:p>
          <w:pPr>
            <w:pStyle w:val="TOC2"/>
            <w:tabs>
              <w:tab w:pos="10432" w:val="right" w:leader="dot"/>
            </w:tabs>
          </w:pPr>
          <w:r>
            <w:rPr/>
            <w:t>表</w:t>
          </w:r>
          <w:r>
            <w:rPr>
              <w:spacing w:val="-32"/>
            </w:rPr>
            <w:t> </w:t>
          </w:r>
          <w:r>
            <w:rPr>
              <w:spacing w:val="3"/>
            </w:rPr>
            <w:t>10：Car-T</w:t>
          </w:r>
          <w:r>
            <w:rPr>
              <w:spacing w:val="-46"/>
            </w:rPr>
            <w:t> </w:t>
          </w:r>
          <w:r>
            <w:rPr/>
            <w:t>骨髓瘤药品经济学分析</w:t>
          </w:r>
          <w:r>
            <w:rPr>
              <w:rFonts w:ascii="Times New Roman" w:eastAsia="Times New Roman"/>
            </w:rPr>
            <w:tab/>
          </w:r>
          <w:r>
            <w:rPr>
              <w:spacing w:val="15"/>
            </w:rPr>
            <w:t>31</w:t>
          </w:r>
        </w:p>
        <w:p>
          <w:pPr>
            <w:pStyle w:val="TOC2"/>
            <w:tabs>
              <w:tab w:pos="10432" w:val="right" w:leader="dot"/>
            </w:tabs>
            <w:spacing w:before="2"/>
          </w:pPr>
          <w:r>
            <w:rPr/>
            <w:t>表</w:t>
          </w:r>
          <w:r>
            <w:rPr>
              <w:spacing w:val="-32"/>
            </w:rPr>
            <w:t> </w:t>
          </w:r>
          <w:r>
            <w:rPr>
              <w:spacing w:val="3"/>
            </w:rPr>
            <w:t>11：Car-T</w:t>
          </w:r>
          <w:r>
            <w:rPr>
              <w:spacing w:val="-46"/>
            </w:rPr>
            <w:t> </w:t>
          </w:r>
          <w:r>
            <w:rPr/>
            <w:t>中国市场天花板测算</w:t>
          </w:r>
          <w:r>
            <w:rPr>
              <w:rFonts w:ascii="Times New Roman" w:eastAsia="Times New Roman"/>
            </w:rPr>
            <w:tab/>
          </w:r>
          <w:r>
            <w:rPr>
              <w:spacing w:val="15"/>
            </w:rPr>
            <w:t>32</w:t>
          </w:r>
        </w:p>
        <w:p>
          <w:pPr>
            <w:pStyle w:val="TOC2"/>
            <w:tabs>
              <w:tab w:pos="10432" w:val="right" w:leader="dot"/>
            </w:tabs>
          </w:pPr>
          <w:r>
            <w:rPr/>
            <w:t>表</w:t>
          </w:r>
          <w:r>
            <w:rPr>
              <w:spacing w:val="-32"/>
            </w:rPr>
            <w:t> </w:t>
          </w:r>
          <w:r>
            <w:rPr>
              <w:spacing w:val="10"/>
            </w:rPr>
            <w:t>12：</w:t>
          </w:r>
          <w:r>
            <w:rPr/>
            <w:t>初始定价</w:t>
          </w:r>
          <w:r>
            <w:rPr>
              <w:spacing w:val="-47"/>
            </w:rPr>
            <w:t> </w:t>
          </w:r>
          <w:r>
            <w:rPr/>
            <w:t>100</w:t>
          </w:r>
          <w:r>
            <w:rPr>
              <w:spacing w:val="-63"/>
            </w:rPr>
            <w:t> </w:t>
          </w:r>
          <w:r>
            <w:rPr/>
            <w:t>万元时</w:t>
          </w:r>
          <w:r>
            <w:rPr>
              <w:spacing w:val="-46"/>
            </w:rPr>
            <w:t> </w:t>
          </w:r>
          <w:r>
            <w:rPr/>
            <w:t>Car-T</w:t>
          </w:r>
          <w:r>
            <w:rPr>
              <w:spacing w:val="-46"/>
            </w:rPr>
            <w:t> </w:t>
          </w:r>
          <w:r>
            <w:rPr/>
            <w:t>销售预测</w:t>
          </w:r>
          <w:r>
            <w:rPr>
              <w:rFonts w:ascii="Times New Roman" w:eastAsia="Times New Roman"/>
            </w:rPr>
            <w:tab/>
          </w:r>
          <w:r>
            <w:rPr>
              <w:spacing w:val="15"/>
            </w:rPr>
            <w:t>33</w:t>
          </w:r>
        </w:p>
      </w:sdtContent>
    </w:sdt>
    <w:p>
      <w:pPr>
        <w:spacing w:after="0"/>
        <w:sectPr>
          <w:type w:val="continuous"/>
          <w:pgSz w:w="11910" w:h="16850"/>
          <w:pgMar w:top="1357" w:bottom="1857" w:left="260" w:right="300"/>
        </w:sectPr>
      </w:pPr>
    </w:p>
    <w:p>
      <w:pPr>
        <w:pStyle w:val="Heading2"/>
        <w:spacing w:before="16"/>
        <w:ind w:left="3164"/>
      </w:pPr>
      <w:r>
        <w:rPr>
          <w:spacing w:val="-18"/>
        </w:rPr>
        <w:t>表 </w:t>
      </w:r>
      <w:r>
        <w:rPr>
          <w:spacing w:val="10"/>
        </w:rPr>
        <w:t>13</w:t>
      </w:r>
      <w:r>
        <w:rPr>
          <w:spacing w:val="-7"/>
        </w:rPr>
        <w:t>：南京传奇生物 </w:t>
      </w:r>
      <w:r>
        <w:rPr/>
        <w:t>Car-T</w:t>
      </w:r>
      <w:r>
        <w:rPr>
          <w:spacing w:val="-8"/>
        </w:rPr>
        <w:t> 部分产品临床情况</w:t>
      </w:r>
      <w:r>
        <w:rPr/>
        <w:t>（</w:t>
      </w:r>
      <w:r>
        <w:rPr>
          <w:spacing w:val="-17"/>
        </w:rPr>
        <w:t>截至 </w:t>
      </w:r>
      <w:r>
        <w:rPr/>
        <w:t>2020</w:t>
      </w:r>
      <w:r>
        <w:rPr>
          <w:spacing w:val="-38"/>
        </w:rPr>
        <w:t> 年 </w:t>
      </w:r>
      <w:r>
        <w:rPr/>
        <w:t>3</w:t>
      </w:r>
      <w:r>
        <w:rPr>
          <w:spacing w:val="-38"/>
        </w:rPr>
        <w:t> 月 </w:t>
      </w:r>
      <w:r>
        <w:rPr/>
        <w:t>23</w:t>
      </w:r>
      <w:r>
        <w:rPr>
          <w:spacing w:val="-25"/>
        </w:rPr>
        <w:t> 日</w:t>
      </w:r>
      <w:r>
        <w:rPr/>
        <w:t>）</w:t>
      </w:r>
      <w:r>
        <w:rPr>
          <w:spacing w:val="-63"/>
        </w:rPr>
        <w:t> </w:t>
      </w:r>
      <w:r>
        <w:rPr>
          <w:spacing w:val="15"/>
        </w:rPr>
        <w:t>.35</w:t>
      </w:r>
    </w:p>
    <w:p>
      <w:pPr>
        <w:spacing w:after="0"/>
        <w:sectPr>
          <w:type w:val="continuous"/>
          <w:pgSz w:w="11910" w:h="16850"/>
          <w:pgMar w:top="1340" w:bottom="1480" w:left="260" w:right="300"/>
        </w:sectPr>
      </w:pPr>
    </w:p>
    <w:p>
      <w:pPr>
        <w:pStyle w:val="BodyText"/>
        <w:spacing w:before="1"/>
        <w:rPr>
          <w:b/>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spacing w:before="30"/>
        <w:ind w:left="3164" w:right="0" w:firstLine="0"/>
        <w:jc w:val="left"/>
        <w:rPr>
          <w:b/>
          <w:sz w:val="21"/>
        </w:rPr>
      </w:pPr>
      <w:r>
        <w:rPr>
          <w:b/>
          <w:sz w:val="21"/>
        </w:rPr>
        <w:t>写在前面：</w:t>
      </w:r>
    </w:p>
    <w:p>
      <w:pPr>
        <w:pStyle w:val="BodyText"/>
        <w:spacing w:before="8"/>
        <w:rPr>
          <w:b/>
          <w:sz w:val="17"/>
        </w:rPr>
      </w:pPr>
    </w:p>
    <w:p>
      <w:pPr>
        <w:pStyle w:val="BodyText"/>
        <w:spacing w:line="321" w:lineRule="auto"/>
        <w:ind w:left="3164" w:right="778"/>
        <w:jc w:val="both"/>
      </w:pPr>
      <w:r>
        <w:rPr>
          <w:spacing w:val="-5"/>
        </w:rPr>
        <w:t>我们预计未来 </w:t>
      </w:r>
      <w:r>
        <w:rPr/>
        <w:t>Car-T</w:t>
      </w:r>
      <w:r>
        <w:rPr>
          <w:spacing w:val="-6"/>
        </w:rPr>
        <w:t> 行业将逐步淘汰不达标企业，进入行业龙头逐步确立时期。</w:t>
      </w:r>
      <w:r>
        <w:rPr>
          <w:spacing w:val="-9"/>
        </w:rPr>
        <w:t>在本报告中，我们主要针对市场对于 </w:t>
      </w:r>
      <w:r>
        <w:rPr/>
        <w:t>Car-T</w:t>
      </w:r>
      <w:r>
        <w:rPr>
          <w:spacing w:val="-7"/>
        </w:rPr>
        <w:t> 产品的一些疑惑进行了回答：</w:t>
      </w:r>
    </w:p>
    <w:p>
      <w:pPr>
        <w:pStyle w:val="BodyText"/>
        <w:spacing w:line="328" w:lineRule="auto" w:before="135"/>
        <w:ind w:left="3164" w:right="871"/>
        <w:jc w:val="both"/>
      </w:pPr>
      <w:r>
        <w:rPr>
          <w:spacing w:val="-4"/>
        </w:rPr>
        <w:t>针对市场关心的 </w:t>
      </w:r>
      <w:r>
        <w:rPr/>
        <w:t>Car-T</w:t>
      </w:r>
      <w:r>
        <w:rPr>
          <w:spacing w:val="-8"/>
        </w:rPr>
        <w:t> 目前适应症上有所局限的问题，我们梳理了 </w:t>
      </w:r>
      <w:r>
        <w:rPr/>
        <w:t>Car-T</w:t>
      </w:r>
      <w:r>
        <w:rPr>
          <w:spacing w:val="-20"/>
        </w:rPr>
        <w:t> 在 </w:t>
      </w:r>
      <w:r>
        <w:rPr/>
        <w:t>1) </w:t>
      </w:r>
      <w:r>
        <w:rPr>
          <w:spacing w:val="-6"/>
        </w:rPr>
        <w:t>血液瘤上除 </w:t>
      </w:r>
      <w:r>
        <w:rPr/>
        <w:t>CD19</w:t>
      </w:r>
      <w:r>
        <w:rPr>
          <w:spacing w:val="-6"/>
        </w:rPr>
        <w:t> 外的热门靶点研发情况，</w:t>
      </w:r>
      <w:r>
        <w:rPr/>
        <w:t>2)实体瘤上的挑战及应对策略，并梳</w:t>
      </w:r>
      <w:r>
        <w:rPr>
          <w:spacing w:val="-10"/>
        </w:rPr>
        <w:t>理了部分 </w:t>
      </w:r>
      <w:r>
        <w:rPr/>
        <w:t>Car-T</w:t>
      </w:r>
      <w:r>
        <w:rPr>
          <w:spacing w:val="-7"/>
        </w:rPr>
        <w:t> 在实体瘤上的研究及临床进展。</w:t>
      </w:r>
    </w:p>
    <w:p>
      <w:pPr>
        <w:pStyle w:val="BodyText"/>
        <w:spacing w:line="328" w:lineRule="auto" w:before="110"/>
        <w:ind w:left="3164" w:right="870"/>
        <w:jc w:val="both"/>
      </w:pPr>
      <w:r>
        <w:rPr>
          <w:spacing w:val="-6"/>
        </w:rPr>
        <w:t>针对市场关心的 </w:t>
      </w:r>
      <w:r>
        <w:rPr/>
        <w:t>Car-T</w:t>
      </w:r>
      <w:r>
        <w:rPr>
          <w:spacing w:val="-14"/>
        </w:rPr>
        <w:t> 临床副作用较大的问题，我们详细地梳理了目前 </w:t>
      </w:r>
      <w:r>
        <w:rPr>
          <w:spacing w:val="-3"/>
        </w:rPr>
        <w:t>Car-T</w:t>
      </w:r>
      <w:r>
        <w:rPr>
          <w:spacing w:val="-23"/>
        </w:rPr>
        <w:t> 治疗的主要临床不良反应及主要治疗方式，论证了随着临床医生对 </w:t>
      </w:r>
      <w:r>
        <w:rPr/>
        <w:t>Car-T</w:t>
      </w:r>
      <w:r>
        <w:rPr>
          <w:spacing w:val="-10"/>
        </w:rPr>
        <w:t> 治疗的逐渐掌握，Car-T</w:t>
      </w:r>
      <w:r>
        <w:rPr>
          <w:spacing w:val="-7"/>
        </w:rPr>
        <w:t> 正变得越来越安全。</w:t>
      </w:r>
    </w:p>
    <w:p>
      <w:pPr>
        <w:pStyle w:val="BodyText"/>
        <w:spacing w:line="328" w:lineRule="auto" w:before="126"/>
        <w:ind w:left="3164" w:right="866"/>
        <w:jc w:val="both"/>
      </w:pPr>
      <w:r>
        <w:rPr>
          <w:spacing w:val="-6"/>
        </w:rPr>
        <w:t>我们详细地介绍了 </w:t>
      </w:r>
      <w:r>
        <w:rPr/>
        <w:t>Car-T</w:t>
      </w:r>
      <w:r>
        <w:rPr>
          <w:spacing w:val="-10"/>
        </w:rPr>
        <w:t> 的生产工艺、生产各阶段遇到的挑战及解决方案，分析</w:t>
      </w:r>
      <w:r>
        <w:rPr>
          <w:spacing w:val="-28"/>
        </w:rPr>
        <w:t>了 </w:t>
      </w:r>
      <w:r>
        <w:rPr/>
        <w:t>Car-T</w:t>
      </w:r>
      <w:r>
        <w:rPr>
          <w:spacing w:val="-13"/>
        </w:rPr>
        <w:t> 的生产成本，论述了 </w:t>
      </w:r>
      <w:r>
        <w:rPr/>
        <w:t>Car-T</w:t>
      </w:r>
      <w:r>
        <w:rPr>
          <w:spacing w:val="-10"/>
        </w:rPr>
        <w:t> 生产难度大、成本高，且需要强大的上下游整合能力，有助于企业形成生产竞争壁垒。</w:t>
      </w:r>
    </w:p>
    <w:p>
      <w:pPr>
        <w:pStyle w:val="BodyText"/>
        <w:spacing w:line="331" w:lineRule="auto" w:before="110"/>
        <w:ind w:left="3164" w:right="864"/>
        <w:jc w:val="both"/>
      </w:pPr>
      <w:r>
        <w:rPr>
          <w:spacing w:val="-5"/>
        </w:rPr>
        <w:t>针对目前市场上对于 </w:t>
      </w:r>
      <w:r>
        <w:rPr/>
        <w:t>Car-T</w:t>
      </w:r>
      <w:r>
        <w:rPr>
          <w:spacing w:val="-12"/>
        </w:rPr>
        <w:t> 商业化前景持怀疑的态度，我们通过数理模型论述了Car-T</w:t>
      </w:r>
      <w:r>
        <w:rPr>
          <w:spacing w:val="-10"/>
        </w:rPr>
        <w:t> 现阶段商业不及预期主要由于 </w:t>
      </w:r>
      <w:r>
        <w:rPr>
          <w:spacing w:val="-8"/>
        </w:rPr>
        <w:t>1）</w:t>
      </w:r>
      <w:r>
        <w:rPr>
          <w:spacing w:val="-2"/>
        </w:rPr>
        <w:t>受限于可开展治疗医院有限；</w:t>
      </w:r>
      <w:r>
        <w:rPr>
          <w:spacing w:val="-16"/>
        </w:rPr>
        <w:t>2）</w:t>
      </w:r>
      <w:r>
        <w:rPr/>
        <w:t>现有美国医保支付政策降低了医生使用商业化产品积极性；</w:t>
      </w:r>
      <w:r>
        <w:rPr>
          <w:spacing w:val="3"/>
        </w:rPr>
        <w:t>3）</w:t>
      </w:r>
      <w:r>
        <w:rPr/>
        <w:t>整个生产、使用环节有较高的损耗。</w:t>
      </w:r>
    </w:p>
    <w:p>
      <w:pPr>
        <w:pStyle w:val="BodyText"/>
        <w:spacing w:line="328" w:lineRule="auto" w:before="106"/>
        <w:ind w:left="3164" w:right="865"/>
        <w:jc w:val="both"/>
      </w:pPr>
      <w:r>
        <w:rPr>
          <w:spacing w:val="-4"/>
        </w:rPr>
        <w:t>我们详细地阐明了我们看好 </w:t>
      </w:r>
      <w:r>
        <w:rPr/>
        <w:t>Car-T</w:t>
      </w:r>
      <w:r>
        <w:rPr>
          <w:spacing w:val="-11"/>
        </w:rPr>
        <w:t> 行业长期发展的理由，并且通过药品经济学的</w:t>
      </w:r>
      <w:r>
        <w:rPr>
          <w:spacing w:val="-10"/>
        </w:rPr>
        <w:t>方法测算了 </w:t>
      </w:r>
      <w:r>
        <w:rPr/>
        <w:t>Car-T 产品未来在不同定价策略下的市场天花板及上市后的预测销售额情况。</w:t>
      </w:r>
    </w:p>
    <w:p>
      <w:pPr>
        <w:spacing w:after="0" w:line="328"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ListParagraph"/>
        <w:numPr>
          <w:ilvl w:val="0"/>
          <w:numId w:val="6"/>
        </w:numPr>
        <w:tabs>
          <w:tab w:pos="3330" w:val="left" w:leader="none"/>
        </w:tabs>
        <w:spacing w:line="328" w:lineRule="auto" w:before="30" w:after="0"/>
        <w:ind w:left="3164" w:right="866" w:firstLine="0"/>
        <w:jc w:val="both"/>
        <w:rPr>
          <w:sz w:val="21"/>
        </w:rPr>
      </w:pPr>
      <w:r>
        <w:rPr>
          <w:spacing w:val="-23"/>
          <w:sz w:val="21"/>
        </w:rPr>
        <w:t>月 </w:t>
      </w:r>
      <w:r>
        <w:rPr>
          <w:sz w:val="21"/>
        </w:rPr>
        <w:t>24</w:t>
      </w:r>
      <w:r>
        <w:rPr>
          <w:spacing w:val="-14"/>
          <w:sz w:val="21"/>
        </w:rPr>
        <w:t> 日，复星医药发布公告，合营公司复星凯特的益基利仑赛注射液</w:t>
      </w:r>
      <w:r>
        <w:rPr>
          <w:sz w:val="21"/>
        </w:rPr>
        <w:t>（拟定） </w:t>
      </w:r>
      <w:r>
        <w:rPr>
          <w:spacing w:val="-2"/>
          <w:sz w:val="21"/>
        </w:rPr>
        <w:t>获得国家药监局药品上市注册审评受理，由于 </w:t>
      </w:r>
      <w:r>
        <w:rPr>
          <w:sz w:val="21"/>
        </w:rPr>
        <w:t>YesCarta</w:t>
      </w:r>
      <w:r>
        <w:rPr>
          <w:spacing w:val="-6"/>
          <w:sz w:val="21"/>
        </w:rPr>
        <w:t> 为从海外引进的成熟产</w:t>
      </w:r>
      <w:r>
        <w:rPr>
          <w:spacing w:val="-18"/>
          <w:sz w:val="21"/>
        </w:rPr>
        <w:t>品，在海外有大量临床试验，在国内仅需要做桥接临床试验，整体申报流程较快。</w:t>
      </w:r>
      <w:r>
        <w:rPr>
          <w:spacing w:val="-20"/>
          <w:sz w:val="21"/>
        </w:rPr>
        <w:t>本次申报的适应症为成人复发难治性大 </w:t>
      </w:r>
      <w:r>
        <w:rPr>
          <w:sz w:val="21"/>
        </w:rPr>
        <w:t>B</w:t>
      </w:r>
      <w:r>
        <w:rPr>
          <w:spacing w:val="-15"/>
          <w:sz w:val="21"/>
        </w:rPr>
        <w:t> 细胞淋巴瘤治疗</w:t>
      </w:r>
      <w:r>
        <w:rPr>
          <w:sz w:val="21"/>
        </w:rPr>
        <w:t>（</w:t>
      </w:r>
      <w:r>
        <w:rPr>
          <w:spacing w:val="-9"/>
          <w:sz w:val="21"/>
        </w:rPr>
        <w:t>包括弥漫性大 </w:t>
      </w:r>
      <w:r>
        <w:rPr>
          <w:sz w:val="21"/>
        </w:rPr>
        <w:t>B</w:t>
      </w:r>
      <w:r>
        <w:rPr>
          <w:spacing w:val="-16"/>
          <w:sz w:val="21"/>
        </w:rPr>
        <w:t> 细胞淋巴瘤</w:t>
      </w:r>
      <w:r>
        <w:rPr>
          <w:spacing w:val="-1"/>
          <w:sz w:val="21"/>
        </w:rPr>
        <w:t>（</w:t>
      </w:r>
      <w:r>
        <w:rPr>
          <w:sz w:val="21"/>
        </w:rPr>
        <w:t>DLBCL）</w:t>
      </w:r>
      <w:r>
        <w:rPr>
          <w:spacing w:val="-5"/>
          <w:sz w:val="21"/>
        </w:rPr>
        <w:t>非特指型、原发性纵隔 </w:t>
      </w:r>
      <w:r>
        <w:rPr>
          <w:sz w:val="21"/>
        </w:rPr>
        <w:t>B</w:t>
      </w:r>
      <w:r>
        <w:rPr>
          <w:spacing w:val="-9"/>
          <w:sz w:val="21"/>
        </w:rPr>
        <w:t> 细胞淋巴瘤</w:t>
      </w:r>
      <w:r>
        <w:rPr>
          <w:spacing w:val="-2"/>
          <w:sz w:val="21"/>
        </w:rPr>
        <w:t>（</w:t>
      </w:r>
      <w:r>
        <w:rPr>
          <w:sz w:val="21"/>
        </w:rPr>
        <w:t>PMBC</w:t>
      </w:r>
      <w:r>
        <w:rPr>
          <w:spacing w:val="1"/>
          <w:sz w:val="21"/>
        </w:rPr>
        <w:t>L</w:t>
      </w:r>
      <w:r>
        <w:rPr>
          <w:spacing w:val="-105"/>
          <w:sz w:val="21"/>
        </w:rPr>
        <w:t>）</w:t>
      </w:r>
      <w:r>
        <w:rPr>
          <w:spacing w:val="-9"/>
          <w:sz w:val="21"/>
        </w:rPr>
        <w:t>、高级别 </w:t>
      </w:r>
      <w:r>
        <w:rPr>
          <w:sz w:val="21"/>
        </w:rPr>
        <w:t>B</w:t>
      </w:r>
      <w:r>
        <w:rPr>
          <w:spacing w:val="-16"/>
          <w:sz w:val="21"/>
        </w:rPr>
        <w:t> 细胞</w:t>
      </w:r>
      <w:r>
        <w:rPr>
          <w:spacing w:val="-19"/>
          <w:sz w:val="21"/>
        </w:rPr>
        <w:t>淋巴瘤和滤泡淋巴瘤转化的 </w:t>
      </w:r>
      <w:r>
        <w:rPr>
          <w:sz w:val="21"/>
        </w:rPr>
        <w:t>DLBCL</w:t>
      </w:r>
      <w:r>
        <w:rPr>
          <w:spacing w:val="-105"/>
          <w:sz w:val="21"/>
        </w:rPr>
        <w:t>）。</w:t>
      </w:r>
    </w:p>
    <w:p>
      <w:pPr>
        <w:spacing w:line="328" w:lineRule="auto" w:before="115"/>
        <w:ind w:left="3164" w:right="861" w:firstLine="0"/>
        <w:jc w:val="both"/>
        <w:rPr>
          <w:b/>
          <w:sz w:val="21"/>
        </w:rPr>
      </w:pPr>
      <w:r>
        <w:rPr>
          <w:b/>
          <w:spacing w:val="-15"/>
          <w:sz w:val="21"/>
        </w:rPr>
        <w:t>在国内 </w:t>
      </w:r>
      <w:r>
        <w:rPr>
          <w:b/>
          <w:sz w:val="21"/>
        </w:rPr>
        <w:t>CAR-T</w:t>
      </w:r>
      <w:r>
        <w:rPr>
          <w:b/>
          <w:spacing w:val="-13"/>
          <w:sz w:val="21"/>
        </w:rPr>
        <w:t> 领域，复星凯特可谓拔得头筹，并且预示着我国免疫治疗进入了又</w:t>
      </w:r>
      <w:r>
        <w:rPr>
          <w:b/>
          <w:w w:val="99"/>
          <w:sz w:val="21"/>
        </w:rPr>
        <w:t>一世代。</w:t>
      </w:r>
      <w:r>
        <w:rPr>
          <w:sz w:val="21"/>
        </w:rPr>
        <w:t>CAR-T</w:t>
      </w:r>
      <w:r>
        <w:rPr>
          <w:spacing w:val="-8"/>
          <w:sz w:val="21"/>
        </w:rPr>
        <w:t> 疗法作为有别于传统药物的“活药”，不仅对复发、难治性肿瘤</w:t>
      </w:r>
      <w:r>
        <w:rPr>
          <w:spacing w:val="-10"/>
          <w:sz w:val="21"/>
        </w:rPr>
        <w:t>患者表现出了突破性疗效，其生产体系和使用场景</w:t>
      </w:r>
      <w:r>
        <w:rPr>
          <w:sz w:val="21"/>
        </w:rPr>
        <w:t>（不具备除菌过滤的特性</w:t>
      </w:r>
      <w:r>
        <w:rPr>
          <w:spacing w:val="-15"/>
          <w:sz w:val="21"/>
        </w:rPr>
        <w:t>）</w:t>
      </w:r>
      <w:r>
        <w:rPr>
          <w:sz w:val="21"/>
        </w:rPr>
        <w:t>也</w:t>
      </w:r>
      <w:r>
        <w:rPr>
          <w:spacing w:val="-6"/>
          <w:sz w:val="21"/>
        </w:rPr>
        <w:t>有别于普通药物，市场上对其应用范围与前景仍报有诸多疑问与不解。</w:t>
      </w:r>
      <w:r>
        <w:rPr>
          <w:b/>
          <w:sz w:val="21"/>
        </w:rPr>
        <w:t>鉴于当下</w:t>
      </w:r>
      <w:r>
        <w:rPr>
          <w:b/>
          <w:spacing w:val="-8"/>
          <w:sz w:val="21"/>
        </w:rPr>
        <w:t>生物技术的更新速度，预计 </w:t>
      </w:r>
      <w:r>
        <w:rPr>
          <w:b/>
          <w:sz w:val="21"/>
        </w:rPr>
        <w:t>CAR-T</w:t>
      </w:r>
      <w:r>
        <w:rPr>
          <w:b/>
          <w:spacing w:val="-12"/>
          <w:sz w:val="21"/>
        </w:rPr>
        <w:t> 疗法还将带给市场更多惊喜。同时，从药明巨</w:t>
      </w:r>
      <w:r>
        <w:rPr>
          <w:b/>
          <w:spacing w:val="-9"/>
          <w:w w:val="95"/>
          <w:sz w:val="21"/>
        </w:rPr>
        <w:t>诺、复星凯特引进国外生产工艺和质量控制体系后到本次正式报产，我国监管机  </w:t>
      </w:r>
      <w:r>
        <w:rPr>
          <w:b/>
          <w:spacing w:val="-4"/>
          <w:sz w:val="21"/>
        </w:rPr>
        <w:t>构对整个生产过程以及无菌性保证有了更充分的认识，近期发布的《</w:t>
      </w:r>
      <w:r>
        <w:rPr>
          <w:b/>
          <w:sz w:val="21"/>
        </w:rPr>
        <w:t>GMP</w:t>
      </w:r>
      <w:r>
        <w:rPr>
          <w:b/>
          <w:spacing w:val="-6"/>
          <w:sz w:val="21"/>
        </w:rPr>
        <w:t> 附录- </w:t>
      </w:r>
      <w:r>
        <w:rPr>
          <w:b/>
          <w:spacing w:val="-18"/>
          <w:sz w:val="21"/>
        </w:rPr>
        <w:t>细胞治疗产品》、《人用基因治疗制品总论-中国药典 </w:t>
      </w:r>
      <w:r>
        <w:rPr>
          <w:b/>
          <w:spacing w:val="3"/>
          <w:sz w:val="21"/>
        </w:rPr>
        <w:t>2020</w:t>
      </w:r>
      <w:r>
        <w:rPr>
          <w:b/>
          <w:spacing w:val="-6"/>
          <w:sz w:val="21"/>
        </w:rPr>
        <w:t>》直接提高了 </w:t>
      </w:r>
      <w:r>
        <w:rPr>
          <w:b/>
          <w:sz w:val="21"/>
        </w:rPr>
        <w:t>ATMP</w:t>
      </w:r>
      <w:r>
        <w:rPr>
          <w:b/>
          <w:spacing w:val="-21"/>
          <w:sz w:val="21"/>
        </w:rPr>
        <w:t> 行</w:t>
      </w:r>
      <w:r>
        <w:rPr>
          <w:b/>
          <w:sz w:val="21"/>
        </w:rPr>
        <w:t>业门槛，行业将逐步淘汰不达标企业，行业龙头将开始确立。</w:t>
      </w:r>
    </w:p>
    <w:p>
      <w:pPr>
        <w:pStyle w:val="BodyText"/>
        <w:spacing w:line="321" w:lineRule="auto" w:before="121"/>
        <w:ind w:left="3164" w:right="866"/>
        <w:jc w:val="both"/>
      </w:pPr>
      <w:r>
        <w:rPr>
          <w:spacing w:val="-8"/>
        </w:rPr>
        <w:t>本报告拟从 </w:t>
      </w:r>
      <w:r>
        <w:rPr/>
        <w:t>CAR-T</w:t>
      </w:r>
      <w:r>
        <w:rPr>
          <w:spacing w:val="-13"/>
        </w:rPr>
        <w:t> 疗法技术入手，分析 </w:t>
      </w:r>
      <w:r>
        <w:rPr>
          <w:spacing w:val="-3"/>
        </w:rPr>
        <w:t>CAR-T</w:t>
      </w:r>
      <w:r>
        <w:rPr>
          <w:spacing w:val="-9"/>
        </w:rPr>
        <w:t> 疗法的局限性及研发方向、制备上工艺以及商业化前景。</w:t>
      </w:r>
    </w:p>
    <w:p>
      <w:pPr>
        <w:pStyle w:val="BodyText"/>
        <w:rPr>
          <w:sz w:val="20"/>
        </w:rPr>
      </w:pPr>
    </w:p>
    <w:p>
      <w:pPr>
        <w:pStyle w:val="BodyText"/>
        <w:spacing w:before="12"/>
        <w:rPr>
          <w:sz w:val="14"/>
        </w:rPr>
      </w:pPr>
    </w:p>
    <w:p>
      <w:pPr>
        <w:pStyle w:val="Heading2"/>
        <w:tabs>
          <w:tab w:pos="10568" w:val="left" w:leader="none"/>
        </w:tabs>
      </w:pPr>
      <w:r>
        <w:rPr>
          <w:rFonts w:ascii="Times New Roman" w:eastAsia="Times New Roman"/>
          <w:color w:val="FFFFFF"/>
          <w:shd w:fill="A11D04" w:color="auto" w:val="clear"/>
        </w:rPr>
        <w:t>  </w:t>
      </w:r>
      <w:r>
        <w:rPr>
          <w:color w:val="FFFFFF"/>
          <w:shd w:fill="A11D04" w:color="auto" w:val="clear"/>
        </w:rPr>
        <w:t>图</w:t>
      </w:r>
      <w:r>
        <w:rPr>
          <w:color w:val="FFFFFF"/>
          <w:spacing w:val="-37"/>
          <w:shd w:fill="A11D04" w:color="auto" w:val="clear"/>
        </w:rPr>
        <w:t> </w:t>
      </w:r>
      <w:r>
        <w:rPr>
          <w:color w:val="FFFFFF"/>
          <w:spacing w:val="14"/>
          <w:shd w:fill="A11D04" w:color="auto" w:val="clear"/>
        </w:rPr>
        <w:t>1：</w:t>
      </w:r>
      <w:r>
        <w:rPr>
          <w:color w:val="FFFFFF"/>
          <w:shd w:fill="A11D04" w:color="auto" w:val="clear"/>
        </w:rPr>
        <w:t>嵌合抗原受体</w:t>
      </w:r>
      <w:r>
        <w:rPr>
          <w:color w:val="FFFFFF"/>
          <w:spacing w:val="-50"/>
          <w:shd w:fill="A11D04" w:color="auto" w:val="clear"/>
        </w:rPr>
        <w:t> </w:t>
      </w:r>
      <w:r>
        <w:rPr>
          <w:color w:val="FFFFFF"/>
          <w:shd w:fill="A11D04" w:color="auto" w:val="clear"/>
        </w:rPr>
        <w:t>T</w:t>
      </w:r>
      <w:r>
        <w:rPr>
          <w:color w:val="FFFFFF"/>
          <w:spacing w:val="-64"/>
          <w:shd w:fill="A11D04" w:color="auto" w:val="clear"/>
        </w:rPr>
        <w:t> </w:t>
      </w:r>
      <w:r>
        <w:rPr>
          <w:color w:val="FFFFFF"/>
          <w:shd w:fill="A11D04" w:color="auto" w:val="clear"/>
        </w:rPr>
        <w:t>细胞免疫疗法</w:t>
        <w:tab/>
      </w:r>
    </w:p>
    <w:p>
      <w:pPr>
        <w:pStyle w:val="BodyText"/>
        <w:spacing w:before="6"/>
        <w:rPr>
          <w:b/>
          <w:sz w:val="27"/>
        </w:rPr>
      </w:pPr>
      <w:r>
        <w:rPr/>
        <w:drawing>
          <wp:anchor distT="0" distB="0" distL="0" distR="0" allowOverlap="1" layoutInCell="1" locked="0" behindDoc="0" simplePos="0" relativeHeight="14">
            <wp:simplePos x="0" y="0"/>
            <wp:positionH relativeFrom="page">
              <wp:posOffset>2403541</wp:posOffset>
            </wp:positionH>
            <wp:positionV relativeFrom="paragraph">
              <wp:posOffset>248570</wp:posOffset>
            </wp:positionV>
            <wp:extent cx="4296224" cy="173088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4296224" cy="1730883"/>
                    </a:xfrm>
                    <a:prstGeom prst="rect">
                      <a:avLst/>
                    </a:prstGeom>
                  </pic:spPr>
                </pic:pic>
              </a:graphicData>
            </a:graphic>
          </wp:anchor>
        </w:drawing>
      </w:r>
      <w:r>
        <w:rPr/>
        <w:pict>
          <v:rect style="position:absolute;margin-left:165.949997pt;margin-top:168.227661pt;width:375.47pt;height:.75pt;mso-position-horizontal-relative:page;mso-position-vertical-relative:paragraph;z-index:-15720960;mso-wrap-distance-left:0;mso-wrap-distance-right:0" filled="true" fillcolor="#a11d04" stroked="false">
            <v:fill type="solid"/>
            <w10:wrap type="topAndBottom"/>
          </v:rect>
        </w:pict>
      </w:r>
    </w:p>
    <w:p>
      <w:pPr>
        <w:pStyle w:val="BodyText"/>
        <w:spacing w:before="12"/>
        <w:rPr>
          <w:b/>
          <w:sz w:val="13"/>
        </w:rPr>
      </w:pPr>
    </w:p>
    <w:p>
      <w:pPr>
        <w:spacing w:before="31"/>
        <w:ind w:left="3164" w:right="0" w:firstLine="0"/>
        <w:jc w:val="left"/>
        <w:rPr>
          <w:b/>
          <w:sz w:val="15"/>
        </w:rPr>
      </w:pPr>
      <w:r>
        <w:rPr>
          <w:b/>
          <w:sz w:val="15"/>
        </w:rPr>
        <w:t>数据来源：财通证券研究所</w:t>
      </w:r>
    </w:p>
    <w:p>
      <w:pPr>
        <w:pStyle w:val="BodyText"/>
        <w:rPr>
          <w:b/>
          <w:sz w:val="20"/>
        </w:rPr>
      </w:pPr>
    </w:p>
    <w:p>
      <w:pPr>
        <w:pStyle w:val="BodyText"/>
        <w:rPr>
          <w:b/>
          <w:sz w:val="20"/>
        </w:rPr>
      </w:pPr>
    </w:p>
    <w:p>
      <w:pPr>
        <w:pStyle w:val="BodyText"/>
        <w:spacing w:before="4"/>
        <w:rPr>
          <w:b/>
          <w:sz w:val="18"/>
        </w:rPr>
      </w:pPr>
    </w:p>
    <w:p>
      <w:pPr>
        <w:pStyle w:val="Heading1"/>
        <w:spacing w:before="66"/>
        <w:jc w:val="both"/>
      </w:pPr>
      <w:bookmarkStart w:name="_TOC_250023" w:id="1"/>
      <w:bookmarkEnd w:id="1"/>
      <w:r>
        <w:rPr/>
        <w:t>1、 Car-T，肿瘤治疗的下一代疗法</w:t>
      </w:r>
    </w:p>
    <w:p>
      <w:pPr>
        <w:pStyle w:val="BodyText"/>
        <w:spacing w:line="331" w:lineRule="auto" w:before="203"/>
        <w:ind w:left="3164" w:right="787"/>
        <w:jc w:val="both"/>
      </w:pPr>
      <w:r>
        <w:rPr>
          <w:spacing w:val="-4"/>
        </w:rPr>
        <w:t>如果把近代医学比作人类文明发展的皇冠，免疫治疗</w:t>
      </w:r>
      <w:r>
        <w:rPr/>
        <w:t>（通过激发人体免疫系统从而识别和杀死恶性肿瘤细胞的治疗</w:t>
      </w:r>
      <w:r>
        <w:rPr>
          <w:spacing w:val="-30"/>
        </w:rPr>
        <w:t>）</w:t>
      </w:r>
      <w:r>
        <w:rPr>
          <w:spacing w:val="-2"/>
        </w:rPr>
        <w:t>可谓是皇冠上的一颗璀璨的明珠，免疫疗法</w:t>
      </w:r>
      <w:r>
        <w:rPr>
          <w:spacing w:val="-5"/>
        </w:rPr>
        <w:t>的发展彻底改变了传统癌症治疗的手段，扩展了医生们的治疗手段。癌症免疫疗</w:t>
      </w:r>
      <w:r>
        <w:rPr>
          <w:spacing w:val="-4"/>
        </w:rPr>
        <w:t>法多种多样，包括单克隆抗体、淋巴细胞活化细胞因子、癌症疫苗、溶瘤病毒、</w:t>
      </w:r>
    </w:p>
    <w:p>
      <w:pPr>
        <w:spacing w:after="0" w:line="331"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31" w:lineRule="auto" w:before="30"/>
        <w:ind w:left="3164" w:right="761"/>
      </w:pPr>
      <w:r>
        <w:rPr>
          <w:spacing w:val="-13"/>
        </w:rPr>
        <w:t>双特异性抗体、过继性 </w:t>
      </w:r>
      <w:r>
        <w:rPr/>
        <w:t>T</w:t>
      </w:r>
      <w:r>
        <w:rPr>
          <w:spacing w:val="-13"/>
        </w:rPr>
        <w:t> 细胞疗法，这些治疗手段都是癌症治疗领域发展的热点， </w:t>
      </w:r>
      <w:r>
        <w:rPr>
          <w:spacing w:val="-15"/>
        </w:rPr>
        <w:t>并且拥有极大提升患者愈后甚至痊愈的可能性。近年来，随着癌症治疗检测技术不断提升，新靶点、新机理不断发现，各类免疫治疗快速发展，Car-T</w:t>
      </w:r>
      <w:r>
        <w:rPr>
          <w:spacing w:val="-10"/>
        </w:rPr>
        <w:t> 疗法更可谓其中佼佼者。</w:t>
      </w:r>
    </w:p>
    <w:p>
      <w:pPr>
        <w:pStyle w:val="BodyText"/>
        <w:rPr>
          <w:sz w:val="20"/>
        </w:rPr>
      </w:pPr>
    </w:p>
    <w:p>
      <w:pPr>
        <w:pStyle w:val="BodyText"/>
        <w:spacing w:before="12"/>
        <w:rPr>
          <w:sz w:val="19"/>
        </w:rPr>
      </w:pPr>
    </w:p>
    <w:p>
      <w:pPr>
        <w:pStyle w:val="Heading2"/>
        <w:tabs>
          <w:tab w:pos="10568" w:val="left" w:leader="none"/>
        </w:tabs>
        <w:spacing w:before="0"/>
      </w:pPr>
      <w:r>
        <w:rPr/>
        <w:pict>
          <v:group style="position:absolute;margin-left:165.949997pt;margin-top:15.000017pt;width:375.5pt;height:306.3pt;mso-position-horizontal-relative:page;mso-position-vertical-relative:paragraph;z-index:-15719936;mso-wrap-distance-left:0;mso-wrap-distance-right:0" coordorigin="3319,300" coordsize="7510,6126">
            <v:rect style="position:absolute;left:3319;top:6410;width:7510;height:15" filled="true" fillcolor="#a11d04" stroked="false">
              <v:fill type="solid"/>
            </v:rect>
            <v:shape style="position:absolute;left:3419;top:300;width:7291;height:6096" type="#_x0000_t75" stroked="false">
              <v:imagedata r:id="rId12" o:title=""/>
            </v:shape>
            <w10:wrap type="topAndBottom"/>
          </v:group>
        </w:pict>
      </w:r>
      <w:r>
        <w:rPr>
          <w:rFonts w:ascii="Times New Roman" w:eastAsia="Times New Roman"/>
          <w:color w:val="FFFFFF"/>
          <w:shd w:fill="A11D04" w:color="auto" w:val="clear"/>
        </w:rPr>
        <w:t>  </w:t>
      </w:r>
      <w:r>
        <w:rPr>
          <w:color w:val="FFFFFF"/>
          <w:shd w:fill="A11D04" w:color="auto" w:val="clear"/>
        </w:rPr>
        <w:t>图</w:t>
      </w:r>
      <w:r>
        <w:rPr>
          <w:color w:val="FFFFFF"/>
          <w:spacing w:val="-41"/>
          <w:shd w:fill="A11D04" w:color="auto" w:val="clear"/>
        </w:rPr>
        <w:t> </w:t>
      </w:r>
      <w:r>
        <w:rPr>
          <w:color w:val="FFFFFF"/>
          <w:spacing w:val="14"/>
          <w:shd w:fill="A11D04" w:color="auto" w:val="clear"/>
        </w:rPr>
        <w:t>2：</w:t>
      </w:r>
      <w:r>
        <w:rPr>
          <w:color w:val="FFFFFF"/>
          <w:shd w:fill="A11D04" w:color="auto" w:val="clear"/>
        </w:rPr>
        <w:t>全球热点靶点研究情况</w:t>
        <w:tab/>
      </w:r>
    </w:p>
    <w:p>
      <w:pPr>
        <w:spacing w:before="16"/>
        <w:ind w:left="3164" w:right="0" w:firstLine="0"/>
        <w:jc w:val="left"/>
        <w:rPr>
          <w:b/>
          <w:sz w:val="15"/>
        </w:rPr>
      </w:pPr>
      <w:r>
        <w:rPr>
          <w:b/>
          <w:spacing w:val="8"/>
          <w:sz w:val="15"/>
        </w:rPr>
        <w:t>数据来源：</w:t>
      </w:r>
      <w:r>
        <w:rPr>
          <w:b/>
          <w:sz w:val="15"/>
        </w:rPr>
        <w:t>Nature </w:t>
      </w:r>
      <w:r>
        <w:rPr>
          <w:b/>
          <w:spacing w:val="7"/>
          <w:sz w:val="15"/>
        </w:rPr>
        <w:t>re</w:t>
      </w:r>
      <w:r>
        <w:rPr>
          <w:b/>
          <w:spacing w:val="-61"/>
          <w:sz w:val="15"/>
        </w:rPr>
        <w:t> </w:t>
      </w:r>
      <w:r>
        <w:rPr>
          <w:b/>
          <w:sz w:val="15"/>
        </w:rPr>
        <w:t>view：Immuno-oncology </w:t>
      </w:r>
      <w:r>
        <w:rPr>
          <w:b/>
          <w:spacing w:val="7"/>
          <w:sz w:val="15"/>
        </w:rPr>
        <w:t>dr</w:t>
      </w:r>
      <w:r>
        <w:rPr>
          <w:b/>
          <w:spacing w:val="-61"/>
          <w:sz w:val="15"/>
        </w:rPr>
        <w:t> </w:t>
      </w:r>
      <w:r>
        <w:rPr>
          <w:b/>
          <w:sz w:val="15"/>
        </w:rPr>
        <w:t>ug d</w:t>
      </w:r>
      <w:r>
        <w:rPr>
          <w:b/>
          <w:spacing w:val="-61"/>
          <w:sz w:val="15"/>
        </w:rPr>
        <w:t> </w:t>
      </w:r>
      <w:r>
        <w:rPr>
          <w:b/>
          <w:sz w:val="15"/>
        </w:rPr>
        <w:t>evelopment g</w:t>
      </w:r>
      <w:r>
        <w:rPr>
          <w:b/>
          <w:spacing w:val="-61"/>
          <w:sz w:val="15"/>
        </w:rPr>
        <w:t> </w:t>
      </w:r>
      <w:r>
        <w:rPr>
          <w:b/>
          <w:sz w:val="15"/>
        </w:rPr>
        <w:t>oes g</w:t>
      </w:r>
      <w:r>
        <w:rPr>
          <w:b/>
          <w:spacing w:val="-61"/>
          <w:sz w:val="15"/>
        </w:rPr>
        <w:t> </w:t>
      </w:r>
      <w:r>
        <w:rPr>
          <w:b/>
          <w:sz w:val="15"/>
        </w:rPr>
        <w:t>lo</w:t>
      </w:r>
      <w:r>
        <w:rPr>
          <w:b/>
          <w:spacing w:val="-61"/>
          <w:sz w:val="15"/>
        </w:rPr>
        <w:t> </w:t>
      </w:r>
      <w:r>
        <w:rPr>
          <w:b/>
          <w:sz w:val="15"/>
        </w:rPr>
        <w:t>bal，财通证券研究所</w:t>
      </w:r>
    </w:p>
    <w:p>
      <w:pPr>
        <w:pStyle w:val="BodyText"/>
        <w:rPr>
          <w:b/>
          <w:sz w:val="20"/>
        </w:rPr>
      </w:pPr>
    </w:p>
    <w:p>
      <w:pPr>
        <w:pStyle w:val="BodyText"/>
        <w:spacing w:before="8"/>
        <w:rPr>
          <w:b/>
          <w:sz w:val="28"/>
        </w:rPr>
      </w:pPr>
    </w:p>
    <w:p>
      <w:pPr>
        <w:pStyle w:val="BodyText"/>
        <w:spacing w:line="331" w:lineRule="auto" w:before="71"/>
        <w:ind w:left="3164" w:right="866"/>
        <w:jc w:val="both"/>
      </w:pPr>
      <w:r>
        <w:rPr>
          <w:spacing w:val="-15"/>
        </w:rPr>
        <w:t>由于 </w:t>
      </w:r>
      <w:r>
        <w:rPr/>
        <w:t>T</w:t>
      </w:r>
      <w:r>
        <w:rPr>
          <w:spacing w:val="-8"/>
        </w:rPr>
        <w:t> 细胞是体内抗癌的主力，</w:t>
      </w:r>
      <w:r>
        <w:rPr>
          <w:spacing w:val="-9"/>
        </w:rPr>
        <w:t>T</w:t>
      </w:r>
      <w:r>
        <w:rPr>
          <w:spacing w:val="-7"/>
        </w:rPr>
        <w:t> 细胞治疗一直被认为是治愈癌症最具前景的方</w:t>
      </w:r>
      <w:r>
        <w:rPr>
          <w:spacing w:val="-13"/>
        </w:rPr>
        <w:t>向之一。由于 </w:t>
      </w:r>
      <w:r>
        <w:rPr/>
        <w:t>T</w:t>
      </w:r>
      <w:r>
        <w:rPr>
          <w:spacing w:val="-10"/>
        </w:rPr>
        <w:t> 细胞受体</w:t>
      </w:r>
      <w:r>
        <w:rPr/>
        <w:t>（TCR）</w:t>
      </w:r>
      <w:r>
        <w:rPr>
          <w:spacing w:val="-4"/>
        </w:rPr>
        <w:t>一般在主要组织相容性复合体 </w:t>
      </w:r>
      <w:r>
        <w:rPr/>
        <w:t>MHC</w:t>
      </w:r>
      <w:r>
        <w:rPr>
          <w:spacing w:val="-9"/>
        </w:rPr>
        <w:t> 出现的情况</w:t>
      </w:r>
      <w:r>
        <w:rPr>
          <w:spacing w:val="-11"/>
        </w:rPr>
        <w:t>下才能被激活，而肿瘤细胞有调低 </w:t>
      </w:r>
      <w:r>
        <w:rPr/>
        <w:t>MHC classI</w:t>
      </w:r>
      <w:r>
        <w:rPr>
          <w:spacing w:val="-6"/>
        </w:rPr>
        <w:t> 分子表达的能力从而避免被免疫</w:t>
      </w:r>
      <w:r>
        <w:rPr>
          <w:spacing w:val="-9"/>
        </w:rPr>
        <w:t>系统识别，肿瘤细胞也能逃过 </w:t>
      </w:r>
      <w:r>
        <w:rPr/>
        <w:t>TCR</w:t>
      </w:r>
      <w:r>
        <w:rPr>
          <w:spacing w:val="-14"/>
        </w:rPr>
        <w:t> 的识别。为了克服 </w:t>
      </w:r>
      <w:r>
        <w:rPr/>
        <w:t>TCR</w:t>
      </w:r>
      <w:r>
        <w:rPr>
          <w:spacing w:val="-9"/>
        </w:rPr>
        <w:t> 的这一限制，嵌合抗原受体（Car）就这样应运而生。</w:t>
      </w:r>
    </w:p>
    <w:p>
      <w:pPr>
        <w:pStyle w:val="BodyText"/>
        <w:spacing w:line="331" w:lineRule="auto" w:before="110"/>
        <w:ind w:left="3164" w:right="867"/>
        <w:jc w:val="both"/>
      </w:pPr>
      <w:r>
        <w:rPr/>
        <w:t>Car-T（Chimeric antigen receptor T cell，</w:t>
      </w:r>
      <w:r>
        <w:rPr>
          <w:spacing w:val="-5"/>
        </w:rPr>
        <w:t>嵌合抗原受体 </w:t>
      </w:r>
      <w:r>
        <w:rPr/>
        <w:t>T</w:t>
      </w:r>
      <w:r>
        <w:rPr>
          <w:spacing w:val="-10"/>
        </w:rPr>
        <w:t> 细胞</w:t>
      </w:r>
      <w:r>
        <w:rPr/>
        <w:t>）疗法，是</w:t>
      </w:r>
      <w:r>
        <w:rPr>
          <w:spacing w:val="-2"/>
        </w:rPr>
        <w:t>指通过基因克隆技术对具有免疫球蛋白</w:t>
      </w:r>
      <w:r>
        <w:rPr>
          <w:spacing w:val="-9"/>
        </w:rPr>
        <w:t>（Ig）</w:t>
      </w:r>
      <w:r>
        <w:rPr>
          <w:spacing w:val="-6"/>
        </w:rPr>
        <w:t>的抗原结合区的 </w:t>
      </w:r>
      <w:r>
        <w:rPr/>
        <w:t>T</w:t>
      </w:r>
      <w:r>
        <w:rPr>
          <w:spacing w:val="-7"/>
        </w:rPr>
        <w:t> 细胞受体的进行</w:t>
      </w:r>
      <w:r>
        <w:rPr>
          <w:spacing w:val="-12"/>
        </w:rPr>
        <w:t>基因改造，将带有特异性抗原识别结构域及 </w:t>
      </w:r>
      <w:r>
        <w:rPr/>
        <w:t>T</w:t>
      </w:r>
      <w:r>
        <w:rPr>
          <w:spacing w:val="-4"/>
        </w:rPr>
        <w:t> 细胞激活信号的遗传物质转入</w:t>
      </w:r>
      <w:r>
        <w:rPr/>
        <w:t>T</w:t>
      </w:r>
      <w:r>
        <w:rPr>
          <w:spacing w:val="-23"/>
        </w:rPr>
        <w:t> 细</w:t>
      </w:r>
      <w:r>
        <w:rPr>
          <w:spacing w:val="-29"/>
        </w:rPr>
        <w:t>胞，使 </w:t>
      </w:r>
      <w:r>
        <w:rPr/>
        <w:t>T</w:t>
      </w:r>
      <w:r>
        <w:rPr>
          <w:spacing w:val="-7"/>
        </w:rPr>
        <w:t> 细胞直接与肿瘤细胞表面的特异性抗原相结合而被激活。</w:t>
      </w:r>
    </w:p>
    <w:p>
      <w:pPr>
        <w:pStyle w:val="BodyText"/>
        <w:spacing w:line="336" w:lineRule="auto" w:before="106"/>
        <w:ind w:left="3164" w:right="868"/>
        <w:jc w:val="both"/>
      </w:pPr>
      <w:r>
        <w:rPr/>
        <w:t>Car</w:t>
      </w:r>
      <w:r>
        <w:rPr>
          <w:spacing w:val="-7"/>
        </w:rPr>
        <w:t> 的基本结构包括一个肿瘤相关抗原</w:t>
      </w:r>
      <w:r>
        <w:rPr/>
        <w:t>（tumor-associated antigen,TAA）结合区（</w:t>
      </w:r>
      <w:r>
        <w:rPr>
          <w:spacing w:val="-2"/>
        </w:rPr>
        <w:t>通常来源于单克隆抗体抗原结合区域的 </w:t>
      </w:r>
      <w:r>
        <w:rPr/>
        <w:t>ScFv</w:t>
      </w:r>
      <w:r>
        <w:rPr>
          <w:spacing w:val="-15"/>
        </w:rPr>
        <w:t> 段</w:t>
      </w:r>
      <w:r>
        <w:rPr>
          <w:spacing w:val="-105"/>
        </w:rPr>
        <w:t>）</w:t>
      </w:r>
      <w:r>
        <w:rPr/>
        <w:t>，一个胞外铰链区</w:t>
      </w:r>
      <w:r>
        <w:rPr>
          <w:spacing w:val="-2"/>
        </w:rPr>
        <w:t>（</w:t>
      </w:r>
      <w:r>
        <w:rPr/>
        <w:t>Hinge</w:t>
      </w:r>
    </w:p>
    <w:p>
      <w:pPr>
        <w:spacing w:after="0" w:line="336"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898"/>
        <w:jc w:val="both"/>
      </w:pPr>
      <w:r>
        <w:rPr/>
        <w:t>are</w:t>
      </w:r>
      <w:r>
        <w:rPr>
          <w:spacing w:val="1"/>
        </w:rPr>
        <w:t>a</w:t>
      </w:r>
      <w:r>
        <w:rPr>
          <w:spacing w:val="-105"/>
        </w:rPr>
        <w:t>）</w:t>
      </w:r>
      <w:r>
        <w:rPr/>
        <w:t>，一个跨膜区</w:t>
      </w:r>
      <w:r>
        <w:rPr>
          <w:spacing w:val="-2"/>
        </w:rPr>
        <w:t>（</w:t>
      </w:r>
      <w:r>
        <w:rPr/>
        <w:t>Transmembrane regio</w:t>
      </w:r>
      <w:r>
        <w:rPr>
          <w:spacing w:val="16"/>
        </w:rPr>
        <w:t>n</w:t>
      </w:r>
      <w:r>
        <w:rPr/>
        <w:t>）和一个胞内免疫受体酪氨酸活化基序（Immuno receptor tyrosin</w:t>
      </w:r>
      <w:r>
        <w:rPr>
          <w:spacing w:val="1"/>
        </w:rPr>
        <w:t>e</w:t>
      </w:r>
      <w:r>
        <w:rPr/>
        <w:t>-based activation motif,ITA</w:t>
      </w:r>
      <w:r>
        <w:rPr>
          <w:spacing w:val="1"/>
        </w:rPr>
        <w:t>M</w:t>
      </w:r>
      <w:r>
        <w:rPr>
          <w:spacing w:val="-91"/>
        </w:rPr>
        <w:t>）</w:t>
      </w:r>
      <w:r>
        <w:rPr>
          <w:spacing w:val="-3"/>
        </w:rPr>
        <w:t>。嵌合抗原</w:t>
      </w:r>
      <w:r>
        <w:rPr/>
        <w:t>受体（Car）</w:t>
      </w:r>
      <w:r>
        <w:rPr>
          <w:spacing w:val="-23"/>
        </w:rPr>
        <w:t>是 </w:t>
      </w:r>
      <w:r>
        <w:rPr/>
        <w:t>Car-T</w:t>
      </w:r>
      <w:r>
        <w:rPr>
          <w:spacing w:val="-8"/>
        </w:rPr>
        <w:t> 的核心部件。</w:t>
      </w:r>
    </w:p>
    <w:p>
      <w:pPr>
        <w:pStyle w:val="BodyText"/>
        <w:rPr>
          <w:sz w:val="20"/>
        </w:rPr>
      </w:pPr>
    </w:p>
    <w:p>
      <w:pPr>
        <w:pStyle w:val="BodyText"/>
        <w:rPr>
          <w:sz w:val="16"/>
        </w:rPr>
      </w:pPr>
      <w:r>
        <w:rPr/>
        <w:pict>
          <v:shape style="position:absolute;margin-left:165.949997pt;margin-top:11.473281pt;width:368.7pt;height:17.25pt;mso-position-horizontal-relative:page;mso-position-vertical-relative:paragraph;z-index:-15718912;mso-wrap-distance-left:0;mso-wrap-distance-right:0" type="#_x0000_t202" filled="true" fillcolor="#a11d04" stroked="false">
            <v:textbox inset="0,0,0,0">
              <w:txbxContent>
                <w:p>
                  <w:pPr>
                    <w:spacing w:before="30"/>
                    <w:ind w:left="105" w:right="0" w:firstLine="0"/>
                    <w:jc w:val="left"/>
                    <w:rPr>
                      <w:b/>
                      <w:sz w:val="21"/>
                    </w:rPr>
                  </w:pPr>
                  <w:r>
                    <w:rPr>
                      <w:b/>
                      <w:color w:val="FFFFFF"/>
                      <w:sz w:val="21"/>
                    </w:rPr>
                    <w:t>图 3：Car-T 结构域</w:t>
                  </w:r>
                </w:p>
              </w:txbxContent>
            </v:textbox>
            <v:fill type="solid"/>
            <w10:wrap type="topAndBottom"/>
          </v:shape>
        </w:pict>
      </w:r>
    </w:p>
    <w:p>
      <w:pPr>
        <w:pStyle w:val="BodyText"/>
        <w:spacing w:before="4"/>
        <w:rPr>
          <w:sz w:val="3"/>
        </w:rPr>
      </w:pPr>
    </w:p>
    <w:p>
      <w:pPr>
        <w:pStyle w:val="BodyText"/>
        <w:ind w:left="5409"/>
        <w:rPr>
          <w:sz w:val="20"/>
        </w:rPr>
      </w:pPr>
      <w:r>
        <w:rPr>
          <w:sz w:val="20"/>
        </w:rPr>
        <w:drawing>
          <wp:inline distT="0" distB="0" distL="0" distR="0">
            <wp:extent cx="1671958" cy="1965959"/>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13" cstate="print"/>
                    <a:stretch>
                      <a:fillRect/>
                    </a:stretch>
                  </pic:blipFill>
                  <pic:spPr>
                    <a:xfrm>
                      <a:off x="0" y="0"/>
                      <a:ext cx="1671958" cy="1965959"/>
                    </a:xfrm>
                    <a:prstGeom prst="rect">
                      <a:avLst/>
                    </a:prstGeom>
                  </pic:spPr>
                </pic:pic>
              </a:graphicData>
            </a:graphic>
          </wp:inline>
        </w:drawing>
      </w:r>
      <w:r>
        <w:rPr>
          <w:sz w:val="20"/>
        </w:rPr>
      </w:r>
    </w:p>
    <w:p>
      <w:pPr>
        <w:pStyle w:val="BodyText"/>
        <w:spacing w:before="10"/>
        <w:rPr>
          <w:sz w:val="9"/>
        </w:rPr>
      </w:pPr>
      <w:r>
        <w:rPr/>
        <w:pict>
          <v:rect style="position:absolute;margin-left:165.949997pt;margin-top:8.228125pt;width:368.7pt;height:.75pt;mso-position-horizontal-relative:page;mso-position-vertical-relative:paragraph;z-index:-15718400;mso-wrap-distance-left:0;mso-wrap-distance-right:0" filled="true" fillcolor="#a11d04" stroked="false">
            <v:fill type="solid"/>
            <w10:wrap type="topAndBottom"/>
          </v:rect>
        </w:pict>
      </w:r>
    </w:p>
    <w:p>
      <w:pPr>
        <w:spacing w:before="31"/>
        <w:ind w:left="3164" w:right="0" w:firstLine="0"/>
        <w:jc w:val="left"/>
        <w:rPr>
          <w:b/>
          <w:sz w:val="15"/>
        </w:rPr>
      </w:pPr>
      <w:r>
        <w:rPr>
          <w:b/>
          <w:sz w:val="15"/>
        </w:rPr>
        <w:t>数据来源：nature, 财通证券研究所</w:t>
      </w:r>
    </w:p>
    <w:p>
      <w:pPr>
        <w:pStyle w:val="BodyText"/>
        <w:rPr>
          <w:b/>
          <w:sz w:val="20"/>
        </w:rPr>
      </w:pPr>
    </w:p>
    <w:p>
      <w:pPr>
        <w:pStyle w:val="BodyText"/>
        <w:spacing w:before="11"/>
        <w:rPr>
          <w:b/>
          <w:sz w:val="22"/>
        </w:rPr>
      </w:pPr>
      <w:r>
        <w:rPr/>
        <w:pict>
          <v:shape style="position:absolute;margin-left:165.949997pt;margin-top:15.878125pt;width:368.7pt;height:17.25pt;mso-position-horizontal-relative:page;mso-position-vertical-relative:paragraph;z-index:-15717888;mso-wrap-distance-left:0;mso-wrap-distance-right:0" type="#_x0000_t202" filled="true" fillcolor="#a11d04" stroked="false">
            <v:textbox inset="0,0,0,0">
              <w:txbxContent>
                <w:p>
                  <w:pPr>
                    <w:spacing w:before="30"/>
                    <w:ind w:left="105" w:right="0" w:firstLine="0"/>
                    <w:jc w:val="left"/>
                    <w:rPr>
                      <w:b/>
                      <w:sz w:val="21"/>
                    </w:rPr>
                  </w:pPr>
                  <w:r>
                    <w:rPr>
                      <w:b/>
                      <w:color w:val="FFFFFF"/>
                      <w:sz w:val="21"/>
                    </w:rPr>
                    <w:t>图 4：目前 Car-T 血液瘤研究靶点情况</w:t>
                  </w:r>
                </w:p>
              </w:txbxContent>
            </v:textbox>
            <v:fill type="solid"/>
            <w10:wrap type="topAndBottom"/>
          </v:shape>
        </w:pict>
      </w:r>
      <w:r>
        <w:rPr/>
        <w:drawing>
          <wp:anchor distT="0" distB="0" distL="0" distR="0" allowOverlap="1" layoutInCell="1" locked="0" behindDoc="0" simplePos="0" relativeHeight="22">
            <wp:simplePos x="0" y="0"/>
            <wp:positionH relativeFrom="page">
              <wp:posOffset>3300339</wp:posOffset>
            </wp:positionH>
            <wp:positionV relativeFrom="paragraph">
              <wp:posOffset>634619</wp:posOffset>
            </wp:positionV>
            <wp:extent cx="2384453" cy="1797939"/>
            <wp:effectExtent l="0" t="0" r="0" b="0"/>
            <wp:wrapTopAndBottom/>
            <wp:docPr id="9" name="image6.png"/>
            <wp:cNvGraphicFramePr>
              <a:graphicFrameLocks noChangeAspect="1"/>
            </wp:cNvGraphicFramePr>
            <a:graphic>
              <a:graphicData uri="http://schemas.openxmlformats.org/drawingml/2006/picture">
                <pic:pic>
                  <pic:nvPicPr>
                    <pic:cNvPr id="10" name="image6.png"/>
                    <pic:cNvPicPr/>
                  </pic:nvPicPr>
                  <pic:blipFill>
                    <a:blip r:embed="rId14" cstate="print"/>
                    <a:stretch>
                      <a:fillRect/>
                    </a:stretch>
                  </pic:blipFill>
                  <pic:spPr>
                    <a:xfrm>
                      <a:off x="0" y="0"/>
                      <a:ext cx="2384453" cy="1797939"/>
                    </a:xfrm>
                    <a:prstGeom prst="rect">
                      <a:avLst/>
                    </a:prstGeom>
                  </pic:spPr>
                </pic:pic>
              </a:graphicData>
            </a:graphic>
          </wp:anchor>
        </w:drawing>
      </w:r>
      <w:r>
        <w:rPr/>
        <w:pict>
          <v:rect style="position:absolute;margin-left:165.949997pt;margin-top:199.028122pt;width:368.7pt;height:.75pt;mso-position-horizontal-relative:page;mso-position-vertical-relative:paragraph;z-index:-15716864;mso-wrap-distance-left:0;mso-wrap-distance-right:0" filled="true" fillcolor="#a11d04" stroked="false">
            <v:fill type="solid"/>
            <w10:wrap type="topAndBottom"/>
          </v:rect>
        </w:pict>
      </w:r>
    </w:p>
    <w:p>
      <w:pPr>
        <w:pStyle w:val="BodyText"/>
        <w:rPr>
          <w:b/>
          <w:sz w:val="22"/>
        </w:rPr>
      </w:pPr>
    </w:p>
    <w:p>
      <w:pPr>
        <w:pStyle w:val="BodyText"/>
        <w:spacing w:before="4"/>
        <w:rPr>
          <w:b/>
          <w:sz w:val="6"/>
        </w:rPr>
      </w:pPr>
    </w:p>
    <w:p>
      <w:pPr>
        <w:spacing w:before="31"/>
        <w:ind w:left="3164" w:right="0" w:firstLine="0"/>
        <w:jc w:val="left"/>
        <w:rPr>
          <w:b/>
          <w:sz w:val="15"/>
        </w:rPr>
      </w:pPr>
      <w:r>
        <w:rPr>
          <w:b/>
          <w:sz w:val="15"/>
        </w:rPr>
        <w:t>数据来源：财通证券研究所</w:t>
      </w:r>
    </w:p>
    <w:p>
      <w:pPr>
        <w:pStyle w:val="BodyText"/>
        <w:rPr>
          <w:b/>
          <w:sz w:val="20"/>
        </w:rPr>
      </w:pPr>
    </w:p>
    <w:p>
      <w:pPr>
        <w:pStyle w:val="BodyText"/>
        <w:spacing w:before="8"/>
        <w:rPr>
          <w:b/>
          <w:sz w:val="28"/>
        </w:rPr>
      </w:pPr>
    </w:p>
    <w:p>
      <w:pPr>
        <w:pStyle w:val="BodyText"/>
        <w:spacing w:line="328" w:lineRule="auto" w:before="71"/>
        <w:ind w:left="3164" w:right="863"/>
        <w:jc w:val="both"/>
      </w:pPr>
      <w:r>
        <w:rPr/>
        <w:t>TAA</w:t>
      </w:r>
      <w:r>
        <w:rPr>
          <w:spacing w:val="-9"/>
        </w:rPr>
        <w:t> 大量在于肿瘤细胞膜表面，较少正常组织中表达。不同 </w:t>
      </w:r>
      <w:r>
        <w:rPr/>
        <w:t>TAA</w:t>
      </w:r>
      <w:r>
        <w:rPr>
          <w:spacing w:val="-16"/>
        </w:rPr>
        <w:t> 可以作为 </w:t>
      </w:r>
      <w:r>
        <w:rPr/>
        <w:t>Car-T </w:t>
      </w:r>
      <w:r>
        <w:rPr>
          <w:spacing w:val="-8"/>
        </w:rPr>
        <w:t>细胞的靶抗原，对 </w:t>
      </w:r>
      <w:r>
        <w:rPr/>
        <w:t>Car-T</w:t>
      </w:r>
      <w:r>
        <w:rPr>
          <w:spacing w:val="-12"/>
        </w:rPr>
        <w:t> 起定向作用。靶抗原的选择对于 </w:t>
      </w:r>
      <w:r>
        <w:rPr/>
        <w:t>Car</w:t>
      </w:r>
      <w:r>
        <w:rPr>
          <w:spacing w:val="-10"/>
        </w:rPr>
        <w:t> 的特异性、有效性</w:t>
      </w:r>
      <w:r>
        <w:rPr>
          <w:spacing w:val="-16"/>
        </w:rPr>
        <w:t>以及基因改造 </w:t>
      </w:r>
      <w:r>
        <w:rPr/>
        <w:t>T</w:t>
      </w:r>
      <w:r>
        <w:rPr>
          <w:spacing w:val="-10"/>
        </w:rPr>
        <w:t> 细胞自身的安全性等都是关键的决定因素。因此，选择合适的靶</w:t>
      </w:r>
      <w:r>
        <w:rPr>
          <w:spacing w:val="-11"/>
        </w:rPr>
        <w:t>点蛋白，是 </w:t>
      </w:r>
      <w:r>
        <w:rPr/>
        <w:t>Car-T</w:t>
      </w:r>
      <w:r>
        <w:rPr>
          <w:spacing w:val="-5"/>
        </w:rPr>
        <w:t> 细胞免疫治疗在肿瘤临床研究应用中的一个重要挑战。</w:t>
      </w:r>
      <w:r>
        <w:rPr/>
        <w:t>CD</w:t>
      </w:r>
      <w:r>
        <w:rPr>
          <w:spacing w:val="-8"/>
        </w:rPr>
        <w:t> 分</w:t>
      </w:r>
      <w:r>
        <w:rPr>
          <w:spacing w:val="-10"/>
        </w:rPr>
        <w:t>子表达作为表面标志物可用于细胞类型鉴定，以 </w:t>
      </w:r>
      <w:r>
        <w:rPr/>
        <w:t>CD19</w:t>
      </w:r>
      <w:r>
        <w:rPr>
          <w:spacing w:val="-16"/>
        </w:rPr>
        <w:t> 为靶点的 </w:t>
      </w:r>
      <w:r>
        <w:rPr/>
        <w:t>Car-T</w:t>
      </w:r>
      <w:r>
        <w:rPr>
          <w:spacing w:val="-10"/>
        </w:rPr>
        <w:t> 细胞的临</w:t>
      </w:r>
      <w:r>
        <w:rPr>
          <w:spacing w:val="-14"/>
        </w:rPr>
        <w:t>床研究是目前各国 </w:t>
      </w:r>
      <w:r>
        <w:rPr/>
        <w:t>Car-T</w:t>
      </w:r>
      <w:r>
        <w:rPr>
          <w:spacing w:val="-10"/>
        </w:rPr>
        <w:t> 研究中最热门的靶点。除了 </w:t>
      </w:r>
      <w:r>
        <w:rPr/>
        <w:t>CD19</w:t>
      </w:r>
      <w:r>
        <w:rPr>
          <w:spacing w:val="-7"/>
        </w:rPr>
        <w:t> 这个被广泛报道的靶</w:t>
      </w:r>
      <w:r>
        <w:rPr>
          <w:spacing w:val="-10"/>
        </w:rPr>
        <w:t>点外，许多肿瘤相关靶点已进入 </w:t>
      </w:r>
      <w:r>
        <w:rPr/>
        <w:t>I</w:t>
      </w:r>
      <w:r>
        <w:rPr>
          <w:spacing w:val="-24"/>
        </w:rPr>
        <w:t> 期和 </w:t>
      </w:r>
      <w:r>
        <w:rPr/>
        <w:t>II</w:t>
      </w:r>
      <w:r>
        <w:rPr>
          <w:spacing w:val="-7"/>
        </w:rPr>
        <w:t> 期临床试验。在目前已注册的临床试验和已发表的研究结果中，B</w:t>
      </w:r>
      <w:r>
        <w:rPr>
          <w:spacing w:val="-8"/>
        </w:rPr>
        <w:t> 细胞成熟抗原</w:t>
      </w:r>
      <w:r>
        <w:rPr/>
        <w:t>(BCMA)已被提出作为一个特别重要的</w:t>
      </w:r>
    </w:p>
    <w:p>
      <w:pPr>
        <w:spacing w:after="0" w:line="328"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36" w:lineRule="auto" w:before="30"/>
        <w:ind w:left="3164" w:right="871"/>
        <w:jc w:val="both"/>
      </w:pPr>
      <w:r>
        <w:rPr/>
        <w:t>靶点。目前 Car-T 细胞治疗的临床试验主要集中在 CD19 ， CD20 ， CD22 ， GPC3(Glypican-3)，BCMA 和其他有希望的靶点。</w:t>
      </w:r>
    </w:p>
    <w:p>
      <w:pPr>
        <w:pStyle w:val="BodyText"/>
        <w:spacing w:before="4"/>
        <w:rPr>
          <w:sz w:val="17"/>
        </w:rPr>
      </w:pPr>
    </w:p>
    <w:p>
      <w:pPr>
        <w:pStyle w:val="Heading1"/>
        <w:jc w:val="both"/>
      </w:pPr>
      <w:bookmarkStart w:name="_TOC_250022" w:id="2"/>
      <w:bookmarkEnd w:id="2"/>
      <w:r>
        <w:rPr/>
        <w:t>2、 而今已过而立岁，Car-T 发展历程</w:t>
      </w:r>
    </w:p>
    <w:p>
      <w:pPr>
        <w:pStyle w:val="BodyText"/>
        <w:spacing w:line="328" w:lineRule="auto" w:before="204"/>
        <w:ind w:left="3164" w:right="868"/>
        <w:jc w:val="both"/>
      </w:pPr>
      <w:r>
        <w:rPr/>
        <w:t>Car-T</w:t>
      </w:r>
      <w:r>
        <w:rPr>
          <w:spacing w:val="-9"/>
        </w:rPr>
        <w:t> 疗法最早由</w:t>
      </w:r>
      <w:r>
        <w:rPr/>
        <w:t>Gross</w:t>
      </w:r>
      <w:r>
        <w:rPr>
          <w:spacing w:val="-6"/>
        </w:rPr>
        <w:t> 等于上世纪</w:t>
      </w:r>
      <w:r>
        <w:rPr/>
        <w:t>80</w:t>
      </w:r>
      <w:r>
        <w:rPr>
          <w:spacing w:val="-16"/>
        </w:rPr>
        <w:t> 年末提出，至今已有</w:t>
      </w:r>
      <w:r>
        <w:rPr/>
        <w:t>30</w:t>
      </w:r>
      <w:r>
        <w:rPr>
          <w:spacing w:val="-10"/>
        </w:rPr>
        <w:t> 余年的发展历程， </w:t>
      </w:r>
      <w:r>
        <w:rPr>
          <w:spacing w:val="-14"/>
        </w:rPr>
        <w:t>是目前过继性 </w:t>
      </w:r>
      <w:r>
        <w:rPr/>
        <w:t>T</w:t>
      </w:r>
      <w:r>
        <w:rPr>
          <w:spacing w:val="-6"/>
        </w:rPr>
        <w:t> 细胞治疗中发展最为成熟的技术之一，</w:t>
      </w:r>
      <w:r>
        <w:rPr/>
        <w:t>FDA</w:t>
      </w:r>
      <w:r>
        <w:rPr>
          <w:spacing w:val="-21"/>
        </w:rPr>
        <w:t> 在 </w:t>
      </w:r>
      <w:r>
        <w:rPr/>
        <w:t>2017</w:t>
      </w:r>
      <w:r>
        <w:rPr>
          <w:spacing w:val="-6"/>
        </w:rPr>
        <w:t> 年批准了首</w:t>
      </w:r>
      <w:r>
        <w:rPr>
          <w:spacing w:val="-26"/>
        </w:rPr>
        <w:t>个 </w:t>
      </w:r>
      <w:r>
        <w:rPr/>
        <w:t>CAR-T</w:t>
      </w:r>
      <w:r>
        <w:rPr>
          <w:spacing w:val="-10"/>
        </w:rPr>
        <w:t> 细胞治疗产品，更是正式宣告了 </w:t>
      </w:r>
      <w:r>
        <w:rPr/>
        <w:t>Car-T</w:t>
      </w:r>
      <w:r>
        <w:rPr>
          <w:spacing w:val="-7"/>
        </w:rPr>
        <w:t> 技术的产业化成熟。</w:t>
      </w:r>
    </w:p>
    <w:p>
      <w:pPr>
        <w:pStyle w:val="BodyText"/>
        <w:rPr>
          <w:sz w:val="20"/>
        </w:rPr>
      </w:pPr>
    </w:p>
    <w:p>
      <w:pPr>
        <w:pStyle w:val="BodyText"/>
        <w:spacing w:before="2"/>
        <w:rPr>
          <w:sz w:val="14"/>
        </w:rPr>
      </w:pPr>
    </w:p>
    <w:p>
      <w:pPr>
        <w:pStyle w:val="Heading2"/>
        <w:tabs>
          <w:tab w:pos="10432" w:val="left" w:leader="none"/>
        </w:tabs>
        <w:spacing w:before="78"/>
      </w:pPr>
      <w:r>
        <w:rPr>
          <w:rFonts w:ascii="Times New Roman" w:eastAsia="Times New Roman"/>
          <w:color w:val="FFFFFF"/>
          <w:shd w:fill="A11D04" w:color="auto" w:val="clear"/>
        </w:rPr>
        <w:t>  </w:t>
      </w:r>
      <w:r>
        <w:rPr>
          <w:color w:val="FFFFFF"/>
          <w:shd w:fill="A11D04" w:color="auto" w:val="clear"/>
        </w:rPr>
        <w:t>图</w:t>
      </w:r>
      <w:r>
        <w:rPr>
          <w:color w:val="FFFFFF"/>
          <w:spacing w:val="-36"/>
          <w:shd w:fill="A11D04" w:color="auto" w:val="clear"/>
        </w:rPr>
        <w:t> </w:t>
      </w:r>
      <w:r>
        <w:rPr>
          <w:color w:val="FFFFFF"/>
          <w:spacing w:val="4"/>
          <w:shd w:fill="A11D04" w:color="auto" w:val="clear"/>
        </w:rPr>
        <w:t>5：Car-T</w:t>
      </w:r>
      <w:r>
        <w:rPr>
          <w:color w:val="FFFFFF"/>
          <w:spacing w:val="-51"/>
          <w:shd w:fill="A11D04" w:color="auto" w:val="clear"/>
        </w:rPr>
        <w:t> </w:t>
      </w:r>
      <w:r>
        <w:rPr>
          <w:color w:val="FFFFFF"/>
          <w:shd w:fill="A11D04" w:color="auto" w:val="clear"/>
        </w:rPr>
        <w:t>发展历程</w:t>
        <w:tab/>
      </w:r>
    </w:p>
    <w:p>
      <w:pPr>
        <w:pStyle w:val="BodyText"/>
        <w:spacing w:before="12"/>
        <w:rPr>
          <w:b/>
          <w:sz w:val="17"/>
        </w:rPr>
      </w:pPr>
      <w:r>
        <w:rPr/>
        <w:drawing>
          <wp:anchor distT="0" distB="0" distL="0" distR="0" allowOverlap="1" layoutInCell="1" locked="0" behindDoc="0" simplePos="0" relativeHeight="25">
            <wp:simplePos x="0" y="0"/>
            <wp:positionH relativeFrom="page">
              <wp:posOffset>2469769</wp:posOffset>
            </wp:positionH>
            <wp:positionV relativeFrom="paragraph">
              <wp:posOffset>171138</wp:posOffset>
            </wp:positionV>
            <wp:extent cx="3939090" cy="1819655"/>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5" cstate="print"/>
                    <a:stretch>
                      <a:fillRect/>
                    </a:stretch>
                  </pic:blipFill>
                  <pic:spPr>
                    <a:xfrm>
                      <a:off x="0" y="0"/>
                      <a:ext cx="3939090" cy="1819655"/>
                    </a:xfrm>
                    <a:prstGeom prst="rect">
                      <a:avLst/>
                    </a:prstGeom>
                  </pic:spPr>
                </pic:pic>
              </a:graphicData>
            </a:graphic>
          </wp:anchor>
        </w:drawing>
      </w:r>
      <w:r>
        <w:rPr/>
        <w:pict>
          <v:rect style="position:absolute;margin-left:165.949997pt;margin-top:168.187027pt;width:368.7pt;height:.75pt;mso-position-horizontal-relative:page;mso-position-vertical-relative:paragraph;z-index:-15715328;mso-wrap-distance-left:0;mso-wrap-distance-right:0" filled="true" fillcolor="#a11d04" stroked="false">
            <v:fill type="solid"/>
            <w10:wrap type="topAndBottom"/>
          </v:rect>
        </w:pict>
      </w:r>
    </w:p>
    <w:p>
      <w:pPr>
        <w:pStyle w:val="BodyText"/>
        <w:spacing w:before="6"/>
        <w:rPr>
          <w:b/>
          <w:sz w:val="12"/>
        </w:rPr>
      </w:pPr>
    </w:p>
    <w:p>
      <w:pPr>
        <w:spacing w:before="31"/>
        <w:ind w:left="3164" w:right="0" w:firstLine="0"/>
        <w:jc w:val="left"/>
        <w:rPr>
          <w:b/>
          <w:sz w:val="15"/>
        </w:rPr>
      </w:pPr>
      <w:r>
        <w:rPr>
          <w:b/>
          <w:sz w:val="15"/>
        </w:rPr>
        <w:t>数据来源：财通证券研究所</w:t>
      </w:r>
    </w:p>
    <w:p>
      <w:pPr>
        <w:pStyle w:val="BodyText"/>
        <w:rPr>
          <w:b/>
          <w:sz w:val="20"/>
        </w:rPr>
      </w:pPr>
    </w:p>
    <w:p>
      <w:pPr>
        <w:pStyle w:val="BodyText"/>
        <w:spacing w:before="8"/>
        <w:rPr>
          <w:b/>
          <w:sz w:val="28"/>
        </w:rPr>
      </w:pPr>
    </w:p>
    <w:p>
      <w:pPr>
        <w:pStyle w:val="BodyText"/>
        <w:spacing w:line="331" w:lineRule="auto" w:before="71"/>
        <w:ind w:left="3164" w:right="865"/>
        <w:jc w:val="both"/>
      </w:pPr>
      <w:r>
        <w:rPr/>
        <w:t>2017</w:t>
      </w:r>
      <w:r>
        <w:rPr>
          <w:spacing w:val="-23"/>
        </w:rPr>
        <w:t> 年的 </w:t>
      </w:r>
      <w:r>
        <w:rPr/>
        <w:t>8</w:t>
      </w:r>
      <w:r>
        <w:rPr>
          <w:spacing w:val="-36"/>
        </w:rPr>
        <w:t> 月 </w:t>
      </w:r>
      <w:r>
        <w:rPr/>
        <w:t>30</w:t>
      </w:r>
      <w:r>
        <w:rPr>
          <w:spacing w:val="-8"/>
        </w:rPr>
        <w:t> 日，人类抗癌历史上发生了一个值得铭记的大事件，在这天美国食品和药物管理局(FDA)</w:t>
      </w:r>
      <w:r>
        <w:rPr>
          <w:spacing w:val="-9"/>
        </w:rPr>
        <w:t>批准诺华公司的突破性 </w:t>
      </w:r>
      <w:r>
        <w:rPr/>
        <w:t>CAR-T</w:t>
      </w:r>
      <w:r>
        <w:rPr>
          <w:spacing w:val="-6"/>
        </w:rPr>
        <w:t> 免疫疗法 </w:t>
      </w:r>
      <w:r>
        <w:rPr/>
        <w:t>Kymriah，成</w:t>
      </w:r>
      <w:r>
        <w:rPr>
          <w:spacing w:val="-5"/>
        </w:rPr>
        <w:t>为全球第一个获批的 </w:t>
      </w:r>
      <w:r>
        <w:rPr/>
        <w:t>CAR-T</w:t>
      </w:r>
      <w:r>
        <w:rPr>
          <w:spacing w:val="-11"/>
        </w:rPr>
        <w:t> 细胞治疗产品，用于治疗难治性，或出现二次及以上</w:t>
      </w:r>
      <w:r>
        <w:rPr>
          <w:spacing w:val="-20"/>
        </w:rPr>
        <w:t>复发的 </w:t>
      </w:r>
      <w:r>
        <w:rPr/>
        <w:t>25</w:t>
      </w:r>
      <w:r>
        <w:rPr>
          <w:spacing w:val="-16"/>
        </w:rPr>
        <w:t> 岁以下的 </w:t>
      </w:r>
      <w:r>
        <w:rPr/>
        <w:t>B</w:t>
      </w:r>
      <w:r>
        <w:rPr>
          <w:spacing w:val="-10"/>
        </w:rPr>
        <w:t> 细胞急性淋巴细胞白血病患者，定价 </w:t>
      </w:r>
      <w:r>
        <w:rPr/>
        <w:t>47.5</w:t>
      </w:r>
      <w:r>
        <w:rPr>
          <w:spacing w:val="-10"/>
        </w:rPr>
        <w:t> 万美元。</w:t>
      </w:r>
    </w:p>
    <w:p>
      <w:pPr>
        <w:pStyle w:val="BodyText"/>
        <w:spacing w:line="328" w:lineRule="auto" w:before="106"/>
        <w:ind w:left="3164" w:right="880"/>
        <w:jc w:val="both"/>
      </w:pPr>
      <w:r>
        <w:rPr>
          <w:spacing w:val="-23"/>
        </w:rPr>
        <w:t>在 </w:t>
      </w:r>
      <w:r>
        <w:rPr/>
        <w:t>FDA</w:t>
      </w:r>
      <w:r>
        <w:rPr>
          <w:spacing w:val="-15"/>
        </w:rPr>
        <w:t> 发布的批文的开头，写着这样一句话：“今天，美国 </w:t>
      </w:r>
      <w:r>
        <w:rPr/>
        <w:t>FDA</w:t>
      </w:r>
      <w:r>
        <w:rPr>
          <w:spacing w:val="-7"/>
        </w:rPr>
        <w:t> 做了一个历史性</w:t>
      </w:r>
      <w:r>
        <w:rPr>
          <w:spacing w:val="-9"/>
        </w:rPr>
        <w:t>的决定，在美国境内批准了第一个基因治疗产品，给癌症等其他严重威胁生命的</w:t>
      </w:r>
      <w:r>
        <w:rPr>
          <w:spacing w:val="-16"/>
        </w:rPr>
        <w:t>疾病开辟了全新的治疗途径。”</w:t>
      </w:r>
    </w:p>
    <w:p>
      <w:pPr>
        <w:pStyle w:val="BodyText"/>
        <w:spacing w:line="326" w:lineRule="auto" w:before="125"/>
        <w:ind w:left="3164" w:right="867"/>
        <w:jc w:val="both"/>
      </w:pPr>
      <w:r>
        <w:rPr/>
        <w:t>2017 年 10 月 18</w:t>
      </w:r>
      <w:r>
        <w:rPr>
          <w:spacing w:val="4"/>
        </w:rPr>
        <w:t> 日，</w:t>
      </w:r>
      <w:r>
        <w:rPr/>
        <w:t>Kite Pharma 的 CAR-T</w:t>
      </w:r>
      <w:r>
        <w:rPr>
          <w:spacing w:val="3"/>
        </w:rPr>
        <w:t> 产品 </w:t>
      </w:r>
      <w:r>
        <w:rPr/>
        <w:t>YesCarta（axicabtagene ciloleucel，KTE-C19）</w:t>
      </w:r>
      <w:r>
        <w:rPr>
          <w:spacing w:val="-4"/>
        </w:rPr>
        <w:t>经美国 </w:t>
      </w:r>
      <w:r>
        <w:rPr/>
        <w:t>FDA</w:t>
      </w:r>
      <w:r>
        <w:rPr>
          <w:spacing w:val="-5"/>
        </w:rPr>
        <w:t> 批准上市，用于治疗成人复发或难治性大 </w:t>
      </w:r>
      <w:r>
        <w:rPr/>
        <w:t>B 细胞淋巴瘤。YesCarta</w:t>
      </w:r>
      <w:r>
        <w:rPr>
          <w:spacing w:val="-6"/>
        </w:rPr>
        <w:t> 是全球第二款获批上市的 </w:t>
      </w:r>
      <w:r>
        <w:rPr/>
        <w:t>CAR-T</w:t>
      </w:r>
      <w:r>
        <w:rPr>
          <w:spacing w:val="-4"/>
        </w:rPr>
        <w:t> 产品，同时也是第一个</w:t>
      </w:r>
      <w:r>
        <w:rPr>
          <w:spacing w:val="-8"/>
        </w:rPr>
        <w:t>用于治疗非霍奇金淋巴瘤的 </w:t>
      </w:r>
      <w:r>
        <w:rPr/>
        <w:t>CAR-T</w:t>
      </w:r>
      <w:r>
        <w:rPr>
          <w:spacing w:val="-12"/>
        </w:rPr>
        <w:t> 产品。</w:t>
      </w:r>
    </w:p>
    <w:p>
      <w:pPr>
        <w:pStyle w:val="BodyText"/>
        <w:spacing w:line="328" w:lineRule="auto" w:before="128"/>
        <w:ind w:left="3164" w:right="773"/>
        <w:jc w:val="both"/>
      </w:pPr>
      <w:r>
        <w:rPr>
          <w:spacing w:val="-11"/>
        </w:rPr>
        <w:t>两款 </w:t>
      </w:r>
      <w:r>
        <w:rPr/>
        <w:t>Car-T</w:t>
      </w:r>
      <w:r>
        <w:rPr>
          <w:spacing w:val="-6"/>
        </w:rPr>
        <w:t> 产品的获批，给本就已经火热的免疫治疗市场又注射了一剂强心剂。</w:t>
      </w:r>
      <w:r>
        <w:rPr>
          <w:spacing w:val="-9"/>
        </w:rPr>
        <w:t>尽管获批的两款二代 </w:t>
      </w:r>
      <w:r>
        <w:rPr/>
        <w:t>Car-T</w:t>
      </w:r>
      <w:r>
        <w:rPr>
          <w:spacing w:val="-6"/>
        </w:rPr>
        <w:t> 仍有许多不足之处，但其产品本身令人瞠目的疗效， 令市场为之疯狂。</w:t>
      </w:r>
    </w:p>
    <w:p>
      <w:pPr>
        <w:spacing w:after="0" w:line="328" w:lineRule="auto"/>
        <w:jc w:val="both"/>
        <w:sectPr>
          <w:pgSz w:w="11910" w:h="16850"/>
          <w:pgMar w:header="796" w:footer="1296" w:top="1340" w:bottom="1480" w:left="260" w:right="300"/>
        </w:sectPr>
      </w:pPr>
    </w:p>
    <w:p>
      <w:pPr>
        <w:pStyle w:val="BodyText"/>
        <w:spacing w:before="1"/>
        <w:rPr>
          <w:sz w:val="3"/>
        </w:rPr>
      </w:pPr>
    </w:p>
    <w:tbl>
      <w:tblPr>
        <w:tblW w:w="0" w:type="auto"/>
        <w:jc w:val="left"/>
        <w:tblInd w:w="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7"/>
        <w:gridCol w:w="676"/>
        <w:gridCol w:w="623"/>
        <w:gridCol w:w="1163"/>
        <w:gridCol w:w="1201"/>
        <w:gridCol w:w="1651"/>
        <w:gridCol w:w="1426"/>
        <w:gridCol w:w="1427"/>
      </w:tblGrid>
      <w:tr>
        <w:trPr>
          <w:trHeight w:val="374" w:hRule="atLeast"/>
        </w:trPr>
        <w:tc>
          <w:tcPr>
            <w:tcW w:w="1717" w:type="dxa"/>
            <w:vMerge w:val="restart"/>
            <w:tcBorders>
              <w:top w:val="single" w:sz="8" w:space="0" w:color="A6A6A6"/>
            </w:tcBorders>
          </w:tcPr>
          <w:p>
            <w:pPr>
              <w:pStyle w:val="TableParagraph"/>
              <w:ind w:left="0"/>
              <w:rPr>
                <w:rFonts w:ascii="Times New Roman"/>
                <w:sz w:val="18"/>
              </w:rPr>
            </w:pPr>
          </w:p>
        </w:tc>
        <w:tc>
          <w:tcPr>
            <w:tcW w:w="8167" w:type="dxa"/>
            <w:gridSpan w:val="7"/>
            <w:tcBorders>
              <w:top w:val="single" w:sz="8" w:space="0" w:color="A6A6A6"/>
            </w:tcBorders>
            <w:shd w:val="clear" w:color="auto" w:fill="A11D04"/>
          </w:tcPr>
          <w:p>
            <w:pPr>
              <w:pStyle w:val="TableParagraph"/>
              <w:spacing w:before="59"/>
              <w:ind w:left="105"/>
              <w:rPr>
                <w:b/>
                <w:sz w:val="21"/>
              </w:rPr>
            </w:pPr>
            <w:r>
              <w:rPr>
                <w:b/>
                <w:color w:val="FFFFFF"/>
                <w:sz w:val="21"/>
              </w:rPr>
              <w:t>表 1：Car-T 展现绝对疗效</w:t>
            </w:r>
          </w:p>
        </w:tc>
      </w:tr>
      <w:tr>
        <w:trPr>
          <w:trHeight w:val="390" w:hRule="atLeast"/>
        </w:trPr>
        <w:tc>
          <w:tcPr>
            <w:tcW w:w="1717" w:type="dxa"/>
            <w:vMerge/>
            <w:tcBorders>
              <w:top w:val="nil"/>
            </w:tcBorders>
          </w:tcPr>
          <w:p>
            <w:pPr>
              <w:rPr>
                <w:sz w:val="2"/>
                <w:szCs w:val="2"/>
              </w:rPr>
            </w:pPr>
          </w:p>
        </w:tc>
        <w:tc>
          <w:tcPr>
            <w:tcW w:w="676" w:type="dxa"/>
            <w:shd w:val="clear" w:color="auto" w:fill="C00000"/>
          </w:tcPr>
          <w:p>
            <w:pPr>
              <w:pStyle w:val="TableParagraph"/>
              <w:ind w:left="0"/>
              <w:rPr>
                <w:rFonts w:ascii="Times New Roman"/>
                <w:sz w:val="18"/>
              </w:rPr>
            </w:pPr>
          </w:p>
        </w:tc>
        <w:tc>
          <w:tcPr>
            <w:tcW w:w="623" w:type="dxa"/>
            <w:shd w:val="clear" w:color="auto" w:fill="C00000"/>
          </w:tcPr>
          <w:p>
            <w:pPr>
              <w:pStyle w:val="TableParagraph"/>
              <w:spacing w:line="178" w:lineRule="exact"/>
              <w:ind w:left="105"/>
              <w:rPr>
                <w:b/>
                <w:sz w:val="15"/>
              </w:rPr>
            </w:pPr>
            <w:r>
              <w:rPr>
                <w:b/>
                <w:color w:val="FFFFFF"/>
                <w:sz w:val="15"/>
              </w:rPr>
              <w:t>Ritux</w:t>
            </w:r>
          </w:p>
          <w:p>
            <w:pPr>
              <w:pStyle w:val="TableParagraph"/>
              <w:spacing w:line="190" w:lineRule="exact" w:before="3"/>
              <w:ind w:left="105"/>
              <w:rPr>
                <w:b/>
                <w:sz w:val="15"/>
              </w:rPr>
            </w:pPr>
            <w:r>
              <w:rPr>
                <w:b/>
                <w:color w:val="FFFFFF"/>
                <w:spacing w:val="11"/>
                <w:sz w:val="15"/>
              </w:rPr>
              <w:t>imab</w:t>
            </w:r>
            <w:r>
              <w:rPr>
                <w:b/>
                <w:color w:val="FFFFFF"/>
                <w:spacing w:val="-61"/>
                <w:sz w:val="15"/>
              </w:rPr>
              <w:t> </w:t>
            </w:r>
          </w:p>
        </w:tc>
        <w:tc>
          <w:tcPr>
            <w:tcW w:w="1163" w:type="dxa"/>
            <w:shd w:val="clear" w:color="auto" w:fill="C00000"/>
          </w:tcPr>
          <w:p>
            <w:pPr>
              <w:pStyle w:val="TableParagraph"/>
              <w:spacing w:before="75"/>
              <w:ind w:left="143"/>
              <w:rPr>
                <w:b/>
                <w:sz w:val="15"/>
              </w:rPr>
            </w:pPr>
            <w:r>
              <w:rPr>
                <w:b/>
                <w:color w:val="FFFFFF"/>
                <w:sz w:val="15"/>
              </w:rPr>
              <w:t>B</w:t>
            </w:r>
            <w:r>
              <w:rPr>
                <w:b/>
                <w:color w:val="FFFFFF"/>
                <w:spacing w:val="-62"/>
                <w:sz w:val="15"/>
              </w:rPr>
              <w:t> </w:t>
            </w:r>
            <w:r>
              <w:rPr>
                <w:b/>
                <w:color w:val="FFFFFF"/>
                <w:sz w:val="15"/>
              </w:rPr>
              <w:t>linatumomab</w:t>
            </w:r>
          </w:p>
        </w:tc>
        <w:tc>
          <w:tcPr>
            <w:tcW w:w="1201" w:type="dxa"/>
            <w:shd w:val="clear" w:color="auto" w:fill="C00000"/>
          </w:tcPr>
          <w:p>
            <w:pPr>
              <w:pStyle w:val="TableParagraph"/>
              <w:spacing w:before="75"/>
              <w:ind w:left="106"/>
              <w:rPr>
                <w:b/>
                <w:sz w:val="15"/>
              </w:rPr>
            </w:pPr>
            <w:r>
              <w:rPr>
                <w:b/>
                <w:color w:val="FFFFFF"/>
                <w:sz w:val="15"/>
              </w:rPr>
              <w:t>M</w:t>
            </w:r>
            <w:r>
              <w:rPr>
                <w:b/>
                <w:color w:val="FFFFFF"/>
                <w:spacing w:val="-62"/>
                <w:sz w:val="15"/>
              </w:rPr>
              <w:t> </w:t>
            </w:r>
            <w:r>
              <w:rPr>
                <w:b/>
                <w:color w:val="FFFFFF"/>
                <w:sz w:val="15"/>
              </w:rPr>
              <w:t>osunetuzumab</w:t>
            </w:r>
          </w:p>
        </w:tc>
        <w:tc>
          <w:tcPr>
            <w:tcW w:w="1651" w:type="dxa"/>
            <w:shd w:val="clear" w:color="auto" w:fill="C00000"/>
          </w:tcPr>
          <w:p>
            <w:pPr>
              <w:pStyle w:val="TableParagraph"/>
              <w:spacing w:line="178" w:lineRule="exact"/>
              <w:ind w:left="106"/>
              <w:rPr>
                <w:b/>
                <w:sz w:val="15"/>
              </w:rPr>
            </w:pPr>
            <w:r>
              <w:rPr>
                <w:b/>
                <w:color w:val="FFFFFF"/>
                <w:sz w:val="15"/>
              </w:rPr>
              <w:t>Lisocabtagen</w:t>
            </w:r>
            <w:r>
              <w:rPr>
                <w:b/>
                <w:color w:val="FFFFFF"/>
                <w:spacing w:val="-62"/>
                <w:sz w:val="15"/>
              </w:rPr>
              <w:t> </w:t>
            </w:r>
            <w:r>
              <w:rPr>
                <w:b/>
                <w:color w:val="FFFFFF"/>
                <w:sz w:val="15"/>
              </w:rPr>
              <w:t>e</w:t>
            </w:r>
          </w:p>
          <w:p>
            <w:pPr>
              <w:pStyle w:val="TableParagraph"/>
              <w:spacing w:line="190" w:lineRule="exact" w:before="3"/>
              <w:ind w:left="106"/>
              <w:rPr>
                <w:b/>
                <w:sz w:val="15"/>
              </w:rPr>
            </w:pPr>
            <w:r>
              <w:rPr>
                <w:b/>
                <w:color w:val="FFFFFF"/>
                <w:sz w:val="15"/>
              </w:rPr>
              <w:t>m</w:t>
            </w:r>
            <w:r>
              <w:rPr>
                <w:b/>
                <w:color w:val="FFFFFF"/>
                <w:spacing w:val="-63"/>
                <w:sz w:val="15"/>
              </w:rPr>
              <w:t> </w:t>
            </w:r>
            <w:r>
              <w:rPr>
                <w:b/>
                <w:color w:val="FFFFFF"/>
                <w:sz w:val="15"/>
              </w:rPr>
              <w:t>araleucel(JCAR017)</w:t>
            </w:r>
          </w:p>
        </w:tc>
        <w:tc>
          <w:tcPr>
            <w:tcW w:w="1426" w:type="dxa"/>
            <w:shd w:val="clear" w:color="auto" w:fill="C00000"/>
          </w:tcPr>
          <w:p>
            <w:pPr>
              <w:pStyle w:val="TableParagraph"/>
              <w:spacing w:line="178" w:lineRule="exact"/>
              <w:ind w:left="107"/>
              <w:rPr>
                <w:b/>
                <w:sz w:val="15"/>
              </w:rPr>
            </w:pPr>
            <w:r>
              <w:rPr>
                <w:b/>
                <w:color w:val="FFFFFF"/>
                <w:sz w:val="15"/>
              </w:rPr>
              <w:t>Tisagenlecle</w:t>
            </w:r>
            <w:r>
              <w:rPr>
                <w:b/>
                <w:color w:val="FFFFFF"/>
                <w:spacing w:val="-71"/>
                <w:sz w:val="15"/>
              </w:rPr>
              <w:t> </w:t>
            </w:r>
            <w:r>
              <w:rPr>
                <w:b/>
                <w:color w:val="FFFFFF"/>
                <w:sz w:val="15"/>
              </w:rPr>
              <w:t>ucel</w:t>
            </w:r>
          </w:p>
          <w:p>
            <w:pPr>
              <w:pStyle w:val="TableParagraph"/>
              <w:spacing w:line="190" w:lineRule="exact" w:before="3"/>
              <w:ind w:left="107"/>
              <w:rPr>
                <w:b/>
                <w:sz w:val="15"/>
              </w:rPr>
            </w:pPr>
            <w:r>
              <w:rPr>
                <w:b/>
                <w:color w:val="FFFFFF"/>
                <w:sz w:val="15"/>
              </w:rPr>
              <w:t>(</w:t>
            </w:r>
            <w:r>
              <w:rPr>
                <w:b/>
                <w:color w:val="FFFFFF"/>
                <w:spacing w:val="-64"/>
                <w:sz w:val="15"/>
              </w:rPr>
              <w:t> </w:t>
            </w:r>
            <w:r>
              <w:rPr>
                <w:b/>
                <w:color w:val="FFFFFF"/>
                <w:spacing w:val="7"/>
                <w:sz w:val="15"/>
              </w:rPr>
              <w:t>Ky</w:t>
            </w:r>
            <w:r>
              <w:rPr>
                <w:b/>
                <w:color w:val="FFFFFF"/>
                <w:spacing w:val="-64"/>
                <w:sz w:val="15"/>
              </w:rPr>
              <w:t> </w:t>
            </w:r>
            <w:r>
              <w:rPr>
                <w:b/>
                <w:color w:val="FFFFFF"/>
                <w:sz w:val="15"/>
              </w:rPr>
              <w:t>mriah)Juli</w:t>
            </w:r>
            <w:r>
              <w:rPr>
                <w:b/>
                <w:color w:val="FFFFFF"/>
                <w:spacing w:val="-63"/>
                <w:sz w:val="15"/>
              </w:rPr>
              <w:t> </w:t>
            </w:r>
            <w:r>
              <w:rPr>
                <w:b/>
                <w:color w:val="FFFFFF"/>
                <w:sz w:val="15"/>
              </w:rPr>
              <w:t>et</w:t>
            </w:r>
          </w:p>
        </w:tc>
        <w:tc>
          <w:tcPr>
            <w:tcW w:w="1427" w:type="dxa"/>
            <w:shd w:val="clear" w:color="auto" w:fill="C00000"/>
          </w:tcPr>
          <w:p>
            <w:pPr>
              <w:pStyle w:val="TableParagraph"/>
              <w:spacing w:line="178" w:lineRule="exact"/>
              <w:ind w:left="108"/>
              <w:rPr>
                <w:b/>
                <w:sz w:val="15"/>
              </w:rPr>
            </w:pPr>
            <w:r>
              <w:rPr>
                <w:b/>
                <w:color w:val="FFFFFF"/>
                <w:sz w:val="15"/>
              </w:rPr>
              <w:t>Axi-CEL</w:t>
            </w:r>
          </w:p>
          <w:p>
            <w:pPr>
              <w:pStyle w:val="TableParagraph"/>
              <w:spacing w:line="190" w:lineRule="exact" w:before="3"/>
              <w:ind w:left="108"/>
              <w:rPr>
                <w:b/>
                <w:sz w:val="15"/>
              </w:rPr>
            </w:pPr>
            <w:r>
              <w:rPr>
                <w:b/>
                <w:color w:val="FFFFFF"/>
                <w:sz w:val="15"/>
              </w:rPr>
              <w:t>(</w:t>
            </w:r>
            <w:r>
              <w:rPr>
                <w:b/>
                <w:color w:val="FFFFFF"/>
                <w:spacing w:val="-62"/>
                <w:sz w:val="15"/>
              </w:rPr>
              <w:t> </w:t>
            </w:r>
            <w:r>
              <w:rPr>
                <w:b/>
                <w:color w:val="FFFFFF"/>
                <w:sz w:val="15"/>
              </w:rPr>
              <w:t>Y</w:t>
            </w:r>
            <w:r>
              <w:rPr>
                <w:b/>
                <w:color w:val="FFFFFF"/>
                <w:spacing w:val="-62"/>
                <w:sz w:val="15"/>
              </w:rPr>
              <w:t> </w:t>
            </w:r>
            <w:r>
              <w:rPr>
                <w:b/>
                <w:color w:val="FFFFFF"/>
                <w:sz w:val="15"/>
              </w:rPr>
              <w:t>esCarta )Zuma1</w:t>
            </w:r>
          </w:p>
        </w:tc>
      </w:tr>
      <w:tr>
        <w:trPr>
          <w:trHeight w:val="585" w:hRule="atLeast"/>
        </w:trPr>
        <w:tc>
          <w:tcPr>
            <w:tcW w:w="1717" w:type="dxa"/>
            <w:vMerge/>
            <w:tcBorders>
              <w:top w:val="nil"/>
            </w:tcBorders>
          </w:tcPr>
          <w:p>
            <w:pPr>
              <w:rPr>
                <w:sz w:val="2"/>
                <w:szCs w:val="2"/>
              </w:rPr>
            </w:pPr>
          </w:p>
        </w:tc>
        <w:tc>
          <w:tcPr>
            <w:tcW w:w="676" w:type="dxa"/>
            <w:shd w:val="clear" w:color="auto" w:fill="FBE3D5"/>
          </w:tcPr>
          <w:p>
            <w:pPr>
              <w:pStyle w:val="TableParagraph"/>
              <w:spacing w:line="177" w:lineRule="exact"/>
              <w:ind w:left="105"/>
              <w:rPr>
                <w:sz w:val="15"/>
              </w:rPr>
            </w:pPr>
            <w:r>
              <w:rPr>
                <w:sz w:val="15"/>
              </w:rPr>
              <w:t>客观缓</w:t>
            </w:r>
          </w:p>
          <w:p>
            <w:pPr>
              <w:pStyle w:val="TableParagraph"/>
              <w:spacing w:line="190" w:lineRule="atLeast" w:before="3"/>
              <w:ind w:left="105" w:right="103"/>
              <w:rPr>
                <w:sz w:val="15"/>
              </w:rPr>
            </w:pPr>
            <w:r>
              <w:rPr>
                <w:sz w:val="15"/>
              </w:rPr>
              <w:t>解 率ORR</w:t>
            </w:r>
          </w:p>
        </w:tc>
        <w:tc>
          <w:tcPr>
            <w:tcW w:w="623" w:type="dxa"/>
            <w:shd w:val="clear" w:color="auto" w:fill="FBE3D5"/>
          </w:tcPr>
          <w:p>
            <w:pPr>
              <w:pStyle w:val="TableParagraph"/>
              <w:spacing w:before="1"/>
              <w:ind w:left="0"/>
              <w:rPr>
                <w:sz w:val="14"/>
              </w:rPr>
            </w:pPr>
          </w:p>
          <w:p>
            <w:pPr>
              <w:pStyle w:val="TableParagraph"/>
              <w:ind w:left="105"/>
              <w:rPr>
                <w:sz w:val="15"/>
              </w:rPr>
            </w:pPr>
            <w:r>
              <w:rPr>
                <w:sz w:val="15"/>
              </w:rPr>
              <w:t>25%</w:t>
            </w:r>
          </w:p>
        </w:tc>
        <w:tc>
          <w:tcPr>
            <w:tcW w:w="1163" w:type="dxa"/>
            <w:shd w:val="clear" w:color="auto" w:fill="FBE3D5"/>
          </w:tcPr>
          <w:p>
            <w:pPr>
              <w:pStyle w:val="TableParagraph"/>
              <w:spacing w:before="1"/>
              <w:ind w:left="0"/>
              <w:rPr>
                <w:sz w:val="14"/>
              </w:rPr>
            </w:pPr>
          </w:p>
          <w:p>
            <w:pPr>
              <w:pStyle w:val="TableParagraph"/>
              <w:ind w:left="143"/>
              <w:rPr>
                <w:sz w:val="15"/>
              </w:rPr>
            </w:pPr>
            <w:r>
              <w:rPr>
                <w:sz w:val="15"/>
              </w:rPr>
              <w:t>36%</w:t>
            </w:r>
          </w:p>
        </w:tc>
        <w:tc>
          <w:tcPr>
            <w:tcW w:w="1201" w:type="dxa"/>
            <w:shd w:val="clear" w:color="auto" w:fill="FBE3D5"/>
          </w:tcPr>
          <w:p>
            <w:pPr>
              <w:pStyle w:val="TableParagraph"/>
              <w:spacing w:before="1"/>
              <w:ind w:left="0"/>
              <w:rPr>
                <w:sz w:val="14"/>
              </w:rPr>
            </w:pPr>
          </w:p>
          <w:p>
            <w:pPr>
              <w:pStyle w:val="TableParagraph"/>
              <w:ind w:left="106"/>
              <w:rPr>
                <w:sz w:val="15"/>
              </w:rPr>
            </w:pPr>
            <w:r>
              <w:rPr>
                <w:sz w:val="15"/>
              </w:rPr>
              <w:t>41%</w:t>
            </w:r>
          </w:p>
        </w:tc>
        <w:tc>
          <w:tcPr>
            <w:tcW w:w="1651" w:type="dxa"/>
            <w:shd w:val="clear" w:color="auto" w:fill="FBE3D5"/>
          </w:tcPr>
          <w:p>
            <w:pPr>
              <w:pStyle w:val="TableParagraph"/>
              <w:spacing w:before="1"/>
              <w:ind w:left="0"/>
              <w:rPr>
                <w:sz w:val="14"/>
              </w:rPr>
            </w:pPr>
          </w:p>
          <w:p>
            <w:pPr>
              <w:pStyle w:val="TableParagraph"/>
              <w:ind w:left="106"/>
              <w:rPr>
                <w:sz w:val="15"/>
              </w:rPr>
            </w:pPr>
            <w:r>
              <w:rPr>
                <w:sz w:val="15"/>
              </w:rPr>
              <w:t>75%</w:t>
            </w:r>
          </w:p>
        </w:tc>
        <w:tc>
          <w:tcPr>
            <w:tcW w:w="1426" w:type="dxa"/>
            <w:shd w:val="clear" w:color="auto" w:fill="FBE3D5"/>
          </w:tcPr>
          <w:p>
            <w:pPr>
              <w:pStyle w:val="TableParagraph"/>
              <w:spacing w:before="1"/>
              <w:ind w:left="0"/>
              <w:rPr>
                <w:sz w:val="14"/>
              </w:rPr>
            </w:pPr>
          </w:p>
          <w:p>
            <w:pPr>
              <w:pStyle w:val="TableParagraph"/>
              <w:ind w:left="107"/>
              <w:rPr>
                <w:sz w:val="15"/>
              </w:rPr>
            </w:pPr>
            <w:r>
              <w:rPr>
                <w:sz w:val="15"/>
              </w:rPr>
              <w:t>52%</w:t>
            </w:r>
          </w:p>
        </w:tc>
        <w:tc>
          <w:tcPr>
            <w:tcW w:w="1427" w:type="dxa"/>
            <w:shd w:val="clear" w:color="auto" w:fill="FBE3D5"/>
          </w:tcPr>
          <w:p>
            <w:pPr>
              <w:pStyle w:val="TableParagraph"/>
              <w:spacing w:before="1"/>
              <w:ind w:left="0"/>
              <w:rPr>
                <w:sz w:val="14"/>
              </w:rPr>
            </w:pPr>
          </w:p>
          <w:p>
            <w:pPr>
              <w:pStyle w:val="TableParagraph"/>
              <w:ind w:left="108"/>
              <w:rPr>
                <w:sz w:val="15"/>
              </w:rPr>
            </w:pPr>
            <w:r>
              <w:rPr>
                <w:sz w:val="15"/>
              </w:rPr>
              <w:t>83%</w:t>
            </w:r>
          </w:p>
        </w:tc>
      </w:tr>
    </w:tbl>
    <w:p>
      <w:pPr>
        <w:spacing w:line="178" w:lineRule="exact" w:before="0" w:after="10"/>
        <w:ind w:left="2293" w:right="0" w:firstLine="0"/>
        <w:jc w:val="left"/>
        <w:rPr>
          <w:sz w:val="15"/>
        </w:rPr>
      </w:pPr>
      <w:r>
        <w:rPr>
          <w:sz w:val="15"/>
        </w:rPr>
        <w:t>完全缓</w:t>
      </w:r>
    </w:p>
    <w:tbl>
      <w:tblPr>
        <w:tblW w:w="0" w:type="auto"/>
        <w:jc w:val="left"/>
        <w:tblInd w:w="2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4"/>
        <w:gridCol w:w="893"/>
        <w:gridCol w:w="1163"/>
        <w:gridCol w:w="1539"/>
        <w:gridCol w:w="1539"/>
        <w:gridCol w:w="1810"/>
      </w:tblGrid>
      <w:tr>
        <w:trPr>
          <w:trHeight w:val="384" w:hRule="atLeast"/>
        </w:trPr>
        <w:tc>
          <w:tcPr>
            <w:tcW w:w="1224" w:type="dxa"/>
          </w:tcPr>
          <w:p>
            <w:pPr>
              <w:pStyle w:val="TableParagraph"/>
              <w:tabs>
                <w:tab w:pos="780" w:val="left" w:leader="none"/>
              </w:tabs>
              <w:spacing w:line="171" w:lineRule="exact"/>
              <w:ind w:left="105"/>
              <w:rPr>
                <w:sz w:val="15"/>
              </w:rPr>
            </w:pPr>
            <w:r>
              <w:rPr>
                <w:sz w:val="15"/>
              </w:rPr>
              <w:t>解 </w:t>
            </w:r>
            <w:r>
              <w:rPr>
                <w:spacing w:val="15"/>
                <w:sz w:val="15"/>
              </w:rPr>
              <w:t> </w:t>
            </w:r>
            <w:r>
              <w:rPr>
                <w:sz w:val="15"/>
              </w:rPr>
              <w:t>率</w:t>
              <w:tab/>
              <w:t>18%</w:t>
            </w:r>
          </w:p>
          <w:p>
            <w:pPr>
              <w:pStyle w:val="TableParagraph"/>
              <w:spacing w:line="190" w:lineRule="exact" w:before="3"/>
              <w:ind w:left="105"/>
              <w:rPr>
                <w:sz w:val="15"/>
              </w:rPr>
            </w:pPr>
            <w:r>
              <w:rPr>
                <w:sz w:val="15"/>
              </w:rPr>
              <w:t>CR</w:t>
            </w:r>
          </w:p>
        </w:tc>
        <w:tc>
          <w:tcPr>
            <w:tcW w:w="893" w:type="dxa"/>
          </w:tcPr>
          <w:p>
            <w:pPr>
              <w:pStyle w:val="TableParagraph"/>
              <w:spacing w:line="171" w:lineRule="exact"/>
              <w:ind w:left="217"/>
              <w:rPr>
                <w:sz w:val="15"/>
              </w:rPr>
            </w:pPr>
            <w:r>
              <w:rPr>
                <w:sz w:val="15"/>
              </w:rPr>
              <w:t>16%</w:t>
            </w:r>
          </w:p>
        </w:tc>
        <w:tc>
          <w:tcPr>
            <w:tcW w:w="1163" w:type="dxa"/>
          </w:tcPr>
          <w:p>
            <w:pPr>
              <w:pStyle w:val="TableParagraph"/>
              <w:spacing w:line="171" w:lineRule="exact"/>
              <w:ind w:left="450"/>
              <w:rPr>
                <w:sz w:val="15"/>
              </w:rPr>
            </w:pPr>
            <w:r>
              <w:rPr>
                <w:sz w:val="15"/>
              </w:rPr>
              <w:t>27%</w:t>
            </w:r>
          </w:p>
        </w:tc>
        <w:tc>
          <w:tcPr>
            <w:tcW w:w="1539" w:type="dxa"/>
          </w:tcPr>
          <w:p>
            <w:pPr>
              <w:pStyle w:val="TableParagraph"/>
              <w:spacing w:line="171" w:lineRule="exact"/>
              <w:ind w:left="489"/>
              <w:rPr>
                <w:sz w:val="15"/>
              </w:rPr>
            </w:pPr>
            <w:r>
              <w:rPr>
                <w:sz w:val="15"/>
              </w:rPr>
              <w:t>55%</w:t>
            </w:r>
          </w:p>
        </w:tc>
        <w:tc>
          <w:tcPr>
            <w:tcW w:w="1539" w:type="dxa"/>
          </w:tcPr>
          <w:p>
            <w:pPr>
              <w:pStyle w:val="TableParagraph"/>
              <w:spacing w:line="171" w:lineRule="exact"/>
              <w:ind w:left="602"/>
              <w:rPr>
                <w:sz w:val="15"/>
              </w:rPr>
            </w:pPr>
            <w:r>
              <w:rPr>
                <w:sz w:val="15"/>
              </w:rPr>
              <w:t>40%</w:t>
            </w:r>
          </w:p>
        </w:tc>
        <w:tc>
          <w:tcPr>
            <w:tcW w:w="1810" w:type="dxa"/>
          </w:tcPr>
          <w:p>
            <w:pPr>
              <w:pStyle w:val="TableParagraph"/>
              <w:spacing w:line="171" w:lineRule="exact"/>
              <w:ind w:left="490"/>
              <w:rPr>
                <w:sz w:val="15"/>
              </w:rPr>
            </w:pPr>
            <w:r>
              <w:rPr>
                <w:sz w:val="15"/>
              </w:rPr>
              <w:t>58%</w:t>
            </w:r>
          </w:p>
        </w:tc>
      </w:tr>
      <w:tr>
        <w:trPr>
          <w:trHeight w:val="585" w:hRule="atLeast"/>
        </w:trPr>
        <w:tc>
          <w:tcPr>
            <w:tcW w:w="1224" w:type="dxa"/>
            <w:shd w:val="clear" w:color="auto" w:fill="FBE3D5"/>
          </w:tcPr>
          <w:p>
            <w:pPr>
              <w:pStyle w:val="TableParagraph"/>
              <w:spacing w:line="177" w:lineRule="exact"/>
              <w:ind w:left="105"/>
              <w:rPr>
                <w:sz w:val="15"/>
              </w:rPr>
            </w:pPr>
            <w:r>
              <w:rPr>
                <w:sz w:val="15"/>
              </w:rPr>
              <w:t>中位总</w:t>
            </w:r>
          </w:p>
          <w:p>
            <w:pPr>
              <w:pStyle w:val="TableParagraph"/>
              <w:tabs>
                <w:tab w:pos="780" w:val="left" w:leader="none"/>
              </w:tabs>
              <w:spacing w:before="3"/>
              <w:ind w:left="105"/>
              <w:rPr>
                <w:sz w:val="15"/>
              </w:rPr>
            </w:pPr>
            <w:r>
              <w:rPr>
                <w:sz w:val="15"/>
              </w:rPr>
              <w:t>生存期</w:t>
              <w:tab/>
              <w:t>-</w:t>
            </w:r>
          </w:p>
          <w:p>
            <w:pPr>
              <w:pStyle w:val="TableParagraph"/>
              <w:spacing w:line="190" w:lineRule="exact" w:before="3"/>
              <w:ind w:left="105"/>
              <w:rPr>
                <w:sz w:val="15"/>
              </w:rPr>
            </w:pPr>
            <w:r>
              <w:rPr>
                <w:sz w:val="15"/>
              </w:rPr>
              <w:t>（月）</w:t>
            </w:r>
          </w:p>
        </w:tc>
        <w:tc>
          <w:tcPr>
            <w:tcW w:w="893" w:type="dxa"/>
            <w:shd w:val="clear" w:color="auto" w:fill="FBE3D5"/>
          </w:tcPr>
          <w:p>
            <w:pPr>
              <w:pStyle w:val="TableParagraph"/>
              <w:ind w:left="0"/>
              <w:rPr>
                <w:sz w:val="14"/>
              </w:rPr>
            </w:pPr>
          </w:p>
          <w:p>
            <w:pPr>
              <w:pStyle w:val="TableParagraph"/>
              <w:spacing w:before="1"/>
              <w:ind w:left="217"/>
              <w:rPr>
                <w:sz w:val="15"/>
              </w:rPr>
            </w:pPr>
            <w:r>
              <w:rPr>
                <w:sz w:val="15"/>
              </w:rPr>
              <w:t>-</w:t>
            </w:r>
          </w:p>
        </w:tc>
        <w:tc>
          <w:tcPr>
            <w:tcW w:w="1163" w:type="dxa"/>
            <w:shd w:val="clear" w:color="auto" w:fill="FBE3D5"/>
          </w:tcPr>
          <w:p>
            <w:pPr>
              <w:pStyle w:val="TableParagraph"/>
              <w:ind w:left="0"/>
              <w:rPr>
                <w:sz w:val="14"/>
              </w:rPr>
            </w:pPr>
          </w:p>
          <w:p>
            <w:pPr>
              <w:pStyle w:val="TableParagraph"/>
              <w:spacing w:before="1"/>
              <w:ind w:left="450"/>
              <w:rPr>
                <w:sz w:val="15"/>
              </w:rPr>
            </w:pPr>
            <w:r>
              <w:rPr>
                <w:sz w:val="15"/>
              </w:rPr>
              <w:t>-</w:t>
            </w:r>
          </w:p>
        </w:tc>
        <w:tc>
          <w:tcPr>
            <w:tcW w:w="1539" w:type="dxa"/>
            <w:shd w:val="clear" w:color="auto" w:fill="FBE3D5"/>
          </w:tcPr>
          <w:p>
            <w:pPr>
              <w:pStyle w:val="TableParagraph"/>
              <w:ind w:left="0"/>
              <w:rPr>
                <w:sz w:val="14"/>
              </w:rPr>
            </w:pPr>
          </w:p>
          <w:p>
            <w:pPr>
              <w:pStyle w:val="TableParagraph"/>
              <w:spacing w:before="1"/>
              <w:ind w:left="489"/>
              <w:rPr>
                <w:sz w:val="15"/>
              </w:rPr>
            </w:pPr>
            <w:r>
              <w:rPr>
                <w:sz w:val="15"/>
              </w:rPr>
              <w:t>NA</w:t>
            </w:r>
          </w:p>
        </w:tc>
        <w:tc>
          <w:tcPr>
            <w:tcW w:w="1539" w:type="dxa"/>
            <w:shd w:val="clear" w:color="auto" w:fill="FBE3D5"/>
          </w:tcPr>
          <w:p>
            <w:pPr>
              <w:pStyle w:val="TableParagraph"/>
              <w:ind w:left="0"/>
              <w:rPr>
                <w:sz w:val="14"/>
              </w:rPr>
            </w:pPr>
          </w:p>
          <w:p>
            <w:pPr>
              <w:pStyle w:val="TableParagraph"/>
              <w:spacing w:before="1"/>
              <w:ind w:left="602"/>
              <w:rPr>
                <w:sz w:val="15"/>
              </w:rPr>
            </w:pPr>
            <w:r>
              <w:rPr>
                <w:sz w:val="15"/>
              </w:rPr>
              <w:t>16.6</w:t>
            </w:r>
          </w:p>
        </w:tc>
        <w:tc>
          <w:tcPr>
            <w:tcW w:w="1810" w:type="dxa"/>
            <w:shd w:val="clear" w:color="auto" w:fill="FBE3D5"/>
          </w:tcPr>
          <w:p>
            <w:pPr>
              <w:pStyle w:val="TableParagraph"/>
              <w:ind w:left="0"/>
              <w:rPr>
                <w:sz w:val="14"/>
              </w:rPr>
            </w:pPr>
          </w:p>
          <w:p>
            <w:pPr>
              <w:pStyle w:val="TableParagraph"/>
              <w:spacing w:before="1"/>
              <w:ind w:left="490"/>
              <w:rPr>
                <w:sz w:val="15"/>
              </w:rPr>
            </w:pPr>
            <w:r>
              <w:rPr>
                <w:sz w:val="15"/>
              </w:rPr>
              <w:t>25.8</w:t>
            </w:r>
          </w:p>
        </w:tc>
      </w:tr>
      <w:tr>
        <w:trPr>
          <w:trHeight w:val="390" w:hRule="atLeast"/>
        </w:trPr>
        <w:tc>
          <w:tcPr>
            <w:tcW w:w="1224" w:type="dxa"/>
            <w:tcBorders>
              <w:bottom w:val="single" w:sz="6" w:space="0" w:color="A11D04"/>
            </w:tcBorders>
          </w:tcPr>
          <w:p>
            <w:pPr>
              <w:pStyle w:val="TableParagraph"/>
              <w:spacing w:line="177" w:lineRule="exact"/>
              <w:ind w:left="105"/>
              <w:rPr>
                <w:sz w:val="15"/>
              </w:rPr>
            </w:pPr>
            <w:r>
              <w:rPr>
                <w:sz w:val="15"/>
              </w:rPr>
              <w:t>表达载</w:t>
            </w:r>
          </w:p>
          <w:p>
            <w:pPr>
              <w:pStyle w:val="TableParagraph"/>
              <w:spacing w:line="190" w:lineRule="exact" w:before="3"/>
              <w:ind w:left="105"/>
              <w:rPr>
                <w:sz w:val="15"/>
              </w:rPr>
            </w:pPr>
            <w:r>
              <w:rPr>
                <w:sz w:val="15"/>
              </w:rPr>
              <w:t>体</w:t>
            </w:r>
          </w:p>
        </w:tc>
        <w:tc>
          <w:tcPr>
            <w:tcW w:w="893" w:type="dxa"/>
            <w:tcBorders>
              <w:bottom w:val="single" w:sz="6" w:space="0" w:color="A11D04"/>
            </w:tcBorders>
          </w:tcPr>
          <w:p>
            <w:pPr>
              <w:pStyle w:val="TableParagraph"/>
              <w:ind w:left="0"/>
              <w:rPr>
                <w:rFonts w:ascii="Times New Roman"/>
                <w:sz w:val="18"/>
              </w:rPr>
            </w:pPr>
          </w:p>
        </w:tc>
        <w:tc>
          <w:tcPr>
            <w:tcW w:w="1163" w:type="dxa"/>
            <w:tcBorders>
              <w:bottom w:val="single" w:sz="6" w:space="0" w:color="A11D04"/>
            </w:tcBorders>
          </w:tcPr>
          <w:p>
            <w:pPr>
              <w:pStyle w:val="TableParagraph"/>
              <w:ind w:left="0"/>
              <w:rPr>
                <w:rFonts w:ascii="Times New Roman"/>
                <w:sz w:val="18"/>
              </w:rPr>
            </w:pPr>
          </w:p>
        </w:tc>
        <w:tc>
          <w:tcPr>
            <w:tcW w:w="1539" w:type="dxa"/>
            <w:tcBorders>
              <w:bottom w:val="single" w:sz="6" w:space="0" w:color="A11D04"/>
            </w:tcBorders>
          </w:tcPr>
          <w:p>
            <w:pPr>
              <w:pStyle w:val="TableParagraph"/>
              <w:spacing w:before="90"/>
              <w:ind w:left="489"/>
              <w:rPr>
                <w:sz w:val="15"/>
              </w:rPr>
            </w:pPr>
            <w:r>
              <w:rPr>
                <w:sz w:val="15"/>
              </w:rPr>
              <w:t>慢病毒</w:t>
            </w:r>
          </w:p>
        </w:tc>
        <w:tc>
          <w:tcPr>
            <w:tcW w:w="1539" w:type="dxa"/>
            <w:tcBorders>
              <w:bottom w:val="single" w:sz="6" w:space="0" w:color="A11D04"/>
            </w:tcBorders>
          </w:tcPr>
          <w:p>
            <w:pPr>
              <w:pStyle w:val="TableParagraph"/>
              <w:spacing w:before="90"/>
              <w:ind w:left="602"/>
              <w:rPr>
                <w:sz w:val="15"/>
              </w:rPr>
            </w:pPr>
            <w:r>
              <w:rPr>
                <w:sz w:val="15"/>
              </w:rPr>
              <w:t>慢病毒</w:t>
            </w:r>
          </w:p>
        </w:tc>
        <w:tc>
          <w:tcPr>
            <w:tcW w:w="1810" w:type="dxa"/>
            <w:tcBorders>
              <w:bottom w:val="single" w:sz="6" w:space="0" w:color="A11D04"/>
            </w:tcBorders>
          </w:tcPr>
          <w:p>
            <w:pPr>
              <w:pStyle w:val="TableParagraph"/>
              <w:spacing w:before="90"/>
              <w:ind w:left="490"/>
              <w:rPr>
                <w:sz w:val="15"/>
              </w:rPr>
            </w:pPr>
            <w:r>
              <w:rPr>
                <w:sz w:val="15"/>
              </w:rPr>
              <w:t>逆转录病毒</w:t>
            </w:r>
          </w:p>
        </w:tc>
      </w:tr>
    </w:tbl>
    <w:p>
      <w:pPr>
        <w:spacing w:before="52"/>
        <w:ind w:left="2293" w:right="0" w:firstLine="0"/>
        <w:jc w:val="left"/>
        <w:rPr>
          <w:b/>
          <w:sz w:val="15"/>
        </w:rPr>
      </w:pPr>
      <w:r>
        <w:rPr>
          <w:b/>
          <w:spacing w:val="8"/>
          <w:sz w:val="15"/>
        </w:rPr>
        <w:t>数据来源：</w:t>
      </w:r>
      <w:r>
        <w:rPr>
          <w:b/>
          <w:sz w:val="15"/>
        </w:rPr>
        <w:t>Novel </w:t>
      </w:r>
      <w:r>
        <w:rPr>
          <w:b/>
          <w:spacing w:val="9"/>
          <w:sz w:val="15"/>
        </w:rPr>
        <w:t>and </w:t>
      </w:r>
      <w:r>
        <w:rPr>
          <w:b/>
          <w:sz w:val="15"/>
        </w:rPr>
        <w:t>e</w:t>
      </w:r>
      <w:r>
        <w:rPr>
          <w:b/>
          <w:spacing w:val="-61"/>
          <w:sz w:val="15"/>
        </w:rPr>
        <w:t> </w:t>
      </w:r>
      <w:r>
        <w:rPr>
          <w:b/>
          <w:sz w:val="15"/>
        </w:rPr>
        <w:t>merging t</w:t>
      </w:r>
      <w:r>
        <w:rPr>
          <w:b/>
          <w:spacing w:val="-61"/>
          <w:sz w:val="15"/>
        </w:rPr>
        <w:t> </w:t>
      </w:r>
      <w:r>
        <w:rPr>
          <w:b/>
          <w:sz w:val="15"/>
        </w:rPr>
        <w:t>herapies </w:t>
      </w:r>
      <w:r>
        <w:rPr>
          <w:b/>
          <w:spacing w:val="9"/>
          <w:sz w:val="15"/>
        </w:rPr>
        <w:t>for </w:t>
      </w:r>
      <w:r>
        <w:rPr>
          <w:b/>
          <w:sz w:val="15"/>
        </w:rPr>
        <w:t>B c</w:t>
      </w:r>
      <w:r>
        <w:rPr>
          <w:b/>
          <w:spacing w:val="-61"/>
          <w:sz w:val="15"/>
        </w:rPr>
        <w:t> </w:t>
      </w:r>
      <w:r>
        <w:rPr>
          <w:b/>
          <w:sz w:val="15"/>
        </w:rPr>
        <w:t>ell l</w:t>
      </w:r>
      <w:r>
        <w:rPr>
          <w:b/>
          <w:spacing w:val="-61"/>
          <w:sz w:val="15"/>
        </w:rPr>
        <w:t> </w:t>
      </w:r>
      <w:r>
        <w:rPr>
          <w:b/>
          <w:sz w:val="15"/>
        </w:rPr>
        <w:t>ymphoma</w:t>
      </w:r>
      <w:r>
        <w:rPr>
          <w:b/>
          <w:spacing w:val="1"/>
          <w:sz w:val="15"/>
        </w:rPr>
        <w:t>,财通证券研究所</w:t>
      </w:r>
    </w:p>
    <w:p>
      <w:pPr>
        <w:pStyle w:val="BodyText"/>
        <w:rPr>
          <w:b/>
          <w:sz w:val="20"/>
        </w:rPr>
      </w:pPr>
    </w:p>
    <w:p>
      <w:pPr>
        <w:pStyle w:val="BodyText"/>
        <w:spacing w:before="8"/>
        <w:rPr>
          <w:b/>
          <w:sz w:val="28"/>
        </w:rPr>
      </w:pPr>
    </w:p>
    <w:p>
      <w:pPr>
        <w:pStyle w:val="BodyText"/>
        <w:spacing w:before="71"/>
        <w:ind w:left="3164"/>
        <w:jc w:val="both"/>
      </w:pPr>
      <w:r>
        <w:rPr/>
        <w:t>从技术发展的角度来说，Car 技术不断革新.目前 Car 技术已经发展到了第五代</w:t>
      </w:r>
    </w:p>
    <w:p>
      <w:pPr>
        <w:pStyle w:val="BodyText"/>
        <w:spacing w:line="328" w:lineRule="auto" w:before="107"/>
        <w:ind w:left="3164" w:right="864"/>
        <w:jc w:val="both"/>
      </w:pPr>
      <w:r>
        <w:rPr/>
        <w:t>（我们所熟悉的诺华与吉利德均为二代</w:t>
      </w:r>
      <w:r>
        <w:rPr>
          <w:spacing w:val="-105"/>
        </w:rPr>
        <w:t>）</w:t>
      </w:r>
      <w:r>
        <w:rPr>
          <w:spacing w:val="-5"/>
        </w:rPr>
        <w:t>。了解每一代 </w:t>
      </w:r>
      <w:r>
        <w:rPr/>
        <w:t>Car</w:t>
      </w:r>
      <w:r>
        <w:rPr>
          <w:spacing w:val="-6"/>
        </w:rPr>
        <w:t> 技术的特点与进步点</w:t>
      </w:r>
      <w:r>
        <w:rPr>
          <w:spacing w:val="-10"/>
        </w:rPr>
        <w:t>将有助于我们更好地了解 </w:t>
      </w:r>
      <w:r>
        <w:rPr/>
        <w:t>Car-T</w:t>
      </w:r>
      <w:r>
        <w:rPr>
          <w:spacing w:val="-11"/>
        </w:rPr>
        <w:t> 技术的应用尤其是在减少副作用、实体瘤治疗方面的应用。如前文所述，Car</w:t>
      </w:r>
      <w:r>
        <w:rPr>
          <w:spacing w:val="-7"/>
        </w:rPr>
        <w:t> 基因包含表达识别特异性抗原的单克隆抗体的重链和轻链的单链可变片段（ScFv）</w:t>
      </w:r>
      <w:r>
        <w:rPr>
          <w:spacing w:val="3"/>
        </w:rPr>
        <w:t>的序列。</w:t>
      </w:r>
      <w:r>
        <w:rPr/>
        <w:t>ScFv 中的可变重链和轻链通过短肽连</w:t>
      </w:r>
      <w:r>
        <w:rPr>
          <w:spacing w:val="-10"/>
        </w:rPr>
        <w:t>接在一起。除 </w:t>
      </w:r>
      <w:r>
        <w:rPr/>
        <w:t>ScFv</w:t>
      </w:r>
      <w:r>
        <w:rPr>
          <w:spacing w:val="-16"/>
        </w:rPr>
        <w:t> 外，</w:t>
      </w:r>
      <w:r>
        <w:rPr>
          <w:spacing w:val="-4"/>
        </w:rPr>
        <w:t>CAR</w:t>
      </w:r>
      <w:r>
        <w:rPr>
          <w:spacing w:val="-12"/>
        </w:rPr>
        <w:t> 还包含一个铰链，旨在支持 </w:t>
      </w:r>
      <w:r>
        <w:rPr>
          <w:spacing w:val="-3"/>
        </w:rPr>
        <w:t>ScFvs</w:t>
      </w:r>
      <w:r>
        <w:rPr>
          <w:spacing w:val="-2"/>
        </w:rPr>
        <w:t>，跨膜结构域和信</w:t>
      </w:r>
      <w:r>
        <w:rPr>
          <w:spacing w:val="-8"/>
        </w:rPr>
        <w:t>号传导内结构域，这些结构域可启动细胞内信号级联反应而进行抗原识别。具体来看：</w:t>
      </w:r>
    </w:p>
    <w:p>
      <w:pPr>
        <w:pStyle w:val="Heading2"/>
        <w:numPr>
          <w:ilvl w:val="1"/>
          <w:numId w:val="6"/>
        </w:numPr>
        <w:tabs>
          <w:tab w:pos="3645" w:val="left" w:leader="none"/>
        </w:tabs>
        <w:spacing w:line="240" w:lineRule="auto" w:before="91" w:after="0"/>
        <w:ind w:left="3645" w:right="0" w:hanging="481"/>
        <w:jc w:val="both"/>
      </w:pPr>
      <w:bookmarkStart w:name="_TOC_250021" w:id="3"/>
      <w:r>
        <w:rPr>
          <w:spacing w:val="-2"/>
        </w:rPr>
        <w:t>从第一到第三代 </w:t>
      </w:r>
      <w:bookmarkEnd w:id="3"/>
      <w:r>
        <w:rPr/>
        <w:t>CAR</w:t>
      </w:r>
    </w:p>
    <w:p>
      <w:pPr>
        <w:pStyle w:val="BodyText"/>
        <w:rPr>
          <w:b/>
          <w:sz w:val="20"/>
        </w:rPr>
      </w:pPr>
    </w:p>
    <w:p>
      <w:pPr>
        <w:pStyle w:val="BodyText"/>
        <w:spacing w:before="2"/>
        <w:rPr>
          <w:b/>
          <w:sz w:val="22"/>
        </w:rPr>
      </w:pPr>
    </w:p>
    <w:p>
      <w:pPr>
        <w:tabs>
          <w:tab w:pos="10568" w:val="left" w:leader="none"/>
        </w:tabs>
        <w:spacing w:before="77"/>
        <w:ind w:left="3059" w:right="0" w:firstLine="0"/>
        <w:jc w:val="left"/>
        <w:rPr>
          <w:b/>
          <w:sz w:val="21"/>
        </w:rPr>
      </w:pPr>
      <w:r>
        <w:rPr>
          <w:rFonts w:ascii="Times New Roman" w:eastAsia="Times New Roman"/>
          <w:b/>
          <w:color w:val="FFFFFF"/>
          <w:sz w:val="21"/>
          <w:shd w:fill="A11D04" w:color="auto" w:val="clear"/>
        </w:rPr>
        <w:t>  </w:t>
      </w:r>
      <w:r>
        <w:rPr>
          <w:b/>
          <w:color w:val="FFFFFF"/>
          <w:sz w:val="21"/>
          <w:shd w:fill="A11D04" w:color="auto" w:val="clear"/>
        </w:rPr>
        <w:t>图</w:t>
      </w:r>
      <w:r>
        <w:rPr>
          <w:b/>
          <w:color w:val="FFFFFF"/>
          <w:spacing w:val="-34"/>
          <w:sz w:val="21"/>
          <w:shd w:fill="A11D04" w:color="auto" w:val="clear"/>
        </w:rPr>
        <w:t> </w:t>
      </w:r>
      <w:r>
        <w:rPr>
          <w:b/>
          <w:color w:val="FFFFFF"/>
          <w:spacing w:val="14"/>
          <w:sz w:val="21"/>
          <w:shd w:fill="A11D04" w:color="auto" w:val="clear"/>
        </w:rPr>
        <w:t>6：</w:t>
      </w:r>
      <w:r>
        <w:rPr>
          <w:b/>
          <w:color w:val="FFFFFF"/>
          <w:sz w:val="21"/>
          <w:shd w:fill="A11D04" w:color="auto" w:val="clear"/>
        </w:rPr>
        <w:t>第一代</w:t>
      </w:r>
      <w:r>
        <w:rPr>
          <w:b/>
          <w:color w:val="FFFFFF"/>
          <w:spacing w:val="-63"/>
          <w:sz w:val="21"/>
          <w:shd w:fill="A11D04" w:color="auto" w:val="clear"/>
        </w:rPr>
        <w:t> </w:t>
      </w:r>
      <w:r>
        <w:rPr>
          <w:b/>
          <w:color w:val="FFFFFF"/>
          <w:spacing w:val="2"/>
          <w:sz w:val="21"/>
          <w:shd w:fill="A11D04" w:color="auto" w:val="clear"/>
        </w:rPr>
        <w:t>Car-T</w:t>
      </w:r>
      <w:r>
        <w:rPr>
          <w:b/>
          <w:color w:val="FFFFFF"/>
          <w:spacing w:val="-62"/>
          <w:sz w:val="21"/>
          <w:shd w:fill="A11D04" w:color="auto" w:val="clear"/>
        </w:rPr>
        <w:t> </w:t>
      </w:r>
      <w:r>
        <w:rPr>
          <w:b/>
          <w:color w:val="FFFFFF"/>
          <w:sz w:val="21"/>
          <w:shd w:fill="A11D04" w:color="auto" w:val="clear"/>
        </w:rPr>
        <w:t>结构</w:t>
        <w:tab/>
      </w:r>
    </w:p>
    <w:p>
      <w:pPr>
        <w:pStyle w:val="BodyText"/>
        <w:rPr>
          <w:b/>
          <w:sz w:val="20"/>
        </w:rPr>
      </w:pPr>
    </w:p>
    <w:p>
      <w:pPr>
        <w:pStyle w:val="BodyText"/>
        <w:rPr>
          <w:b/>
          <w:sz w:val="20"/>
        </w:rPr>
      </w:pPr>
    </w:p>
    <w:p>
      <w:pPr>
        <w:pStyle w:val="BodyText"/>
        <w:spacing w:before="11"/>
        <w:rPr>
          <w:b/>
          <w:sz w:val="23"/>
        </w:rPr>
      </w:pPr>
      <w:r>
        <w:rPr/>
        <w:drawing>
          <wp:anchor distT="0" distB="0" distL="0" distR="0" allowOverlap="1" layoutInCell="1" locked="0" behindDoc="0" simplePos="0" relativeHeight="27">
            <wp:simplePos x="0" y="0"/>
            <wp:positionH relativeFrom="page">
              <wp:posOffset>2511227</wp:posOffset>
            </wp:positionH>
            <wp:positionV relativeFrom="paragraph">
              <wp:posOffset>218895</wp:posOffset>
            </wp:positionV>
            <wp:extent cx="4127821" cy="1173480"/>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16" cstate="print"/>
                    <a:stretch>
                      <a:fillRect/>
                    </a:stretch>
                  </pic:blipFill>
                  <pic:spPr>
                    <a:xfrm>
                      <a:off x="0" y="0"/>
                      <a:ext cx="4127821" cy="1173480"/>
                    </a:xfrm>
                    <a:prstGeom prst="rect">
                      <a:avLst/>
                    </a:prstGeom>
                  </pic:spPr>
                </pic:pic>
              </a:graphicData>
            </a:graphic>
          </wp:anchor>
        </w:drawing>
      </w:r>
    </w:p>
    <w:p>
      <w:pPr>
        <w:pStyle w:val="BodyText"/>
        <w:rPr>
          <w:b/>
          <w:sz w:val="20"/>
        </w:rPr>
      </w:pPr>
    </w:p>
    <w:p>
      <w:pPr>
        <w:pStyle w:val="BodyText"/>
        <w:spacing w:before="1"/>
        <w:rPr>
          <w:b/>
          <w:sz w:val="26"/>
        </w:rPr>
      </w:pPr>
      <w:r>
        <w:rPr/>
        <w:pict>
          <v:rect style="position:absolute;margin-left:165.949997pt;margin-top:18.691172pt;width:375.47pt;height:.75pt;mso-position-horizontal-relative:page;mso-position-vertical-relative:paragraph;z-index:-15714304;mso-wrap-distance-left:0;mso-wrap-distance-right:0" filled="true" fillcolor="#a11d04" stroked="false">
            <v:fill type="solid"/>
            <w10:wrap type="topAndBottom"/>
          </v:rect>
        </w:pict>
      </w:r>
    </w:p>
    <w:p>
      <w:pPr>
        <w:spacing w:before="16"/>
        <w:ind w:left="3164" w:right="0" w:firstLine="0"/>
        <w:jc w:val="left"/>
        <w:rPr>
          <w:b/>
          <w:sz w:val="15"/>
        </w:rPr>
      </w:pPr>
      <w:r>
        <w:rPr>
          <w:b/>
          <w:spacing w:val="8"/>
          <w:sz w:val="15"/>
        </w:rPr>
        <w:t>数据来源：</w:t>
      </w:r>
      <w:r>
        <w:rPr>
          <w:b/>
          <w:sz w:val="15"/>
        </w:rPr>
        <w:t>Compone</w:t>
      </w:r>
      <w:r>
        <w:rPr>
          <w:b/>
          <w:spacing w:val="-62"/>
          <w:sz w:val="15"/>
        </w:rPr>
        <w:t> </w:t>
      </w:r>
      <w:r>
        <w:rPr>
          <w:b/>
          <w:sz w:val="15"/>
        </w:rPr>
        <w:t>nts a</w:t>
      </w:r>
      <w:r>
        <w:rPr>
          <w:b/>
          <w:spacing w:val="-61"/>
          <w:sz w:val="15"/>
        </w:rPr>
        <w:t> </w:t>
      </w:r>
      <w:r>
        <w:rPr>
          <w:b/>
          <w:sz w:val="15"/>
        </w:rPr>
        <w:t>nd D</w:t>
      </w:r>
      <w:r>
        <w:rPr>
          <w:b/>
          <w:spacing w:val="-61"/>
          <w:sz w:val="15"/>
        </w:rPr>
        <w:t> </w:t>
      </w:r>
      <w:r>
        <w:rPr>
          <w:b/>
          <w:sz w:val="15"/>
        </w:rPr>
        <w:t>esign </w:t>
      </w:r>
      <w:r>
        <w:rPr>
          <w:b/>
          <w:spacing w:val="7"/>
          <w:sz w:val="15"/>
        </w:rPr>
        <w:t>of </w:t>
      </w:r>
      <w:r>
        <w:rPr>
          <w:b/>
          <w:sz w:val="15"/>
        </w:rPr>
        <w:t>C</w:t>
      </w:r>
      <w:r>
        <w:rPr>
          <w:b/>
          <w:spacing w:val="-61"/>
          <w:sz w:val="15"/>
        </w:rPr>
        <w:t> </w:t>
      </w:r>
      <w:r>
        <w:rPr>
          <w:b/>
          <w:sz w:val="15"/>
        </w:rPr>
        <w:t>himer</w:t>
      </w:r>
      <w:r>
        <w:rPr>
          <w:b/>
          <w:spacing w:val="-61"/>
          <w:sz w:val="15"/>
        </w:rPr>
        <w:t> </w:t>
      </w:r>
      <w:r>
        <w:rPr>
          <w:b/>
          <w:sz w:val="15"/>
        </w:rPr>
        <w:t>ic A</w:t>
      </w:r>
      <w:r>
        <w:rPr>
          <w:b/>
          <w:spacing w:val="-61"/>
          <w:sz w:val="15"/>
        </w:rPr>
        <w:t> </w:t>
      </w:r>
      <w:r>
        <w:rPr>
          <w:b/>
          <w:sz w:val="15"/>
        </w:rPr>
        <w:t>ntigen R</w:t>
      </w:r>
      <w:r>
        <w:rPr>
          <w:b/>
          <w:spacing w:val="-62"/>
          <w:sz w:val="15"/>
        </w:rPr>
        <w:t> </w:t>
      </w:r>
      <w:r>
        <w:rPr>
          <w:b/>
          <w:sz w:val="15"/>
        </w:rPr>
        <w:t>eceptors，财通证券研究所</w:t>
      </w:r>
    </w:p>
    <w:p>
      <w:pPr>
        <w:pStyle w:val="BodyText"/>
        <w:rPr>
          <w:b/>
          <w:sz w:val="20"/>
        </w:rPr>
      </w:pPr>
    </w:p>
    <w:p>
      <w:pPr>
        <w:pStyle w:val="BodyText"/>
        <w:spacing w:before="8"/>
        <w:rPr>
          <w:b/>
          <w:sz w:val="28"/>
        </w:rPr>
      </w:pPr>
    </w:p>
    <w:p>
      <w:pPr>
        <w:pStyle w:val="BodyText"/>
        <w:spacing w:line="331" w:lineRule="auto" w:before="70"/>
        <w:ind w:left="3164" w:right="868"/>
        <w:jc w:val="both"/>
      </w:pPr>
      <w:r>
        <w:rPr>
          <w:b/>
          <w:spacing w:val="-13"/>
        </w:rPr>
        <w:t>第一代 </w:t>
      </w:r>
      <w:r>
        <w:rPr>
          <w:b/>
        </w:rPr>
        <w:t>CARs</w:t>
      </w:r>
      <w:r>
        <w:rPr>
          <w:b/>
          <w:spacing w:val="-9"/>
        </w:rPr>
        <w:t> 不包含共刺激分子。</w:t>
      </w:r>
      <w:r>
        <w:rPr>
          <w:spacing w:val="-11"/>
        </w:rPr>
        <w:t>包括第一代、第二代和第三代 </w:t>
      </w:r>
      <w:r>
        <w:rPr>
          <w:spacing w:val="-4"/>
        </w:rPr>
        <w:t>CARs</w:t>
      </w:r>
      <w:r>
        <w:rPr>
          <w:spacing w:val="-9"/>
        </w:rPr>
        <w:t> 在内的所有CARs</w:t>
      </w:r>
      <w:r>
        <w:rPr>
          <w:spacing w:val="-16"/>
        </w:rPr>
        <w:t> 都装有将 </w:t>
      </w:r>
      <w:r>
        <w:rPr/>
        <w:t>scFv</w:t>
      </w:r>
      <w:r>
        <w:rPr>
          <w:spacing w:val="-9"/>
        </w:rPr>
        <w:t> 与细胞内信号结构域连接的铰链。铰链通常来自 </w:t>
      </w:r>
      <w:r>
        <w:rPr/>
        <w:t>CD8α糖蛋</w:t>
      </w:r>
      <w:r>
        <w:rPr>
          <w:spacing w:val="-11"/>
        </w:rPr>
        <w:t>白或 </w:t>
      </w:r>
      <w:r>
        <w:rPr/>
        <w:t>IgG</w:t>
      </w:r>
      <w:r>
        <w:rPr>
          <w:spacing w:val="-7"/>
        </w:rPr>
        <w:t> 恒定域。</w:t>
      </w:r>
      <w:r>
        <w:rPr/>
        <w:t>CD8α铰链可以通过其疏水性跨膜结构域透过细胞膜。跨膜结</w:t>
      </w:r>
      <w:r>
        <w:rPr>
          <w:spacing w:val="-4"/>
        </w:rPr>
        <w:t>构域的一部分可能包含共刺激分子的序列。最后，跨膜结构域与融合内分裂素融</w:t>
      </w:r>
    </w:p>
    <w:p>
      <w:pPr>
        <w:spacing w:after="0" w:line="331"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867"/>
        <w:jc w:val="both"/>
      </w:pPr>
      <w:r>
        <w:rPr>
          <w:spacing w:val="-1"/>
        </w:rPr>
        <w:t>合蛋白进行融合。融合内分裂素融合蛋白是由共刺激分子组成并融合 </w:t>
      </w:r>
      <w:r>
        <w:rPr/>
        <w:t>FcεRIγ </w:t>
      </w:r>
      <w:r>
        <w:rPr>
          <w:spacing w:val="-5"/>
        </w:rPr>
        <w:t>链或 </w:t>
      </w:r>
      <w:r>
        <w:rPr/>
        <w:t>CD3ε</w:t>
      </w:r>
      <w:r>
        <w:rPr>
          <w:spacing w:val="-8"/>
        </w:rPr>
        <w:t>或 </w:t>
      </w:r>
      <w:r>
        <w:rPr/>
        <w:t>CD3ζ</w:t>
      </w:r>
      <w:r>
        <w:rPr>
          <w:spacing w:val="-2"/>
        </w:rPr>
        <w:t>信号域。共刺激分子通常包含融合有源自 </w:t>
      </w:r>
      <w:r>
        <w:rPr/>
        <w:t>CD3ε序列胞内信</w:t>
      </w:r>
      <w:r>
        <w:rPr>
          <w:spacing w:val="-8"/>
        </w:rPr>
        <w:t>号传导域的 </w:t>
      </w:r>
      <w:r>
        <w:rPr/>
        <w:t>CD28</w:t>
      </w:r>
      <w:r>
        <w:rPr>
          <w:spacing w:val="-31"/>
        </w:rPr>
        <w:t> 或 </w:t>
      </w:r>
      <w:r>
        <w:rPr>
          <w:spacing w:val="-3"/>
        </w:rPr>
        <w:t>4-IBB</w:t>
      </w:r>
      <w:r>
        <w:rPr>
          <w:spacing w:val="-31"/>
        </w:rPr>
        <w:t> 或 </w:t>
      </w:r>
      <w:r>
        <w:rPr>
          <w:spacing w:val="-3"/>
        </w:rPr>
        <w:t>OX-40</w:t>
      </w:r>
      <w:r>
        <w:rPr>
          <w:spacing w:val="-15"/>
        </w:rPr>
        <w:t>。除 </w:t>
      </w:r>
      <w:r>
        <w:rPr>
          <w:spacing w:val="-4"/>
        </w:rPr>
        <w:t>scFv</w:t>
      </w:r>
      <w:r>
        <w:rPr>
          <w:spacing w:val="-13"/>
        </w:rPr>
        <w:t> 之外，第三代 </w:t>
      </w:r>
      <w:r>
        <w:rPr>
          <w:spacing w:val="-5"/>
        </w:rPr>
        <w:t>CAR</w:t>
      </w:r>
      <w:r>
        <w:rPr>
          <w:spacing w:val="-7"/>
        </w:rPr>
        <w:t> 还包含融合有单</w:t>
      </w:r>
      <w:r>
        <w:rPr>
          <w:spacing w:val="-9"/>
        </w:rPr>
        <w:t>链单载体上</w:t>
      </w:r>
      <w:r>
        <w:rPr/>
        <w:t>（例如逆转录病毒载体</w:t>
      </w:r>
      <w:r>
        <w:rPr>
          <w:spacing w:val="-15"/>
        </w:rPr>
        <w:t>）</w:t>
      </w:r>
      <w:r>
        <w:rPr>
          <w:spacing w:val="-3"/>
        </w:rPr>
        <w:t>或双链单载体上</w:t>
      </w:r>
      <w:r>
        <w:rPr/>
        <w:t>（</w:t>
      </w:r>
      <w:r>
        <w:rPr>
          <w:spacing w:val="-2"/>
        </w:rPr>
        <w:t>例如逆转录病毒、慢病毒载体）CD3ζ</w:t>
      </w:r>
      <w:r>
        <w:rPr>
          <w:spacing w:val="-1"/>
        </w:rPr>
        <w:t>内结构域的两个共刺激分子。裂解后的双链单载体表达两条链，其</w:t>
      </w:r>
      <w:r>
        <w:rPr>
          <w:spacing w:val="-4"/>
        </w:rPr>
        <w:t>中一条链含有融合有共刺激分子和 </w:t>
      </w:r>
      <w:r>
        <w:rPr/>
        <w:t>CD3ζ</w:t>
      </w:r>
      <w:r>
        <w:rPr>
          <w:spacing w:val="-11"/>
        </w:rPr>
        <w:t>内域的 </w:t>
      </w:r>
      <w:r>
        <w:rPr>
          <w:spacing w:val="-13"/>
        </w:rPr>
        <w:t>scFv</w:t>
      </w:r>
      <w:r>
        <w:rPr>
          <w:spacing w:val="-4"/>
        </w:rPr>
        <w:t>，而另一条链可能会产生融</w:t>
      </w:r>
      <w:r>
        <w:rPr>
          <w:spacing w:val="-8"/>
        </w:rPr>
        <w:t>合有共刺激分子，但没有 </w:t>
      </w:r>
      <w:r>
        <w:rPr/>
        <w:t>CD3ζ</w:t>
      </w:r>
      <w:r>
        <w:rPr>
          <w:spacing w:val="-12"/>
        </w:rPr>
        <w:t>内域的 </w:t>
      </w:r>
      <w:r>
        <w:rPr/>
        <w:t>scFv。</w:t>
      </w:r>
    </w:p>
    <w:p>
      <w:pPr>
        <w:pStyle w:val="BodyText"/>
        <w:spacing w:line="326" w:lineRule="auto" w:before="122"/>
        <w:ind w:left="3164" w:right="867"/>
        <w:jc w:val="both"/>
      </w:pPr>
      <w:r>
        <w:rPr>
          <w:b/>
          <w:w w:val="99"/>
        </w:rPr>
        <w:t>第一代</w:t>
      </w:r>
      <w:r>
        <w:rPr>
          <w:b/>
          <w:spacing w:val="-46"/>
        </w:rPr>
        <w:t> </w:t>
      </w:r>
      <w:r>
        <w:rPr>
          <w:b/>
          <w:w w:val="99"/>
        </w:rPr>
        <w:t>CAR</w:t>
      </w:r>
      <w:r>
        <w:rPr>
          <w:b/>
          <w:spacing w:val="-46"/>
        </w:rPr>
        <w:t> </w:t>
      </w:r>
      <w:r>
        <w:rPr>
          <w:b/>
          <w:spacing w:val="-14"/>
          <w:w w:val="99"/>
        </w:rPr>
        <w:t>的组织结构：</w:t>
      </w:r>
      <w:r>
        <w:rPr/>
        <w:t>（A）</w:t>
      </w:r>
      <w:r>
        <w:rPr>
          <w:spacing w:val="-21"/>
        </w:rPr>
        <w:t>编码 </w:t>
      </w:r>
      <w:r>
        <w:rPr/>
        <w:t>ScFv</w:t>
      </w:r>
      <w:r>
        <w:rPr>
          <w:spacing w:val="-13"/>
        </w:rPr>
        <w:t> 片段的第一代 </w:t>
      </w:r>
      <w:r>
        <w:rPr/>
        <w:t>CAR</w:t>
      </w:r>
      <w:r>
        <w:rPr>
          <w:spacing w:val="-7"/>
        </w:rPr>
        <w:t> 的嵌合基因序列、可识别肿瘤相关抗原的抗原结合区、铰链、跨膜结构域（TM）</w:t>
      </w:r>
      <w:r>
        <w:rPr>
          <w:spacing w:val="-13"/>
        </w:rPr>
        <w:t>和信号域，例如 </w:t>
      </w:r>
      <w:r>
        <w:rPr/>
        <w:t>CD3 ζ</w:t>
      </w:r>
      <w:r>
        <w:rPr>
          <w:spacing w:val="-4"/>
        </w:rPr>
        <w:t>。第一代 </w:t>
      </w:r>
      <w:r>
        <w:rPr/>
        <w:t>CARs</w:t>
      </w:r>
      <w:r>
        <w:rPr>
          <w:spacing w:val="-10"/>
        </w:rPr>
        <w:t> 没有共刺激分子，但包含细胞内信号域。</w:t>
      </w:r>
      <w:r>
        <w:rPr/>
        <w:t>（B）</w:t>
      </w:r>
      <w:r>
        <w:rPr>
          <w:spacing w:val="-3"/>
        </w:rPr>
        <w:t>第一代嵌合 </w:t>
      </w:r>
      <w:r>
        <w:rPr/>
        <w:t>CAR </w:t>
      </w:r>
      <w:r>
        <w:rPr>
          <w:spacing w:val="-23"/>
        </w:rPr>
        <w:t>在 </w:t>
      </w:r>
      <w:r>
        <w:rPr/>
        <w:t>T</w:t>
      </w:r>
      <w:r>
        <w:rPr>
          <w:spacing w:val="-10"/>
        </w:rPr>
        <w:t> 细胞中的表达。使用各种基因转染方法在 </w:t>
      </w:r>
      <w:r>
        <w:rPr/>
        <w:t>T</w:t>
      </w:r>
      <w:r>
        <w:rPr>
          <w:spacing w:val="-8"/>
        </w:rPr>
        <w:t> 细胞中表达嵌合基因序列。</w:t>
      </w:r>
      <w:r>
        <w:rPr/>
        <w:t>T</w:t>
      </w:r>
      <w:r>
        <w:rPr>
          <w:spacing w:val="-23"/>
        </w:rPr>
        <w:t> 细</w:t>
      </w:r>
      <w:r>
        <w:rPr>
          <w:spacing w:val="-17"/>
        </w:rPr>
        <w:t>胞中的嵌合基因序列通过蛋白质翻译后表达不干扰内源性 </w:t>
      </w:r>
      <w:r>
        <w:rPr/>
        <w:t>T 细胞受体的功能齐</w:t>
      </w:r>
      <w:r>
        <w:rPr>
          <w:spacing w:val="-15"/>
        </w:rPr>
        <w:t>全的 </w:t>
      </w:r>
      <w:r>
        <w:rPr/>
        <w:t>CAR</w:t>
      </w:r>
      <w:r>
        <w:rPr>
          <w:spacing w:val="-105"/>
        </w:rPr>
        <w:t>。</w:t>
      </w:r>
      <w:r>
        <w:rPr/>
        <w:t>（C）</w:t>
      </w:r>
      <w:r>
        <w:rPr>
          <w:spacing w:val="-23"/>
        </w:rPr>
        <w:t>在 </w:t>
      </w:r>
      <w:r>
        <w:rPr/>
        <w:t>T</w:t>
      </w:r>
      <w:r>
        <w:rPr>
          <w:spacing w:val="-11"/>
        </w:rPr>
        <w:t> 细胞中表达时，第一代 </w:t>
      </w:r>
      <w:r>
        <w:rPr/>
        <w:t>CAR</w:t>
      </w:r>
      <w:r>
        <w:rPr>
          <w:spacing w:val="-7"/>
        </w:rPr>
        <w:t> 可变区的放大视图。</w:t>
      </w:r>
    </w:p>
    <w:p>
      <w:pPr>
        <w:pStyle w:val="BodyText"/>
        <w:spacing w:line="328" w:lineRule="auto" w:before="131"/>
        <w:ind w:left="3164" w:right="866"/>
        <w:jc w:val="both"/>
      </w:pPr>
      <w:r>
        <w:rPr/>
        <w:t>1993</w:t>
      </w:r>
      <w:r>
        <w:rPr>
          <w:spacing w:val="-12"/>
        </w:rPr>
        <w:t> 年，第一代基于 </w:t>
      </w:r>
      <w:r>
        <w:rPr/>
        <w:t>CD3-ζ</w:t>
      </w:r>
      <w:r>
        <w:rPr>
          <w:spacing w:val="-15"/>
        </w:rPr>
        <w:t>链的 </w:t>
      </w:r>
      <w:r>
        <w:rPr/>
        <w:t>CAR-T</w:t>
      </w:r>
      <w:r>
        <w:rPr>
          <w:spacing w:val="-11"/>
        </w:rPr>
        <w:t> 细胞被发展出来。该 </w:t>
      </w:r>
      <w:r>
        <w:rPr/>
        <w:t>CAR-T</w:t>
      </w:r>
      <w:r>
        <w:rPr>
          <w:spacing w:val="-9"/>
        </w:rPr>
        <w:t> 细胞虽然具</w:t>
      </w:r>
      <w:r>
        <w:rPr>
          <w:spacing w:val="-11"/>
        </w:rPr>
        <w:t>有激活 </w:t>
      </w:r>
      <w:r>
        <w:rPr/>
        <w:t>T</w:t>
      </w:r>
      <w:r>
        <w:rPr>
          <w:spacing w:val="-5"/>
        </w:rPr>
        <w:t> 细胞的特点，但是只含有激活受体 </w:t>
      </w:r>
      <w:r>
        <w:rPr/>
        <w:t>CD3-ζ，其抗肿瘤效果比较弱，在体内的持续扩增有限，不具备大规模杀灭肿瘤细胞的能力。</w:t>
      </w:r>
    </w:p>
    <w:p>
      <w:pPr>
        <w:pStyle w:val="BodyText"/>
        <w:rPr>
          <w:sz w:val="20"/>
        </w:rPr>
      </w:pPr>
    </w:p>
    <w:p>
      <w:pPr>
        <w:pStyle w:val="BodyText"/>
        <w:spacing w:before="3"/>
        <w:rPr>
          <w:sz w:val="14"/>
        </w:rPr>
      </w:pPr>
    </w:p>
    <w:p>
      <w:pPr>
        <w:pStyle w:val="Heading2"/>
        <w:tabs>
          <w:tab w:pos="10568" w:val="left" w:leader="none"/>
        </w:tabs>
      </w:pPr>
      <w:r>
        <w:rPr>
          <w:rFonts w:ascii="Times New Roman" w:eastAsia="Times New Roman"/>
          <w:color w:val="FFFFFF"/>
          <w:shd w:fill="A11D04" w:color="auto" w:val="clear"/>
        </w:rPr>
        <w:t>  </w:t>
      </w:r>
      <w:r>
        <w:rPr>
          <w:color w:val="FFFFFF"/>
          <w:shd w:fill="A11D04" w:color="auto" w:val="clear"/>
        </w:rPr>
        <w:t>图</w:t>
      </w:r>
      <w:r>
        <w:rPr>
          <w:color w:val="FFFFFF"/>
          <w:spacing w:val="-34"/>
          <w:shd w:fill="A11D04" w:color="auto" w:val="clear"/>
        </w:rPr>
        <w:t> </w:t>
      </w:r>
      <w:r>
        <w:rPr>
          <w:color w:val="FFFFFF"/>
          <w:spacing w:val="14"/>
          <w:shd w:fill="A11D04" w:color="auto" w:val="clear"/>
        </w:rPr>
        <w:t>7：</w:t>
      </w:r>
      <w:r>
        <w:rPr>
          <w:color w:val="FFFFFF"/>
          <w:shd w:fill="A11D04" w:color="auto" w:val="clear"/>
        </w:rPr>
        <w:t>第二代</w:t>
      </w:r>
      <w:r>
        <w:rPr>
          <w:color w:val="FFFFFF"/>
          <w:spacing w:val="-63"/>
          <w:shd w:fill="A11D04" w:color="auto" w:val="clear"/>
        </w:rPr>
        <w:t> </w:t>
      </w:r>
      <w:r>
        <w:rPr>
          <w:color w:val="FFFFFF"/>
          <w:spacing w:val="2"/>
          <w:shd w:fill="A11D04" w:color="auto" w:val="clear"/>
        </w:rPr>
        <w:t>Car-T</w:t>
      </w:r>
      <w:r>
        <w:rPr>
          <w:color w:val="FFFFFF"/>
          <w:spacing w:val="-62"/>
          <w:shd w:fill="A11D04" w:color="auto" w:val="clear"/>
        </w:rPr>
        <w:t> </w:t>
      </w:r>
      <w:r>
        <w:rPr>
          <w:color w:val="FFFFFF"/>
          <w:shd w:fill="A11D04" w:color="auto" w:val="clear"/>
        </w:rPr>
        <w:t>结构</w:t>
        <w:tab/>
      </w:r>
    </w:p>
    <w:p>
      <w:pPr>
        <w:pStyle w:val="BodyText"/>
        <w:rPr>
          <w:b/>
          <w:sz w:val="20"/>
        </w:rPr>
      </w:pPr>
    </w:p>
    <w:p>
      <w:pPr>
        <w:pStyle w:val="BodyText"/>
        <w:spacing w:before="9"/>
        <w:rPr>
          <w:b/>
          <w:sz w:val="29"/>
        </w:rPr>
      </w:pPr>
      <w:r>
        <w:rPr/>
        <w:drawing>
          <wp:anchor distT="0" distB="0" distL="0" distR="0" allowOverlap="1" layoutInCell="1" locked="0" behindDoc="0" simplePos="0" relativeHeight="30">
            <wp:simplePos x="0" y="0"/>
            <wp:positionH relativeFrom="page">
              <wp:posOffset>2432593</wp:posOffset>
            </wp:positionH>
            <wp:positionV relativeFrom="paragraph">
              <wp:posOffset>266521</wp:posOffset>
            </wp:positionV>
            <wp:extent cx="4403703" cy="1299210"/>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7" cstate="print"/>
                    <a:stretch>
                      <a:fillRect/>
                    </a:stretch>
                  </pic:blipFill>
                  <pic:spPr>
                    <a:xfrm>
                      <a:off x="0" y="0"/>
                      <a:ext cx="4403703" cy="1299210"/>
                    </a:xfrm>
                    <a:prstGeom prst="rect">
                      <a:avLst/>
                    </a:prstGeom>
                  </pic:spPr>
                </pic:pic>
              </a:graphicData>
            </a:graphic>
          </wp:anchor>
        </w:drawing>
      </w:r>
    </w:p>
    <w:p>
      <w:pPr>
        <w:pStyle w:val="BodyText"/>
        <w:rPr>
          <w:b/>
          <w:sz w:val="20"/>
        </w:rPr>
      </w:pPr>
    </w:p>
    <w:p>
      <w:pPr>
        <w:pStyle w:val="BodyText"/>
        <w:spacing w:before="11"/>
        <w:rPr>
          <w:b/>
          <w:sz w:val="24"/>
        </w:rPr>
      </w:pPr>
      <w:r>
        <w:rPr/>
        <w:pict>
          <v:rect style="position:absolute;margin-left:165.949997pt;margin-top:17.877501pt;width:375.47pt;height:.75pt;mso-position-horizontal-relative:page;mso-position-vertical-relative:paragraph;z-index:-15712768;mso-wrap-distance-left:0;mso-wrap-distance-right:0" filled="true" fillcolor="#a11d04" stroked="false">
            <v:fill type="solid"/>
            <w10:wrap type="topAndBottom"/>
          </v:rect>
        </w:pict>
      </w:r>
    </w:p>
    <w:p>
      <w:pPr>
        <w:spacing w:before="16"/>
        <w:ind w:left="3164" w:right="0" w:firstLine="0"/>
        <w:jc w:val="left"/>
        <w:rPr>
          <w:b/>
          <w:sz w:val="15"/>
        </w:rPr>
      </w:pPr>
      <w:r>
        <w:rPr>
          <w:b/>
          <w:spacing w:val="8"/>
          <w:sz w:val="15"/>
        </w:rPr>
        <w:t>数据来源：</w:t>
      </w:r>
      <w:r>
        <w:rPr>
          <w:b/>
          <w:sz w:val="15"/>
        </w:rPr>
        <w:t>Compone</w:t>
      </w:r>
      <w:r>
        <w:rPr>
          <w:b/>
          <w:spacing w:val="-62"/>
          <w:sz w:val="15"/>
        </w:rPr>
        <w:t> </w:t>
      </w:r>
      <w:r>
        <w:rPr>
          <w:b/>
          <w:sz w:val="15"/>
        </w:rPr>
        <w:t>nts a</w:t>
      </w:r>
      <w:r>
        <w:rPr>
          <w:b/>
          <w:spacing w:val="-61"/>
          <w:sz w:val="15"/>
        </w:rPr>
        <w:t> </w:t>
      </w:r>
      <w:r>
        <w:rPr>
          <w:b/>
          <w:sz w:val="15"/>
        </w:rPr>
        <w:t>nd D</w:t>
      </w:r>
      <w:r>
        <w:rPr>
          <w:b/>
          <w:spacing w:val="-61"/>
          <w:sz w:val="15"/>
        </w:rPr>
        <w:t> </w:t>
      </w:r>
      <w:r>
        <w:rPr>
          <w:b/>
          <w:sz w:val="15"/>
        </w:rPr>
        <w:t>esign </w:t>
      </w:r>
      <w:r>
        <w:rPr>
          <w:b/>
          <w:spacing w:val="7"/>
          <w:sz w:val="15"/>
        </w:rPr>
        <w:t>of </w:t>
      </w:r>
      <w:r>
        <w:rPr>
          <w:b/>
          <w:sz w:val="15"/>
        </w:rPr>
        <w:t>C</w:t>
      </w:r>
      <w:r>
        <w:rPr>
          <w:b/>
          <w:spacing w:val="-61"/>
          <w:sz w:val="15"/>
        </w:rPr>
        <w:t> </w:t>
      </w:r>
      <w:r>
        <w:rPr>
          <w:b/>
          <w:sz w:val="15"/>
        </w:rPr>
        <w:t>himer</w:t>
      </w:r>
      <w:r>
        <w:rPr>
          <w:b/>
          <w:spacing w:val="-61"/>
          <w:sz w:val="15"/>
        </w:rPr>
        <w:t> </w:t>
      </w:r>
      <w:r>
        <w:rPr>
          <w:b/>
          <w:sz w:val="15"/>
        </w:rPr>
        <w:t>ic A</w:t>
      </w:r>
      <w:r>
        <w:rPr>
          <w:b/>
          <w:spacing w:val="-61"/>
          <w:sz w:val="15"/>
        </w:rPr>
        <w:t> </w:t>
      </w:r>
      <w:r>
        <w:rPr>
          <w:b/>
          <w:sz w:val="15"/>
        </w:rPr>
        <w:t>ntigen R</w:t>
      </w:r>
      <w:r>
        <w:rPr>
          <w:b/>
          <w:spacing w:val="-62"/>
          <w:sz w:val="15"/>
        </w:rPr>
        <w:t> </w:t>
      </w:r>
      <w:r>
        <w:rPr>
          <w:b/>
          <w:sz w:val="15"/>
        </w:rPr>
        <w:t>eceptors，财通证券研究所</w:t>
      </w:r>
    </w:p>
    <w:p>
      <w:pPr>
        <w:pStyle w:val="BodyText"/>
        <w:rPr>
          <w:b/>
          <w:sz w:val="20"/>
        </w:rPr>
      </w:pPr>
    </w:p>
    <w:p>
      <w:pPr>
        <w:pStyle w:val="BodyText"/>
        <w:spacing w:before="10"/>
        <w:rPr>
          <w:b/>
          <w:sz w:val="29"/>
        </w:rPr>
      </w:pPr>
    </w:p>
    <w:p>
      <w:pPr>
        <w:pStyle w:val="BodyText"/>
        <w:spacing w:line="326" w:lineRule="auto" w:before="71"/>
        <w:ind w:left="3164" w:right="864"/>
        <w:jc w:val="both"/>
      </w:pPr>
      <w:r>
        <w:rPr>
          <w:b/>
          <w:spacing w:val="-12"/>
        </w:rPr>
        <w:t>第二代 </w:t>
      </w:r>
      <w:r>
        <w:rPr>
          <w:b/>
        </w:rPr>
        <w:t>CAR</w:t>
      </w:r>
      <w:r>
        <w:rPr>
          <w:b/>
          <w:spacing w:val="-10"/>
        </w:rPr>
        <w:t> 的组织结构:</w:t>
      </w:r>
      <w:r>
        <w:rPr>
          <w:spacing w:val="-12"/>
        </w:rPr>
        <w:t>（A）第二代 </w:t>
      </w:r>
      <w:r>
        <w:rPr/>
        <w:t>CAR</w:t>
      </w:r>
      <w:r>
        <w:rPr>
          <w:spacing w:val="-12"/>
        </w:rPr>
        <w:t> 的嵌合基因序列。第二代 </w:t>
      </w:r>
      <w:r>
        <w:rPr>
          <w:spacing w:val="-5"/>
        </w:rPr>
        <w:t>CAR</w:t>
      </w:r>
      <w:r>
        <w:rPr>
          <w:spacing w:val="-10"/>
        </w:rPr>
        <w:t> 融合有一个共刺激分子、CD28/4I-BB</w:t>
      </w:r>
      <w:r>
        <w:rPr>
          <w:spacing w:val="-3"/>
        </w:rPr>
        <w:t>。但是，还融合了其他几种共刺激分子，例如 </w:t>
      </w:r>
      <w:r>
        <w:rPr/>
        <w:t>OX40 </w:t>
      </w:r>
      <w:r>
        <w:rPr>
          <w:spacing w:val="-15"/>
        </w:rPr>
        <w:t>和 </w:t>
      </w:r>
      <w:r>
        <w:rPr/>
        <w:t>ICOS</w:t>
      </w:r>
      <w:r>
        <w:rPr>
          <w:spacing w:val="-105"/>
        </w:rPr>
        <w:t>。</w:t>
      </w:r>
      <w:r>
        <w:rPr/>
        <w:t>（B）</w:t>
      </w:r>
      <w:r>
        <w:rPr>
          <w:spacing w:val="-6"/>
        </w:rPr>
        <w:t>第二代嵌合 </w:t>
      </w:r>
      <w:r>
        <w:rPr/>
        <w:t>CAR</w:t>
      </w:r>
      <w:r>
        <w:rPr>
          <w:spacing w:val="-20"/>
        </w:rPr>
        <w:t> 在 </w:t>
      </w:r>
      <w:r>
        <w:rPr/>
        <w:t>T</w:t>
      </w:r>
      <w:r>
        <w:rPr>
          <w:spacing w:val="-6"/>
        </w:rPr>
        <w:t> 细胞中的表达。采用各种基因转染的方法表达编码嵌合基因序列的质粒。</w:t>
      </w:r>
      <w:r>
        <w:rPr/>
        <w:t>T</w:t>
      </w:r>
      <w:r>
        <w:rPr>
          <w:spacing w:val="-7"/>
        </w:rPr>
        <w:t> 细胞中的嵌合基因序列通过蛋白质翻译后表达含</w:t>
      </w:r>
      <w:r>
        <w:rPr>
          <w:spacing w:val="-9"/>
        </w:rPr>
        <w:t>有胞外区、跨膜区和内源性共刺激信号区的功能齐全的 </w:t>
      </w:r>
      <w:r>
        <w:rPr/>
        <w:t>CAR</w:t>
      </w:r>
      <w:r>
        <w:rPr>
          <w:spacing w:val="-13"/>
        </w:rPr>
        <w:t>。内源性 </w:t>
      </w:r>
      <w:r>
        <w:rPr/>
        <w:t>T</w:t>
      </w:r>
      <w:r>
        <w:rPr>
          <w:spacing w:val="-10"/>
        </w:rPr>
        <w:t> 细胞受体</w:t>
      </w:r>
      <w:r>
        <w:rPr>
          <w:spacing w:val="-24"/>
        </w:rPr>
        <w:t>保持不受干扰。</w:t>
      </w:r>
      <w:r>
        <w:rPr/>
        <w:t>（C）</w:t>
      </w:r>
      <w:r>
        <w:rPr>
          <w:spacing w:val="-24"/>
        </w:rPr>
        <w:t>在 </w:t>
      </w:r>
      <w:r>
        <w:rPr/>
        <w:t>T</w:t>
      </w:r>
      <w:r>
        <w:rPr>
          <w:spacing w:val="-11"/>
        </w:rPr>
        <w:t> 细胞中表达时，第二代 </w:t>
      </w:r>
      <w:r>
        <w:rPr/>
        <w:t>CAR</w:t>
      </w:r>
      <w:r>
        <w:rPr>
          <w:spacing w:val="-7"/>
        </w:rPr>
        <w:t> 部分区域的放大视图。</w:t>
      </w:r>
    </w:p>
    <w:p>
      <w:pPr>
        <w:spacing w:after="0" w:line="326"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rPr>
          <w:sz w:val="20"/>
        </w:rPr>
      </w:pPr>
    </w:p>
    <w:p>
      <w:pPr>
        <w:pStyle w:val="BodyText"/>
        <w:spacing w:before="6"/>
        <w:rPr>
          <w:sz w:val="25"/>
        </w:rPr>
      </w:pPr>
    </w:p>
    <w:p>
      <w:pPr>
        <w:spacing w:before="78"/>
        <w:ind w:left="3059" w:right="0" w:firstLine="0"/>
        <w:jc w:val="left"/>
        <w:rPr>
          <w:b/>
          <w:sz w:val="18"/>
        </w:rPr>
      </w:pPr>
      <w:r>
        <w:rPr>
          <w:rFonts w:ascii="Times New Roman" w:eastAsia="Times New Roman"/>
          <w:b/>
          <w:color w:val="FFFFFF"/>
          <w:sz w:val="21"/>
          <w:shd w:fill="A11D04" w:color="auto" w:val="clear"/>
        </w:rPr>
        <w:t>  </w:t>
      </w:r>
      <w:r>
        <w:rPr>
          <w:b/>
          <w:color w:val="FFFFFF"/>
          <w:sz w:val="21"/>
          <w:shd w:fill="A11D04" w:color="auto" w:val="clear"/>
        </w:rPr>
        <w:t>图 8：</w:t>
      </w:r>
      <w:r>
        <w:rPr>
          <w:b/>
          <w:color w:val="FFFFFF"/>
          <w:sz w:val="18"/>
        </w:rPr>
        <w:t>第三代 Car-T 结构</w:t>
      </w:r>
    </w:p>
    <w:p>
      <w:pPr>
        <w:pStyle w:val="BodyText"/>
        <w:spacing w:before="11"/>
        <w:rPr>
          <w:b/>
          <w:sz w:val="11"/>
        </w:rPr>
      </w:pPr>
      <w:r>
        <w:rPr/>
        <w:drawing>
          <wp:anchor distT="0" distB="0" distL="0" distR="0" allowOverlap="1" layoutInCell="1" locked="0" behindDoc="0" simplePos="0" relativeHeight="33">
            <wp:simplePos x="0" y="0"/>
            <wp:positionH relativeFrom="page">
              <wp:posOffset>2536476</wp:posOffset>
            </wp:positionH>
            <wp:positionV relativeFrom="paragraph">
              <wp:posOffset>121276</wp:posOffset>
            </wp:positionV>
            <wp:extent cx="3825646" cy="1904523"/>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8" cstate="print"/>
                    <a:stretch>
                      <a:fillRect/>
                    </a:stretch>
                  </pic:blipFill>
                  <pic:spPr>
                    <a:xfrm>
                      <a:off x="0" y="0"/>
                      <a:ext cx="3825646" cy="1904523"/>
                    </a:xfrm>
                    <a:prstGeom prst="rect">
                      <a:avLst/>
                    </a:prstGeom>
                  </pic:spPr>
                </pic:pic>
              </a:graphicData>
            </a:graphic>
          </wp:anchor>
        </w:drawing>
      </w:r>
      <w:r>
        <w:rPr/>
        <w:pict>
          <v:rect style="position:absolute;margin-left:165.949997pt;margin-top:168.196869pt;width:368.7pt;height:.75pt;mso-position-horizontal-relative:page;mso-position-vertical-relative:paragraph;z-index:-15711232;mso-wrap-distance-left:0;mso-wrap-distance-right:0" filled="true" fillcolor="#a11d04" stroked="false">
            <v:fill type="solid"/>
            <w10:wrap type="topAndBottom"/>
          </v:rect>
        </w:pict>
      </w:r>
    </w:p>
    <w:p>
      <w:pPr>
        <w:pStyle w:val="BodyText"/>
        <w:spacing w:before="3"/>
        <w:rPr>
          <w:b/>
          <w:sz w:val="8"/>
        </w:rPr>
      </w:pPr>
    </w:p>
    <w:p>
      <w:pPr>
        <w:spacing w:before="31"/>
        <w:ind w:left="3164" w:right="0" w:firstLine="0"/>
        <w:jc w:val="left"/>
        <w:rPr>
          <w:b/>
          <w:sz w:val="15"/>
        </w:rPr>
      </w:pPr>
      <w:r>
        <w:rPr>
          <w:b/>
          <w:sz w:val="15"/>
        </w:rPr>
        <w:t>数据来源：财通证券研究所</w:t>
      </w:r>
    </w:p>
    <w:p>
      <w:pPr>
        <w:pStyle w:val="BodyText"/>
        <w:rPr>
          <w:b/>
          <w:sz w:val="20"/>
        </w:rPr>
      </w:pPr>
    </w:p>
    <w:p>
      <w:pPr>
        <w:pStyle w:val="BodyText"/>
        <w:spacing w:before="8"/>
        <w:rPr>
          <w:b/>
          <w:sz w:val="28"/>
        </w:rPr>
      </w:pPr>
    </w:p>
    <w:p>
      <w:pPr>
        <w:pStyle w:val="BodyText"/>
        <w:spacing w:line="328" w:lineRule="auto" w:before="71"/>
        <w:ind w:left="3164" w:right="866"/>
        <w:jc w:val="both"/>
      </w:pPr>
      <w:r>
        <w:rPr>
          <w:b/>
          <w:spacing w:val="-5"/>
        </w:rPr>
        <w:t>第三代 </w:t>
      </w:r>
      <w:r>
        <w:rPr>
          <w:b/>
          <w:spacing w:val="5"/>
        </w:rPr>
        <w:t>CARs：</w:t>
      </w:r>
      <w:r>
        <w:rPr>
          <w:spacing w:val="-2"/>
        </w:rPr>
        <w:t>尽管在小鼠抗肿瘤模型上 </w:t>
      </w:r>
      <w:r>
        <w:rPr/>
        <w:t>CD28</w:t>
      </w:r>
      <w:r>
        <w:rPr>
          <w:spacing w:val="-11"/>
        </w:rPr>
        <w:t> 和 </w:t>
      </w:r>
      <w:r>
        <w:rPr/>
        <w:t>4-1BB</w:t>
      </w:r>
      <w:r>
        <w:rPr>
          <w:spacing w:val="-4"/>
        </w:rPr>
        <w:t> 具有类似的活性，但是CD28CAR-T</w:t>
      </w:r>
      <w:r>
        <w:rPr>
          <w:spacing w:val="-5"/>
        </w:rPr>
        <w:t> 表现出了更多的增殖，而 </w:t>
      </w:r>
      <w:r>
        <w:rPr/>
        <w:t>4-1BBCAR-T</w:t>
      </w:r>
      <w:r>
        <w:rPr>
          <w:spacing w:val="-4"/>
        </w:rPr>
        <w:t> 显示有更持久的活性。第三代CARs</w:t>
      </w:r>
      <w:r>
        <w:rPr>
          <w:spacing w:val="-7"/>
        </w:rPr>
        <w:t> 在胞内信号结构域加上了第二个共刺激分子。因此，</w:t>
      </w:r>
      <w:r>
        <w:rPr/>
        <w:t>scFv</w:t>
      </w:r>
      <w:r>
        <w:rPr>
          <w:spacing w:val="-24"/>
        </w:rPr>
        <w:t> 结合 </w:t>
      </w:r>
      <w:r>
        <w:rPr/>
        <w:t>TAA</w:t>
      </w:r>
      <w:r>
        <w:rPr>
          <w:spacing w:val="-12"/>
        </w:rPr>
        <w:t> 后激活</w:t>
      </w:r>
      <w:r>
        <w:rPr>
          <w:spacing w:val="-29"/>
        </w:rPr>
        <w:t>了 </w:t>
      </w:r>
      <w:r>
        <w:rPr/>
        <w:t>CD3ε</w:t>
      </w:r>
      <w:r>
        <w:rPr>
          <w:spacing w:val="-1"/>
        </w:rPr>
        <w:t>第一信号和以两个共刺激分子信号为通路的第二信号。</w:t>
      </w:r>
      <w:r>
        <w:rPr/>
        <w:t>CD28</w:t>
      </w:r>
      <w:r>
        <w:rPr>
          <w:spacing w:val="-27"/>
        </w:rPr>
        <w:t> 结合 </w:t>
      </w:r>
      <w:r>
        <w:rPr/>
        <w:t>4-1BB </w:t>
      </w:r>
      <w:r>
        <w:rPr>
          <w:spacing w:val="-23"/>
        </w:rPr>
        <w:t>或 </w:t>
      </w:r>
      <w:r>
        <w:rPr/>
        <w:t>CD28</w:t>
      </w:r>
      <w:r>
        <w:rPr>
          <w:spacing w:val="-24"/>
        </w:rPr>
        <w:t> 结合 </w:t>
      </w:r>
      <w:r>
        <w:rPr>
          <w:spacing w:val="-4"/>
        </w:rPr>
        <w:t>OX40</w:t>
      </w:r>
      <w:r>
        <w:rPr>
          <w:spacing w:val="-10"/>
        </w:rPr>
        <w:t> 作为共刺激分子在第三代的 </w:t>
      </w:r>
      <w:r>
        <w:rPr>
          <w:spacing w:val="-3"/>
        </w:rPr>
        <w:t>CAR-T</w:t>
      </w:r>
      <w:r>
        <w:rPr>
          <w:spacing w:val="-11"/>
        </w:rPr>
        <w:t> 中最为常见。截至目前，少</w:t>
      </w:r>
      <w:r>
        <w:rPr>
          <w:spacing w:val="-18"/>
        </w:rPr>
        <w:t>许第三代 </w:t>
      </w:r>
      <w:r>
        <w:rPr/>
        <w:t>CAR-T</w:t>
      </w:r>
      <w:r>
        <w:rPr>
          <w:spacing w:val="-15"/>
        </w:rPr>
        <w:t> 已经进入临床试验，其相对于 </w:t>
      </w:r>
      <w:r>
        <w:rPr/>
        <w:t>2</w:t>
      </w:r>
      <w:r>
        <w:rPr>
          <w:spacing w:val="-31"/>
        </w:rPr>
        <w:t> 代 </w:t>
      </w:r>
      <w:r>
        <w:rPr>
          <w:spacing w:val="-3"/>
        </w:rPr>
        <w:t>CAR-T</w:t>
      </w:r>
      <w:r>
        <w:rPr>
          <w:spacing w:val="-7"/>
        </w:rPr>
        <w:t> 的优越性还需要进一步</w:t>
      </w:r>
      <w:r>
        <w:rPr>
          <w:spacing w:val="-11"/>
        </w:rPr>
        <w:t>评估。理论上，只要 </w:t>
      </w:r>
      <w:r>
        <w:rPr/>
        <w:t>TAA</w:t>
      </w:r>
      <w:r>
        <w:rPr>
          <w:spacing w:val="-7"/>
        </w:rPr>
        <w:t> 在癌细胞表面表达，</w:t>
      </w:r>
      <w:r>
        <w:rPr>
          <w:spacing w:val="-3"/>
        </w:rPr>
        <w:t>CAR-T</w:t>
      </w:r>
      <w:r>
        <w:rPr>
          <w:spacing w:val="-7"/>
        </w:rPr>
        <w:t> 就可以识别。然而由于实体</w:t>
      </w:r>
      <w:r>
        <w:rPr>
          <w:spacing w:val="-12"/>
        </w:rPr>
        <w:t>瘤表型的异质性，一些癌细胞不能被 </w:t>
      </w:r>
      <w:r>
        <w:rPr/>
        <w:t>CAR-T</w:t>
      </w:r>
      <w:r>
        <w:rPr>
          <w:spacing w:val="-13"/>
        </w:rPr>
        <w:t> 识别，这就大大降低了 </w:t>
      </w:r>
      <w:r>
        <w:rPr>
          <w:spacing w:val="-3"/>
        </w:rPr>
        <w:t>CAR-T</w:t>
      </w:r>
      <w:r>
        <w:rPr>
          <w:spacing w:val="-12"/>
        </w:rPr>
        <w:t> 治疗的几率。</w:t>
      </w:r>
    </w:p>
    <w:p>
      <w:pPr>
        <w:pStyle w:val="Heading2"/>
        <w:numPr>
          <w:ilvl w:val="1"/>
          <w:numId w:val="6"/>
        </w:numPr>
        <w:tabs>
          <w:tab w:pos="3645" w:val="left" w:leader="none"/>
        </w:tabs>
        <w:spacing w:line="240" w:lineRule="auto" w:before="105" w:after="0"/>
        <w:ind w:left="3645" w:right="0" w:hanging="481"/>
        <w:jc w:val="left"/>
      </w:pPr>
      <w:bookmarkStart w:name="_TOC_250020" w:id="4"/>
      <w:r>
        <w:rPr>
          <w:spacing w:val="-1"/>
        </w:rPr>
        <w:t>第四代 </w:t>
      </w:r>
      <w:r>
        <w:rPr/>
        <w:t>CAR</w:t>
      </w:r>
      <w:r>
        <w:rPr>
          <w:spacing w:val="-14"/>
        </w:rPr>
        <w:t> 与新颖的第五代 </w:t>
      </w:r>
      <w:bookmarkEnd w:id="4"/>
      <w:r>
        <w:rPr/>
        <w:t>CAR</w:t>
      </w:r>
    </w:p>
    <w:p>
      <w:pPr>
        <w:pStyle w:val="BodyText"/>
        <w:spacing w:before="4"/>
        <w:rPr>
          <w:b/>
          <w:sz w:val="15"/>
        </w:rPr>
      </w:pPr>
    </w:p>
    <w:p>
      <w:pPr>
        <w:pStyle w:val="BodyText"/>
        <w:spacing w:line="328" w:lineRule="auto"/>
        <w:ind w:left="3164" w:right="666"/>
      </w:pPr>
      <w:r>
        <w:rPr>
          <w:spacing w:val="-11"/>
        </w:rPr>
        <w:t>第四代 </w:t>
      </w:r>
      <w:r>
        <w:rPr/>
        <w:t>CAR-T</w:t>
      </w:r>
      <w:r>
        <w:rPr>
          <w:spacing w:val="-13"/>
        </w:rPr>
        <w:t> 细胞，被称为宇宙级的细胞因子介导杀手，是被设计成将在 </w:t>
      </w:r>
      <w:r>
        <w:rPr>
          <w:spacing w:val="-5"/>
        </w:rPr>
        <w:t>CAR</w:t>
      </w:r>
      <w:r>
        <w:rPr>
          <w:spacing w:val="-14"/>
        </w:rPr>
        <w:t> 与靶</w:t>
      </w:r>
      <w:r>
        <w:rPr>
          <w:spacing w:val="-16"/>
        </w:rPr>
        <w:t>向抗原结合时能够释放改造基因的产品到肿瘤组织中。免疫调节分子如促炎症、细</w:t>
      </w:r>
      <w:r>
        <w:rPr>
          <w:spacing w:val="-20"/>
        </w:rPr>
        <w:t>胞因子和酶的局部转移，使得 </w:t>
      </w:r>
      <w:r>
        <w:rPr/>
        <w:t>T</w:t>
      </w:r>
      <w:r>
        <w:rPr>
          <w:spacing w:val="-7"/>
        </w:rPr>
        <w:t> 细胞浆免疫抑制肿瘤微环境转化为免疫耐受性 肿</w:t>
      </w:r>
      <w:r>
        <w:rPr>
          <w:spacing w:val="-11"/>
        </w:rPr>
        <w:t>瘤微环境。一种经常在 </w:t>
      </w:r>
      <w:r>
        <w:rPr/>
        <w:t>CAR-T</w:t>
      </w:r>
      <w:r>
        <w:rPr>
          <w:spacing w:val="-11"/>
        </w:rPr>
        <w:t> 细胞中被过度表达的细胞因子是 </w:t>
      </w:r>
      <w:r>
        <w:rPr/>
        <w:t>IL-12，它是一个非</w:t>
      </w:r>
      <w:r>
        <w:rPr>
          <w:spacing w:val="-3"/>
        </w:rPr>
        <w:t>常有效的分子可以增强 </w:t>
      </w:r>
      <w:r>
        <w:rPr/>
        <w:t>T</w:t>
      </w:r>
      <w:r>
        <w:rPr>
          <w:spacing w:val="-11"/>
        </w:rPr>
        <w:t> 细胞分泌 </w:t>
      </w:r>
      <w:r>
        <w:rPr/>
        <w:t>IFNy、granzymeB</w:t>
      </w:r>
      <w:r>
        <w:rPr>
          <w:spacing w:val="-11"/>
        </w:rPr>
        <w:t> 和穿孔素 </w:t>
      </w:r>
      <w:r>
        <w:rPr/>
        <w:t>perforin； 并雇</w:t>
      </w:r>
      <w:r>
        <w:rPr>
          <w:spacing w:val="-20"/>
        </w:rPr>
        <w:t>佣 </w:t>
      </w:r>
      <w:r>
        <w:rPr/>
        <w:t>NK</w:t>
      </w:r>
      <w:r>
        <w:rPr>
          <w:spacing w:val="-12"/>
        </w:rPr>
        <w:t> 细胞去消除 </w:t>
      </w:r>
      <w:r>
        <w:rPr>
          <w:spacing w:val="4"/>
        </w:rPr>
        <w:t>CAR</w:t>
      </w:r>
      <w:r>
        <w:rPr>
          <w:spacing w:val="-9"/>
        </w:rPr>
        <w:t> 不能识别的肿瘤细胞。与传统的 </w:t>
      </w:r>
      <w:r>
        <w:rPr>
          <w:spacing w:val="4"/>
        </w:rPr>
        <w:t>CAR</w:t>
      </w:r>
      <w:r>
        <w:rPr>
          <w:spacing w:val="-10"/>
        </w:rPr>
        <w:t> 相比，</w:t>
      </w:r>
      <w:r>
        <w:rPr/>
        <w:t>IL-12</w:t>
      </w:r>
      <w:r>
        <w:rPr>
          <w:spacing w:val="-8"/>
        </w:rPr>
        <w:t> 过表达的</w:t>
      </w:r>
      <w:r>
        <w:rPr>
          <w:spacing w:val="-41"/>
        </w:rPr>
        <w:t> </w:t>
      </w:r>
      <w:r>
        <w:rPr/>
        <w:t>CAR-T</w:t>
      </w:r>
      <w:r>
        <w:rPr>
          <w:spacing w:val="-10"/>
        </w:rPr>
        <w:t> 细胞在临床前的模型中表现出增强的抗肿瘤和扩增效果，尤其是在 实体瘤模型中。</w:t>
      </w:r>
    </w:p>
    <w:p>
      <w:pPr>
        <w:pStyle w:val="BodyText"/>
        <w:spacing w:line="331" w:lineRule="auto" w:before="114"/>
        <w:ind w:left="3164" w:right="863"/>
        <w:jc w:val="both"/>
      </w:pPr>
      <w:r>
        <w:rPr>
          <w:spacing w:val="-11"/>
        </w:rPr>
        <w:t>最近，一种新颖的 </w:t>
      </w:r>
      <w:r>
        <w:rPr/>
        <w:t>CAR</w:t>
      </w:r>
      <w:r>
        <w:rPr>
          <w:spacing w:val="-13"/>
        </w:rPr>
        <w:t> 被设计和开发出来，它沿用了第二代 </w:t>
      </w:r>
      <w:r>
        <w:rPr>
          <w:spacing w:val="-5"/>
        </w:rPr>
        <w:t>CAR</w:t>
      </w:r>
      <w:r>
        <w:rPr>
          <w:spacing w:val="-7"/>
        </w:rPr>
        <w:t> 的主干链增加了</w:t>
      </w:r>
      <w:r>
        <w:rPr>
          <w:spacing w:val="-26"/>
        </w:rPr>
        <w:t>在 </w:t>
      </w:r>
      <w:r>
        <w:rPr/>
        <w:t>CD3</w:t>
      </w:r>
      <w:r>
        <w:rPr>
          <w:spacing w:val="-31"/>
        </w:rPr>
        <w:t> 和 </w:t>
      </w:r>
      <w:r>
        <w:rPr/>
        <w:t>CD28</w:t>
      </w:r>
      <w:r>
        <w:rPr>
          <w:spacing w:val="-12"/>
        </w:rPr>
        <w:t> 信号区域之间的 </w:t>
      </w:r>
      <w:r>
        <w:rPr/>
        <w:t>IL-2</w:t>
      </w:r>
      <w:r>
        <w:rPr>
          <w:spacing w:val="-12"/>
        </w:rPr>
        <w:t> 受体域，同时在 </w:t>
      </w:r>
      <w:r>
        <w:rPr/>
        <w:t>C</w:t>
      </w:r>
      <w:r>
        <w:rPr>
          <w:spacing w:val="-19"/>
        </w:rPr>
        <w:t> 末端的 </w:t>
      </w:r>
      <w:r>
        <w:rPr/>
        <w:t>CD3</w:t>
      </w:r>
      <w:r>
        <w:rPr>
          <w:spacing w:val="-19"/>
        </w:rPr>
        <w:t> 处结合 </w:t>
      </w:r>
      <w:r>
        <w:rPr/>
        <w:t>YXXQ </w:t>
      </w:r>
      <w:r>
        <w:rPr>
          <w:spacing w:val="-10"/>
        </w:rPr>
        <w:t>序列。第五代的 </w:t>
      </w:r>
      <w:r>
        <w:rPr/>
        <w:t>CAR</w:t>
      </w:r>
      <w:r>
        <w:rPr>
          <w:spacing w:val="-12"/>
        </w:rPr>
        <w:t> 的设计旨在同时激活 </w:t>
      </w:r>
      <w:r>
        <w:rPr>
          <w:spacing w:val="-4"/>
        </w:rPr>
        <w:t>TCR</w:t>
      </w:r>
      <w:r>
        <w:rPr>
          <w:spacing w:val="-11"/>
        </w:rPr>
        <w:t>，共激域 </w:t>
      </w:r>
      <w:r>
        <w:rPr>
          <w:spacing w:val="-6"/>
        </w:rPr>
        <w:t>CD28，</w:t>
      </w:r>
      <w:r>
        <w:rPr/>
        <w:t>和细胞因子三重信</w:t>
      </w:r>
      <w:r>
        <w:rPr>
          <w:spacing w:val="-12"/>
        </w:rPr>
        <w:t>号；因为这是 </w:t>
      </w:r>
      <w:r>
        <w:rPr/>
        <w:t>T</w:t>
      </w:r>
      <w:r>
        <w:rPr>
          <w:spacing w:val="-9"/>
        </w:rPr>
        <w:t> 细胞结合抗原时被激活的前提条件。作者证实了在血液肿瘤和实</w:t>
      </w:r>
    </w:p>
    <w:p>
      <w:pPr>
        <w:spacing w:after="0" w:line="331"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36" w:lineRule="auto" w:before="30"/>
        <w:ind w:left="3164" w:right="778"/>
      </w:pPr>
      <w:r>
        <w:rPr>
          <w:spacing w:val="-5"/>
        </w:rPr>
        <w:t>体瘤模型中，与第二代 </w:t>
      </w:r>
      <w:r>
        <w:rPr/>
        <w:t>CAR</w:t>
      </w:r>
      <w:r>
        <w:rPr>
          <w:spacing w:val="-13"/>
        </w:rPr>
        <w:t> 相比，第五代 </w:t>
      </w:r>
      <w:r>
        <w:rPr/>
        <w:t>CAR</w:t>
      </w:r>
      <w:r>
        <w:rPr>
          <w:spacing w:val="-11"/>
        </w:rPr>
        <w:t> 通过基因改造增强了 </w:t>
      </w:r>
      <w:r>
        <w:rPr/>
        <w:t>T</w:t>
      </w:r>
      <w:r>
        <w:rPr>
          <w:spacing w:val="-9"/>
        </w:rPr>
        <w:t> 小的增值、存活已经抗肿瘤效果。</w:t>
      </w:r>
    </w:p>
    <w:p>
      <w:pPr>
        <w:pStyle w:val="BodyText"/>
        <w:rPr>
          <w:sz w:val="20"/>
        </w:rPr>
      </w:pPr>
    </w:p>
    <w:p>
      <w:pPr>
        <w:pStyle w:val="BodyText"/>
        <w:spacing w:before="7"/>
        <w:rPr>
          <w:sz w:val="19"/>
        </w:rPr>
      </w:pPr>
    </w:p>
    <w:p>
      <w:pPr>
        <w:pStyle w:val="Heading2"/>
        <w:tabs>
          <w:tab w:pos="10432" w:val="left" w:leader="none"/>
        </w:tabs>
        <w:spacing w:before="1"/>
      </w:pPr>
      <w:r>
        <w:rPr/>
        <w:pict>
          <v:group style="position:absolute;margin-left:165.949997pt;margin-top:15.080005pt;width:368.7pt;height:180.9pt;mso-position-horizontal-relative:page;mso-position-vertical-relative:paragraph;z-index:-15710208;mso-wrap-distance-left:0;mso-wrap-distance-right:0" coordorigin="3319,302" coordsize="7374,3618">
            <v:rect style="position:absolute;left:3319;top:3904;width:7374;height:15" filled="true" fillcolor="#a11d04" stroked="false">
              <v:fill type="solid"/>
            </v:rect>
            <v:shape style="position:absolute;left:4237;top:301;width:5518;height:3591" type="#_x0000_t75" stroked="false">
              <v:imagedata r:id="rId19" o:title=""/>
            </v:shape>
            <w10:wrap type="topAndBottom"/>
          </v:group>
        </w:pict>
      </w:r>
      <w:r>
        <w:rPr>
          <w:rFonts w:ascii="Times New Roman" w:eastAsia="Times New Roman"/>
          <w:color w:val="FFFFFF"/>
          <w:shd w:fill="A11D04" w:color="auto" w:val="clear"/>
        </w:rPr>
        <w:t>  </w:t>
      </w:r>
      <w:r>
        <w:rPr>
          <w:color w:val="FFFFFF"/>
          <w:shd w:fill="A11D04" w:color="auto" w:val="clear"/>
        </w:rPr>
        <w:t>图</w:t>
      </w:r>
      <w:r>
        <w:rPr>
          <w:color w:val="FFFFFF"/>
          <w:spacing w:val="-37"/>
          <w:shd w:fill="A11D04" w:color="auto" w:val="clear"/>
        </w:rPr>
        <w:t> </w:t>
      </w:r>
      <w:r>
        <w:rPr>
          <w:color w:val="FFFFFF"/>
          <w:spacing w:val="14"/>
          <w:shd w:fill="A11D04" w:color="auto" w:val="clear"/>
        </w:rPr>
        <w:t>9：</w:t>
      </w:r>
      <w:r>
        <w:rPr>
          <w:color w:val="FFFFFF"/>
          <w:shd w:fill="A11D04" w:color="auto" w:val="clear"/>
        </w:rPr>
        <w:t>第四、第五代</w:t>
      </w:r>
      <w:r>
        <w:rPr>
          <w:color w:val="FFFFFF"/>
          <w:spacing w:val="-52"/>
          <w:shd w:fill="A11D04" w:color="auto" w:val="clear"/>
        </w:rPr>
        <w:t> </w:t>
      </w:r>
      <w:r>
        <w:rPr>
          <w:color w:val="FFFFFF"/>
          <w:shd w:fill="A11D04" w:color="auto" w:val="clear"/>
        </w:rPr>
        <w:t>Car-T</w:t>
        <w:tab/>
      </w:r>
    </w:p>
    <w:p>
      <w:pPr>
        <w:spacing w:before="16"/>
        <w:ind w:left="0" w:right="291" w:firstLine="0"/>
        <w:jc w:val="center"/>
        <w:rPr>
          <w:b/>
          <w:sz w:val="15"/>
        </w:rPr>
      </w:pPr>
      <w:r>
        <w:rPr>
          <w:b/>
          <w:spacing w:val="8"/>
          <w:sz w:val="15"/>
        </w:rPr>
        <w:t>数据来源：</w:t>
      </w:r>
      <w:r>
        <w:rPr>
          <w:b/>
          <w:sz w:val="15"/>
        </w:rPr>
        <w:t>British J</w:t>
      </w:r>
      <w:r>
        <w:rPr>
          <w:b/>
          <w:spacing w:val="-61"/>
          <w:sz w:val="15"/>
        </w:rPr>
        <w:t> </w:t>
      </w:r>
      <w:r>
        <w:rPr>
          <w:b/>
          <w:sz w:val="15"/>
        </w:rPr>
        <w:t>ournal </w:t>
      </w:r>
      <w:r>
        <w:rPr>
          <w:b/>
          <w:spacing w:val="7"/>
          <w:sz w:val="15"/>
        </w:rPr>
        <w:t>of </w:t>
      </w:r>
      <w:r>
        <w:rPr>
          <w:b/>
          <w:sz w:val="15"/>
        </w:rPr>
        <w:t>C</w:t>
      </w:r>
      <w:r>
        <w:rPr>
          <w:b/>
          <w:spacing w:val="-61"/>
          <w:sz w:val="15"/>
        </w:rPr>
        <w:t> </w:t>
      </w:r>
      <w:r>
        <w:rPr>
          <w:b/>
          <w:sz w:val="15"/>
        </w:rPr>
        <w:t>ancer v</w:t>
      </w:r>
      <w:r>
        <w:rPr>
          <w:b/>
          <w:spacing w:val="-61"/>
          <w:sz w:val="15"/>
        </w:rPr>
        <w:t> </w:t>
      </w:r>
      <w:r>
        <w:rPr>
          <w:b/>
          <w:sz w:val="15"/>
        </w:rPr>
        <w:t>olum</w:t>
      </w:r>
      <w:r>
        <w:rPr>
          <w:b/>
          <w:spacing w:val="-61"/>
          <w:sz w:val="15"/>
        </w:rPr>
        <w:t> </w:t>
      </w:r>
      <w:r>
        <w:rPr>
          <w:b/>
          <w:sz w:val="15"/>
        </w:rPr>
        <w:t>e 1</w:t>
      </w:r>
      <w:r>
        <w:rPr>
          <w:b/>
          <w:spacing w:val="-61"/>
          <w:sz w:val="15"/>
        </w:rPr>
        <w:t> </w:t>
      </w:r>
      <w:r>
        <w:rPr>
          <w:b/>
          <w:sz w:val="15"/>
        </w:rPr>
        <w:t>20，财通证券研究所</w:t>
      </w:r>
    </w:p>
    <w:p>
      <w:pPr>
        <w:pStyle w:val="BodyText"/>
        <w:rPr>
          <w:b/>
          <w:sz w:val="20"/>
        </w:rPr>
      </w:pPr>
    </w:p>
    <w:p>
      <w:pPr>
        <w:pStyle w:val="BodyText"/>
        <w:rPr>
          <w:b/>
          <w:sz w:val="20"/>
        </w:rPr>
      </w:pPr>
    </w:p>
    <w:p>
      <w:pPr>
        <w:pStyle w:val="BodyText"/>
        <w:spacing w:before="4"/>
        <w:rPr>
          <w:b/>
          <w:sz w:val="18"/>
        </w:rPr>
      </w:pPr>
    </w:p>
    <w:p>
      <w:pPr>
        <w:pStyle w:val="Heading1"/>
        <w:spacing w:before="66"/>
        <w:jc w:val="both"/>
      </w:pPr>
      <w:bookmarkStart w:name="_TOC_250019" w:id="5"/>
      <w:bookmarkEnd w:id="5"/>
      <w:r>
        <w:rPr/>
        <w:t>3、 雄关漫道真如铁，Car-T 在适应症拓展方面的进展</w:t>
      </w:r>
    </w:p>
    <w:p>
      <w:pPr>
        <w:pStyle w:val="BodyText"/>
        <w:spacing w:line="328" w:lineRule="auto" w:before="203"/>
        <w:ind w:left="3164" w:right="867"/>
        <w:jc w:val="both"/>
      </w:pPr>
      <w:r>
        <w:rPr>
          <w:spacing w:val="-15"/>
        </w:rPr>
        <w:t>尽管 </w:t>
      </w:r>
      <w:r>
        <w:rPr/>
        <w:t>Car-T</w:t>
      </w:r>
      <w:r>
        <w:rPr>
          <w:spacing w:val="-2"/>
        </w:rPr>
        <w:t> 已经获批了以</w:t>
      </w:r>
      <w:r>
        <w:rPr/>
        <w:t>B</w:t>
      </w:r>
      <w:r>
        <w:rPr>
          <w:spacing w:val="-19"/>
        </w:rPr>
        <w:t> 细胞上 </w:t>
      </w:r>
      <w:r>
        <w:rPr>
          <w:spacing w:val="-4"/>
        </w:rPr>
        <w:t>CD19</w:t>
      </w:r>
      <w:r>
        <w:rPr>
          <w:spacing w:val="-16"/>
        </w:rPr>
        <w:t> 为靶点的 </w:t>
      </w:r>
      <w:r>
        <w:rPr/>
        <w:t>DLBCL</w:t>
      </w:r>
      <w:r>
        <w:rPr>
          <w:spacing w:val="-60"/>
        </w:rPr>
        <w:t>、</w:t>
      </w:r>
      <w:r>
        <w:rPr>
          <w:spacing w:val="-3"/>
        </w:rPr>
        <w:t>PMBCL</w:t>
      </w:r>
      <w:r>
        <w:rPr>
          <w:spacing w:val="-24"/>
        </w:rPr>
        <w:t> 以及 </w:t>
      </w:r>
      <w:r>
        <w:rPr>
          <w:spacing w:val="-5"/>
        </w:rPr>
        <w:t>ALL</w:t>
      </w:r>
      <w:r>
        <w:rPr>
          <w:spacing w:val="-12"/>
        </w:rPr>
        <w:t> 在内三个适应症，同时，2019</w:t>
      </w:r>
      <w:r>
        <w:rPr>
          <w:spacing w:val="-30"/>
        </w:rPr>
        <w:t> 年 </w:t>
      </w:r>
      <w:r>
        <w:rPr>
          <w:spacing w:val="-8"/>
        </w:rPr>
        <w:t>12</w:t>
      </w:r>
      <w:r>
        <w:rPr>
          <w:spacing w:val="-30"/>
        </w:rPr>
        <w:t> 月 </w:t>
      </w:r>
      <w:r>
        <w:rPr>
          <w:spacing w:val="-8"/>
        </w:rPr>
        <w:t>13</w:t>
      </w:r>
      <w:r>
        <w:rPr>
          <w:spacing w:val="-30"/>
        </w:rPr>
        <w:t> 日 </w:t>
      </w:r>
      <w:r>
        <w:rPr>
          <w:spacing w:val="-4"/>
        </w:rPr>
        <w:t>Kite</w:t>
      </w:r>
      <w:r>
        <w:rPr>
          <w:spacing w:val="-30"/>
        </w:rPr>
        <w:t> 向 </w:t>
      </w:r>
      <w:r>
        <w:rPr>
          <w:spacing w:val="-5"/>
        </w:rPr>
        <w:t>FDA</w:t>
      </w:r>
      <w:r>
        <w:rPr>
          <w:spacing w:val="-19"/>
        </w:rPr>
        <w:t> 递交其 </w:t>
      </w:r>
      <w:r>
        <w:rPr>
          <w:spacing w:val="-3"/>
        </w:rPr>
        <w:t>KTE-X19</w:t>
      </w:r>
      <w:r>
        <w:rPr>
          <w:spacing w:val="-8"/>
        </w:rPr>
        <w:t> 的生物制剂许可申请</w:t>
      </w:r>
      <w:r>
        <w:rPr>
          <w:spacing w:val="-1"/>
        </w:rPr>
        <w:t>（</w:t>
      </w:r>
      <w:r>
        <w:rPr/>
        <w:t>BLA</w:t>
      </w:r>
      <w:r>
        <w:rPr>
          <w:spacing w:val="-105"/>
        </w:rPr>
        <w:t>）</w:t>
      </w:r>
      <w:r>
        <w:rPr/>
        <w:t>（</w:t>
      </w:r>
      <w:r>
        <w:rPr>
          <w:spacing w:val="-2"/>
        </w:rPr>
        <w:t>用于治疗复发或难治套细胞淋巴瘤 </w:t>
      </w:r>
      <w:r>
        <w:rPr/>
        <w:t>MCL</w:t>
      </w:r>
      <w:r>
        <w:rPr>
          <w:spacing w:val="-105"/>
        </w:rPr>
        <w:t>）</w:t>
      </w:r>
      <w:r>
        <w:rPr>
          <w:spacing w:val="-3"/>
        </w:rPr>
        <w:t>，但市场上对 </w:t>
      </w:r>
      <w:r>
        <w:rPr/>
        <w:t>Car-T</w:t>
      </w:r>
      <w:r>
        <w:rPr>
          <w:spacing w:val="-8"/>
        </w:rPr>
        <w:t> 主要的担忧在于其靶点较少（</w:t>
      </w:r>
      <w:r>
        <w:rPr>
          <w:spacing w:val="-17"/>
        </w:rPr>
        <w:t>多集中于 </w:t>
      </w:r>
      <w:r>
        <w:rPr/>
        <w:t>CD19、BCM</w:t>
      </w:r>
      <w:r>
        <w:rPr>
          <w:spacing w:val="1"/>
        </w:rPr>
        <w:t>A</w:t>
      </w:r>
      <w:r>
        <w:rPr>
          <w:spacing w:val="-105"/>
        </w:rPr>
        <w:t>）</w:t>
      </w:r>
      <w:r>
        <w:rPr/>
        <w:t>、适应症仍较少。下文将分享 Car-T</w:t>
      </w:r>
      <w:r>
        <w:rPr>
          <w:spacing w:val="-31"/>
        </w:rPr>
        <w:t> 在 </w:t>
      </w:r>
      <w:r>
        <w:rPr/>
        <w:t>CD19</w:t>
      </w:r>
      <w:r>
        <w:rPr>
          <w:spacing w:val="-7"/>
        </w:rPr>
        <w:t> 以外的血液瘤靶点以及实体瘤方面的进展。</w:t>
      </w:r>
    </w:p>
    <w:p>
      <w:pPr>
        <w:pStyle w:val="Heading2"/>
        <w:numPr>
          <w:ilvl w:val="1"/>
          <w:numId w:val="7"/>
        </w:numPr>
        <w:tabs>
          <w:tab w:pos="3645" w:val="left" w:leader="none"/>
        </w:tabs>
        <w:spacing w:line="240" w:lineRule="auto" w:before="109" w:after="0"/>
        <w:ind w:left="3645" w:right="0" w:hanging="481"/>
        <w:jc w:val="both"/>
      </w:pPr>
      <w:bookmarkStart w:name="_TOC_250018" w:id="6"/>
      <w:r>
        <w:rPr>
          <w:spacing w:val="11"/>
        </w:rPr>
        <w:t>CD19</w:t>
      </w:r>
      <w:bookmarkEnd w:id="6"/>
      <w:r>
        <w:rPr>
          <w:spacing w:val="-7"/>
        </w:rPr>
        <w:t> 以外的血液瘤靶点</w:t>
      </w:r>
    </w:p>
    <w:p>
      <w:pPr>
        <w:pStyle w:val="BodyText"/>
        <w:spacing w:before="7"/>
        <w:rPr>
          <w:b/>
          <w:sz w:val="16"/>
        </w:rPr>
      </w:pPr>
    </w:p>
    <w:p>
      <w:pPr>
        <w:pStyle w:val="BodyText"/>
        <w:spacing w:line="328" w:lineRule="auto"/>
        <w:ind w:left="3164" w:right="867"/>
        <w:jc w:val="both"/>
      </w:pPr>
      <w:r>
        <w:rPr>
          <w:spacing w:val="-2"/>
        </w:rPr>
        <w:t>目前，</w:t>
      </w:r>
      <w:r>
        <w:rPr>
          <w:spacing w:val="-6"/>
        </w:rPr>
        <w:t>Car-T</w:t>
      </w:r>
      <w:r>
        <w:rPr>
          <w:spacing w:val="-11"/>
        </w:rPr>
        <w:t> 在血液瘤的研究相对更为成熟，全球开展了大量临床试验探索 </w:t>
      </w:r>
      <w:r>
        <w:rPr/>
        <w:t>CD19 </w:t>
      </w:r>
      <w:r>
        <w:rPr>
          <w:spacing w:val="-11"/>
        </w:rPr>
        <w:t>外的新靶点。目前有应用价值的针对恶性 </w:t>
      </w:r>
      <w:r>
        <w:rPr/>
        <w:t>B</w:t>
      </w:r>
      <w:r>
        <w:rPr>
          <w:spacing w:val="-7"/>
        </w:rPr>
        <w:t> 细胞肿瘤的临床前和临床靶标还包括CD22</w:t>
      </w:r>
      <w:r>
        <w:rPr>
          <w:spacing w:val="-30"/>
        </w:rPr>
        <w:t>、</w:t>
      </w:r>
      <w:r>
        <w:rPr/>
        <w:t>CD20,ROR1,CD37</w:t>
      </w:r>
      <w:r>
        <w:rPr>
          <w:spacing w:val="-30"/>
        </w:rPr>
        <w:t> 和 </w:t>
      </w:r>
      <w:r>
        <w:rPr/>
        <w:t>kappa</w:t>
      </w:r>
      <w:r>
        <w:rPr>
          <w:spacing w:val="-13"/>
        </w:rPr>
        <w:t> 轻链，</w:t>
      </w:r>
      <w:r>
        <w:rPr>
          <w:spacing w:val="-5"/>
        </w:rPr>
        <w:t>CD138</w:t>
      </w:r>
      <w:r>
        <w:rPr>
          <w:spacing w:val="-30"/>
        </w:rPr>
        <w:t>、</w:t>
      </w:r>
      <w:r>
        <w:rPr/>
        <w:t>BCMA,SLAMF7,CD38</w:t>
      </w:r>
      <w:r>
        <w:rPr>
          <w:spacing w:val="-9"/>
        </w:rPr>
        <w:t>、整合素</w:t>
      </w:r>
      <w:r>
        <w:rPr/>
        <w:t>β7</w:t>
      </w:r>
      <w:r>
        <w:rPr>
          <w:spacing w:val="-11"/>
        </w:rPr>
        <w:t>。</w:t>
      </w:r>
    </w:p>
    <w:p>
      <w:pPr>
        <w:pStyle w:val="BodyText"/>
        <w:rPr>
          <w:sz w:val="20"/>
        </w:rPr>
      </w:pPr>
    </w:p>
    <w:p>
      <w:pPr>
        <w:pStyle w:val="BodyText"/>
        <w:spacing w:before="11"/>
        <w:rPr>
          <w:sz w:val="17"/>
        </w:rPr>
      </w:pPr>
    </w:p>
    <w:tbl>
      <w:tblPr>
        <w:tblW w:w="0" w:type="auto"/>
        <w:jc w:val="left"/>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87"/>
        <w:gridCol w:w="2793"/>
        <w:gridCol w:w="4895"/>
      </w:tblGrid>
      <w:tr>
        <w:trPr>
          <w:trHeight w:val="330" w:hRule="atLeast"/>
        </w:trPr>
        <w:tc>
          <w:tcPr>
            <w:tcW w:w="9775" w:type="dxa"/>
            <w:gridSpan w:val="3"/>
            <w:tcBorders>
              <w:top w:val="nil"/>
              <w:left w:val="nil"/>
              <w:bottom w:val="nil"/>
              <w:right w:val="nil"/>
            </w:tcBorders>
            <w:shd w:val="clear" w:color="auto" w:fill="A11D04"/>
          </w:tcPr>
          <w:p>
            <w:pPr>
              <w:pStyle w:val="TableParagraph"/>
              <w:spacing w:before="30"/>
              <w:ind w:left="120"/>
              <w:rPr>
                <w:b/>
                <w:sz w:val="21"/>
              </w:rPr>
            </w:pPr>
            <w:r>
              <w:rPr>
                <w:b/>
                <w:color w:val="FFFFFF"/>
                <w:sz w:val="21"/>
              </w:rPr>
              <w:t>表 2：Car-TCD19 意外血液瘤部分靶点研发情况</w:t>
            </w:r>
          </w:p>
        </w:tc>
      </w:tr>
      <w:tr>
        <w:trPr>
          <w:trHeight w:val="345" w:hRule="atLeast"/>
        </w:trPr>
        <w:tc>
          <w:tcPr>
            <w:tcW w:w="9775" w:type="dxa"/>
            <w:gridSpan w:val="3"/>
            <w:tcBorders>
              <w:top w:val="nil"/>
              <w:left w:val="nil"/>
              <w:right w:val="nil"/>
            </w:tcBorders>
            <w:shd w:val="clear" w:color="auto" w:fill="C00000"/>
          </w:tcPr>
          <w:p>
            <w:pPr>
              <w:pStyle w:val="TableParagraph"/>
              <w:tabs>
                <w:tab w:pos="2207" w:val="left" w:leader="none"/>
                <w:tab w:pos="5001" w:val="left" w:leader="none"/>
              </w:tabs>
              <w:spacing w:before="35"/>
              <w:ind w:left="120"/>
              <w:rPr>
                <w:sz w:val="22"/>
              </w:rPr>
            </w:pPr>
            <w:r>
              <w:rPr>
                <w:color w:val="FFFFFF"/>
                <w:spacing w:val="15"/>
                <w:sz w:val="22"/>
              </w:rPr>
              <w:t>疗</w:t>
            </w:r>
            <w:r>
              <w:rPr>
                <w:color w:val="FFFFFF"/>
                <w:sz w:val="22"/>
              </w:rPr>
              <w:t>法</w:t>
              <w:tab/>
            </w:r>
            <w:r>
              <w:rPr>
                <w:color w:val="FFFFFF"/>
                <w:spacing w:val="15"/>
                <w:sz w:val="22"/>
              </w:rPr>
              <w:t>疾病</w:t>
            </w:r>
            <w:r>
              <w:rPr>
                <w:color w:val="FFFFFF"/>
                <w:sz w:val="22"/>
              </w:rPr>
              <w:t>模型</w:t>
              <w:tab/>
            </w:r>
            <w:r>
              <w:rPr>
                <w:color w:val="FFFFFF"/>
                <w:spacing w:val="15"/>
                <w:sz w:val="22"/>
              </w:rPr>
              <w:t>结果</w:t>
            </w:r>
            <w:r>
              <w:rPr>
                <w:color w:val="FFFFFF"/>
                <w:sz w:val="22"/>
              </w:rPr>
              <w:t>描述</w:t>
            </w:r>
          </w:p>
        </w:tc>
      </w:tr>
      <w:tr>
        <w:trPr>
          <w:trHeight w:val="330" w:hRule="atLeast"/>
        </w:trPr>
        <w:tc>
          <w:tcPr>
            <w:tcW w:w="2087" w:type="dxa"/>
          </w:tcPr>
          <w:p>
            <w:pPr>
              <w:pStyle w:val="TableParagraph"/>
              <w:spacing w:before="20"/>
              <w:ind w:left="26" w:right="26"/>
              <w:jc w:val="center"/>
              <w:rPr>
                <w:sz w:val="22"/>
              </w:rPr>
            </w:pPr>
            <w:r>
              <w:rPr>
                <w:sz w:val="22"/>
              </w:rPr>
              <w:t>CD20 的 CAR-T 细胞</w:t>
            </w:r>
          </w:p>
        </w:tc>
        <w:tc>
          <w:tcPr>
            <w:tcW w:w="2793" w:type="dxa"/>
          </w:tcPr>
          <w:p>
            <w:pPr>
              <w:pStyle w:val="TableParagraph"/>
              <w:spacing w:before="20"/>
              <w:ind w:left="217"/>
              <w:rPr>
                <w:sz w:val="22"/>
              </w:rPr>
            </w:pPr>
            <w:r>
              <w:rPr>
                <w:sz w:val="22"/>
              </w:rPr>
              <w:t>ALL CLL 的动物和细胞</w:t>
            </w:r>
          </w:p>
        </w:tc>
        <w:tc>
          <w:tcPr>
            <w:tcW w:w="4895" w:type="dxa"/>
          </w:tcPr>
          <w:p>
            <w:pPr>
              <w:pStyle w:val="TableParagraph"/>
              <w:spacing w:before="20"/>
              <w:ind w:left="113"/>
              <w:rPr>
                <w:sz w:val="22"/>
              </w:rPr>
            </w:pPr>
            <w:r>
              <w:rPr>
                <w:sz w:val="22"/>
              </w:rPr>
              <w:t>疗效很好</w:t>
            </w:r>
          </w:p>
        </w:tc>
      </w:tr>
      <w:tr>
        <w:trPr>
          <w:trHeight w:val="570" w:hRule="atLeast"/>
        </w:trPr>
        <w:tc>
          <w:tcPr>
            <w:tcW w:w="2087" w:type="dxa"/>
          </w:tcPr>
          <w:p>
            <w:pPr>
              <w:pStyle w:val="TableParagraph"/>
              <w:spacing w:before="155"/>
              <w:ind w:left="26" w:right="26"/>
              <w:jc w:val="center"/>
              <w:rPr>
                <w:sz w:val="22"/>
              </w:rPr>
            </w:pPr>
            <w:r>
              <w:rPr>
                <w:sz w:val="22"/>
              </w:rPr>
              <w:t>ROR1 的 CAR-T 细胞</w:t>
            </w:r>
          </w:p>
        </w:tc>
        <w:tc>
          <w:tcPr>
            <w:tcW w:w="2793" w:type="dxa"/>
          </w:tcPr>
          <w:p>
            <w:pPr>
              <w:pStyle w:val="TableParagraph"/>
              <w:spacing w:line="280" w:lineRule="atLeast"/>
              <w:ind w:right="77" w:firstLine="105"/>
              <w:rPr>
                <w:sz w:val="22"/>
              </w:rPr>
            </w:pPr>
            <w:r>
              <w:rPr>
                <w:sz w:val="22"/>
              </w:rPr>
              <w:t>B 细胞恶性肿瘤和实体肿瘤的细胞</w:t>
            </w:r>
          </w:p>
        </w:tc>
        <w:tc>
          <w:tcPr>
            <w:tcW w:w="4895" w:type="dxa"/>
          </w:tcPr>
          <w:p>
            <w:pPr>
              <w:pStyle w:val="TableParagraph"/>
              <w:spacing w:before="155"/>
              <w:ind w:left="113"/>
              <w:rPr>
                <w:sz w:val="22"/>
              </w:rPr>
            </w:pPr>
            <w:r>
              <w:rPr>
                <w:sz w:val="22"/>
              </w:rPr>
              <w:t>ROR1-CAR-T 在人和鼠肺部激活</w:t>
            </w:r>
          </w:p>
        </w:tc>
      </w:tr>
      <w:tr>
        <w:trPr>
          <w:trHeight w:val="570" w:hRule="atLeast"/>
        </w:trPr>
        <w:tc>
          <w:tcPr>
            <w:tcW w:w="2087" w:type="dxa"/>
          </w:tcPr>
          <w:p>
            <w:pPr>
              <w:pStyle w:val="TableParagraph"/>
              <w:spacing w:before="140"/>
              <w:ind w:left="26" w:right="26"/>
              <w:jc w:val="center"/>
              <w:rPr>
                <w:sz w:val="22"/>
              </w:rPr>
            </w:pPr>
            <w:r>
              <w:rPr>
                <w:sz w:val="22"/>
              </w:rPr>
              <w:t>CD37 的 CAR-T 细胞</w:t>
            </w:r>
          </w:p>
        </w:tc>
        <w:tc>
          <w:tcPr>
            <w:tcW w:w="2793" w:type="dxa"/>
          </w:tcPr>
          <w:p>
            <w:pPr>
              <w:pStyle w:val="TableParagraph"/>
              <w:spacing w:line="280" w:lineRule="atLeast"/>
              <w:ind w:right="13"/>
              <w:rPr>
                <w:sz w:val="22"/>
              </w:rPr>
            </w:pPr>
            <w:r>
              <w:rPr>
                <w:sz w:val="22"/>
              </w:rPr>
              <w:t>外和体内B 细胞和T 细胞淋巴瘤,包括使用的 PDX 模型</w:t>
            </w:r>
          </w:p>
        </w:tc>
        <w:tc>
          <w:tcPr>
            <w:tcW w:w="4895" w:type="dxa"/>
          </w:tcPr>
          <w:p>
            <w:pPr>
              <w:pStyle w:val="TableParagraph"/>
              <w:spacing w:line="280" w:lineRule="atLeast"/>
              <w:ind w:left="113" w:right="18"/>
              <w:rPr>
                <w:sz w:val="22"/>
              </w:rPr>
            </w:pPr>
            <w:r>
              <w:rPr>
                <w:sz w:val="22"/>
              </w:rPr>
              <w:t>对非霍奇金淋巴瘤或 CLL 中表现出完全响应，并且无毒副反应产生。</w:t>
            </w:r>
          </w:p>
        </w:tc>
      </w:tr>
      <w:tr>
        <w:trPr>
          <w:trHeight w:val="555" w:hRule="atLeast"/>
        </w:trPr>
        <w:tc>
          <w:tcPr>
            <w:tcW w:w="2087" w:type="dxa"/>
          </w:tcPr>
          <w:p>
            <w:pPr>
              <w:pStyle w:val="TableParagraph"/>
              <w:spacing w:before="140"/>
              <w:ind w:left="71" w:right="26"/>
              <w:jc w:val="center"/>
              <w:rPr>
                <w:sz w:val="22"/>
              </w:rPr>
            </w:pPr>
            <w:r>
              <w:rPr>
                <w:spacing w:val="-4"/>
                <w:sz w:val="22"/>
              </w:rPr>
              <w:t>CD138</w:t>
            </w:r>
            <w:r>
              <w:rPr>
                <w:spacing w:val="-41"/>
                <w:sz w:val="22"/>
              </w:rPr>
              <w:t> 的 </w:t>
            </w:r>
            <w:r>
              <w:rPr>
                <w:spacing w:val="-4"/>
                <w:sz w:val="22"/>
              </w:rPr>
              <w:t>CAR-T</w:t>
            </w:r>
            <w:r>
              <w:rPr>
                <w:spacing w:val="-23"/>
                <w:sz w:val="22"/>
              </w:rPr>
              <w:t> 细胞</w:t>
            </w:r>
          </w:p>
        </w:tc>
        <w:tc>
          <w:tcPr>
            <w:tcW w:w="2793" w:type="dxa"/>
          </w:tcPr>
          <w:p>
            <w:pPr>
              <w:pStyle w:val="TableParagraph"/>
              <w:spacing w:line="272" w:lineRule="exact"/>
              <w:rPr>
                <w:sz w:val="22"/>
              </w:rPr>
            </w:pPr>
            <w:r>
              <w:rPr>
                <w:sz w:val="22"/>
              </w:rPr>
              <w:t>5 例多发性骨髓瘤的一期临</w:t>
            </w:r>
          </w:p>
          <w:p>
            <w:pPr>
              <w:pStyle w:val="TableParagraph"/>
              <w:spacing w:line="260" w:lineRule="exact" w:before="3"/>
              <w:rPr>
                <w:sz w:val="22"/>
              </w:rPr>
            </w:pPr>
            <w:r>
              <w:rPr>
                <w:sz w:val="22"/>
              </w:rPr>
              <w:t>床试验</w:t>
            </w:r>
          </w:p>
        </w:tc>
        <w:tc>
          <w:tcPr>
            <w:tcW w:w="4895" w:type="dxa"/>
          </w:tcPr>
          <w:p>
            <w:pPr>
              <w:pStyle w:val="TableParagraph"/>
              <w:spacing w:before="140"/>
              <w:ind w:left="113"/>
              <w:rPr>
                <w:sz w:val="22"/>
              </w:rPr>
            </w:pPr>
            <w:r>
              <w:rPr>
                <w:sz w:val="22"/>
              </w:rPr>
              <w:t>4 例稳定 1 例进展</w:t>
            </w:r>
          </w:p>
        </w:tc>
      </w:tr>
    </w:tbl>
    <w:p>
      <w:pPr>
        <w:spacing w:after="0"/>
        <w:rPr>
          <w:sz w:val="22"/>
        </w:rPr>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before="4"/>
        <w:rPr>
          <w:sz w:val="2"/>
        </w:rPr>
      </w:pPr>
    </w:p>
    <w:tbl>
      <w:tblPr>
        <w:tblW w:w="0" w:type="auto"/>
        <w:jc w:val="left"/>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87"/>
        <w:gridCol w:w="2793"/>
        <w:gridCol w:w="4895"/>
      </w:tblGrid>
      <w:tr>
        <w:trPr>
          <w:trHeight w:val="570" w:hRule="atLeast"/>
        </w:trPr>
        <w:tc>
          <w:tcPr>
            <w:tcW w:w="2087" w:type="dxa"/>
          </w:tcPr>
          <w:p>
            <w:pPr>
              <w:pStyle w:val="TableParagraph"/>
              <w:tabs>
                <w:tab w:pos="1764" w:val="left" w:leader="none"/>
              </w:tabs>
              <w:spacing w:line="280" w:lineRule="atLeast"/>
              <w:ind w:right="80"/>
              <w:rPr>
                <w:sz w:val="22"/>
              </w:rPr>
            </w:pPr>
            <w:r>
              <w:rPr>
                <w:spacing w:val="-3"/>
                <w:sz w:val="22"/>
              </w:rPr>
              <w:t>BCMA/CD269</w:t>
              <w:tab/>
            </w:r>
            <w:r>
              <w:rPr>
                <w:spacing w:val="-17"/>
                <w:sz w:val="22"/>
              </w:rPr>
              <w:t>的</w:t>
            </w:r>
            <w:r>
              <w:rPr>
                <w:spacing w:val="5"/>
                <w:sz w:val="22"/>
              </w:rPr>
              <w:t>CAR-T</w:t>
            </w:r>
            <w:r>
              <w:rPr>
                <w:spacing w:val="-20"/>
                <w:sz w:val="22"/>
              </w:rPr>
              <w:t> 细胞</w:t>
            </w:r>
          </w:p>
        </w:tc>
        <w:tc>
          <w:tcPr>
            <w:tcW w:w="2793" w:type="dxa"/>
          </w:tcPr>
          <w:p>
            <w:pPr>
              <w:pStyle w:val="TableParagraph"/>
              <w:spacing w:before="140"/>
              <w:rPr>
                <w:sz w:val="22"/>
              </w:rPr>
            </w:pPr>
            <w:r>
              <w:rPr>
                <w:sz w:val="22"/>
              </w:rPr>
              <w:t>多发性骨髓瘤的人体试验</w:t>
            </w:r>
          </w:p>
        </w:tc>
        <w:tc>
          <w:tcPr>
            <w:tcW w:w="4895" w:type="dxa"/>
          </w:tcPr>
          <w:p>
            <w:pPr>
              <w:pStyle w:val="TableParagraph"/>
              <w:spacing w:before="140"/>
              <w:ind w:left="113"/>
              <w:rPr>
                <w:sz w:val="22"/>
              </w:rPr>
            </w:pPr>
            <w:r>
              <w:rPr>
                <w:sz w:val="22"/>
              </w:rPr>
              <w:t>高应答与最高剂量下的细胞因子风暴</w:t>
            </w:r>
          </w:p>
        </w:tc>
      </w:tr>
      <w:tr>
        <w:trPr>
          <w:trHeight w:val="555" w:hRule="atLeast"/>
        </w:trPr>
        <w:tc>
          <w:tcPr>
            <w:tcW w:w="2087" w:type="dxa"/>
          </w:tcPr>
          <w:p>
            <w:pPr>
              <w:pStyle w:val="TableParagraph"/>
              <w:spacing w:line="272" w:lineRule="exact"/>
              <w:rPr>
                <w:sz w:val="22"/>
              </w:rPr>
            </w:pPr>
            <w:r>
              <w:rPr>
                <w:sz w:val="22"/>
              </w:rPr>
              <w:t>SLAMF7</w:t>
            </w:r>
            <w:r>
              <w:rPr>
                <w:spacing w:val="-22"/>
                <w:sz w:val="22"/>
              </w:rPr>
              <w:t> 的 </w:t>
            </w:r>
            <w:r>
              <w:rPr>
                <w:spacing w:val="-3"/>
                <w:sz w:val="22"/>
              </w:rPr>
              <w:t>CAR-T</w:t>
            </w:r>
            <w:r>
              <w:rPr>
                <w:spacing w:val="-19"/>
                <w:sz w:val="22"/>
              </w:rPr>
              <w:t> 细</w:t>
            </w:r>
          </w:p>
          <w:p>
            <w:pPr>
              <w:pStyle w:val="TableParagraph"/>
              <w:spacing w:line="260" w:lineRule="exact" w:before="3"/>
              <w:rPr>
                <w:sz w:val="22"/>
              </w:rPr>
            </w:pPr>
            <w:r>
              <w:rPr>
                <w:w w:val="102"/>
                <w:sz w:val="22"/>
              </w:rPr>
              <w:t>胞</w:t>
            </w:r>
          </w:p>
        </w:tc>
        <w:tc>
          <w:tcPr>
            <w:tcW w:w="2793" w:type="dxa"/>
          </w:tcPr>
          <w:p>
            <w:pPr>
              <w:pStyle w:val="TableParagraph"/>
              <w:spacing w:before="140"/>
              <w:rPr>
                <w:sz w:val="22"/>
              </w:rPr>
            </w:pPr>
            <w:r>
              <w:rPr>
                <w:sz w:val="22"/>
              </w:rPr>
              <w:t>体内多发性骨髓瘤</w:t>
            </w:r>
          </w:p>
        </w:tc>
        <w:tc>
          <w:tcPr>
            <w:tcW w:w="4895" w:type="dxa"/>
          </w:tcPr>
          <w:p>
            <w:pPr>
              <w:pStyle w:val="TableParagraph"/>
              <w:spacing w:before="140"/>
              <w:ind w:left="113"/>
              <w:rPr>
                <w:sz w:val="22"/>
              </w:rPr>
            </w:pPr>
            <w:r>
              <w:rPr>
                <w:sz w:val="22"/>
              </w:rPr>
              <w:t>与 BCMA-CAR-T 细胞比，有更好的增殖优势</w:t>
            </w:r>
          </w:p>
        </w:tc>
      </w:tr>
      <w:tr>
        <w:trPr>
          <w:trHeight w:val="345" w:hRule="atLeast"/>
        </w:trPr>
        <w:tc>
          <w:tcPr>
            <w:tcW w:w="2087" w:type="dxa"/>
          </w:tcPr>
          <w:p>
            <w:pPr>
              <w:pStyle w:val="TableParagraph"/>
              <w:spacing w:before="35"/>
              <w:rPr>
                <w:sz w:val="22"/>
              </w:rPr>
            </w:pPr>
            <w:r>
              <w:rPr>
                <w:sz w:val="22"/>
              </w:rPr>
              <w:t>β7 的 CAR-T 细胞</w:t>
            </w:r>
          </w:p>
        </w:tc>
        <w:tc>
          <w:tcPr>
            <w:tcW w:w="2793" w:type="dxa"/>
          </w:tcPr>
          <w:p>
            <w:pPr>
              <w:pStyle w:val="TableParagraph"/>
              <w:spacing w:before="35"/>
              <w:rPr>
                <w:sz w:val="22"/>
              </w:rPr>
            </w:pPr>
            <w:r>
              <w:rPr>
                <w:sz w:val="22"/>
              </w:rPr>
              <w:t>多发性骨髓瘤细胞</w:t>
            </w:r>
          </w:p>
        </w:tc>
        <w:tc>
          <w:tcPr>
            <w:tcW w:w="4895" w:type="dxa"/>
          </w:tcPr>
          <w:p>
            <w:pPr>
              <w:pStyle w:val="TableParagraph"/>
              <w:spacing w:before="35"/>
              <w:ind w:left="113"/>
              <w:rPr>
                <w:sz w:val="22"/>
              </w:rPr>
            </w:pPr>
            <w:r>
              <w:rPr>
                <w:sz w:val="22"/>
              </w:rPr>
              <w:t>较高反应活性，对正常造血细胞无脱靶</w:t>
            </w:r>
          </w:p>
        </w:tc>
      </w:tr>
    </w:tbl>
    <w:p>
      <w:pPr>
        <w:spacing w:before="46"/>
        <w:ind w:left="896" w:right="0" w:firstLine="0"/>
        <w:jc w:val="left"/>
        <w:rPr>
          <w:b/>
          <w:sz w:val="15"/>
        </w:rPr>
      </w:pPr>
      <w:r>
        <w:rPr>
          <w:b/>
          <w:sz w:val="15"/>
        </w:rPr>
        <w:t>数据来源：财通证券研究所</w:t>
      </w:r>
    </w:p>
    <w:p>
      <w:pPr>
        <w:pStyle w:val="BodyText"/>
        <w:rPr>
          <w:b/>
          <w:sz w:val="20"/>
        </w:rPr>
      </w:pPr>
    </w:p>
    <w:p>
      <w:pPr>
        <w:pStyle w:val="BodyText"/>
        <w:spacing w:before="3"/>
        <w:rPr>
          <w:b/>
          <w:sz w:val="22"/>
        </w:rPr>
      </w:pPr>
    </w:p>
    <w:p>
      <w:pPr>
        <w:pStyle w:val="Heading2"/>
        <w:tabs>
          <w:tab w:pos="10432" w:val="left" w:leader="none"/>
        </w:tabs>
      </w:pPr>
      <w:r>
        <w:rPr/>
        <w:pict>
          <v:group style="position:absolute;margin-left:165.949997pt;margin-top:23.203344pt;width:368.7pt;height:217.9pt;mso-position-horizontal-relative:page;mso-position-vertical-relative:paragraph;z-index:-15709184;mso-wrap-distance-left:0;mso-wrap-distance-right:0" coordorigin="3319,464" coordsize="7374,4358">
            <v:rect style="position:absolute;left:3319;top:4806;width:7374;height:15" filled="true" fillcolor="#a11d04" stroked="false">
              <v:fill type="solid"/>
            </v:rect>
            <v:shape style="position:absolute;left:4780;top:464;width:4452;height:4331" type="#_x0000_t75" stroked="false">
              <v:imagedata r:id="rId20" o:title=""/>
            </v:shape>
            <w10:wrap type="topAndBottom"/>
          </v:group>
        </w:pict>
      </w:r>
      <w:r>
        <w:rPr>
          <w:rFonts w:ascii="Times New Roman" w:eastAsia="Times New Roman"/>
          <w:color w:val="FFFFFF"/>
          <w:shd w:fill="A11D04" w:color="auto" w:val="clear"/>
        </w:rPr>
        <w:t>  </w:t>
      </w:r>
      <w:r>
        <w:rPr>
          <w:color w:val="FFFFFF"/>
          <w:shd w:fill="A11D04" w:color="auto" w:val="clear"/>
        </w:rPr>
        <w:t>图</w:t>
      </w:r>
      <w:r>
        <w:rPr>
          <w:color w:val="FFFFFF"/>
          <w:spacing w:val="-42"/>
          <w:shd w:fill="A11D04" w:color="auto" w:val="clear"/>
        </w:rPr>
        <w:t> </w:t>
      </w:r>
      <w:r>
        <w:rPr>
          <w:color w:val="FFFFFF"/>
          <w:spacing w:val="10"/>
          <w:shd w:fill="A11D04" w:color="auto" w:val="clear"/>
        </w:rPr>
        <w:t>10：</w:t>
      </w:r>
      <w:r>
        <w:rPr>
          <w:color w:val="FFFFFF"/>
          <w:shd w:fill="A11D04" w:color="auto" w:val="clear"/>
        </w:rPr>
        <w:t>针对血液瘤的</w:t>
      </w:r>
      <w:r>
        <w:rPr>
          <w:color w:val="FFFFFF"/>
          <w:spacing w:val="-55"/>
          <w:shd w:fill="A11D04" w:color="auto" w:val="clear"/>
        </w:rPr>
        <w:t> </w:t>
      </w:r>
      <w:r>
        <w:rPr>
          <w:color w:val="FFFFFF"/>
          <w:shd w:fill="A11D04" w:color="auto" w:val="clear"/>
        </w:rPr>
        <w:t>CAR-T</w:t>
      </w:r>
      <w:r>
        <w:rPr>
          <w:color w:val="FFFFFF"/>
          <w:spacing w:val="-67"/>
          <w:shd w:fill="A11D04" w:color="auto" w:val="clear"/>
        </w:rPr>
        <w:t> </w:t>
      </w:r>
      <w:r>
        <w:rPr>
          <w:color w:val="FFFFFF"/>
          <w:spacing w:val="15"/>
          <w:shd w:fill="A11D04" w:color="auto" w:val="clear"/>
        </w:rPr>
        <w:t>疗</w:t>
      </w:r>
      <w:r>
        <w:rPr>
          <w:color w:val="FFFFFF"/>
          <w:shd w:fill="A11D04" w:color="auto" w:val="clear"/>
        </w:rPr>
        <w:t>法常用靶点及对应临床试验数量</w:t>
        <w:tab/>
      </w:r>
    </w:p>
    <w:p>
      <w:pPr>
        <w:spacing w:before="16"/>
        <w:ind w:left="3164" w:right="0" w:firstLine="0"/>
        <w:jc w:val="left"/>
        <w:rPr>
          <w:b/>
          <w:sz w:val="15"/>
        </w:rPr>
      </w:pPr>
      <w:r>
        <w:rPr>
          <w:b/>
          <w:spacing w:val="8"/>
          <w:sz w:val="15"/>
        </w:rPr>
        <w:t>数据来源：</w:t>
      </w:r>
      <w:r>
        <w:rPr>
          <w:b/>
          <w:sz w:val="15"/>
        </w:rPr>
        <w:t>Clinica</w:t>
      </w:r>
      <w:r>
        <w:rPr>
          <w:b/>
          <w:spacing w:val="-62"/>
          <w:sz w:val="15"/>
        </w:rPr>
        <w:t> </w:t>
      </w:r>
      <w:r>
        <w:rPr>
          <w:b/>
          <w:sz w:val="15"/>
        </w:rPr>
        <w:t>ltrials，财通证券研究所</w:t>
      </w:r>
    </w:p>
    <w:p>
      <w:pPr>
        <w:pStyle w:val="BodyText"/>
        <w:rPr>
          <w:b/>
          <w:sz w:val="20"/>
        </w:rPr>
      </w:pPr>
    </w:p>
    <w:p>
      <w:pPr>
        <w:pStyle w:val="BodyText"/>
        <w:spacing w:before="8"/>
        <w:rPr>
          <w:b/>
          <w:sz w:val="28"/>
        </w:rPr>
      </w:pPr>
    </w:p>
    <w:p>
      <w:pPr>
        <w:pStyle w:val="Heading2"/>
        <w:numPr>
          <w:ilvl w:val="1"/>
          <w:numId w:val="7"/>
        </w:numPr>
        <w:tabs>
          <w:tab w:pos="3645" w:val="left" w:leader="none"/>
        </w:tabs>
        <w:spacing w:line="240" w:lineRule="auto" w:before="71" w:after="0"/>
        <w:ind w:left="3645" w:right="0" w:hanging="481"/>
        <w:jc w:val="left"/>
      </w:pPr>
      <w:bookmarkStart w:name="_TOC_250017" w:id="7"/>
      <w:r>
        <w:rPr>
          <w:spacing w:val="9"/>
        </w:rPr>
        <w:t>Car-T</w:t>
      </w:r>
      <w:bookmarkEnd w:id="7"/>
      <w:r>
        <w:rPr>
          <w:spacing w:val="-7"/>
        </w:rPr>
        <w:t> 在实体瘤领域的挑战与进展</w:t>
      </w:r>
    </w:p>
    <w:p>
      <w:pPr>
        <w:pStyle w:val="BodyText"/>
        <w:spacing w:before="1"/>
        <w:rPr>
          <w:b/>
          <w:sz w:val="14"/>
        </w:rPr>
      </w:pPr>
    </w:p>
    <w:p>
      <w:pPr>
        <w:pStyle w:val="Heading2"/>
        <w:numPr>
          <w:ilvl w:val="2"/>
          <w:numId w:val="7"/>
        </w:numPr>
        <w:tabs>
          <w:tab w:pos="3855" w:val="left" w:leader="none"/>
        </w:tabs>
        <w:spacing w:line="240" w:lineRule="auto" w:before="0" w:after="0"/>
        <w:ind w:left="3855" w:right="0" w:hanging="691"/>
        <w:jc w:val="left"/>
      </w:pPr>
      <w:bookmarkStart w:name="_TOC_250016" w:id="8"/>
      <w:bookmarkEnd w:id="8"/>
      <w:r>
        <w:rPr>
          <w:spacing w:val="3"/>
        </w:rPr>
        <w:t>实体瘤的治疗充满了挑战</w:t>
      </w:r>
    </w:p>
    <w:p>
      <w:pPr>
        <w:pStyle w:val="BodyText"/>
        <w:spacing w:before="6"/>
        <w:rPr>
          <w:b/>
          <w:sz w:val="16"/>
        </w:rPr>
      </w:pPr>
    </w:p>
    <w:p>
      <w:pPr>
        <w:pStyle w:val="BodyText"/>
        <w:spacing w:line="328" w:lineRule="auto" w:before="1"/>
        <w:ind w:left="3164" w:right="868"/>
        <w:jc w:val="both"/>
      </w:pPr>
      <w:r>
        <w:rPr>
          <w:b/>
        </w:rPr>
        <w:t>在实体肿瘤中，CAR-T</w:t>
      </w:r>
      <w:r>
        <w:rPr>
          <w:b/>
          <w:spacing w:val="-9"/>
        </w:rPr>
        <w:t> 细胞必须跨越多个障碍才能到达肿瘤部位。</w:t>
      </w:r>
      <w:r>
        <w:rPr/>
        <w:t>趋化因子受体</w:t>
      </w:r>
      <w:r>
        <w:rPr>
          <w:spacing w:val="-1"/>
        </w:rPr>
        <w:t>错配可以阻止移行淋巴细胞遵循趋化梯度；内皮细胞上的选择素</w:t>
      </w:r>
      <w:r>
        <w:rPr/>
        <w:t>(Selectins)等</w:t>
      </w:r>
      <w:r>
        <w:rPr>
          <w:spacing w:val="-4"/>
        </w:rPr>
        <w:t>表面标记物与循环淋巴细胞结合，并诱导信号级联，以便随后向炎症部位外渗是必要的；T</w:t>
      </w:r>
      <w:r>
        <w:rPr>
          <w:spacing w:val="-7"/>
        </w:rPr>
        <w:t> 细胞上的相应受体也是必要的。此外，肿瘤相关成纤维细胞</w:t>
      </w:r>
      <w:r>
        <w:rPr/>
        <w:t>(CAFS)和</w:t>
      </w:r>
      <w:r>
        <w:rPr>
          <w:spacing w:val="-3"/>
        </w:rPr>
        <w:t>肿瘤部位血管异常等物理屏障可以阻止 </w:t>
      </w:r>
      <w:r>
        <w:rPr/>
        <w:t>T</w:t>
      </w:r>
      <w:r>
        <w:rPr>
          <w:spacing w:val="-9"/>
        </w:rPr>
        <w:t> 细胞进入。</w:t>
      </w:r>
    </w:p>
    <w:p>
      <w:pPr>
        <w:spacing w:line="328" w:lineRule="auto" w:before="124"/>
        <w:ind w:left="3164" w:right="861" w:firstLine="0"/>
        <w:jc w:val="both"/>
        <w:rPr>
          <w:sz w:val="21"/>
        </w:rPr>
      </w:pPr>
      <w:r>
        <w:rPr>
          <w:b/>
          <w:spacing w:val="-6"/>
          <w:sz w:val="21"/>
        </w:rPr>
        <w:t>多种方案正在试图突破 </w:t>
      </w:r>
      <w:r>
        <w:rPr>
          <w:b/>
          <w:sz w:val="21"/>
        </w:rPr>
        <w:t>Car-T</w:t>
      </w:r>
      <w:r>
        <w:rPr>
          <w:b/>
          <w:spacing w:val="-20"/>
          <w:sz w:val="21"/>
        </w:rPr>
        <w:t> 实体瘤困境。</w:t>
      </w:r>
      <w:r>
        <w:rPr>
          <w:sz w:val="21"/>
        </w:rPr>
        <w:t>正是由于实体瘤肿瘤微环境强烈的免</w:t>
      </w:r>
      <w:r>
        <w:rPr>
          <w:spacing w:val="-6"/>
          <w:sz w:val="21"/>
        </w:rPr>
        <w:t>疫抑制环境作用和细胞膜表面缺乏特异性肿瘤抗原，将 </w:t>
      </w:r>
      <w:r>
        <w:rPr>
          <w:sz w:val="21"/>
        </w:rPr>
        <w:t>CAR-T</w:t>
      </w:r>
      <w:r>
        <w:rPr>
          <w:spacing w:val="-7"/>
          <w:sz w:val="21"/>
        </w:rPr>
        <w:t> 疗法应用在实体瘤</w:t>
      </w:r>
      <w:r>
        <w:rPr>
          <w:spacing w:val="-10"/>
          <w:sz w:val="21"/>
        </w:rPr>
        <w:t>的治疗并没有得到很好的临床获益。幸运的是，为克服这些挑战，业界在开发新</w:t>
      </w:r>
      <w:r>
        <w:rPr>
          <w:spacing w:val="-11"/>
          <w:sz w:val="21"/>
        </w:rPr>
        <w:t>的策略，应用高度创新并且安全的技术，例如 </w:t>
      </w:r>
      <w:r>
        <w:rPr>
          <w:b/>
          <w:spacing w:val="15"/>
          <w:sz w:val="21"/>
        </w:rPr>
        <w:t>1）</w:t>
      </w:r>
      <w:r>
        <w:rPr>
          <w:b/>
          <w:sz w:val="21"/>
        </w:rPr>
        <w:t>与免疫抑制剂结合使用；2） </w:t>
      </w:r>
      <w:r>
        <w:rPr>
          <w:b/>
          <w:spacing w:val="-2"/>
          <w:sz w:val="21"/>
        </w:rPr>
        <w:t>识别组合抗原策略；</w:t>
      </w:r>
      <w:r>
        <w:rPr>
          <w:b/>
          <w:spacing w:val="-11"/>
          <w:sz w:val="21"/>
        </w:rPr>
        <w:t>3）</w:t>
      </w:r>
      <w:r>
        <w:rPr>
          <w:b/>
          <w:spacing w:val="-27"/>
          <w:sz w:val="21"/>
        </w:rPr>
        <w:t>为 </w:t>
      </w:r>
      <w:r>
        <w:rPr>
          <w:b/>
          <w:sz w:val="21"/>
        </w:rPr>
        <w:t>CAR-T</w:t>
      </w:r>
      <w:r>
        <w:rPr>
          <w:b/>
          <w:spacing w:val="-9"/>
          <w:sz w:val="21"/>
        </w:rPr>
        <w:t> 细胞装备免疫调节因子；</w:t>
      </w:r>
      <w:r>
        <w:rPr>
          <w:b/>
          <w:spacing w:val="-11"/>
          <w:sz w:val="21"/>
        </w:rPr>
        <w:t>4）</w:t>
      </w:r>
      <w:r>
        <w:rPr>
          <w:b/>
          <w:spacing w:val="-18"/>
          <w:sz w:val="21"/>
        </w:rPr>
        <w:t>多靶 </w:t>
      </w:r>
      <w:r>
        <w:rPr>
          <w:b/>
          <w:sz w:val="21"/>
        </w:rPr>
        <w:t>CAR</w:t>
      </w:r>
      <w:r>
        <w:rPr>
          <w:b/>
          <w:spacing w:val="-18"/>
          <w:sz w:val="21"/>
        </w:rPr>
        <w:t> 设计。</w:t>
      </w:r>
      <w:r>
        <w:rPr>
          <w:sz w:val="21"/>
        </w:rPr>
        <w:t>具</w:t>
      </w:r>
      <w:r>
        <w:rPr>
          <w:spacing w:val="-6"/>
          <w:sz w:val="21"/>
        </w:rPr>
        <w:t>体而言，对 </w:t>
      </w:r>
      <w:r>
        <w:rPr>
          <w:sz w:val="21"/>
        </w:rPr>
        <w:t>PD-1/CTLA4</w:t>
      </w:r>
      <w:r>
        <w:rPr>
          <w:spacing w:val="-6"/>
          <w:sz w:val="21"/>
        </w:rPr>
        <w:t> 抑制轴的识别是关键肿瘤微环境介导的免疫抑制因子， </w:t>
      </w:r>
      <w:r>
        <w:rPr>
          <w:spacing w:val="-9"/>
          <w:sz w:val="21"/>
        </w:rPr>
        <w:t>这一研究推动了非传统的研究策略，包括基因沉默技术、抑制性截短受体和使用</w:t>
      </w:r>
    </w:p>
    <w:p>
      <w:pPr>
        <w:spacing w:after="0" w:line="328" w:lineRule="auto"/>
        <w:jc w:val="both"/>
        <w:rPr>
          <w:sz w:val="21"/>
        </w:rPr>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31" w:lineRule="auto" w:before="30"/>
        <w:ind w:left="3164" w:right="868"/>
        <w:jc w:val="both"/>
      </w:pPr>
      <w:r>
        <w:rPr>
          <w:spacing w:val="-6"/>
        </w:rPr>
        <w:t>单克隆抗体检查抑制剂破坏抑制机制的联合疗法。此外，为 </w:t>
      </w:r>
      <w:r>
        <w:rPr/>
        <w:t>CAR-T</w:t>
      </w:r>
      <w:r>
        <w:rPr>
          <w:spacing w:val="-8"/>
        </w:rPr>
        <w:t> 细胞装备免疫调节因子，例如细胞因子、Ab 衍生的检查点抑制剂、或者表达第五代 </w:t>
      </w:r>
      <w:r>
        <w:rPr/>
        <w:t>CARs，这</w:t>
      </w:r>
      <w:r>
        <w:rPr>
          <w:spacing w:val="-3"/>
        </w:rPr>
        <w:t>些策略都将进一步增强调节肿瘤微环境的可行性，将免疫抑制环境转化为免疫允许环境。</w:t>
      </w:r>
    </w:p>
    <w:p>
      <w:pPr>
        <w:pStyle w:val="BodyText"/>
        <w:rPr>
          <w:sz w:val="20"/>
        </w:rPr>
      </w:pPr>
    </w:p>
    <w:p>
      <w:pPr>
        <w:pStyle w:val="BodyText"/>
        <w:spacing w:before="7"/>
        <w:rPr>
          <w:sz w:val="17"/>
        </w:rPr>
      </w:pPr>
    </w:p>
    <w:tbl>
      <w:tblPr>
        <w:tblW w:w="0" w:type="auto"/>
        <w:jc w:val="left"/>
        <w:tblInd w:w="30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93"/>
        <w:gridCol w:w="5632"/>
      </w:tblGrid>
      <w:tr>
        <w:trPr>
          <w:trHeight w:val="330" w:hRule="atLeast"/>
        </w:trPr>
        <w:tc>
          <w:tcPr>
            <w:tcW w:w="7525" w:type="dxa"/>
            <w:gridSpan w:val="2"/>
            <w:tcBorders>
              <w:top w:val="nil"/>
              <w:left w:val="nil"/>
              <w:right w:val="nil"/>
            </w:tcBorders>
            <w:shd w:val="clear" w:color="auto" w:fill="A11D04"/>
          </w:tcPr>
          <w:p>
            <w:pPr>
              <w:pStyle w:val="TableParagraph"/>
              <w:spacing w:before="30"/>
              <w:ind w:left="120"/>
              <w:rPr>
                <w:b/>
                <w:sz w:val="21"/>
              </w:rPr>
            </w:pPr>
            <w:r>
              <w:rPr>
                <w:b/>
                <w:color w:val="FFFFFF"/>
                <w:sz w:val="21"/>
              </w:rPr>
              <w:t>表 3：常见实体瘤 CAR-T 靶点</w:t>
            </w:r>
          </w:p>
        </w:tc>
      </w:tr>
      <w:tr>
        <w:trPr>
          <w:trHeight w:val="345" w:hRule="atLeast"/>
        </w:trPr>
        <w:tc>
          <w:tcPr>
            <w:tcW w:w="1893" w:type="dxa"/>
          </w:tcPr>
          <w:p>
            <w:pPr>
              <w:pStyle w:val="TableParagraph"/>
              <w:spacing w:before="30"/>
              <w:ind w:left="513" w:right="483"/>
              <w:jc w:val="center"/>
              <w:rPr>
                <w:b/>
                <w:sz w:val="21"/>
              </w:rPr>
            </w:pPr>
            <w:r>
              <w:rPr>
                <w:b/>
                <w:sz w:val="21"/>
              </w:rPr>
              <w:t>组织</w:t>
            </w:r>
          </w:p>
        </w:tc>
        <w:tc>
          <w:tcPr>
            <w:tcW w:w="5632" w:type="dxa"/>
          </w:tcPr>
          <w:p>
            <w:pPr>
              <w:pStyle w:val="TableParagraph"/>
              <w:spacing w:before="30"/>
              <w:ind w:left="1219" w:right="1206"/>
              <w:jc w:val="center"/>
              <w:rPr>
                <w:b/>
                <w:sz w:val="21"/>
              </w:rPr>
            </w:pPr>
            <w:r>
              <w:rPr>
                <w:b/>
                <w:sz w:val="21"/>
              </w:rPr>
              <w:t>靶点</w:t>
            </w:r>
          </w:p>
        </w:tc>
      </w:tr>
      <w:tr>
        <w:trPr>
          <w:trHeight w:val="330" w:hRule="atLeast"/>
        </w:trPr>
        <w:tc>
          <w:tcPr>
            <w:tcW w:w="1893" w:type="dxa"/>
          </w:tcPr>
          <w:p>
            <w:pPr>
              <w:pStyle w:val="TableParagraph"/>
              <w:spacing w:before="15"/>
              <w:ind w:left="513" w:right="483"/>
              <w:jc w:val="center"/>
              <w:rPr>
                <w:sz w:val="21"/>
              </w:rPr>
            </w:pPr>
            <w:r>
              <w:rPr>
                <w:sz w:val="21"/>
              </w:rPr>
              <w:t>脑部</w:t>
            </w:r>
          </w:p>
        </w:tc>
        <w:tc>
          <w:tcPr>
            <w:tcW w:w="5632" w:type="dxa"/>
          </w:tcPr>
          <w:p>
            <w:pPr>
              <w:pStyle w:val="TableParagraph"/>
              <w:spacing w:before="15"/>
              <w:ind w:left="1206" w:right="1208"/>
              <w:jc w:val="center"/>
              <w:rPr>
                <w:sz w:val="21"/>
              </w:rPr>
            </w:pPr>
            <w:r>
              <w:rPr>
                <w:sz w:val="21"/>
              </w:rPr>
              <w:t>EGFRVIII,HER2,IL13Ra2</w:t>
            </w:r>
          </w:p>
        </w:tc>
      </w:tr>
      <w:tr>
        <w:trPr>
          <w:trHeight w:val="330" w:hRule="atLeast"/>
        </w:trPr>
        <w:tc>
          <w:tcPr>
            <w:tcW w:w="1893" w:type="dxa"/>
          </w:tcPr>
          <w:p>
            <w:pPr>
              <w:pStyle w:val="TableParagraph"/>
              <w:spacing w:before="30"/>
              <w:ind w:left="514" w:right="483"/>
              <w:jc w:val="center"/>
              <w:rPr>
                <w:sz w:val="21"/>
              </w:rPr>
            </w:pPr>
            <w:r>
              <w:rPr>
                <w:sz w:val="21"/>
              </w:rPr>
              <w:t>神经细胞</w:t>
            </w:r>
          </w:p>
        </w:tc>
        <w:tc>
          <w:tcPr>
            <w:tcW w:w="5632" w:type="dxa"/>
          </w:tcPr>
          <w:p>
            <w:pPr>
              <w:pStyle w:val="TableParagraph"/>
              <w:spacing w:before="30"/>
              <w:ind w:left="1219" w:right="1206"/>
              <w:jc w:val="center"/>
              <w:rPr>
                <w:sz w:val="21"/>
              </w:rPr>
            </w:pPr>
            <w:r>
              <w:rPr>
                <w:sz w:val="21"/>
              </w:rPr>
              <w:t>GD2,PHOX2B</w:t>
            </w:r>
          </w:p>
        </w:tc>
      </w:tr>
      <w:tr>
        <w:trPr>
          <w:trHeight w:val="345" w:hRule="atLeast"/>
        </w:trPr>
        <w:tc>
          <w:tcPr>
            <w:tcW w:w="1893" w:type="dxa"/>
          </w:tcPr>
          <w:p>
            <w:pPr>
              <w:pStyle w:val="TableParagraph"/>
              <w:spacing w:before="30"/>
              <w:ind w:left="513" w:right="483"/>
              <w:jc w:val="center"/>
              <w:rPr>
                <w:sz w:val="21"/>
              </w:rPr>
            </w:pPr>
            <w:r>
              <w:rPr>
                <w:sz w:val="21"/>
              </w:rPr>
              <w:t>头颈</w:t>
            </w:r>
          </w:p>
        </w:tc>
        <w:tc>
          <w:tcPr>
            <w:tcW w:w="5632" w:type="dxa"/>
          </w:tcPr>
          <w:p>
            <w:pPr>
              <w:pStyle w:val="TableParagraph"/>
              <w:spacing w:before="30"/>
              <w:ind w:left="1219" w:right="1206"/>
              <w:jc w:val="center"/>
              <w:rPr>
                <w:sz w:val="21"/>
              </w:rPr>
            </w:pPr>
            <w:r>
              <w:rPr>
                <w:sz w:val="21"/>
              </w:rPr>
              <w:t>ErbBfamily</w:t>
            </w:r>
          </w:p>
        </w:tc>
      </w:tr>
      <w:tr>
        <w:trPr>
          <w:trHeight w:val="330" w:hRule="atLeast"/>
        </w:trPr>
        <w:tc>
          <w:tcPr>
            <w:tcW w:w="1893" w:type="dxa"/>
          </w:tcPr>
          <w:p>
            <w:pPr>
              <w:pStyle w:val="TableParagraph"/>
              <w:spacing w:before="15"/>
              <w:ind w:left="513" w:right="483"/>
              <w:jc w:val="center"/>
              <w:rPr>
                <w:sz w:val="21"/>
              </w:rPr>
            </w:pPr>
            <w:r>
              <w:rPr>
                <w:sz w:val="21"/>
              </w:rPr>
              <w:t>肺部</w:t>
            </w:r>
          </w:p>
        </w:tc>
        <w:tc>
          <w:tcPr>
            <w:tcW w:w="5632" w:type="dxa"/>
          </w:tcPr>
          <w:p>
            <w:pPr>
              <w:pStyle w:val="TableParagraph"/>
              <w:spacing w:before="15"/>
              <w:ind w:left="1218" w:right="1208"/>
              <w:jc w:val="center"/>
              <w:rPr>
                <w:sz w:val="21"/>
              </w:rPr>
            </w:pPr>
            <w:r>
              <w:rPr>
                <w:sz w:val="21"/>
              </w:rPr>
              <w:t>CEA,EGFR,EPCAM,HER2,MSLN</w:t>
            </w:r>
          </w:p>
        </w:tc>
      </w:tr>
      <w:tr>
        <w:trPr>
          <w:trHeight w:val="330" w:hRule="atLeast"/>
        </w:trPr>
        <w:tc>
          <w:tcPr>
            <w:tcW w:w="1893" w:type="dxa"/>
          </w:tcPr>
          <w:p>
            <w:pPr>
              <w:pStyle w:val="TableParagraph"/>
              <w:spacing w:before="30"/>
              <w:ind w:left="513" w:right="483"/>
              <w:jc w:val="center"/>
              <w:rPr>
                <w:sz w:val="21"/>
              </w:rPr>
            </w:pPr>
            <w:r>
              <w:rPr>
                <w:sz w:val="21"/>
              </w:rPr>
              <w:t>肝脏</w:t>
            </w:r>
          </w:p>
        </w:tc>
        <w:tc>
          <w:tcPr>
            <w:tcW w:w="5632" w:type="dxa"/>
          </w:tcPr>
          <w:p>
            <w:pPr>
              <w:pStyle w:val="TableParagraph"/>
              <w:spacing w:before="30"/>
              <w:ind w:left="1219" w:right="1206"/>
              <w:jc w:val="center"/>
              <w:rPr>
                <w:sz w:val="21"/>
              </w:rPr>
            </w:pPr>
            <w:r>
              <w:rPr>
                <w:sz w:val="21"/>
              </w:rPr>
              <w:t>CEA,GPC3</w:t>
            </w:r>
          </w:p>
        </w:tc>
      </w:tr>
      <w:tr>
        <w:trPr>
          <w:trHeight w:val="345" w:hRule="atLeast"/>
        </w:trPr>
        <w:tc>
          <w:tcPr>
            <w:tcW w:w="1893" w:type="dxa"/>
          </w:tcPr>
          <w:p>
            <w:pPr>
              <w:pStyle w:val="TableParagraph"/>
              <w:spacing w:before="30"/>
              <w:ind w:left="513" w:right="483"/>
              <w:jc w:val="center"/>
              <w:rPr>
                <w:sz w:val="21"/>
              </w:rPr>
            </w:pPr>
            <w:r>
              <w:rPr>
                <w:sz w:val="21"/>
              </w:rPr>
              <w:t>肾脏</w:t>
            </w:r>
          </w:p>
        </w:tc>
        <w:tc>
          <w:tcPr>
            <w:tcW w:w="5632" w:type="dxa"/>
          </w:tcPr>
          <w:p>
            <w:pPr>
              <w:pStyle w:val="TableParagraph"/>
              <w:spacing w:before="30"/>
              <w:ind w:left="1206" w:right="1208"/>
              <w:jc w:val="center"/>
              <w:rPr>
                <w:sz w:val="21"/>
              </w:rPr>
            </w:pPr>
            <w:r>
              <w:rPr>
                <w:sz w:val="21"/>
              </w:rPr>
              <w:t>VEGFR2,CAIX</w:t>
            </w:r>
          </w:p>
        </w:tc>
      </w:tr>
      <w:tr>
        <w:trPr>
          <w:trHeight w:val="330" w:hRule="atLeast"/>
        </w:trPr>
        <w:tc>
          <w:tcPr>
            <w:tcW w:w="1893" w:type="dxa"/>
          </w:tcPr>
          <w:p>
            <w:pPr>
              <w:pStyle w:val="TableParagraph"/>
              <w:spacing w:before="15"/>
              <w:ind w:left="513" w:right="483"/>
              <w:jc w:val="center"/>
              <w:rPr>
                <w:sz w:val="21"/>
              </w:rPr>
            </w:pPr>
            <w:r>
              <w:rPr>
                <w:sz w:val="21"/>
              </w:rPr>
              <w:t>胰腺</w:t>
            </w:r>
          </w:p>
        </w:tc>
        <w:tc>
          <w:tcPr>
            <w:tcW w:w="5632" w:type="dxa"/>
          </w:tcPr>
          <w:p>
            <w:pPr>
              <w:pStyle w:val="TableParagraph"/>
              <w:spacing w:before="15"/>
              <w:ind w:left="1206" w:right="1208"/>
              <w:jc w:val="center"/>
              <w:rPr>
                <w:sz w:val="21"/>
              </w:rPr>
            </w:pPr>
            <w:r>
              <w:rPr>
                <w:sz w:val="21"/>
              </w:rPr>
              <w:t>CEA,MSLN,MUC1</w:t>
            </w:r>
          </w:p>
        </w:tc>
      </w:tr>
      <w:tr>
        <w:trPr>
          <w:trHeight w:val="327" w:hRule="atLeast"/>
        </w:trPr>
        <w:tc>
          <w:tcPr>
            <w:tcW w:w="1893" w:type="dxa"/>
            <w:tcBorders>
              <w:bottom w:val="single" w:sz="8" w:space="0" w:color="000000"/>
            </w:tcBorders>
          </w:tcPr>
          <w:p>
            <w:pPr>
              <w:pStyle w:val="TableParagraph"/>
              <w:spacing w:before="30"/>
              <w:ind w:left="513" w:right="483"/>
              <w:jc w:val="center"/>
              <w:rPr>
                <w:sz w:val="21"/>
              </w:rPr>
            </w:pPr>
            <w:r>
              <w:rPr>
                <w:sz w:val="21"/>
              </w:rPr>
              <w:t>胃部</w:t>
            </w:r>
          </w:p>
        </w:tc>
        <w:tc>
          <w:tcPr>
            <w:tcW w:w="5632" w:type="dxa"/>
            <w:tcBorders>
              <w:bottom w:val="single" w:sz="8" w:space="0" w:color="000000"/>
            </w:tcBorders>
          </w:tcPr>
          <w:p>
            <w:pPr>
              <w:pStyle w:val="TableParagraph"/>
              <w:spacing w:before="30"/>
              <w:ind w:left="1219" w:right="1207"/>
              <w:jc w:val="center"/>
              <w:rPr>
                <w:sz w:val="21"/>
              </w:rPr>
            </w:pPr>
            <w:r>
              <w:rPr>
                <w:sz w:val="21"/>
              </w:rPr>
              <w:t>CEA,HER2,CLDN182</w:t>
            </w:r>
          </w:p>
        </w:tc>
      </w:tr>
      <w:tr>
        <w:trPr>
          <w:trHeight w:val="342" w:hRule="atLeast"/>
        </w:trPr>
        <w:tc>
          <w:tcPr>
            <w:tcW w:w="1893" w:type="dxa"/>
            <w:tcBorders>
              <w:top w:val="single" w:sz="8" w:space="0" w:color="000000"/>
            </w:tcBorders>
          </w:tcPr>
          <w:p>
            <w:pPr>
              <w:pStyle w:val="TableParagraph"/>
              <w:spacing w:before="27"/>
              <w:ind w:left="513" w:right="483"/>
              <w:jc w:val="center"/>
              <w:rPr>
                <w:sz w:val="21"/>
              </w:rPr>
            </w:pPr>
            <w:r>
              <w:rPr>
                <w:sz w:val="21"/>
              </w:rPr>
              <w:t>结肠</w:t>
            </w:r>
          </w:p>
        </w:tc>
        <w:tc>
          <w:tcPr>
            <w:tcW w:w="5632" w:type="dxa"/>
            <w:tcBorders>
              <w:top w:val="single" w:sz="8" w:space="0" w:color="000000"/>
            </w:tcBorders>
          </w:tcPr>
          <w:p>
            <w:pPr>
              <w:pStyle w:val="TableParagraph"/>
              <w:spacing w:before="27"/>
              <w:ind w:left="1206" w:right="1208"/>
              <w:jc w:val="center"/>
              <w:rPr>
                <w:sz w:val="21"/>
              </w:rPr>
            </w:pPr>
            <w:r>
              <w:rPr>
                <w:sz w:val="21"/>
              </w:rPr>
              <w:t>CEA,CDH17,CD44v6,GUCY2C</w:t>
            </w:r>
          </w:p>
        </w:tc>
      </w:tr>
      <w:tr>
        <w:trPr>
          <w:trHeight w:val="330" w:hRule="atLeast"/>
        </w:trPr>
        <w:tc>
          <w:tcPr>
            <w:tcW w:w="1893" w:type="dxa"/>
          </w:tcPr>
          <w:p>
            <w:pPr>
              <w:pStyle w:val="TableParagraph"/>
              <w:spacing w:before="15"/>
              <w:ind w:left="513" w:right="483"/>
              <w:jc w:val="center"/>
              <w:rPr>
                <w:sz w:val="21"/>
              </w:rPr>
            </w:pPr>
            <w:r>
              <w:rPr>
                <w:sz w:val="21"/>
              </w:rPr>
              <w:t>胸部</w:t>
            </w:r>
          </w:p>
        </w:tc>
        <w:tc>
          <w:tcPr>
            <w:tcW w:w="5632" w:type="dxa"/>
          </w:tcPr>
          <w:p>
            <w:pPr>
              <w:pStyle w:val="TableParagraph"/>
              <w:spacing w:before="15"/>
              <w:ind w:left="1206" w:right="1208"/>
              <w:jc w:val="center"/>
              <w:rPr>
                <w:sz w:val="21"/>
              </w:rPr>
            </w:pPr>
            <w:r>
              <w:rPr>
                <w:sz w:val="21"/>
              </w:rPr>
              <w:t>CEA,cMET,HER2,MSLN,MUC1</w:t>
            </w:r>
          </w:p>
        </w:tc>
      </w:tr>
      <w:tr>
        <w:trPr>
          <w:trHeight w:val="330" w:hRule="atLeast"/>
        </w:trPr>
        <w:tc>
          <w:tcPr>
            <w:tcW w:w="1893" w:type="dxa"/>
          </w:tcPr>
          <w:p>
            <w:pPr>
              <w:pStyle w:val="TableParagraph"/>
              <w:spacing w:before="30"/>
              <w:ind w:left="513" w:right="483"/>
              <w:jc w:val="center"/>
              <w:rPr>
                <w:sz w:val="21"/>
              </w:rPr>
            </w:pPr>
            <w:r>
              <w:rPr>
                <w:sz w:val="21"/>
              </w:rPr>
              <w:t>卵巢</w:t>
            </w:r>
          </w:p>
        </w:tc>
        <w:tc>
          <w:tcPr>
            <w:tcW w:w="5632" w:type="dxa"/>
          </w:tcPr>
          <w:p>
            <w:pPr>
              <w:pStyle w:val="TableParagraph"/>
              <w:spacing w:before="30"/>
              <w:ind w:left="1219" w:right="1208"/>
              <w:jc w:val="center"/>
              <w:rPr>
                <w:sz w:val="21"/>
              </w:rPr>
            </w:pPr>
            <w:r>
              <w:rPr>
                <w:sz w:val="21"/>
              </w:rPr>
              <w:t>CEA,FRα,HER2,MSLN,L1CAM,MUC16</w:t>
            </w:r>
          </w:p>
        </w:tc>
      </w:tr>
      <w:tr>
        <w:trPr>
          <w:trHeight w:val="345" w:hRule="atLeast"/>
        </w:trPr>
        <w:tc>
          <w:tcPr>
            <w:tcW w:w="1893" w:type="dxa"/>
          </w:tcPr>
          <w:p>
            <w:pPr>
              <w:pStyle w:val="TableParagraph"/>
              <w:spacing w:before="30"/>
              <w:ind w:left="513" w:right="483"/>
              <w:jc w:val="center"/>
              <w:rPr>
                <w:sz w:val="21"/>
              </w:rPr>
            </w:pPr>
            <w:r>
              <w:rPr>
                <w:sz w:val="21"/>
              </w:rPr>
              <w:t>前列腺</w:t>
            </w:r>
          </w:p>
        </w:tc>
        <w:tc>
          <w:tcPr>
            <w:tcW w:w="5632" w:type="dxa"/>
          </w:tcPr>
          <w:p>
            <w:pPr>
              <w:pStyle w:val="TableParagraph"/>
              <w:spacing w:before="30"/>
              <w:ind w:left="1207" w:right="1208"/>
              <w:jc w:val="center"/>
              <w:rPr>
                <w:sz w:val="21"/>
              </w:rPr>
            </w:pPr>
            <w:r>
              <w:rPr>
                <w:sz w:val="21"/>
              </w:rPr>
              <w:t>PSMA,PSCA</w:t>
            </w:r>
          </w:p>
        </w:tc>
      </w:tr>
      <w:tr>
        <w:trPr>
          <w:trHeight w:val="330" w:hRule="atLeast"/>
        </w:trPr>
        <w:tc>
          <w:tcPr>
            <w:tcW w:w="1893" w:type="dxa"/>
          </w:tcPr>
          <w:p>
            <w:pPr>
              <w:pStyle w:val="TableParagraph"/>
              <w:spacing w:before="15"/>
              <w:ind w:left="513" w:right="483"/>
              <w:jc w:val="center"/>
              <w:rPr>
                <w:sz w:val="21"/>
              </w:rPr>
            </w:pPr>
            <w:r>
              <w:rPr>
                <w:sz w:val="21"/>
              </w:rPr>
              <w:t>皮肤</w:t>
            </w:r>
          </w:p>
        </w:tc>
        <w:tc>
          <w:tcPr>
            <w:tcW w:w="5632" w:type="dxa"/>
          </w:tcPr>
          <w:p>
            <w:pPr>
              <w:pStyle w:val="TableParagraph"/>
              <w:spacing w:before="15"/>
              <w:ind w:left="1219" w:right="1206"/>
              <w:jc w:val="center"/>
              <w:rPr>
                <w:sz w:val="21"/>
              </w:rPr>
            </w:pPr>
            <w:r>
              <w:rPr>
                <w:sz w:val="21"/>
              </w:rPr>
              <w:t>GD2,VEGFR2</w:t>
            </w:r>
          </w:p>
        </w:tc>
      </w:tr>
      <w:tr>
        <w:trPr>
          <w:trHeight w:val="330" w:hRule="atLeast"/>
        </w:trPr>
        <w:tc>
          <w:tcPr>
            <w:tcW w:w="1893" w:type="dxa"/>
          </w:tcPr>
          <w:p>
            <w:pPr>
              <w:pStyle w:val="TableParagraph"/>
              <w:spacing w:before="30"/>
              <w:ind w:left="513" w:right="483"/>
              <w:jc w:val="center"/>
              <w:rPr>
                <w:sz w:val="21"/>
              </w:rPr>
            </w:pPr>
            <w:r>
              <w:rPr>
                <w:sz w:val="21"/>
              </w:rPr>
              <w:t>软组织</w:t>
            </w:r>
          </w:p>
        </w:tc>
        <w:tc>
          <w:tcPr>
            <w:tcW w:w="5632" w:type="dxa"/>
          </w:tcPr>
          <w:p>
            <w:pPr>
              <w:pStyle w:val="TableParagraph"/>
              <w:spacing w:before="30"/>
              <w:ind w:left="1219" w:right="1206"/>
              <w:jc w:val="center"/>
              <w:rPr>
                <w:sz w:val="21"/>
              </w:rPr>
            </w:pPr>
            <w:r>
              <w:rPr>
                <w:sz w:val="21"/>
              </w:rPr>
              <w:t>GD2,HER2</w:t>
            </w:r>
          </w:p>
        </w:tc>
      </w:tr>
    </w:tbl>
    <w:p>
      <w:pPr>
        <w:spacing w:before="60"/>
        <w:ind w:left="3164" w:right="0" w:firstLine="0"/>
        <w:jc w:val="left"/>
        <w:rPr>
          <w:b/>
          <w:sz w:val="15"/>
        </w:rPr>
      </w:pPr>
      <w:r>
        <w:rPr>
          <w:b/>
          <w:spacing w:val="8"/>
          <w:sz w:val="15"/>
        </w:rPr>
        <w:t>数据来源：</w:t>
      </w:r>
      <w:r>
        <w:rPr>
          <w:b/>
          <w:sz w:val="15"/>
        </w:rPr>
        <w:t>CAR-T </w:t>
      </w:r>
      <w:r>
        <w:rPr>
          <w:b/>
          <w:spacing w:val="7"/>
          <w:sz w:val="15"/>
        </w:rPr>
        <w:t>ce</w:t>
      </w:r>
      <w:r>
        <w:rPr>
          <w:b/>
          <w:spacing w:val="-62"/>
          <w:sz w:val="15"/>
        </w:rPr>
        <w:t> </w:t>
      </w:r>
      <w:r>
        <w:rPr>
          <w:b/>
          <w:sz w:val="15"/>
        </w:rPr>
        <w:t>lls b</w:t>
      </w:r>
      <w:r>
        <w:rPr>
          <w:b/>
          <w:spacing w:val="-62"/>
          <w:sz w:val="15"/>
        </w:rPr>
        <w:t> </w:t>
      </w:r>
      <w:r>
        <w:rPr>
          <w:b/>
          <w:sz w:val="15"/>
        </w:rPr>
        <w:t>eyond C</w:t>
      </w:r>
      <w:r>
        <w:rPr>
          <w:b/>
          <w:spacing w:val="-62"/>
          <w:sz w:val="15"/>
        </w:rPr>
        <w:t> </w:t>
      </w:r>
      <w:r>
        <w:rPr>
          <w:b/>
          <w:sz w:val="15"/>
        </w:rPr>
        <w:t>D19,UnCAR-T</w:t>
      </w:r>
      <w:r>
        <w:rPr>
          <w:b/>
          <w:spacing w:val="-61"/>
          <w:sz w:val="15"/>
        </w:rPr>
        <w:t> </w:t>
      </w:r>
      <w:r>
        <w:rPr>
          <w:b/>
          <w:sz w:val="15"/>
        </w:rPr>
        <w:t>ed t</w:t>
      </w:r>
      <w:r>
        <w:rPr>
          <w:b/>
          <w:spacing w:val="-61"/>
          <w:sz w:val="15"/>
        </w:rPr>
        <w:t> </w:t>
      </w:r>
      <w:r>
        <w:rPr>
          <w:b/>
          <w:sz w:val="15"/>
        </w:rPr>
        <w:t>erritory.AmJHematol.</w:t>
      </w:r>
      <w:r>
        <w:rPr>
          <w:b/>
          <w:spacing w:val="-8"/>
          <w:sz w:val="15"/>
        </w:rPr>
        <w:t> ，财通证券研究所</w:t>
      </w:r>
    </w:p>
    <w:p>
      <w:pPr>
        <w:pStyle w:val="BodyText"/>
        <w:rPr>
          <w:b/>
          <w:sz w:val="20"/>
        </w:rPr>
      </w:pPr>
    </w:p>
    <w:p>
      <w:pPr>
        <w:pStyle w:val="BodyText"/>
        <w:spacing w:before="1"/>
        <w:rPr>
          <w:b/>
        </w:rPr>
      </w:pPr>
    </w:p>
    <w:p>
      <w:pPr>
        <w:pStyle w:val="Heading2"/>
        <w:tabs>
          <w:tab w:pos="10432" w:val="left" w:leader="none"/>
        </w:tabs>
      </w:pPr>
      <w:r>
        <w:rPr>
          <w:rFonts w:ascii="Times New Roman" w:eastAsia="Times New Roman"/>
          <w:color w:val="FFFFFF"/>
          <w:shd w:fill="A11D04" w:color="auto" w:val="clear"/>
        </w:rPr>
        <w:t>  </w:t>
      </w:r>
      <w:r>
        <w:rPr>
          <w:color w:val="FFFFFF"/>
          <w:shd w:fill="A11D04" w:color="auto" w:val="clear"/>
        </w:rPr>
        <w:t>图</w:t>
      </w:r>
      <w:r>
        <w:rPr>
          <w:color w:val="FFFFFF"/>
          <w:spacing w:val="-38"/>
          <w:shd w:fill="A11D04" w:color="auto" w:val="clear"/>
        </w:rPr>
        <w:t> </w:t>
      </w:r>
      <w:r>
        <w:rPr>
          <w:color w:val="FFFFFF"/>
          <w:spacing w:val="10"/>
          <w:shd w:fill="A11D04" w:color="auto" w:val="clear"/>
        </w:rPr>
        <w:t>11：</w:t>
      </w:r>
      <w:r>
        <w:rPr>
          <w:color w:val="FFFFFF"/>
          <w:shd w:fill="A11D04" w:color="auto" w:val="clear"/>
        </w:rPr>
        <w:t>实体</w:t>
      </w:r>
      <w:r>
        <w:rPr>
          <w:color w:val="FFFFFF"/>
          <w:spacing w:val="45"/>
          <w:shd w:fill="A11D04" w:color="auto" w:val="clear"/>
        </w:rPr>
        <w:t>瘤</w:t>
      </w:r>
      <w:r>
        <w:rPr>
          <w:color w:val="FFFFFF"/>
          <w:spacing w:val="2"/>
          <w:shd w:fill="A11D04" w:color="auto" w:val="clear"/>
        </w:rPr>
        <w:t>Car-T</w:t>
      </w:r>
      <w:r>
        <w:rPr>
          <w:color w:val="FFFFFF"/>
          <w:spacing w:val="-66"/>
          <w:shd w:fill="A11D04" w:color="auto" w:val="clear"/>
        </w:rPr>
        <w:t> </w:t>
      </w:r>
      <w:r>
        <w:rPr>
          <w:color w:val="FFFFFF"/>
          <w:shd w:fill="A11D04" w:color="auto" w:val="clear"/>
        </w:rPr>
        <w:t>占总研</w:t>
      </w:r>
      <w:r>
        <w:rPr>
          <w:color w:val="FFFFFF"/>
          <w:spacing w:val="15"/>
          <w:shd w:fill="A11D04" w:color="auto" w:val="clear"/>
        </w:rPr>
        <w:t>究</w:t>
      </w:r>
      <w:r>
        <w:rPr>
          <w:color w:val="FFFFFF"/>
          <w:shd w:fill="A11D04" w:color="auto" w:val="clear"/>
        </w:rPr>
        <w:t>比例</w:t>
        <w:tab/>
      </w:r>
    </w:p>
    <w:p>
      <w:pPr>
        <w:pStyle w:val="BodyText"/>
        <w:spacing w:before="3"/>
        <w:rPr>
          <w:b/>
          <w:sz w:val="8"/>
        </w:rPr>
      </w:pPr>
      <w:r>
        <w:rPr/>
        <w:drawing>
          <wp:anchor distT="0" distB="0" distL="0" distR="0" allowOverlap="1" layoutInCell="1" locked="0" behindDoc="0" simplePos="0" relativeHeight="40">
            <wp:simplePos x="0" y="0"/>
            <wp:positionH relativeFrom="page">
              <wp:posOffset>3730999</wp:posOffset>
            </wp:positionH>
            <wp:positionV relativeFrom="paragraph">
              <wp:posOffset>91906</wp:posOffset>
            </wp:positionV>
            <wp:extent cx="1437665" cy="1806320"/>
            <wp:effectExtent l="0" t="0" r="0" b="0"/>
            <wp:wrapTopAndBottom/>
            <wp:docPr id="19" name="image13.png"/>
            <wp:cNvGraphicFramePr>
              <a:graphicFrameLocks noChangeAspect="1"/>
            </wp:cNvGraphicFramePr>
            <a:graphic>
              <a:graphicData uri="http://schemas.openxmlformats.org/drawingml/2006/picture">
                <pic:pic>
                  <pic:nvPicPr>
                    <pic:cNvPr id="20" name="image13.png"/>
                    <pic:cNvPicPr/>
                  </pic:nvPicPr>
                  <pic:blipFill>
                    <a:blip r:embed="rId21" cstate="print"/>
                    <a:stretch>
                      <a:fillRect/>
                    </a:stretch>
                  </pic:blipFill>
                  <pic:spPr>
                    <a:xfrm>
                      <a:off x="0" y="0"/>
                      <a:ext cx="1437665" cy="1806320"/>
                    </a:xfrm>
                    <a:prstGeom prst="rect">
                      <a:avLst/>
                    </a:prstGeom>
                  </pic:spPr>
                </pic:pic>
              </a:graphicData>
            </a:graphic>
          </wp:anchor>
        </w:drawing>
      </w:r>
    </w:p>
    <w:p>
      <w:pPr>
        <w:pStyle w:val="BodyText"/>
        <w:spacing w:before="12"/>
        <w:rPr>
          <w:b/>
          <w:sz w:val="5"/>
        </w:rPr>
      </w:pPr>
    </w:p>
    <w:p>
      <w:pPr>
        <w:pStyle w:val="BodyText"/>
        <w:spacing w:line="20" w:lineRule="exact"/>
        <w:ind w:left="3059"/>
        <w:rPr>
          <w:sz w:val="2"/>
        </w:rPr>
      </w:pPr>
      <w:r>
        <w:rPr>
          <w:sz w:val="2"/>
        </w:rPr>
        <w:pict>
          <v:group style="width:368.7pt;height:.75pt;mso-position-horizontal-relative:char;mso-position-vertical-relative:line" coordorigin="0,0" coordsize="7374,15">
            <v:rect style="position:absolute;left:0;top:0;width:7374;height:15" filled="true" fillcolor="#a11d04" stroked="false">
              <v:fill type="solid"/>
            </v:rect>
          </v:group>
        </w:pict>
      </w:r>
      <w:r>
        <w:rPr>
          <w:sz w:val="2"/>
        </w:rPr>
      </w:r>
    </w:p>
    <w:p>
      <w:pPr>
        <w:spacing w:before="40"/>
        <w:ind w:left="3164" w:right="0" w:firstLine="0"/>
        <w:jc w:val="left"/>
        <w:rPr>
          <w:b/>
          <w:sz w:val="15"/>
        </w:rPr>
      </w:pPr>
      <w:r>
        <w:rPr>
          <w:b/>
          <w:spacing w:val="4"/>
          <w:sz w:val="15"/>
        </w:rPr>
        <w:t>数据来源： </w:t>
      </w:r>
      <w:r>
        <w:rPr>
          <w:b/>
          <w:sz w:val="15"/>
        </w:rPr>
        <w:t>c</w:t>
      </w:r>
      <w:r>
        <w:rPr>
          <w:b/>
          <w:spacing w:val="-61"/>
          <w:sz w:val="15"/>
        </w:rPr>
        <w:t> </w:t>
      </w:r>
      <w:r>
        <w:rPr>
          <w:b/>
          <w:sz w:val="15"/>
        </w:rPr>
        <w:t>linica</w:t>
      </w:r>
      <w:r>
        <w:rPr>
          <w:b/>
          <w:spacing w:val="-61"/>
          <w:sz w:val="15"/>
        </w:rPr>
        <w:t> </w:t>
      </w:r>
      <w:r>
        <w:rPr>
          <w:b/>
          <w:sz w:val="15"/>
        </w:rPr>
        <w:t>ltrials，财通证券研究所财通证券研究所</w:t>
      </w:r>
    </w:p>
    <w:p>
      <w:pPr>
        <w:pStyle w:val="BodyText"/>
        <w:rPr>
          <w:b/>
          <w:sz w:val="20"/>
        </w:rPr>
      </w:pPr>
    </w:p>
    <w:p>
      <w:pPr>
        <w:pStyle w:val="BodyText"/>
        <w:spacing w:before="10"/>
        <w:rPr>
          <w:b/>
          <w:sz w:val="29"/>
        </w:rPr>
      </w:pPr>
    </w:p>
    <w:p>
      <w:pPr>
        <w:pStyle w:val="BodyText"/>
        <w:spacing w:line="328" w:lineRule="auto" w:before="71"/>
        <w:ind w:left="3164" w:right="864"/>
        <w:jc w:val="both"/>
      </w:pPr>
      <w:r>
        <w:rPr>
          <w:spacing w:val="-4"/>
        </w:rPr>
        <w:t>实体瘤约占了所有人恶性肿瘤的 </w:t>
      </w:r>
      <w:r>
        <w:rPr/>
        <w:t>90%，征服实体瘤才能为更多患者带来希望。因</w:t>
      </w:r>
      <w:r>
        <w:rPr>
          <w:spacing w:val="-3"/>
        </w:rPr>
        <w:t>此，实体瘤的 </w:t>
      </w:r>
      <w:r>
        <w:rPr/>
        <w:t>Car-T</w:t>
      </w:r>
      <w:r>
        <w:rPr>
          <w:spacing w:val="-5"/>
        </w:rPr>
        <w:t> 方案一直是学界和研究者希望有所进展的领域。截至 </w:t>
      </w:r>
      <w:r>
        <w:rPr/>
        <w:t>2020 </w:t>
      </w:r>
      <w:r>
        <w:rPr>
          <w:spacing w:val="-23"/>
        </w:rPr>
        <w:t>年 </w:t>
      </w:r>
      <w:r>
        <w:rPr/>
        <w:t>3</w:t>
      </w:r>
      <w:r>
        <w:rPr>
          <w:spacing w:val="-31"/>
        </w:rPr>
        <w:t> 月 </w:t>
      </w:r>
      <w:r>
        <w:rPr/>
        <w:t>15</w:t>
      </w:r>
      <w:r>
        <w:rPr>
          <w:spacing w:val="-11"/>
        </w:rPr>
        <w:t> 日，全球所有开展的 </w:t>
      </w:r>
      <w:r>
        <w:rPr/>
        <w:t>Car-T</w:t>
      </w:r>
      <w:r>
        <w:rPr>
          <w:spacing w:val="-7"/>
        </w:rPr>
        <w:t> 实验中，针对实体瘤的试验数约占到总实</w:t>
      </w:r>
    </w:p>
    <w:p>
      <w:pPr>
        <w:spacing w:after="0" w:line="328"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before="30"/>
        <w:ind w:left="3164"/>
        <w:jc w:val="both"/>
      </w:pPr>
      <w:r>
        <w:rPr/>
        <w:t>验的 27%左右。</w:t>
      </w:r>
    </w:p>
    <w:p>
      <w:pPr>
        <w:pStyle w:val="BodyText"/>
        <w:spacing w:before="6"/>
        <w:rPr>
          <w:sz w:val="16"/>
        </w:rPr>
      </w:pPr>
    </w:p>
    <w:p>
      <w:pPr>
        <w:pStyle w:val="Heading2"/>
        <w:numPr>
          <w:ilvl w:val="2"/>
          <w:numId w:val="7"/>
        </w:numPr>
        <w:tabs>
          <w:tab w:pos="3855" w:val="left" w:leader="none"/>
        </w:tabs>
        <w:spacing w:line="240" w:lineRule="auto" w:before="0" w:after="0"/>
        <w:ind w:left="3855" w:right="0" w:hanging="691"/>
        <w:jc w:val="left"/>
      </w:pPr>
      <w:bookmarkStart w:name="_TOC_250015" w:id="9"/>
      <w:r>
        <w:rPr>
          <w:spacing w:val="8"/>
        </w:rPr>
        <w:t>Car-T</w:t>
      </w:r>
      <w:bookmarkEnd w:id="9"/>
      <w:r>
        <w:rPr>
          <w:spacing w:val="-8"/>
        </w:rPr>
        <w:t> 实体瘤上进展</w:t>
      </w:r>
    </w:p>
    <w:p>
      <w:pPr>
        <w:pStyle w:val="BodyText"/>
        <w:spacing w:before="4"/>
        <w:rPr>
          <w:b/>
          <w:sz w:val="15"/>
        </w:rPr>
      </w:pPr>
    </w:p>
    <w:p>
      <w:pPr>
        <w:pStyle w:val="BodyText"/>
        <w:spacing w:line="328" w:lineRule="auto"/>
        <w:ind w:left="3164" w:right="862"/>
        <w:jc w:val="both"/>
      </w:pPr>
      <w:r>
        <w:rPr>
          <w:spacing w:val="-16"/>
        </w:rPr>
        <w:t>目前，尽管实体瘤癌细胞存在大量异质性与演进性，但“石以砥焉，化钝为利”，</w:t>
      </w:r>
      <w:r>
        <w:rPr>
          <w:spacing w:val="-24"/>
        </w:rPr>
        <w:t>实体瘤 </w:t>
      </w:r>
      <w:r>
        <w:rPr/>
        <w:t>Car-T</w:t>
      </w:r>
      <w:r>
        <w:rPr>
          <w:spacing w:val="-10"/>
        </w:rPr>
        <w:t> 仍是众多肿瘤研究者与医生们积极探索的领域，已经有诸多针对实</w:t>
      </w:r>
      <w:r>
        <w:rPr>
          <w:spacing w:val="-19"/>
        </w:rPr>
        <w:t>体瘤的 </w:t>
      </w:r>
      <w:r>
        <w:rPr/>
        <w:t>Car-T</w:t>
      </w:r>
      <w:r>
        <w:rPr>
          <w:spacing w:val="-7"/>
        </w:rPr>
        <w:t> 临床试验在全球展开，并且展现出了不错的前景。</w:t>
      </w:r>
    </w:p>
    <w:p>
      <w:pPr>
        <w:pStyle w:val="BodyText"/>
        <w:rPr>
          <w:sz w:val="20"/>
        </w:rPr>
      </w:pPr>
    </w:p>
    <w:p>
      <w:pPr>
        <w:pStyle w:val="BodyText"/>
        <w:spacing w:before="11" w:after="1"/>
        <w:rPr>
          <w:sz w:val="17"/>
        </w:rPr>
      </w:pPr>
    </w:p>
    <w:tbl>
      <w:tblPr>
        <w:tblW w:w="0" w:type="auto"/>
        <w:jc w:val="left"/>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62"/>
        <w:gridCol w:w="1791"/>
        <w:gridCol w:w="644"/>
        <w:gridCol w:w="2419"/>
        <w:gridCol w:w="1503"/>
        <w:gridCol w:w="1863"/>
      </w:tblGrid>
      <w:tr>
        <w:trPr>
          <w:trHeight w:val="345" w:hRule="atLeast"/>
        </w:trPr>
        <w:tc>
          <w:tcPr>
            <w:tcW w:w="9782" w:type="dxa"/>
            <w:gridSpan w:val="6"/>
            <w:tcBorders>
              <w:top w:val="nil"/>
              <w:left w:val="nil"/>
              <w:bottom w:val="nil"/>
              <w:right w:val="nil"/>
            </w:tcBorders>
            <w:shd w:val="clear" w:color="auto" w:fill="A11D04"/>
          </w:tcPr>
          <w:p>
            <w:pPr>
              <w:pStyle w:val="TableParagraph"/>
              <w:spacing w:before="45"/>
              <w:ind w:left="120"/>
              <w:rPr>
                <w:b/>
                <w:sz w:val="21"/>
              </w:rPr>
            </w:pPr>
            <w:r>
              <w:rPr>
                <w:b/>
                <w:color w:val="FFFFFF"/>
                <w:sz w:val="21"/>
              </w:rPr>
              <w:t>表 4：Car-T 部分实体瘤进展情况</w:t>
            </w:r>
          </w:p>
        </w:tc>
      </w:tr>
      <w:tr>
        <w:trPr>
          <w:trHeight w:val="345" w:hRule="atLeast"/>
        </w:trPr>
        <w:tc>
          <w:tcPr>
            <w:tcW w:w="1562" w:type="dxa"/>
            <w:tcBorders>
              <w:top w:val="nil"/>
              <w:left w:val="nil"/>
              <w:right w:val="nil"/>
            </w:tcBorders>
            <w:shd w:val="clear" w:color="auto" w:fill="C00000"/>
          </w:tcPr>
          <w:p>
            <w:pPr>
              <w:pStyle w:val="TableParagraph"/>
              <w:spacing w:before="35"/>
              <w:ind w:left="120"/>
              <w:rPr>
                <w:sz w:val="22"/>
              </w:rPr>
            </w:pPr>
            <w:r>
              <w:rPr>
                <w:color w:val="FFFFFF"/>
                <w:sz w:val="22"/>
              </w:rPr>
              <w:t>适应症</w:t>
            </w:r>
          </w:p>
        </w:tc>
        <w:tc>
          <w:tcPr>
            <w:tcW w:w="1791" w:type="dxa"/>
            <w:tcBorders>
              <w:top w:val="nil"/>
              <w:left w:val="nil"/>
              <w:right w:val="nil"/>
            </w:tcBorders>
            <w:shd w:val="clear" w:color="auto" w:fill="C00000"/>
          </w:tcPr>
          <w:p>
            <w:pPr>
              <w:pStyle w:val="TableParagraph"/>
              <w:spacing w:before="35"/>
              <w:ind w:left="120"/>
              <w:rPr>
                <w:sz w:val="22"/>
              </w:rPr>
            </w:pPr>
            <w:r>
              <w:rPr>
                <w:color w:val="FFFFFF"/>
                <w:sz w:val="22"/>
              </w:rPr>
              <w:t>机构</w:t>
            </w:r>
          </w:p>
        </w:tc>
        <w:tc>
          <w:tcPr>
            <w:tcW w:w="644" w:type="dxa"/>
            <w:tcBorders>
              <w:top w:val="nil"/>
              <w:left w:val="nil"/>
              <w:right w:val="nil"/>
            </w:tcBorders>
            <w:shd w:val="clear" w:color="auto" w:fill="C00000"/>
          </w:tcPr>
          <w:p>
            <w:pPr>
              <w:pStyle w:val="TableParagraph"/>
              <w:ind w:left="0"/>
              <w:rPr>
                <w:rFonts w:ascii="Times New Roman"/>
                <w:sz w:val="22"/>
              </w:rPr>
            </w:pPr>
          </w:p>
        </w:tc>
        <w:tc>
          <w:tcPr>
            <w:tcW w:w="2419" w:type="dxa"/>
            <w:tcBorders>
              <w:top w:val="nil"/>
              <w:left w:val="nil"/>
              <w:right w:val="nil"/>
            </w:tcBorders>
            <w:shd w:val="clear" w:color="auto" w:fill="C00000"/>
          </w:tcPr>
          <w:p>
            <w:pPr>
              <w:pStyle w:val="TableParagraph"/>
              <w:spacing w:before="35"/>
              <w:ind w:left="117"/>
              <w:rPr>
                <w:sz w:val="22"/>
              </w:rPr>
            </w:pPr>
            <w:r>
              <w:rPr>
                <w:color w:val="FFFFFF"/>
                <w:sz w:val="22"/>
              </w:rPr>
              <w:t>靶点</w:t>
            </w:r>
          </w:p>
        </w:tc>
        <w:tc>
          <w:tcPr>
            <w:tcW w:w="1503" w:type="dxa"/>
            <w:tcBorders>
              <w:top w:val="nil"/>
              <w:left w:val="nil"/>
              <w:right w:val="nil"/>
            </w:tcBorders>
            <w:shd w:val="clear" w:color="auto" w:fill="C00000"/>
          </w:tcPr>
          <w:p>
            <w:pPr>
              <w:pStyle w:val="TableParagraph"/>
              <w:spacing w:before="35"/>
              <w:ind w:left="116"/>
              <w:rPr>
                <w:sz w:val="22"/>
              </w:rPr>
            </w:pPr>
            <w:r>
              <w:rPr>
                <w:color w:val="FFFFFF"/>
                <w:sz w:val="22"/>
              </w:rPr>
              <w:t>临床阶段</w:t>
            </w:r>
          </w:p>
        </w:tc>
        <w:tc>
          <w:tcPr>
            <w:tcW w:w="1863" w:type="dxa"/>
            <w:tcBorders>
              <w:top w:val="nil"/>
              <w:left w:val="nil"/>
              <w:right w:val="nil"/>
            </w:tcBorders>
            <w:shd w:val="clear" w:color="auto" w:fill="C00000"/>
          </w:tcPr>
          <w:p>
            <w:pPr>
              <w:pStyle w:val="TableParagraph"/>
              <w:spacing w:before="35"/>
              <w:ind w:left="130"/>
              <w:rPr>
                <w:sz w:val="22"/>
              </w:rPr>
            </w:pPr>
            <w:r>
              <w:rPr>
                <w:color w:val="FFFFFF"/>
                <w:sz w:val="22"/>
              </w:rPr>
              <w:t>临床缓解率</w:t>
            </w:r>
          </w:p>
        </w:tc>
      </w:tr>
      <w:tr>
        <w:trPr>
          <w:trHeight w:val="330" w:hRule="atLeast"/>
        </w:trPr>
        <w:tc>
          <w:tcPr>
            <w:tcW w:w="1562" w:type="dxa"/>
          </w:tcPr>
          <w:p>
            <w:pPr>
              <w:pStyle w:val="TableParagraph"/>
              <w:spacing w:before="20"/>
              <w:rPr>
                <w:sz w:val="22"/>
              </w:rPr>
            </w:pPr>
            <w:r>
              <w:rPr>
                <w:sz w:val="22"/>
              </w:rPr>
              <w:t>晚期胰导管癌</w:t>
            </w:r>
          </w:p>
        </w:tc>
        <w:tc>
          <w:tcPr>
            <w:tcW w:w="2435" w:type="dxa"/>
            <w:gridSpan w:val="2"/>
          </w:tcPr>
          <w:p>
            <w:pPr>
              <w:pStyle w:val="TableParagraph"/>
              <w:spacing w:before="20"/>
              <w:rPr>
                <w:sz w:val="22"/>
              </w:rPr>
            </w:pPr>
            <w:r>
              <w:rPr>
                <w:sz w:val="22"/>
              </w:rPr>
              <w:t>宾夕法尼亚大学</w:t>
            </w:r>
          </w:p>
        </w:tc>
        <w:tc>
          <w:tcPr>
            <w:tcW w:w="2419" w:type="dxa"/>
          </w:tcPr>
          <w:p>
            <w:pPr>
              <w:pStyle w:val="TableParagraph"/>
              <w:spacing w:before="20"/>
              <w:ind w:left="110"/>
              <w:rPr>
                <w:sz w:val="22"/>
              </w:rPr>
            </w:pPr>
            <w:r>
              <w:rPr>
                <w:sz w:val="22"/>
              </w:rPr>
              <w:t>MSLN</w:t>
            </w:r>
          </w:p>
        </w:tc>
        <w:tc>
          <w:tcPr>
            <w:tcW w:w="1503" w:type="dxa"/>
          </w:tcPr>
          <w:p>
            <w:pPr>
              <w:pStyle w:val="TableParagraph"/>
              <w:spacing w:before="20"/>
              <w:ind w:left="109"/>
              <w:rPr>
                <w:sz w:val="22"/>
              </w:rPr>
            </w:pPr>
            <w:r>
              <w:rPr>
                <w:sz w:val="22"/>
              </w:rPr>
              <w:t>I（完成）</w:t>
            </w:r>
          </w:p>
        </w:tc>
        <w:tc>
          <w:tcPr>
            <w:tcW w:w="1863" w:type="dxa"/>
          </w:tcPr>
          <w:p>
            <w:pPr>
              <w:pStyle w:val="TableParagraph"/>
              <w:spacing w:before="20"/>
              <w:ind w:left="123"/>
              <w:rPr>
                <w:sz w:val="22"/>
              </w:rPr>
            </w:pPr>
            <w:r>
              <w:rPr>
                <w:sz w:val="22"/>
              </w:rPr>
              <w:t>2/6CR（33.3%）</w:t>
            </w:r>
          </w:p>
        </w:tc>
      </w:tr>
      <w:tr>
        <w:trPr>
          <w:trHeight w:val="330" w:hRule="atLeast"/>
        </w:trPr>
        <w:tc>
          <w:tcPr>
            <w:tcW w:w="1562" w:type="dxa"/>
          </w:tcPr>
          <w:p>
            <w:pPr>
              <w:pStyle w:val="TableParagraph"/>
              <w:spacing w:before="20"/>
              <w:rPr>
                <w:sz w:val="22"/>
              </w:rPr>
            </w:pPr>
            <w:r>
              <w:rPr>
                <w:sz w:val="22"/>
              </w:rPr>
              <w:t>成神经细胞瘤</w:t>
            </w:r>
          </w:p>
        </w:tc>
        <w:tc>
          <w:tcPr>
            <w:tcW w:w="2435" w:type="dxa"/>
            <w:gridSpan w:val="2"/>
          </w:tcPr>
          <w:p>
            <w:pPr>
              <w:pStyle w:val="TableParagraph"/>
              <w:spacing w:before="20"/>
              <w:rPr>
                <w:sz w:val="22"/>
              </w:rPr>
            </w:pPr>
            <w:r>
              <w:rPr>
                <w:sz w:val="22"/>
              </w:rPr>
              <w:t>贝勒医学院</w:t>
            </w:r>
          </w:p>
        </w:tc>
        <w:tc>
          <w:tcPr>
            <w:tcW w:w="2419" w:type="dxa"/>
          </w:tcPr>
          <w:p>
            <w:pPr>
              <w:pStyle w:val="TableParagraph"/>
              <w:spacing w:before="20"/>
              <w:ind w:left="110"/>
              <w:rPr>
                <w:sz w:val="22"/>
              </w:rPr>
            </w:pPr>
            <w:r>
              <w:rPr>
                <w:sz w:val="22"/>
              </w:rPr>
              <w:t>GD2</w:t>
            </w:r>
          </w:p>
        </w:tc>
        <w:tc>
          <w:tcPr>
            <w:tcW w:w="1503" w:type="dxa"/>
          </w:tcPr>
          <w:p>
            <w:pPr>
              <w:pStyle w:val="TableParagraph"/>
              <w:spacing w:before="20"/>
              <w:ind w:left="109"/>
              <w:rPr>
                <w:sz w:val="22"/>
              </w:rPr>
            </w:pPr>
            <w:r>
              <w:rPr>
                <w:sz w:val="22"/>
              </w:rPr>
              <w:t>I（激活）</w:t>
            </w:r>
          </w:p>
        </w:tc>
        <w:tc>
          <w:tcPr>
            <w:tcW w:w="1863" w:type="dxa"/>
          </w:tcPr>
          <w:p>
            <w:pPr>
              <w:pStyle w:val="TableParagraph"/>
              <w:spacing w:before="20"/>
              <w:ind w:left="123"/>
              <w:rPr>
                <w:sz w:val="22"/>
              </w:rPr>
            </w:pPr>
            <w:r>
              <w:rPr>
                <w:sz w:val="22"/>
              </w:rPr>
              <w:t>3/11PR（27.2%）</w:t>
            </w:r>
          </w:p>
        </w:tc>
      </w:tr>
      <w:tr>
        <w:trPr>
          <w:trHeight w:val="570" w:hRule="atLeast"/>
        </w:trPr>
        <w:tc>
          <w:tcPr>
            <w:tcW w:w="1562" w:type="dxa"/>
          </w:tcPr>
          <w:p>
            <w:pPr>
              <w:pStyle w:val="TableParagraph"/>
              <w:spacing w:line="280" w:lineRule="atLeast"/>
              <w:ind w:right="66"/>
              <w:rPr>
                <w:sz w:val="22"/>
              </w:rPr>
            </w:pPr>
            <w:r>
              <w:rPr>
                <w:sz w:val="22"/>
              </w:rPr>
              <w:t>CEA 阳性肝转移</w:t>
            </w:r>
          </w:p>
        </w:tc>
        <w:tc>
          <w:tcPr>
            <w:tcW w:w="2435" w:type="dxa"/>
            <w:gridSpan w:val="2"/>
          </w:tcPr>
          <w:p>
            <w:pPr>
              <w:pStyle w:val="TableParagraph"/>
              <w:spacing w:before="140"/>
              <w:rPr>
                <w:sz w:val="22"/>
              </w:rPr>
            </w:pPr>
            <w:r>
              <w:rPr>
                <w:sz w:val="22"/>
              </w:rPr>
              <w:t>罗格威廉姆斯医疗中心</w:t>
            </w:r>
          </w:p>
        </w:tc>
        <w:tc>
          <w:tcPr>
            <w:tcW w:w="2419" w:type="dxa"/>
          </w:tcPr>
          <w:p>
            <w:pPr>
              <w:pStyle w:val="TableParagraph"/>
              <w:spacing w:before="140"/>
              <w:ind w:left="110"/>
              <w:rPr>
                <w:sz w:val="22"/>
              </w:rPr>
            </w:pPr>
            <w:r>
              <w:rPr>
                <w:sz w:val="22"/>
              </w:rPr>
              <w:t>CEA</w:t>
            </w:r>
          </w:p>
        </w:tc>
        <w:tc>
          <w:tcPr>
            <w:tcW w:w="1503" w:type="dxa"/>
          </w:tcPr>
          <w:p>
            <w:pPr>
              <w:pStyle w:val="TableParagraph"/>
              <w:spacing w:before="140"/>
              <w:ind w:left="109"/>
              <w:rPr>
                <w:sz w:val="22"/>
              </w:rPr>
            </w:pPr>
            <w:r>
              <w:rPr>
                <w:sz w:val="22"/>
              </w:rPr>
              <w:t>I（完成）</w:t>
            </w:r>
          </w:p>
        </w:tc>
        <w:tc>
          <w:tcPr>
            <w:tcW w:w="1863" w:type="dxa"/>
          </w:tcPr>
          <w:p>
            <w:pPr>
              <w:pStyle w:val="TableParagraph"/>
              <w:spacing w:before="140"/>
              <w:ind w:left="123"/>
              <w:rPr>
                <w:sz w:val="22"/>
              </w:rPr>
            </w:pPr>
            <w:r>
              <w:rPr>
                <w:sz w:val="22"/>
              </w:rPr>
              <w:t>1/6PR（14.2%）</w:t>
            </w:r>
          </w:p>
        </w:tc>
      </w:tr>
      <w:tr>
        <w:trPr>
          <w:trHeight w:val="330" w:hRule="atLeast"/>
        </w:trPr>
        <w:tc>
          <w:tcPr>
            <w:tcW w:w="1562" w:type="dxa"/>
          </w:tcPr>
          <w:p>
            <w:pPr>
              <w:pStyle w:val="TableParagraph"/>
              <w:spacing w:before="20"/>
              <w:rPr>
                <w:sz w:val="22"/>
              </w:rPr>
            </w:pPr>
            <w:r>
              <w:rPr>
                <w:sz w:val="22"/>
              </w:rPr>
              <w:t>胶质母细胞瘤</w:t>
            </w:r>
          </w:p>
        </w:tc>
        <w:tc>
          <w:tcPr>
            <w:tcW w:w="2435" w:type="dxa"/>
            <w:gridSpan w:val="2"/>
          </w:tcPr>
          <w:p>
            <w:pPr>
              <w:pStyle w:val="TableParagraph"/>
              <w:spacing w:before="20"/>
              <w:rPr>
                <w:sz w:val="22"/>
              </w:rPr>
            </w:pPr>
            <w:r>
              <w:rPr>
                <w:sz w:val="22"/>
              </w:rPr>
              <w:t>宾夕法尼亚大学</w:t>
            </w:r>
          </w:p>
        </w:tc>
        <w:tc>
          <w:tcPr>
            <w:tcW w:w="2419" w:type="dxa"/>
          </w:tcPr>
          <w:p>
            <w:pPr>
              <w:pStyle w:val="TableParagraph"/>
              <w:spacing w:before="20"/>
              <w:ind w:left="110"/>
              <w:rPr>
                <w:sz w:val="22"/>
              </w:rPr>
            </w:pPr>
            <w:r>
              <w:rPr>
                <w:sz w:val="22"/>
              </w:rPr>
              <w:t>EGFRvIII</w:t>
            </w:r>
          </w:p>
        </w:tc>
        <w:tc>
          <w:tcPr>
            <w:tcW w:w="1503" w:type="dxa"/>
          </w:tcPr>
          <w:p>
            <w:pPr>
              <w:pStyle w:val="TableParagraph"/>
              <w:spacing w:before="20"/>
              <w:ind w:left="109"/>
              <w:rPr>
                <w:sz w:val="22"/>
              </w:rPr>
            </w:pPr>
            <w:r>
              <w:rPr>
                <w:sz w:val="22"/>
              </w:rPr>
              <w:t>I（终止）</w:t>
            </w:r>
          </w:p>
        </w:tc>
        <w:tc>
          <w:tcPr>
            <w:tcW w:w="1863" w:type="dxa"/>
          </w:tcPr>
          <w:p>
            <w:pPr>
              <w:pStyle w:val="TableParagraph"/>
              <w:spacing w:before="20"/>
              <w:ind w:left="123"/>
              <w:rPr>
                <w:sz w:val="22"/>
              </w:rPr>
            </w:pPr>
            <w:r>
              <w:rPr>
                <w:sz w:val="22"/>
              </w:rPr>
              <w:t>1/10PR(10%)</w:t>
            </w:r>
          </w:p>
        </w:tc>
      </w:tr>
      <w:tr>
        <w:trPr>
          <w:trHeight w:val="345" w:hRule="atLeast"/>
        </w:trPr>
        <w:tc>
          <w:tcPr>
            <w:tcW w:w="1562" w:type="dxa"/>
          </w:tcPr>
          <w:p>
            <w:pPr>
              <w:pStyle w:val="TableParagraph"/>
              <w:spacing w:before="35"/>
              <w:rPr>
                <w:sz w:val="22"/>
              </w:rPr>
            </w:pPr>
            <w:r>
              <w:rPr>
                <w:sz w:val="22"/>
              </w:rPr>
              <w:t>晚期实体瘤</w:t>
            </w:r>
          </w:p>
        </w:tc>
        <w:tc>
          <w:tcPr>
            <w:tcW w:w="2435" w:type="dxa"/>
            <w:gridSpan w:val="2"/>
          </w:tcPr>
          <w:p>
            <w:pPr>
              <w:pStyle w:val="TableParagraph"/>
              <w:spacing w:before="35"/>
              <w:rPr>
                <w:sz w:val="22"/>
              </w:rPr>
            </w:pPr>
            <w:r>
              <w:rPr>
                <w:sz w:val="22"/>
              </w:rPr>
              <w:t>NCI</w:t>
            </w:r>
          </w:p>
        </w:tc>
        <w:tc>
          <w:tcPr>
            <w:tcW w:w="2419" w:type="dxa"/>
          </w:tcPr>
          <w:p>
            <w:pPr>
              <w:pStyle w:val="TableParagraph"/>
              <w:spacing w:before="35"/>
              <w:ind w:left="110"/>
              <w:rPr>
                <w:sz w:val="22"/>
              </w:rPr>
            </w:pPr>
            <w:r>
              <w:rPr>
                <w:sz w:val="22"/>
              </w:rPr>
              <w:t>VEGFR2</w:t>
            </w:r>
          </w:p>
        </w:tc>
        <w:tc>
          <w:tcPr>
            <w:tcW w:w="1503" w:type="dxa"/>
          </w:tcPr>
          <w:p>
            <w:pPr>
              <w:pStyle w:val="TableParagraph"/>
              <w:spacing w:before="35"/>
              <w:ind w:left="109"/>
              <w:rPr>
                <w:sz w:val="22"/>
              </w:rPr>
            </w:pPr>
            <w:r>
              <w:rPr>
                <w:sz w:val="22"/>
              </w:rPr>
              <w:t>I/II（完成）</w:t>
            </w:r>
          </w:p>
        </w:tc>
        <w:tc>
          <w:tcPr>
            <w:tcW w:w="1863" w:type="dxa"/>
          </w:tcPr>
          <w:p>
            <w:pPr>
              <w:pStyle w:val="TableParagraph"/>
              <w:spacing w:before="35"/>
              <w:ind w:left="123"/>
              <w:rPr>
                <w:sz w:val="22"/>
              </w:rPr>
            </w:pPr>
            <w:r>
              <w:rPr>
                <w:sz w:val="22"/>
              </w:rPr>
              <w:t>1/25PR(4%)</w:t>
            </w:r>
          </w:p>
        </w:tc>
      </w:tr>
      <w:tr>
        <w:trPr>
          <w:trHeight w:val="555" w:hRule="atLeast"/>
        </w:trPr>
        <w:tc>
          <w:tcPr>
            <w:tcW w:w="1562" w:type="dxa"/>
          </w:tcPr>
          <w:p>
            <w:pPr>
              <w:pStyle w:val="TableParagraph"/>
              <w:spacing w:before="140"/>
              <w:rPr>
                <w:sz w:val="22"/>
              </w:rPr>
            </w:pPr>
            <w:r>
              <w:rPr>
                <w:sz w:val="22"/>
              </w:rPr>
              <w:t>胶质母细胞瘤</w:t>
            </w:r>
          </w:p>
        </w:tc>
        <w:tc>
          <w:tcPr>
            <w:tcW w:w="1791" w:type="dxa"/>
            <w:tcBorders>
              <w:right w:val="nil"/>
            </w:tcBorders>
          </w:tcPr>
          <w:p>
            <w:pPr>
              <w:pStyle w:val="TableParagraph"/>
              <w:tabs>
                <w:tab w:pos="1328" w:val="left" w:leader="none"/>
              </w:tabs>
              <w:spacing w:line="272" w:lineRule="exact"/>
              <w:rPr>
                <w:sz w:val="22"/>
              </w:rPr>
            </w:pPr>
            <w:r>
              <w:rPr>
                <w:sz w:val="22"/>
              </w:rPr>
              <w:t>NCI&amp;city</w:t>
              <w:tab/>
            </w:r>
            <w:r>
              <w:rPr>
                <w:spacing w:val="7"/>
                <w:sz w:val="22"/>
              </w:rPr>
              <w:t>of</w:t>
            </w:r>
          </w:p>
          <w:p>
            <w:pPr>
              <w:pStyle w:val="TableParagraph"/>
              <w:spacing w:line="260" w:lineRule="exact" w:before="3"/>
              <w:rPr>
                <w:sz w:val="22"/>
              </w:rPr>
            </w:pPr>
            <w:r>
              <w:rPr>
                <w:sz w:val="22"/>
              </w:rPr>
              <w:t>medical center</w:t>
            </w:r>
          </w:p>
        </w:tc>
        <w:tc>
          <w:tcPr>
            <w:tcW w:w="644" w:type="dxa"/>
            <w:tcBorders>
              <w:left w:val="nil"/>
            </w:tcBorders>
          </w:tcPr>
          <w:p>
            <w:pPr>
              <w:pStyle w:val="TableParagraph"/>
              <w:spacing w:line="272" w:lineRule="exact"/>
              <w:ind w:left="81" w:right="74"/>
              <w:jc w:val="center"/>
              <w:rPr>
                <w:sz w:val="22"/>
              </w:rPr>
            </w:pPr>
            <w:r>
              <w:rPr>
                <w:sz w:val="22"/>
              </w:rPr>
              <w:t>hope</w:t>
            </w:r>
          </w:p>
        </w:tc>
        <w:tc>
          <w:tcPr>
            <w:tcW w:w="2419" w:type="dxa"/>
          </w:tcPr>
          <w:p>
            <w:pPr>
              <w:pStyle w:val="TableParagraph"/>
              <w:spacing w:before="140"/>
              <w:ind w:left="110"/>
              <w:rPr>
                <w:sz w:val="22"/>
              </w:rPr>
            </w:pPr>
            <w:r>
              <w:rPr>
                <w:sz w:val="22"/>
              </w:rPr>
              <w:t>IL13Rα2</w:t>
            </w:r>
          </w:p>
        </w:tc>
        <w:tc>
          <w:tcPr>
            <w:tcW w:w="1503" w:type="dxa"/>
          </w:tcPr>
          <w:p>
            <w:pPr>
              <w:pStyle w:val="TableParagraph"/>
              <w:spacing w:before="140"/>
              <w:ind w:left="109"/>
              <w:rPr>
                <w:sz w:val="22"/>
              </w:rPr>
            </w:pPr>
            <w:r>
              <w:rPr>
                <w:sz w:val="22"/>
              </w:rPr>
              <w:t>I（完成）</w:t>
            </w:r>
          </w:p>
        </w:tc>
        <w:tc>
          <w:tcPr>
            <w:tcW w:w="1863" w:type="dxa"/>
          </w:tcPr>
          <w:p>
            <w:pPr>
              <w:pStyle w:val="TableParagraph"/>
              <w:spacing w:before="140"/>
              <w:ind w:left="123"/>
              <w:rPr>
                <w:sz w:val="22"/>
              </w:rPr>
            </w:pPr>
            <w:r>
              <w:rPr>
                <w:sz w:val="22"/>
              </w:rPr>
              <w:t>2/3PR(66.6%)</w:t>
            </w:r>
          </w:p>
        </w:tc>
      </w:tr>
      <w:tr>
        <w:trPr>
          <w:trHeight w:val="345" w:hRule="atLeast"/>
        </w:trPr>
        <w:tc>
          <w:tcPr>
            <w:tcW w:w="1562" w:type="dxa"/>
          </w:tcPr>
          <w:p>
            <w:pPr>
              <w:pStyle w:val="TableParagraph"/>
              <w:spacing w:before="35"/>
              <w:rPr>
                <w:sz w:val="22"/>
              </w:rPr>
            </w:pPr>
            <w:r>
              <w:rPr>
                <w:sz w:val="22"/>
              </w:rPr>
              <w:t>晚期前列腺癌</w:t>
            </w:r>
          </w:p>
        </w:tc>
        <w:tc>
          <w:tcPr>
            <w:tcW w:w="2435" w:type="dxa"/>
            <w:gridSpan w:val="2"/>
          </w:tcPr>
          <w:p>
            <w:pPr>
              <w:pStyle w:val="TableParagraph"/>
              <w:spacing w:before="35"/>
              <w:rPr>
                <w:sz w:val="22"/>
              </w:rPr>
            </w:pPr>
            <w:r>
              <w:rPr>
                <w:w w:val="102"/>
                <w:sz w:val="22"/>
              </w:rPr>
              <w:t>/</w:t>
            </w:r>
          </w:p>
        </w:tc>
        <w:tc>
          <w:tcPr>
            <w:tcW w:w="2419" w:type="dxa"/>
          </w:tcPr>
          <w:p>
            <w:pPr>
              <w:pStyle w:val="TableParagraph"/>
              <w:spacing w:before="35"/>
              <w:ind w:left="110"/>
              <w:rPr>
                <w:sz w:val="22"/>
              </w:rPr>
            </w:pPr>
            <w:r>
              <w:rPr>
                <w:sz w:val="22"/>
              </w:rPr>
              <w:t>PSMA</w:t>
            </w:r>
          </w:p>
        </w:tc>
        <w:tc>
          <w:tcPr>
            <w:tcW w:w="1503" w:type="dxa"/>
          </w:tcPr>
          <w:p>
            <w:pPr>
              <w:pStyle w:val="TableParagraph"/>
              <w:spacing w:before="35"/>
              <w:ind w:left="109"/>
              <w:rPr>
                <w:sz w:val="22"/>
              </w:rPr>
            </w:pPr>
            <w:r>
              <w:rPr>
                <w:w w:val="102"/>
                <w:sz w:val="22"/>
              </w:rPr>
              <w:t>I</w:t>
            </w:r>
          </w:p>
        </w:tc>
        <w:tc>
          <w:tcPr>
            <w:tcW w:w="1863" w:type="dxa"/>
          </w:tcPr>
          <w:p>
            <w:pPr>
              <w:pStyle w:val="TableParagraph"/>
              <w:spacing w:before="35"/>
              <w:ind w:left="123"/>
              <w:rPr>
                <w:sz w:val="22"/>
              </w:rPr>
            </w:pPr>
            <w:r>
              <w:rPr>
                <w:sz w:val="22"/>
              </w:rPr>
              <w:t>2/5PR(40%)</w:t>
            </w:r>
          </w:p>
        </w:tc>
      </w:tr>
      <w:tr>
        <w:trPr>
          <w:trHeight w:val="555" w:hRule="atLeast"/>
        </w:trPr>
        <w:tc>
          <w:tcPr>
            <w:tcW w:w="1562" w:type="dxa"/>
          </w:tcPr>
          <w:p>
            <w:pPr>
              <w:pStyle w:val="TableParagraph"/>
              <w:spacing w:line="272" w:lineRule="exact"/>
              <w:rPr>
                <w:sz w:val="22"/>
              </w:rPr>
            </w:pPr>
            <w:r>
              <w:rPr>
                <w:sz w:val="22"/>
              </w:rPr>
              <w:t>复发性胶质母</w:t>
            </w:r>
          </w:p>
          <w:p>
            <w:pPr>
              <w:pStyle w:val="TableParagraph"/>
              <w:spacing w:line="260" w:lineRule="exact" w:before="3"/>
              <w:rPr>
                <w:sz w:val="22"/>
              </w:rPr>
            </w:pPr>
            <w:r>
              <w:rPr>
                <w:sz w:val="22"/>
              </w:rPr>
              <w:t>细胞瘤</w:t>
            </w:r>
          </w:p>
        </w:tc>
        <w:tc>
          <w:tcPr>
            <w:tcW w:w="1791" w:type="dxa"/>
            <w:tcBorders>
              <w:right w:val="nil"/>
            </w:tcBorders>
          </w:tcPr>
          <w:p>
            <w:pPr>
              <w:pStyle w:val="TableParagraph"/>
              <w:tabs>
                <w:tab w:pos="1328" w:val="left" w:leader="none"/>
              </w:tabs>
              <w:spacing w:line="272" w:lineRule="exact"/>
              <w:rPr>
                <w:sz w:val="22"/>
              </w:rPr>
            </w:pPr>
            <w:r>
              <w:rPr>
                <w:sz w:val="22"/>
              </w:rPr>
              <w:t>NCI&amp;city</w:t>
              <w:tab/>
            </w:r>
            <w:r>
              <w:rPr>
                <w:spacing w:val="7"/>
                <w:sz w:val="22"/>
              </w:rPr>
              <w:t>of</w:t>
            </w:r>
          </w:p>
          <w:p>
            <w:pPr>
              <w:pStyle w:val="TableParagraph"/>
              <w:spacing w:line="260" w:lineRule="exact" w:before="3"/>
              <w:rPr>
                <w:sz w:val="22"/>
              </w:rPr>
            </w:pPr>
            <w:r>
              <w:rPr>
                <w:sz w:val="22"/>
              </w:rPr>
              <w:t>medical center</w:t>
            </w:r>
          </w:p>
        </w:tc>
        <w:tc>
          <w:tcPr>
            <w:tcW w:w="644" w:type="dxa"/>
            <w:tcBorders>
              <w:left w:val="nil"/>
            </w:tcBorders>
          </w:tcPr>
          <w:p>
            <w:pPr>
              <w:pStyle w:val="TableParagraph"/>
              <w:spacing w:line="272" w:lineRule="exact"/>
              <w:ind w:left="81" w:right="74"/>
              <w:jc w:val="center"/>
              <w:rPr>
                <w:sz w:val="22"/>
              </w:rPr>
            </w:pPr>
            <w:r>
              <w:rPr>
                <w:sz w:val="22"/>
              </w:rPr>
              <w:t>hope</w:t>
            </w:r>
          </w:p>
        </w:tc>
        <w:tc>
          <w:tcPr>
            <w:tcW w:w="2419" w:type="dxa"/>
          </w:tcPr>
          <w:p>
            <w:pPr>
              <w:pStyle w:val="TableParagraph"/>
              <w:spacing w:before="140"/>
              <w:ind w:left="110"/>
              <w:rPr>
                <w:sz w:val="22"/>
              </w:rPr>
            </w:pPr>
            <w:r>
              <w:rPr>
                <w:sz w:val="22"/>
              </w:rPr>
              <w:t>IL13Rα2</w:t>
            </w:r>
          </w:p>
        </w:tc>
        <w:tc>
          <w:tcPr>
            <w:tcW w:w="1503" w:type="dxa"/>
          </w:tcPr>
          <w:p>
            <w:pPr>
              <w:pStyle w:val="TableParagraph"/>
              <w:spacing w:before="140"/>
              <w:ind w:left="109"/>
              <w:rPr>
                <w:sz w:val="22"/>
              </w:rPr>
            </w:pPr>
            <w:r>
              <w:rPr>
                <w:sz w:val="22"/>
              </w:rPr>
              <w:t>I（招募中）</w:t>
            </w:r>
          </w:p>
        </w:tc>
        <w:tc>
          <w:tcPr>
            <w:tcW w:w="1863" w:type="dxa"/>
          </w:tcPr>
          <w:p>
            <w:pPr>
              <w:pStyle w:val="TableParagraph"/>
              <w:spacing w:before="140"/>
              <w:ind w:left="123"/>
              <w:rPr>
                <w:sz w:val="22"/>
              </w:rPr>
            </w:pPr>
            <w:r>
              <w:rPr>
                <w:sz w:val="22"/>
              </w:rPr>
              <w:t>1/1CR(100%)</w:t>
            </w:r>
          </w:p>
        </w:tc>
      </w:tr>
      <w:tr>
        <w:trPr>
          <w:trHeight w:val="345" w:hRule="atLeast"/>
        </w:trPr>
        <w:tc>
          <w:tcPr>
            <w:tcW w:w="1562" w:type="dxa"/>
          </w:tcPr>
          <w:p>
            <w:pPr>
              <w:pStyle w:val="TableParagraph"/>
              <w:spacing w:before="35"/>
              <w:rPr>
                <w:sz w:val="22"/>
              </w:rPr>
            </w:pPr>
            <w:r>
              <w:rPr>
                <w:sz w:val="22"/>
              </w:rPr>
              <w:t>成神经细胞瘤</w:t>
            </w:r>
          </w:p>
        </w:tc>
        <w:tc>
          <w:tcPr>
            <w:tcW w:w="2435" w:type="dxa"/>
            <w:gridSpan w:val="2"/>
          </w:tcPr>
          <w:p>
            <w:pPr>
              <w:pStyle w:val="TableParagraph"/>
              <w:spacing w:before="35"/>
              <w:rPr>
                <w:sz w:val="22"/>
              </w:rPr>
            </w:pPr>
            <w:r>
              <w:rPr>
                <w:sz w:val="22"/>
              </w:rPr>
              <w:t>贝勒医学院</w:t>
            </w:r>
          </w:p>
        </w:tc>
        <w:tc>
          <w:tcPr>
            <w:tcW w:w="2419" w:type="dxa"/>
          </w:tcPr>
          <w:p>
            <w:pPr>
              <w:pStyle w:val="TableParagraph"/>
              <w:spacing w:before="35"/>
              <w:ind w:left="110"/>
              <w:rPr>
                <w:sz w:val="22"/>
              </w:rPr>
            </w:pPr>
            <w:r>
              <w:rPr>
                <w:sz w:val="22"/>
              </w:rPr>
              <w:t>GD2</w:t>
            </w:r>
          </w:p>
        </w:tc>
        <w:tc>
          <w:tcPr>
            <w:tcW w:w="1503" w:type="dxa"/>
          </w:tcPr>
          <w:p>
            <w:pPr>
              <w:pStyle w:val="TableParagraph"/>
              <w:spacing w:before="35"/>
              <w:ind w:left="109"/>
              <w:rPr>
                <w:sz w:val="22"/>
              </w:rPr>
            </w:pPr>
            <w:r>
              <w:rPr>
                <w:sz w:val="22"/>
              </w:rPr>
              <w:t>I(激活)</w:t>
            </w:r>
          </w:p>
        </w:tc>
        <w:tc>
          <w:tcPr>
            <w:tcW w:w="1863" w:type="dxa"/>
          </w:tcPr>
          <w:p>
            <w:pPr>
              <w:pStyle w:val="TableParagraph"/>
              <w:spacing w:before="35"/>
              <w:ind w:left="123"/>
              <w:rPr>
                <w:sz w:val="22"/>
              </w:rPr>
            </w:pPr>
            <w:r>
              <w:rPr>
                <w:sz w:val="22"/>
              </w:rPr>
              <w:t>2/11CR(18.1%)</w:t>
            </w:r>
          </w:p>
        </w:tc>
      </w:tr>
      <w:tr>
        <w:trPr>
          <w:trHeight w:val="555" w:hRule="atLeast"/>
        </w:trPr>
        <w:tc>
          <w:tcPr>
            <w:tcW w:w="1562" w:type="dxa"/>
          </w:tcPr>
          <w:p>
            <w:pPr>
              <w:pStyle w:val="TableParagraph"/>
              <w:spacing w:line="272" w:lineRule="exact"/>
              <w:rPr>
                <w:sz w:val="22"/>
              </w:rPr>
            </w:pPr>
            <w:r>
              <w:rPr>
                <w:sz w:val="22"/>
              </w:rPr>
              <w:t>HER2 阳性实体</w:t>
            </w:r>
          </w:p>
          <w:p>
            <w:pPr>
              <w:pStyle w:val="TableParagraph"/>
              <w:spacing w:line="260" w:lineRule="exact" w:before="3"/>
              <w:rPr>
                <w:sz w:val="22"/>
              </w:rPr>
            </w:pPr>
            <w:r>
              <w:rPr>
                <w:w w:val="102"/>
                <w:sz w:val="22"/>
              </w:rPr>
              <w:t>瘤</w:t>
            </w:r>
          </w:p>
        </w:tc>
        <w:tc>
          <w:tcPr>
            <w:tcW w:w="2435" w:type="dxa"/>
            <w:gridSpan w:val="2"/>
          </w:tcPr>
          <w:p>
            <w:pPr>
              <w:pStyle w:val="TableParagraph"/>
              <w:spacing w:before="140"/>
              <w:rPr>
                <w:sz w:val="22"/>
              </w:rPr>
            </w:pPr>
            <w:r>
              <w:rPr>
                <w:sz w:val="22"/>
              </w:rPr>
              <w:t>贝勒医学院</w:t>
            </w:r>
          </w:p>
        </w:tc>
        <w:tc>
          <w:tcPr>
            <w:tcW w:w="2419" w:type="dxa"/>
          </w:tcPr>
          <w:p>
            <w:pPr>
              <w:pStyle w:val="TableParagraph"/>
              <w:spacing w:before="140"/>
              <w:ind w:left="110"/>
              <w:rPr>
                <w:sz w:val="22"/>
              </w:rPr>
            </w:pPr>
            <w:r>
              <w:rPr>
                <w:sz w:val="22"/>
              </w:rPr>
              <w:t>HER2</w:t>
            </w:r>
          </w:p>
        </w:tc>
        <w:tc>
          <w:tcPr>
            <w:tcW w:w="1503" w:type="dxa"/>
          </w:tcPr>
          <w:p>
            <w:pPr>
              <w:pStyle w:val="TableParagraph"/>
              <w:spacing w:line="272" w:lineRule="exact"/>
              <w:ind w:left="109"/>
              <w:rPr>
                <w:sz w:val="22"/>
              </w:rPr>
            </w:pPr>
            <w:r>
              <w:rPr>
                <w:sz w:val="22"/>
              </w:rPr>
              <w:t>I/II </w:t>
            </w:r>
            <w:r>
              <w:rPr>
                <w:spacing w:val="60"/>
                <w:sz w:val="22"/>
              </w:rPr>
              <w:t>（</w:t>
            </w:r>
            <w:r>
              <w:rPr>
                <w:spacing w:val="30"/>
                <w:sz w:val="22"/>
              </w:rPr>
              <w:t>招募</w:t>
            </w:r>
            <w:r>
              <w:rPr>
                <w:spacing w:val="-50"/>
                <w:sz w:val="22"/>
              </w:rPr>
              <w:t> </w:t>
            </w:r>
          </w:p>
          <w:p>
            <w:pPr>
              <w:pStyle w:val="TableParagraph"/>
              <w:spacing w:line="260" w:lineRule="exact" w:before="3"/>
              <w:ind w:left="109"/>
              <w:rPr>
                <w:sz w:val="22"/>
              </w:rPr>
            </w:pPr>
            <w:r>
              <w:rPr>
                <w:sz w:val="22"/>
              </w:rPr>
              <w:t>中）</w:t>
            </w:r>
          </w:p>
        </w:tc>
        <w:tc>
          <w:tcPr>
            <w:tcW w:w="1863" w:type="dxa"/>
          </w:tcPr>
          <w:p>
            <w:pPr>
              <w:pStyle w:val="TableParagraph"/>
              <w:spacing w:before="140"/>
              <w:ind w:left="123"/>
              <w:rPr>
                <w:sz w:val="22"/>
              </w:rPr>
            </w:pPr>
            <w:r>
              <w:rPr>
                <w:sz w:val="22"/>
              </w:rPr>
              <w:t>3/17PR(14.3%)</w:t>
            </w:r>
          </w:p>
        </w:tc>
      </w:tr>
      <w:tr>
        <w:trPr>
          <w:trHeight w:val="571" w:hRule="atLeast"/>
        </w:trPr>
        <w:tc>
          <w:tcPr>
            <w:tcW w:w="1562" w:type="dxa"/>
          </w:tcPr>
          <w:p>
            <w:pPr>
              <w:pStyle w:val="TableParagraph"/>
              <w:spacing w:before="155"/>
              <w:rPr>
                <w:sz w:val="22"/>
              </w:rPr>
            </w:pPr>
            <w:r>
              <w:rPr>
                <w:sz w:val="22"/>
              </w:rPr>
              <w:t>乳腺癌</w:t>
            </w:r>
          </w:p>
        </w:tc>
        <w:tc>
          <w:tcPr>
            <w:tcW w:w="2435" w:type="dxa"/>
            <w:gridSpan w:val="2"/>
          </w:tcPr>
          <w:p>
            <w:pPr>
              <w:pStyle w:val="TableParagraph"/>
              <w:spacing w:before="155"/>
              <w:rPr>
                <w:sz w:val="22"/>
              </w:rPr>
            </w:pPr>
            <w:r>
              <w:rPr>
                <w:sz w:val="22"/>
              </w:rPr>
              <w:t>atara</w:t>
            </w:r>
          </w:p>
        </w:tc>
        <w:tc>
          <w:tcPr>
            <w:tcW w:w="2419" w:type="dxa"/>
          </w:tcPr>
          <w:p>
            <w:pPr>
              <w:pStyle w:val="TableParagraph"/>
              <w:spacing w:before="155"/>
              <w:ind w:left="110"/>
              <w:rPr>
                <w:sz w:val="22"/>
              </w:rPr>
            </w:pPr>
            <w:r>
              <w:rPr>
                <w:sz w:val="22"/>
              </w:rPr>
              <w:t>MSLN</w:t>
            </w:r>
          </w:p>
        </w:tc>
        <w:tc>
          <w:tcPr>
            <w:tcW w:w="1503" w:type="dxa"/>
          </w:tcPr>
          <w:p>
            <w:pPr>
              <w:pStyle w:val="TableParagraph"/>
              <w:spacing w:before="155"/>
              <w:ind w:left="109"/>
              <w:rPr>
                <w:sz w:val="22"/>
              </w:rPr>
            </w:pPr>
            <w:r>
              <w:rPr>
                <w:sz w:val="22"/>
              </w:rPr>
              <w:t>I(激活)</w:t>
            </w:r>
          </w:p>
        </w:tc>
        <w:tc>
          <w:tcPr>
            <w:tcW w:w="1863" w:type="dxa"/>
          </w:tcPr>
          <w:p>
            <w:pPr>
              <w:pStyle w:val="TableParagraph"/>
              <w:spacing w:line="280" w:lineRule="atLeast"/>
              <w:ind w:left="123" w:right="165"/>
              <w:rPr>
                <w:sz w:val="22"/>
              </w:rPr>
            </w:pPr>
            <w:r>
              <w:rPr>
                <w:sz w:val="22"/>
              </w:rPr>
              <w:t>ORR:10/16(63%) 3CR,7PR</w:t>
            </w:r>
          </w:p>
        </w:tc>
      </w:tr>
      <w:tr>
        <w:trPr>
          <w:trHeight w:val="570" w:hRule="atLeast"/>
        </w:trPr>
        <w:tc>
          <w:tcPr>
            <w:tcW w:w="1562" w:type="dxa"/>
          </w:tcPr>
          <w:p>
            <w:pPr>
              <w:pStyle w:val="TableParagraph"/>
              <w:spacing w:line="280" w:lineRule="atLeast"/>
              <w:ind w:right="50"/>
              <w:rPr>
                <w:sz w:val="22"/>
              </w:rPr>
            </w:pPr>
            <w:r>
              <w:rPr>
                <w:sz w:val="22"/>
              </w:rPr>
              <w:t>胰腺癌/ 卵巢癌/间皮瘤</w:t>
            </w:r>
          </w:p>
        </w:tc>
        <w:tc>
          <w:tcPr>
            <w:tcW w:w="2435" w:type="dxa"/>
            <w:gridSpan w:val="2"/>
          </w:tcPr>
          <w:p>
            <w:pPr>
              <w:pStyle w:val="TableParagraph"/>
              <w:spacing w:before="140"/>
              <w:rPr>
                <w:sz w:val="22"/>
              </w:rPr>
            </w:pPr>
            <w:r>
              <w:rPr>
                <w:sz w:val="22"/>
              </w:rPr>
              <w:t>诺华</w:t>
            </w:r>
          </w:p>
        </w:tc>
        <w:tc>
          <w:tcPr>
            <w:tcW w:w="2419" w:type="dxa"/>
          </w:tcPr>
          <w:p>
            <w:pPr>
              <w:pStyle w:val="TableParagraph"/>
              <w:spacing w:before="140"/>
              <w:ind w:left="110"/>
              <w:rPr>
                <w:sz w:val="22"/>
              </w:rPr>
            </w:pPr>
            <w:r>
              <w:rPr>
                <w:sz w:val="22"/>
              </w:rPr>
              <w:t>BCMA</w:t>
            </w:r>
          </w:p>
        </w:tc>
        <w:tc>
          <w:tcPr>
            <w:tcW w:w="1503" w:type="dxa"/>
          </w:tcPr>
          <w:p>
            <w:pPr>
              <w:pStyle w:val="TableParagraph"/>
              <w:spacing w:before="140"/>
              <w:ind w:left="109"/>
              <w:rPr>
                <w:sz w:val="22"/>
              </w:rPr>
            </w:pPr>
            <w:r>
              <w:rPr>
                <w:sz w:val="22"/>
              </w:rPr>
              <w:t>I（招募中）</w:t>
            </w:r>
          </w:p>
        </w:tc>
        <w:tc>
          <w:tcPr>
            <w:tcW w:w="1863" w:type="dxa"/>
          </w:tcPr>
          <w:p>
            <w:pPr>
              <w:pStyle w:val="TableParagraph"/>
              <w:spacing w:before="140"/>
              <w:ind w:left="123"/>
              <w:rPr>
                <w:sz w:val="22"/>
              </w:rPr>
            </w:pPr>
            <w:r>
              <w:rPr>
                <w:w w:val="102"/>
                <w:sz w:val="22"/>
              </w:rPr>
              <w:t>/</w:t>
            </w:r>
          </w:p>
        </w:tc>
      </w:tr>
      <w:tr>
        <w:trPr>
          <w:trHeight w:val="330" w:hRule="atLeast"/>
        </w:trPr>
        <w:tc>
          <w:tcPr>
            <w:tcW w:w="1562" w:type="dxa"/>
          </w:tcPr>
          <w:p>
            <w:pPr>
              <w:pStyle w:val="TableParagraph"/>
              <w:spacing w:before="20"/>
              <w:rPr>
                <w:sz w:val="22"/>
              </w:rPr>
            </w:pPr>
            <w:r>
              <w:rPr>
                <w:sz w:val="22"/>
              </w:rPr>
              <w:t>非小细胞肺癌</w:t>
            </w:r>
          </w:p>
        </w:tc>
        <w:tc>
          <w:tcPr>
            <w:tcW w:w="2435" w:type="dxa"/>
            <w:gridSpan w:val="2"/>
          </w:tcPr>
          <w:p>
            <w:pPr>
              <w:pStyle w:val="TableParagraph"/>
              <w:spacing w:before="20"/>
              <w:rPr>
                <w:sz w:val="22"/>
              </w:rPr>
            </w:pPr>
            <w:r>
              <w:rPr>
                <w:sz w:val="22"/>
              </w:rPr>
              <w:t>Allogeneic</w:t>
            </w:r>
          </w:p>
        </w:tc>
        <w:tc>
          <w:tcPr>
            <w:tcW w:w="2419" w:type="dxa"/>
          </w:tcPr>
          <w:p>
            <w:pPr>
              <w:pStyle w:val="TableParagraph"/>
              <w:spacing w:before="20"/>
              <w:ind w:left="110"/>
              <w:rPr>
                <w:sz w:val="22"/>
              </w:rPr>
            </w:pPr>
            <w:r>
              <w:rPr>
                <w:sz w:val="22"/>
              </w:rPr>
              <w:t>DLL3</w:t>
            </w:r>
          </w:p>
        </w:tc>
        <w:tc>
          <w:tcPr>
            <w:tcW w:w="1503" w:type="dxa"/>
          </w:tcPr>
          <w:p>
            <w:pPr>
              <w:pStyle w:val="TableParagraph"/>
              <w:spacing w:before="20"/>
              <w:ind w:left="109"/>
              <w:rPr>
                <w:sz w:val="22"/>
              </w:rPr>
            </w:pPr>
            <w:r>
              <w:rPr>
                <w:sz w:val="22"/>
              </w:rPr>
              <w:t>临床前</w:t>
            </w:r>
          </w:p>
        </w:tc>
        <w:tc>
          <w:tcPr>
            <w:tcW w:w="1863" w:type="dxa"/>
          </w:tcPr>
          <w:p>
            <w:pPr>
              <w:pStyle w:val="TableParagraph"/>
              <w:spacing w:before="20"/>
              <w:ind w:left="123"/>
              <w:rPr>
                <w:sz w:val="22"/>
              </w:rPr>
            </w:pPr>
            <w:r>
              <w:rPr>
                <w:w w:val="102"/>
                <w:sz w:val="22"/>
              </w:rPr>
              <w:t>/</w:t>
            </w:r>
          </w:p>
        </w:tc>
      </w:tr>
      <w:tr>
        <w:trPr>
          <w:trHeight w:val="345" w:hRule="atLeast"/>
        </w:trPr>
        <w:tc>
          <w:tcPr>
            <w:tcW w:w="1562" w:type="dxa"/>
          </w:tcPr>
          <w:p>
            <w:pPr>
              <w:pStyle w:val="TableParagraph"/>
              <w:spacing w:before="35"/>
              <w:rPr>
                <w:sz w:val="22"/>
              </w:rPr>
            </w:pPr>
            <w:r>
              <w:rPr>
                <w:sz w:val="22"/>
              </w:rPr>
              <w:t>实体瘤</w:t>
            </w:r>
          </w:p>
        </w:tc>
        <w:tc>
          <w:tcPr>
            <w:tcW w:w="2435" w:type="dxa"/>
            <w:gridSpan w:val="2"/>
          </w:tcPr>
          <w:p>
            <w:pPr>
              <w:pStyle w:val="TableParagraph"/>
              <w:spacing w:before="35"/>
              <w:rPr>
                <w:sz w:val="22"/>
              </w:rPr>
            </w:pPr>
            <w:r>
              <w:rPr>
                <w:sz w:val="22"/>
              </w:rPr>
              <w:t>Bluebirdbio</w:t>
            </w:r>
          </w:p>
        </w:tc>
        <w:tc>
          <w:tcPr>
            <w:tcW w:w="2419" w:type="dxa"/>
          </w:tcPr>
          <w:p>
            <w:pPr>
              <w:pStyle w:val="TableParagraph"/>
              <w:spacing w:before="35"/>
              <w:ind w:left="110"/>
              <w:rPr>
                <w:sz w:val="22"/>
              </w:rPr>
            </w:pPr>
            <w:r>
              <w:rPr>
                <w:sz w:val="22"/>
              </w:rPr>
              <w:t>未公布</w:t>
            </w:r>
          </w:p>
        </w:tc>
        <w:tc>
          <w:tcPr>
            <w:tcW w:w="1503" w:type="dxa"/>
          </w:tcPr>
          <w:p>
            <w:pPr>
              <w:pStyle w:val="TableParagraph"/>
              <w:spacing w:before="35"/>
              <w:ind w:left="109"/>
              <w:rPr>
                <w:sz w:val="22"/>
              </w:rPr>
            </w:pPr>
            <w:r>
              <w:rPr>
                <w:sz w:val="22"/>
              </w:rPr>
              <w:t>临床前</w:t>
            </w:r>
          </w:p>
        </w:tc>
        <w:tc>
          <w:tcPr>
            <w:tcW w:w="1863" w:type="dxa"/>
          </w:tcPr>
          <w:p>
            <w:pPr>
              <w:pStyle w:val="TableParagraph"/>
              <w:spacing w:before="35"/>
              <w:ind w:left="123"/>
              <w:rPr>
                <w:sz w:val="22"/>
              </w:rPr>
            </w:pPr>
            <w:r>
              <w:rPr>
                <w:w w:val="102"/>
                <w:sz w:val="22"/>
              </w:rPr>
              <w:t>/</w:t>
            </w:r>
          </w:p>
        </w:tc>
      </w:tr>
      <w:tr>
        <w:trPr>
          <w:trHeight w:val="555" w:hRule="atLeast"/>
        </w:trPr>
        <w:tc>
          <w:tcPr>
            <w:tcW w:w="1562" w:type="dxa"/>
          </w:tcPr>
          <w:p>
            <w:pPr>
              <w:pStyle w:val="TableParagraph"/>
              <w:spacing w:line="272" w:lineRule="exact"/>
              <w:rPr>
                <w:sz w:val="22"/>
              </w:rPr>
            </w:pPr>
            <w:r>
              <w:rPr>
                <w:sz w:val="22"/>
              </w:rPr>
              <w:t>多形性胶质母</w:t>
            </w:r>
          </w:p>
          <w:p>
            <w:pPr>
              <w:pStyle w:val="TableParagraph"/>
              <w:spacing w:line="260" w:lineRule="exact" w:before="3"/>
              <w:rPr>
                <w:sz w:val="22"/>
              </w:rPr>
            </w:pPr>
            <w:r>
              <w:rPr>
                <w:sz w:val="22"/>
              </w:rPr>
              <w:t>细胞瘤</w:t>
            </w:r>
          </w:p>
        </w:tc>
        <w:tc>
          <w:tcPr>
            <w:tcW w:w="2435" w:type="dxa"/>
            <w:gridSpan w:val="2"/>
          </w:tcPr>
          <w:p>
            <w:pPr>
              <w:pStyle w:val="TableParagraph"/>
              <w:spacing w:line="272" w:lineRule="exact"/>
              <w:rPr>
                <w:sz w:val="22"/>
              </w:rPr>
            </w:pPr>
            <w:r>
              <w:rPr>
                <w:sz w:val="22"/>
              </w:rPr>
              <w:t>贝勒医学院/循道卫理</w:t>
            </w:r>
          </w:p>
          <w:p>
            <w:pPr>
              <w:pStyle w:val="TableParagraph"/>
              <w:spacing w:line="260" w:lineRule="exact" w:before="3"/>
              <w:rPr>
                <w:sz w:val="22"/>
              </w:rPr>
            </w:pPr>
            <w:r>
              <w:rPr>
                <w:sz w:val="22"/>
              </w:rPr>
              <w:t>医院系统</w:t>
            </w:r>
          </w:p>
        </w:tc>
        <w:tc>
          <w:tcPr>
            <w:tcW w:w="2419" w:type="dxa"/>
          </w:tcPr>
          <w:p>
            <w:pPr>
              <w:pStyle w:val="TableParagraph"/>
              <w:spacing w:before="140"/>
              <w:ind w:left="110"/>
              <w:rPr>
                <w:sz w:val="22"/>
              </w:rPr>
            </w:pPr>
            <w:r>
              <w:rPr>
                <w:sz w:val="22"/>
              </w:rPr>
              <w:t>HER2/CMV</w:t>
            </w:r>
          </w:p>
        </w:tc>
        <w:tc>
          <w:tcPr>
            <w:tcW w:w="1503" w:type="dxa"/>
          </w:tcPr>
          <w:p>
            <w:pPr>
              <w:pStyle w:val="TableParagraph"/>
              <w:spacing w:before="140"/>
              <w:ind w:left="109"/>
              <w:rPr>
                <w:sz w:val="22"/>
              </w:rPr>
            </w:pPr>
            <w:r>
              <w:rPr>
                <w:sz w:val="22"/>
              </w:rPr>
              <w:t>I（完成）</w:t>
            </w:r>
          </w:p>
        </w:tc>
        <w:tc>
          <w:tcPr>
            <w:tcW w:w="1863" w:type="dxa"/>
          </w:tcPr>
          <w:p>
            <w:pPr>
              <w:pStyle w:val="TableParagraph"/>
              <w:spacing w:before="140"/>
              <w:ind w:left="123"/>
              <w:rPr>
                <w:sz w:val="22"/>
              </w:rPr>
            </w:pPr>
            <w:r>
              <w:rPr>
                <w:sz w:val="22"/>
              </w:rPr>
              <w:t>1/17PR &amp; 7/17SD</w:t>
            </w:r>
          </w:p>
        </w:tc>
      </w:tr>
      <w:tr>
        <w:trPr>
          <w:trHeight w:val="570" w:hRule="atLeast"/>
        </w:trPr>
        <w:tc>
          <w:tcPr>
            <w:tcW w:w="1562" w:type="dxa"/>
          </w:tcPr>
          <w:p>
            <w:pPr>
              <w:pStyle w:val="TableParagraph"/>
              <w:spacing w:before="140"/>
              <w:rPr>
                <w:sz w:val="22"/>
              </w:rPr>
            </w:pPr>
            <w:r>
              <w:rPr>
                <w:sz w:val="22"/>
              </w:rPr>
              <w:t>肉瘤</w:t>
            </w:r>
          </w:p>
        </w:tc>
        <w:tc>
          <w:tcPr>
            <w:tcW w:w="2435" w:type="dxa"/>
            <w:gridSpan w:val="2"/>
          </w:tcPr>
          <w:p>
            <w:pPr>
              <w:pStyle w:val="TableParagraph"/>
              <w:spacing w:line="280" w:lineRule="atLeast"/>
              <w:ind w:right="83"/>
              <w:rPr>
                <w:sz w:val="22"/>
              </w:rPr>
            </w:pPr>
            <w:r>
              <w:rPr>
                <w:sz w:val="22"/>
              </w:rPr>
              <w:t>贝勒医学院/循道卫理医院系统</w:t>
            </w:r>
          </w:p>
        </w:tc>
        <w:tc>
          <w:tcPr>
            <w:tcW w:w="2419" w:type="dxa"/>
          </w:tcPr>
          <w:p>
            <w:pPr>
              <w:pStyle w:val="TableParagraph"/>
              <w:spacing w:before="140"/>
              <w:ind w:left="110"/>
              <w:rPr>
                <w:sz w:val="22"/>
              </w:rPr>
            </w:pPr>
            <w:r>
              <w:rPr>
                <w:sz w:val="22"/>
              </w:rPr>
              <w:t>HER2</w:t>
            </w:r>
          </w:p>
        </w:tc>
        <w:tc>
          <w:tcPr>
            <w:tcW w:w="1503" w:type="dxa"/>
          </w:tcPr>
          <w:p>
            <w:pPr>
              <w:pStyle w:val="TableParagraph"/>
              <w:spacing w:before="140"/>
              <w:ind w:left="109"/>
              <w:rPr>
                <w:sz w:val="22"/>
              </w:rPr>
            </w:pPr>
            <w:r>
              <w:rPr>
                <w:sz w:val="22"/>
              </w:rPr>
              <w:t>I（激活）</w:t>
            </w:r>
          </w:p>
        </w:tc>
        <w:tc>
          <w:tcPr>
            <w:tcW w:w="1863" w:type="dxa"/>
          </w:tcPr>
          <w:p>
            <w:pPr>
              <w:pStyle w:val="TableParagraph"/>
              <w:spacing w:before="140"/>
              <w:ind w:left="123"/>
              <w:rPr>
                <w:sz w:val="22"/>
              </w:rPr>
            </w:pPr>
            <w:r>
              <w:rPr>
                <w:sz w:val="22"/>
              </w:rPr>
              <w:t>4/17 SD</w:t>
            </w:r>
          </w:p>
        </w:tc>
      </w:tr>
      <w:tr>
        <w:trPr>
          <w:trHeight w:val="570" w:hRule="atLeast"/>
        </w:trPr>
        <w:tc>
          <w:tcPr>
            <w:tcW w:w="1562" w:type="dxa"/>
          </w:tcPr>
          <w:p>
            <w:pPr>
              <w:pStyle w:val="TableParagraph"/>
              <w:spacing w:line="280" w:lineRule="atLeast"/>
              <w:ind w:right="65"/>
              <w:rPr>
                <w:sz w:val="22"/>
              </w:rPr>
            </w:pPr>
            <w:r>
              <w:rPr>
                <w:sz w:val="22"/>
              </w:rPr>
              <w:t>晚期肝癌恶性肿瘤</w:t>
            </w:r>
          </w:p>
        </w:tc>
        <w:tc>
          <w:tcPr>
            <w:tcW w:w="2435" w:type="dxa"/>
            <w:gridSpan w:val="2"/>
          </w:tcPr>
          <w:p>
            <w:pPr>
              <w:pStyle w:val="TableParagraph"/>
              <w:spacing w:line="280" w:lineRule="atLeast"/>
              <w:ind w:right="88"/>
              <w:rPr>
                <w:sz w:val="22"/>
              </w:rPr>
            </w:pPr>
            <w:r>
              <w:rPr>
                <w:sz w:val="22"/>
              </w:rPr>
              <w:t>仁 济 医 院 /Carsgen Therapeutics，Ltd.</w:t>
            </w:r>
          </w:p>
        </w:tc>
        <w:tc>
          <w:tcPr>
            <w:tcW w:w="2419" w:type="dxa"/>
          </w:tcPr>
          <w:p>
            <w:pPr>
              <w:pStyle w:val="TableParagraph"/>
              <w:spacing w:before="140"/>
              <w:ind w:left="110"/>
              <w:rPr>
                <w:sz w:val="22"/>
              </w:rPr>
            </w:pPr>
            <w:r>
              <w:rPr>
                <w:sz w:val="22"/>
              </w:rPr>
              <w:t>GPC3</w:t>
            </w:r>
          </w:p>
        </w:tc>
        <w:tc>
          <w:tcPr>
            <w:tcW w:w="1503" w:type="dxa"/>
          </w:tcPr>
          <w:p>
            <w:pPr>
              <w:pStyle w:val="TableParagraph"/>
              <w:spacing w:before="140"/>
              <w:ind w:left="109"/>
              <w:rPr>
                <w:sz w:val="22"/>
              </w:rPr>
            </w:pPr>
            <w:r>
              <w:rPr>
                <w:sz w:val="22"/>
              </w:rPr>
              <w:t>未应用</w:t>
            </w:r>
          </w:p>
        </w:tc>
        <w:tc>
          <w:tcPr>
            <w:tcW w:w="1863" w:type="dxa"/>
          </w:tcPr>
          <w:p>
            <w:pPr>
              <w:pStyle w:val="TableParagraph"/>
              <w:spacing w:before="140"/>
              <w:ind w:left="123"/>
              <w:rPr>
                <w:sz w:val="22"/>
              </w:rPr>
            </w:pPr>
            <w:r>
              <w:rPr>
                <w:sz w:val="22"/>
              </w:rPr>
              <w:t>1PR 3SD/13</w:t>
            </w:r>
          </w:p>
        </w:tc>
      </w:tr>
      <w:tr>
        <w:trPr>
          <w:trHeight w:val="555" w:hRule="atLeast"/>
        </w:trPr>
        <w:tc>
          <w:tcPr>
            <w:tcW w:w="1562" w:type="dxa"/>
          </w:tcPr>
          <w:p>
            <w:pPr>
              <w:pStyle w:val="TableParagraph"/>
              <w:spacing w:before="140"/>
              <w:rPr>
                <w:sz w:val="22"/>
              </w:rPr>
            </w:pPr>
            <w:r>
              <w:rPr>
                <w:sz w:val="22"/>
              </w:rPr>
              <w:t>转移性大肠癌</w:t>
            </w:r>
          </w:p>
        </w:tc>
        <w:tc>
          <w:tcPr>
            <w:tcW w:w="2435" w:type="dxa"/>
            <w:gridSpan w:val="2"/>
          </w:tcPr>
          <w:p>
            <w:pPr>
              <w:pStyle w:val="TableParagraph"/>
              <w:spacing w:line="272" w:lineRule="exact"/>
              <w:rPr>
                <w:sz w:val="22"/>
              </w:rPr>
            </w:pPr>
            <w:r>
              <w:rPr>
                <w:sz w:val="22"/>
              </w:rPr>
              <w:t>上海基因化学有限公司</w:t>
            </w:r>
          </w:p>
          <w:p>
            <w:pPr>
              <w:pStyle w:val="TableParagraph"/>
              <w:spacing w:line="260" w:lineRule="exact" w:before="3"/>
              <w:rPr>
                <w:sz w:val="22"/>
              </w:rPr>
            </w:pPr>
            <w:r>
              <w:rPr>
                <w:sz w:val="22"/>
              </w:rPr>
              <w:t>/中国上海市肿瘤医院</w:t>
            </w:r>
          </w:p>
        </w:tc>
        <w:tc>
          <w:tcPr>
            <w:tcW w:w="2419" w:type="dxa"/>
          </w:tcPr>
          <w:p>
            <w:pPr>
              <w:pStyle w:val="TableParagraph"/>
              <w:spacing w:before="140"/>
              <w:ind w:left="110"/>
              <w:rPr>
                <w:sz w:val="22"/>
              </w:rPr>
            </w:pPr>
            <w:r>
              <w:rPr>
                <w:sz w:val="22"/>
              </w:rPr>
              <w:t>CEA</w:t>
            </w:r>
          </w:p>
        </w:tc>
        <w:tc>
          <w:tcPr>
            <w:tcW w:w="1503" w:type="dxa"/>
          </w:tcPr>
          <w:p>
            <w:pPr>
              <w:pStyle w:val="TableParagraph"/>
              <w:spacing w:line="272" w:lineRule="exact"/>
              <w:ind w:left="109"/>
              <w:rPr>
                <w:sz w:val="22"/>
              </w:rPr>
            </w:pPr>
            <w:r>
              <w:rPr>
                <w:sz w:val="22"/>
              </w:rPr>
              <w:t>I/II </w:t>
            </w:r>
            <w:r>
              <w:rPr>
                <w:spacing w:val="60"/>
                <w:sz w:val="22"/>
              </w:rPr>
              <w:t>（</w:t>
            </w:r>
            <w:r>
              <w:rPr>
                <w:spacing w:val="30"/>
                <w:sz w:val="22"/>
              </w:rPr>
              <w:t>招募</w:t>
            </w:r>
            <w:r>
              <w:rPr>
                <w:spacing w:val="-50"/>
                <w:sz w:val="22"/>
              </w:rPr>
              <w:t> </w:t>
            </w:r>
          </w:p>
          <w:p>
            <w:pPr>
              <w:pStyle w:val="TableParagraph"/>
              <w:spacing w:line="260" w:lineRule="exact" w:before="3"/>
              <w:ind w:left="109"/>
              <w:rPr>
                <w:sz w:val="22"/>
              </w:rPr>
            </w:pPr>
            <w:r>
              <w:rPr>
                <w:sz w:val="22"/>
              </w:rPr>
              <w:t>中）</w:t>
            </w:r>
          </w:p>
        </w:tc>
        <w:tc>
          <w:tcPr>
            <w:tcW w:w="1863" w:type="dxa"/>
          </w:tcPr>
          <w:p>
            <w:pPr>
              <w:pStyle w:val="TableParagraph"/>
              <w:spacing w:before="140"/>
              <w:ind w:left="123"/>
              <w:rPr>
                <w:sz w:val="22"/>
              </w:rPr>
            </w:pPr>
            <w:r>
              <w:rPr>
                <w:sz w:val="22"/>
              </w:rPr>
              <w:t>2/10SD</w:t>
            </w:r>
          </w:p>
        </w:tc>
      </w:tr>
      <w:tr>
        <w:trPr>
          <w:trHeight w:val="570" w:hRule="atLeast"/>
        </w:trPr>
        <w:tc>
          <w:tcPr>
            <w:tcW w:w="1562" w:type="dxa"/>
          </w:tcPr>
          <w:p>
            <w:pPr>
              <w:pStyle w:val="TableParagraph"/>
              <w:spacing w:line="280" w:lineRule="atLeast"/>
              <w:ind w:right="65"/>
              <w:rPr>
                <w:sz w:val="22"/>
              </w:rPr>
            </w:pPr>
            <w:r>
              <w:rPr>
                <w:sz w:val="22"/>
              </w:rPr>
              <w:t>多形性胶质母细胞瘤</w:t>
            </w:r>
          </w:p>
        </w:tc>
        <w:tc>
          <w:tcPr>
            <w:tcW w:w="2435" w:type="dxa"/>
            <w:gridSpan w:val="2"/>
          </w:tcPr>
          <w:p>
            <w:pPr>
              <w:pStyle w:val="TableParagraph"/>
              <w:spacing w:line="280" w:lineRule="atLeast"/>
              <w:ind w:right="84"/>
              <w:rPr>
                <w:sz w:val="22"/>
              </w:rPr>
            </w:pPr>
            <w:r>
              <w:rPr>
                <w:sz w:val="22"/>
              </w:rPr>
              <w:t>希望之城医疗中心/国立癌症研究所（NCI）</w:t>
            </w:r>
          </w:p>
        </w:tc>
        <w:tc>
          <w:tcPr>
            <w:tcW w:w="2419" w:type="dxa"/>
          </w:tcPr>
          <w:p>
            <w:pPr>
              <w:pStyle w:val="TableParagraph"/>
              <w:spacing w:before="155"/>
              <w:ind w:left="110"/>
              <w:rPr>
                <w:sz w:val="22"/>
              </w:rPr>
            </w:pPr>
            <w:r>
              <w:rPr>
                <w:sz w:val="22"/>
              </w:rPr>
              <w:t>IL13Ra2</w:t>
            </w:r>
          </w:p>
        </w:tc>
        <w:tc>
          <w:tcPr>
            <w:tcW w:w="1503" w:type="dxa"/>
          </w:tcPr>
          <w:p>
            <w:pPr>
              <w:pStyle w:val="TableParagraph"/>
              <w:spacing w:before="155"/>
              <w:ind w:left="109"/>
              <w:rPr>
                <w:sz w:val="22"/>
              </w:rPr>
            </w:pPr>
            <w:r>
              <w:rPr>
                <w:sz w:val="22"/>
              </w:rPr>
              <w:t>I（招募中）</w:t>
            </w:r>
          </w:p>
        </w:tc>
        <w:tc>
          <w:tcPr>
            <w:tcW w:w="1863" w:type="dxa"/>
          </w:tcPr>
          <w:p>
            <w:pPr>
              <w:pStyle w:val="TableParagraph"/>
              <w:spacing w:line="280" w:lineRule="atLeast"/>
              <w:ind w:left="123" w:right="63"/>
              <w:rPr>
                <w:sz w:val="22"/>
              </w:rPr>
            </w:pPr>
            <w:r>
              <w:rPr>
                <w:sz w:val="22"/>
              </w:rPr>
              <w:t>2/3 短期反应，1 例极大缓解</w:t>
            </w:r>
          </w:p>
        </w:tc>
      </w:tr>
      <w:tr>
        <w:trPr>
          <w:trHeight w:val="330" w:hRule="atLeast"/>
        </w:trPr>
        <w:tc>
          <w:tcPr>
            <w:tcW w:w="1562" w:type="dxa"/>
          </w:tcPr>
          <w:p>
            <w:pPr>
              <w:pStyle w:val="TableParagraph"/>
              <w:spacing w:line="275" w:lineRule="exact" w:before="35"/>
              <w:rPr>
                <w:sz w:val="22"/>
              </w:rPr>
            </w:pPr>
            <w:r>
              <w:rPr>
                <w:sz w:val="22"/>
              </w:rPr>
              <w:t>实体恶性肿瘤</w:t>
            </w:r>
          </w:p>
        </w:tc>
        <w:tc>
          <w:tcPr>
            <w:tcW w:w="2435" w:type="dxa"/>
            <w:gridSpan w:val="2"/>
          </w:tcPr>
          <w:p>
            <w:pPr>
              <w:pStyle w:val="TableParagraph"/>
              <w:spacing w:line="275" w:lineRule="exact" w:before="35"/>
              <w:rPr>
                <w:sz w:val="22"/>
              </w:rPr>
            </w:pPr>
            <w:r>
              <w:rPr>
                <w:sz w:val="22"/>
              </w:rPr>
              <w:t>宾夕法尼亚大学</w:t>
            </w:r>
          </w:p>
        </w:tc>
        <w:tc>
          <w:tcPr>
            <w:tcW w:w="2419" w:type="dxa"/>
          </w:tcPr>
          <w:p>
            <w:pPr>
              <w:pStyle w:val="TableParagraph"/>
              <w:spacing w:line="275" w:lineRule="exact" w:before="35"/>
              <w:ind w:left="110"/>
              <w:rPr>
                <w:sz w:val="22"/>
              </w:rPr>
            </w:pPr>
            <w:r>
              <w:rPr>
                <w:sz w:val="22"/>
              </w:rPr>
              <w:t>mesothelin(MSLN)</w:t>
            </w:r>
          </w:p>
        </w:tc>
        <w:tc>
          <w:tcPr>
            <w:tcW w:w="1503" w:type="dxa"/>
          </w:tcPr>
          <w:p>
            <w:pPr>
              <w:pStyle w:val="TableParagraph"/>
              <w:spacing w:line="275" w:lineRule="exact" w:before="35"/>
              <w:ind w:left="109"/>
              <w:rPr>
                <w:sz w:val="22"/>
              </w:rPr>
            </w:pPr>
            <w:r>
              <w:rPr>
                <w:sz w:val="22"/>
              </w:rPr>
              <w:t>I（完成）</w:t>
            </w:r>
          </w:p>
        </w:tc>
        <w:tc>
          <w:tcPr>
            <w:tcW w:w="1863" w:type="dxa"/>
          </w:tcPr>
          <w:p>
            <w:pPr>
              <w:pStyle w:val="TableParagraph"/>
              <w:spacing w:line="275" w:lineRule="exact" w:before="35"/>
              <w:ind w:left="123"/>
              <w:rPr>
                <w:sz w:val="22"/>
              </w:rPr>
            </w:pPr>
            <w:r>
              <w:rPr>
                <w:sz w:val="22"/>
              </w:rPr>
              <w:t>0/6</w:t>
            </w:r>
          </w:p>
        </w:tc>
      </w:tr>
      <w:tr>
        <w:trPr>
          <w:trHeight w:val="570" w:hRule="atLeast"/>
        </w:trPr>
        <w:tc>
          <w:tcPr>
            <w:tcW w:w="1562" w:type="dxa"/>
          </w:tcPr>
          <w:p>
            <w:pPr>
              <w:pStyle w:val="TableParagraph"/>
              <w:spacing w:before="155"/>
              <w:rPr>
                <w:sz w:val="22"/>
              </w:rPr>
            </w:pPr>
            <w:r>
              <w:rPr>
                <w:sz w:val="22"/>
              </w:rPr>
              <w:t>神经胶质瘤</w:t>
            </w:r>
          </w:p>
        </w:tc>
        <w:tc>
          <w:tcPr>
            <w:tcW w:w="2435" w:type="dxa"/>
            <w:gridSpan w:val="2"/>
          </w:tcPr>
          <w:p>
            <w:pPr>
              <w:pStyle w:val="TableParagraph"/>
              <w:spacing w:line="280" w:lineRule="atLeast"/>
              <w:ind w:right="82"/>
              <w:rPr>
                <w:sz w:val="22"/>
              </w:rPr>
            </w:pPr>
            <w:r>
              <w:rPr>
                <w:spacing w:val="-4"/>
                <w:sz w:val="22"/>
              </w:rPr>
              <w:t>西雅图儿童医院</w:t>
            </w:r>
            <w:r>
              <w:rPr>
                <w:spacing w:val="-8"/>
                <w:sz w:val="22"/>
              </w:rPr>
              <w:t>/</w:t>
            </w:r>
            <w:r>
              <w:rPr>
                <w:sz w:val="22"/>
              </w:rPr>
              <w:t>本</w:t>
            </w:r>
            <w:r>
              <w:rPr>
                <w:spacing w:val="-120"/>
                <w:sz w:val="22"/>
              </w:rPr>
              <w:t>·</w:t>
            </w:r>
            <w:r>
              <w:rPr>
                <w:spacing w:val="-14"/>
                <w:sz w:val="22"/>
              </w:rPr>
              <w:t>汤</w:t>
            </w:r>
            <w:r>
              <w:rPr>
                <w:spacing w:val="-2"/>
                <w:sz w:val="22"/>
              </w:rPr>
              <w:t>恩儿童癌症研究中心</w:t>
            </w:r>
          </w:p>
        </w:tc>
        <w:tc>
          <w:tcPr>
            <w:tcW w:w="2419" w:type="dxa"/>
          </w:tcPr>
          <w:p>
            <w:pPr>
              <w:pStyle w:val="TableParagraph"/>
              <w:spacing w:before="155"/>
              <w:ind w:left="110"/>
              <w:rPr>
                <w:sz w:val="22"/>
              </w:rPr>
            </w:pPr>
            <w:r>
              <w:rPr>
                <w:sz w:val="22"/>
              </w:rPr>
              <w:t>CD171</w:t>
            </w:r>
          </w:p>
        </w:tc>
        <w:tc>
          <w:tcPr>
            <w:tcW w:w="1503" w:type="dxa"/>
          </w:tcPr>
          <w:p>
            <w:pPr>
              <w:pStyle w:val="TableParagraph"/>
              <w:spacing w:before="155"/>
              <w:ind w:left="109"/>
              <w:rPr>
                <w:sz w:val="22"/>
              </w:rPr>
            </w:pPr>
            <w:r>
              <w:rPr>
                <w:sz w:val="22"/>
              </w:rPr>
              <w:t>I（招募中）</w:t>
            </w:r>
          </w:p>
        </w:tc>
        <w:tc>
          <w:tcPr>
            <w:tcW w:w="1863" w:type="dxa"/>
          </w:tcPr>
          <w:p>
            <w:pPr>
              <w:pStyle w:val="TableParagraph"/>
              <w:spacing w:before="155"/>
              <w:ind w:left="123"/>
              <w:rPr>
                <w:sz w:val="22"/>
              </w:rPr>
            </w:pPr>
            <w:r>
              <w:rPr>
                <w:sz w:val="22"/>
              </w:rPr>
              <w:t>1/6PR</w:t>
            </w:r>
          </w:p>
        </w:tc>
      </w:tr>
    </w:tbl>
    <w:p>
      <w:pPr>
        <w:spacing w:before="60"/>
        <w:ind w:left="896" w:right="0" w:firstLine="0"/>
        <w:jc w:val="left"/>
        <w:rPr>
          <w:b/>
          <w:sz w:val="15"/>
        </w:rPr>
      </w:pPr>
      <w:r>
        <w:rPr>
          <w:b/>
          <w:spacing w:val="8"/>
          <w:sz w:val="15"/>
        </w:rPr>
        <w:t>数据来源：</w:t>
      </w:r>
      <w:r>
        <w:rPr>
          <w:b/>
          <w:sz w:val="15"/>
        </w:rPr>
        <w:t>clinica</w:t>
      </w:r>
      <w:r>
        <w:rPr>
          <w:b/>
          <w:spacing w:val="-62"/>
          <w:sz w:val="15"/>
        </w:rPr>
        <w:t> </w:t>
      </w:r>
      <w:r>
        <w:rPr>
          <w:b/>
          <w:sz w:val="15"/>
        </w:rPr>
        <w:t>l t</w:t>
      </w:r>
      <w:r>
        <w:rPr>
          <w:b/>
          <w:spacing w:val="-61"/>
          <w:sz w:val="15"/>
        </w:rPr>
        <w:t> </w:t>
      </w:r>
      <w:r>
        <w:rPr>
          <w:b/>
          <w:sz w:val="15"/>
        </w:rPr>
        <w:t>rials，财通证券研究所</w:t>
      </w:r>
    </w:p>
    <w:p>
      <w:pPr>
        <w:spacing w:after="0"/>
        <w:jc w:val="left"/>
        <w:rPr>
          <w:sz w:val="15"/>
        </w:rPr>
        <w:sectPr>
          <w:pgSz w:w="11910" w:h="16850"/>
          <w:pgMar w:header="796" w:footer="1296" w:top="1340" w:bottom="1480" w:left="260" w:right="300"/>
        </w:sectPr>
      </w:pPr>
    </w:p>
    <w:p>
      <w:pPr>
        <w:pStyle w:val="BodyText"/>
        <w:spacing w:before="1"/>
        <w:rPr>
          <w:b/>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rPr>
          <w:b/>
          <w:sz w:val="20"/>
        </w:rPr>
      </w:pPr>
    </w:p>
    <w:p>
      <w:pPr>
        <w:pStyle w:val="BodyText"/>
        <w:spacing w:before="6"/>
        <w:rPr>
          <w:b/>
          <w:sz w:val="15"/>
        </w:rPr>
      </w:pPr>
    </w:p>
    <w:p>
      <w:pPr>
        <w:pStyle w:val="BodyText"/>
        <w:spacing w:line="328" w:lineRule="auto" w:before="71"/>
        <w:ind w:left="3164" w:right="656"/>
      </w:pPr>
      <w:r>
        <w:rPr>
          <w:spacing w:val="-10"/>
        </w:rPr>
        <w:t>同时，还有一些极具潜力的新靶点新机制有望助力 </w:t>
      </w:r>
      <w:r>
        <w:rPr/>
        <w:t>Car-T</w:t>
      </w:r>
      <w:r>
        <w:rPr>
          <w:spacing w:val="-16"/>
        </w:rPr>
        <w:t> 攻克实体瘤，未来 </w:t>
      </w:r>
      <w:r>
        <w:rPr/>
        <w:t>CART </w:t>
      </w:r>
      <w:r>
        <w:rPr>
          <w:spacing w:val="-7"/>
        </w:rPr>
        <w:t>技术在实体瘤方面的治疗效果值得期待；利用 </w:t>
      </w:r>
      <w:r>
        <w:rPr/>
        <w:t>CAR-T</w:t>
      </w:r>
      <w:r>
        <w:rPr>
          <w:spacing w:val="-7"/>
        </w:rPr>
        <w:t> 疗法进行术后循环系统治疗， 最终达到预防肿瘤转移或复发的效果也是一个充满希望和挑战的领域。</w:t>
      </w:r>
    </w:p>
    <w:p>
      <w:pPr>
        <w:pStyle w:val="BodyText"/>
        <w:spacing w:before="12"/>
        <w:rPr>
          <w:sz w:val="17"/>
        </w:rPr>
      </w:pPr>
    </w:p>
    <w:tbl>
      <w:tblPr>
        <w:tblW w:w="0" w:type="auto"/>
        <w:jc w:val="left"/>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31"/>
        <w:gridCol w:w="2388"/>
        <w:gridCol w:w="2718"/>
        <w:gridCol w:w="3739"/>
      </w:tblGrid>
      <w:tr>
        <w:trPr>
          <w:trHeight w:val="330" w:hRule="atLeast"/>
        </w:trPr>
        <w:tc>
          <w:tcPr>
            <w:tcW w:w="9776" w:type="dxa"/>
            <w:gridSpan w:val="4"/>
            <w:tcBorders>
              <w:top w:val="nil"/>
              <w:left w:val="nil"/>
              <w:bottom w:val="nil"/>
              <w:right w:val="nil"/>
            </w:tcBorders>
            <w:shd w:val="clear" w:color="auto" w:fill="A11D04"/>
          </w:tcPr>
          <w:p>
            <w:pPr>
              <w:pStyle w:val="TableParagraph"/>
              <w:spacing w:before="30"/>
              <w:ind w:left="120"/>
              <w:rPr>
                <w:b/>
                <w:sz w:val="21"/>
              </w:rPr>
            </w:pPr>
            <w:r>
              <w:rPr>
                <w:b/>
                <w:color w:val="FFFFFF"/>
                <w:sz w:val="21"/>
              </w:rPr>
              <w:t>表 5：Car-T 实体瘤新靶点新机制进展</w:t>
            </w:r>
          </w:p>
        </w:tc>
      </w:tr>
      <w:tr>
        <w:trPr>
          <w:trHeight w:val="345" w:hRule="atLeast"/>
        </w:trPr>
        <w:tc>
          <w:tcPr>
            <w:tcW w:w="931" w:type="dxa"/>
            <w:tcBorders>
              <w:top w:val="nil"/>
              <w:left w:val="nil"/>
              <w:right w:val="nil"/>
            </w:tcBorders>
            <w:shd w:val="clear" w:color="auto" w:fill="C00000"/>
          </w:tcPr>
          <w:p>
            <w:pPr>
              <w:pStyle w:val="TableParagraph"/>
              <w:spacing w:before="35"/>
              <w:ind w:left="120"/>
              <w:rPr>
                <w:sz w:val="22"/>
              </w:rPr>
            </w:pPr>
            <w:r>
              <w:rPr>
                <w:color w:val="FFFFFF"/>
                <w:sz w:val="22"/>
              </w:rPr>
              <w:t>适应症</w:t>
            </w:r>
          </w:p>
        </w:tc>
        <w:tc>
          <w:tcPr>
            <w:tcW w:w="2388" w:type="dxa"/>
            <w:tcBorders>
              <w:top w:val="nil"/>
              <w:left w:val="nil"/>
              <w:right w:val="nil"/>
            </w:tcBorders>
            <w:shd w:val="clear" w:color="auto" w:fill="C00000"/>
          </w:tcPr>
          <w:p>
            <w:pPr>
              <w:pStyle w:val="TableParagraph"/>
              <w:spacing w:before="35"/>
              <w:ind w:left="119"/>
              <w:rPr>
                <w:sz w:val="22"/>
              </w:rPr>
            </w:pPr>
            <w:r>
              <w:rPr>
                <w:color w:val="FFFFFF"/>
                <w:sz w:val="22"/>
              </w:rPr>
              <w:t>相关期刊</w:t>
            </w:r>
          </w:p>
        </w:tc>
        <w:tc>
          <w:tcPr>
            <w:tcW w:w="2718" w:type="dxa"/>
            <w:tcBorders>
              <w:top w:val="nil"/>
              <w:left w:val="nil"/>
              <w:right w:val="nil"/>
            </w:tcBorders>
            <w:shd w:val="clear" w:color="auto" w:fill="C00000"/>
          </w:tcPr>
          <w:p>
            <w:pPr>
              <w:pStyle w:val="TableParagraph"/>
              <w:ind w:left="0"/>
              <w:rPr>
                <w:rFonts w:ascii="Times New Roman"/>
                <w:sz w:val="16"/>
              </w:rPr>
            </w:pPr>
          </w:p>
        </w:tc>
        <w:tc>
          <w:tcPr>
            <w:tcW w:w="3739" w:type="dxa"/>
            <w:tcBorders>
              <w:top w:val="nil"/>
              <w:left w:val="nil"/>
              <w:right w:val="nil"/>
            </w:tcBorders>
            <w:shd w:val="clear" w:color="auto" w:fill="C00000"/>
          </w:tcPr>
          <w:p>
            <w:pPr>
              <w:pStyle w:val="TableParagraph"/>
              <w:spacing w:before="35"/>
              <w:ind w:left="120"/>
              <w:rPr>
                <w:sz w:val="22"/>
              </w:rPr>
            </w:pPr>
            <w:r>
              <w:rPr>
                <w:color w:val="FFFFFF"/>
                <w:sz w:val="22"/>
              </w:rPr>
              <w:t>作用机理</w:t>
            </w:r>
          </w:p>
        </w:tc>
      </w:tr>
      <w:tr>
        <w:trPr>
          <w:trHeight w:val="1651" w:hRule="atLeast"/>
        </w:trPr>
        <w:tc>
          <w:tcPr>
            <w:tcW w:w="931" w:type="dxa"/>
          </w:tcPr>
          <w:p>
            <w:pPr>
              <w:pStyle w:val="TableParagraph"/>
              <w:ind w:left="0"/>
              <w:rPr>
                <w:sz w:val="16"/>
              </w:rPr>
            </w:pPr>
          </w:p>
          <w:p>
            <w:pPr>
              <w:pStyle w:val="TableParagraph"/>
              <w:ind w:left="0"/>
              <w:rPr>
                <w:sz w:val="16"/>
              </w:rPr>
            </w:pPr>
          </w:p>
          <w:p>
            <w:pPr>
              <w:pStyle w:val="TableParagraph"/>
              <w:spacing w:before="4"/>
              <w:ind w:left="0"/>
              <w:rPr>
                <w:sz w:val="22"/>
              </w:rPr>
            </w:pPr>
          </w:p>
          <w:p>
            <w:pPr>
              <w:pStyle w:val="TableParagraph"/>
              <w:rPr>
                <w:sz w:val="16"/>
              </w:rPr>
            </w:pPr>
            <w:r>
              <w:rPr>
                <w:w w:val="105"/>
                <w:sz w:val="16"/>
              </w:rPr>
              <w:t>抗 HIV</w:t>
            </w:r>
          </w:p>
        </w:tc>
        <w:tc>
          <w:tcPr>
            <w:tcW w:w="2388" w:type="dxa"/>
          </w:tcPr>
          <w:p>
            <w:pPr>
              <w:pStyle w:val="TableParagraph"/>
              <w:ind w:left="0"/>
              <w:rPr>
                <w:sz w:val="16"/>
              </w:rPr>
            </w:pPr>
          </w:p>
          <w:p>
            <w:pPr>
              <w:pStyle w:val="TableParagraph"/>
              <w:spacing w:before="9"/>
              <w:ind w:left="0"/>
              <w:rPr>
                <w:sz w:val="13"/>
              </w:rPr>
            </w:pPr>
          </w:p>
          <w:p>
            <w:pPr>
              <w:pStyle w:val="TableParagraph"/>
              <w:spacing w:line="247" w:lineRule="auto"/>
              <w:ind w:right="73"/>
              <w:jc w:val="both"/>
              <w:rPr>
                <w:sz w:val="16"/>
              </w:rPr>
            </w:pPr>
            <w:r>
              <w:rPr>
                <w:w w:val="105"/>
                <w:sz w:val="16"/>
              </w:rPr>
              <w:t>Attacking Latent HIV with convertible CAR-T Cells, a Highly Adaptable Killing Platform</w:t>
            </w:r>
          </w:p>
        </w:tc>
        <w:tc>
          <w:tcPr>
            <w:tcW w:w="2718" w:type="dxa"/>
            <w:tcBorders>
              <w:right w:val="single" w:sz="8" w:space="0" w:color="000000"/>
            </w:tcBorders>
          </w:tcPr>
          <w:p>
            <w:pPr>
              <w:pStyle w:val="TableParagraph"/>
              <w:ind w:left="0"/>
              <w:rPr>
                <w:sz w:val="16"/>
              </w:rPr>
            </w:pPr>
          </w:p>
          <w:p>
            <w:pPr>
              <w:pStyle w:val="TableParagraph"/>
              <w:ind w:left="0"/>
              <w:rPr>
                <w:sz w:val="16"/>
              </w:rPr>
            </w:pPr>
          </w:p>
          <w:p>
            <w:pPr>
              <w:pStyle w:val="TableParagraph"/>
              <w:spacing w:before="4"/>
              <w:ind w:left="0"/>
              <w:rPr>
                <w:sz w:val="22"/>
              </w:rPr>
            </w:pPr>
          </w:p>
          <w:p>
            <w:pPr>
              <w:pStyle w:val="TableParagraph"/>
              <w:rPr>
                <w:sz w:val="16"/>
              </w:rPr>
            </w:pPr>
            <w:r>
              <w:rPr>
                <w:w w:val="105"/>
                <w:sz w:val="16"/>
              </w:rPr>
              <w:t>doi:10.1016/j.cell.2019.10.002</w:t>
            </w:r>
          </w:p>
        </w:tc>
        <w:tc>
          <w:tcPr>
            <w:tcW w:w="3739" w:type="dxa"/>
            <w:tcBorders>
              <w:left w:val="single" w:sz="8" w:space="0" w:color="000000"/>
            </w:tcBorders>
          </w:tcPr>
          <w:p>
            <w:pPr>
              <w:pStyle w:val="TableParagraph"/>
              <w:spacing w:line="175" w:lineRule="exact"/>
              <w:ind w:left="110"/>
              <w:jc w:val="both"/>
              <w:rPr>
                <w:sz w:val="16"/>
              </w:rPr>
            </w:pPr>
            <w:r>
              <w:rPr>
                <w:w w:val="105"/>
                <w:sz w:val="16"/>
              </w:rPr>
              <w:t>Xyphos</w:t>
            </w:r>
            <w:r>
              <w:rPr>
                <w:spacing w:val="-39"/>
                <w:w w:val="105"/>
                <w:sz w:val="16"/>
              </w:rPr>
              <w:t> 对 </w:t>
            </w:r>
            <w:r>
              <w:rPr>
                <w:spacing w:val="-7"/>
                <w:w w:val="105"/>
                <w:sz w:val="16"/>
              </w:rPr>
              <w:t>MIC-A</w:t>
            </w:r>
            <w:r>
              <w:rPr>
                <w:spacing w:val="-14"/>
                <w:w w:val="105"/>
                <w:sz w:val="16"/>
              </w:rPr>
              <w:t> 的蛋白质进行了裁剪和修饰，随后</w:t>
            </w:r>
          </w:p>
          <w:p>
            <w:pPr>
              <w:pStyle w:val="TableParagraph"/>
              <w:spacing w:line="242" w:lineRule="auto"/>
              <w:ind w:left="110" w:right="65"/>
              <w:jc w:val="both"/>
              <w:rPr>
                <w:sz w:val="16"/>
              </w:rPr>
            </w:pPr>
            <w:r>
              <w:rPr>
                <w:spacing w:val="-10"/>
                <w:sz w:val="16"/>
              </w:rPr>
              <w:t>将它与靶向抗体的底部融合在一起，从而构建出他</w:t>
            </w:r>
            <w:r>
              <w:rPr>
                <w:spacing w:val="-21"/>
                <w:w w:val="105"/>
                <w:sz w:val="16"/>
              </w:rPr>
              <w:t>们称为 </w:t>
            </w:r>
            <w:r>
              <w:rPr>
                <w:spacing w:val="-6"/>
                <w:w w:val="105"/>
                <w:sz w:val="16"/>
              </w:rPr>
              <w:t>MicAbody</w:t>
            </w:r>
            <w:r>
              <w:rPr>
                <w:spacing w:val="-16"/>
                <w:w w:val="105"/>
                <w:sz w:val="16"/>
              </w:rPr>
              <w:t> 的产物。同时，对 </w:t>
            </w:r>
            <w:r>
              <w:rPr>
                <w:spacing w:val="-4"/>
                <w:w w:val="105"/>
                <w:sz w:val="16"/>
              </w:rPr>
              <w:t>cCAR-T</w:t>
            </w:r>
            <w:r>
              <w:rPr>
                <w:spacing w:val="-15"/>
                <w:w w:val="105"/>
                <w:sz w:val="16"/>
              </w:rPr>
              <w:t> 细胞进</w:t>
            </w:r>
            <w:r>
              <w:rPr>
                <w:spacing w:val="-7"/>
                <w:sz w:val="16"/>
              </w:rPr>
              <w:t>行了基因改造，使得 </w:t>
            </w:r>
            <w:r>
              <w:rPr>
                <w:sz w:val="16"/>
              </w:rPr>
              <w:t>T</w:t>
            </w:r>
            <w:r>
              <w:rPr>
                <w:spacing w:val="-9"/>
                <w:sz w:val="16"/>
              </w:rPr>
              <w:t> 细胞可以在其表面上表达受</w:t>
            </w:r>
            <w:r>
              <w:rPr>
                <w:spacing w:val="-4"/>
                <w:w w:val="105"/>
                <w:sz w:val="16"/>
              </w:rPr>
              <w:t>到少量修饰的人类受体蛋白 </w:t>
            </w:r>
            <w:r>
              <w:rPr>
                <w:spacing w:val="-2"/>
                <w:w w:val="105"/>
                <w:sz w:val="16"/>
              </w:rPr>
              <w:t>NKG2D</w:t>
            </w:r>
            <w:r>
              <w:rPr>
                <w:spacing w:val="4"/>
                <w:w w:val="105"/>
                <w:sz w:val="16"/>
              </w:rPr>
              <w:t>。经过修饰的</w:t>
            </w:r>
            <w:r>
              <w:rPr>
                <w:spacing w:val="4"/>
                <w:sz w:val="16"/>
              </w:rPr>
              <w:t>MIC-A</w:t>
            </w:r>
            <w:r>
              <w:rPr>
                <w:spacing w:val="-4"/>
                <w:sz w:val="16"/>
              </w:rPr>
              <w:t> 蛋白可以与</w:t>
            </w:r>
            <w:r>
              <w:rPr>
                <w:spacing w:val="-5"/>
                <w:sz w:val="16"/>
              </w:rPr>
              <w:t>cCAR-T</w:t>
            </w:r>
            <w:r>
              <w:rPr>
                <w:sz w:val="16"/>
              </w:rPr>
              <w:t> 上的NKG2D</w:t>
            </w:r>
            <w:r>
              <w:rPr>
                <w:spacing w:val="-8"/>
                <w:sz w:val="16"/>
              </w:rPr>
              <w:t> 受体特异性结</w:t>
            </w:r>
            <w:r>
              <w:rPr>
                <w:spacing w:val="-18"/>
                <w:w w:val="105"/>
                <w:sz w:val="16"/>
              </w:rPr>
              <w:t>合，使得 </w:t>
            </w:r>
            <w:r>
              <w:rPr>
                <w:spacing w:val="-4"/>
                <w:w w:val="105"/>
                <w:sz w:val="16"/>
              </w:rPr>
              <w:t>MicAbody</w:t>
            </w:r>
            <w:r>
              <w:rPr>
                <w:spacing w:val="-18"/>
                <w:w w:val="105"/>
                <w:sz w:val="16"/>
              </w:rPr>
              <w:t> 紧密地和唯一地结合 </w:t>
            </w:r>
            <w:r>
              <w:rPr>
                <w:spacing w:val="-5"/>
                <w:w w:val="105"/>
                <w:sz w:val="16"/>
              </w:rPr>
              <w:t>cCAR-T</w:t>
            </w:r>
            <w:r>
              <w:rPr>
                <w:spacing w:val="-29"/>
                <w:w w:val="105"/>
                <w:sz w:val="16"/>
              </w:rPr>
              <w:t> 细</w:t>
            </w:r>
            <w:r>
              <w:rPr>
                <w:spacing w:val="15"/>
                <w:w w:val="105"/>
                <w:sz w:val="16"/>
              </w:rPr>
              <w:t>胞。</w:t>
            </w:r>
          </w:p>
        </w:tc>
      </w:tr>
      <w:tr>
        <w:trPr>
          <w:trHeight w:val="1456" w:hRule="atLeast"/>
        </w:trPr>
        <w:tc>
          <w:tcPr>
            <w:tcW w:w="931" w:type="dxa"/>
          </w:tcPr>
          <w:p>
            <w:pPr>
              <w:pStyle w:val="TableParagraph"/>
              <w:ind w:left="0"/>
              <w:rPr>
                <w:sz w:val="16"/>
              </w:rPr>
            </w:pPr>
          </w:p>
          <w:p>
            <w:pPr>
              <w:pStyle w:val="TableParagraph"/>
              <w:spacing w:before="8"/>
              <w:ind w:left="0"/>
              <w:rPr>
                <w:sz w:val="23"/>
              </w:rPr>
            </w:pPr>
          </w:p>
          <w:p>
            <w:pPr>
              <w:pStyle w:val="TableParagraph"/>
              <w:spacing w:line="228" w:lineRule="auto" w:before="1"/>
              <w:ind w:right="65"/>
              <w:rPr>
                <w:sz w:val="16"/>
              </w:rPr>
            </w:pPr>
            <w:r>
              <w:rPr>
                <w:w w:val="105"/>
                <w:sz w:val="16"/>
              </w:rPr>
              <w:t>胶质母细胞瘤</w:t>
            </w:r>
          </w:p>
        </w:tc>
        <w:tc>
          <w:tcPr>
            <w:tcW w:w="2388" w:type="dxa"/>
          </w:tcPr>
          <w:p>
            <w:pPr>
              <w:pStyle w:val="TableParagraph"/>
              <w:ind w:left="0"/>
              <w:rPr>
                <w:sz w:val="16"/>
              </w:rPr>
            </w:pPr>
          </w:p>
          <w:p>
            <w:pPr>
              <w:pStyle w:val="TableParagraph"/>
              <w:ind w:left="0"/>
              <w:rPr>
                <w:sz w:val="15"/>
              </w:rPr>
            </w:pPr>
          </w:p>
          <w:p>
            <w:pPr>
              <w:pStyle w:val="TableParagraph"/>
              <w:spacing w:line="237" w:lineRule="auto"/>
              <w:ind w:right="73"/>
              <w:jc w:val="both"/>
              <w:rPr>
                <w:sz w:val="16"/>
              </w:rPr>
            </w:pPr>
            <w:r>
              <w:rPr>
                <w:w w:val="105"/>
                <w:sz w:val="16"/>
              </w:rPr>
              <w:t>CAR-T </w:t>
            </w:r>
            <w:r>
              <w:rPr>
                <w:spacing w:val="-4"/>
                <w:w w:val="105"/>
                <w:sz w:val="16"/>
              </w:rPr>
              <w:t>cells </w:t>
            </w:r>
            <w:r>
              <w:rPr>
                <w:spacing w:val="-3"/>
                <w:w w:val="105"/>
                <w:sz w:val="16"/>
              </w:rPr>
              <w:t>secreting</w:t>
            </w:r>
            <w:r>
              <w:rPr>
                <w:spacing w:val="-22"/>
                <w:w w:val="105"/>
                <w:sz w:val="16"/>
              </w:rPr>
              <w:t> </w:t>
            </w:r>
            <w:r>
              <w:rPr>
                <w:spacing w:val="-4"/>
                <w:w w:val="105"/>
                <w:sz w:val="16"/>
              </w:rPr>
              <w:t>BiTEs </w:t>
            </w:r>
            <w:r>
              <w:rPr>
                <w:spacing w:val="-3"/>
                <w:w w:val="105"/>
                <w:sz w:val="16"/>
              </w:rPr>
              <w:t>circumvent antigen </w:t>
            </w:r>
            <w:r>
              <w:rPr>
                <w:w w:val="105"/>
                <w:sz w:val="16"/>
              </w:rPr>
              <w:t>escape </w:t>
            </w:r>
            <w:r>
              <w:rPr>
                <w:spacing w:val="3"/>
                <w:w w:val="105"/>
                <w:sz w:val="16"/>
              </w:rPr>
              <w:t>without</w:t>
            </w:r>
            <w:r>
              <w:rPr>
                <w:spacing w:val="-40"/>
                <w:w w:val="105"/>
                <w:sz w:val="16"/>
              </w:rPr>
              <w:t> </w:t>
            </w:r>
            <w:r>
              <w:rPr>
                <w:w w:val="105"/>
                <w:sz w:val="16"/>
              </w:rPr>
              <w:t>detectable</w:t>
            </w:r>
            <w:r>
              <w:rPr>
                <w:spacing w:val="-40"/>
                <w:w w:val="105"/>
                <w:sz w:val="16"/>
              </w:rPr>
              <w:t> </w:t>
            </w:r>
            <w:r>
              <w:rPr>
                <w:spacing w:val="-4"/>
                <w:w w:val="105"/>
                <w:sz w:val="16"/>
              </w:rPr>
              <w:t>toxicity</w:t>
            </w:r>
          </w:p>
        </w:tc>
        <w:tc>
          <w:tcPr>
            <w:tcW w:w="2718" w:type="dxa"/>
            <w:tcBorders>
              <w:right w:val="single" w:sz="8" w:space="0" w:color="000000"/>
            </w:tcBorders>
          </w:tcPr>
          <w:p>
            <w:pPr>
              <w:pStyle w:val="TableParagraph"/>
              <w:ind w:left="0"/>
              <w:rPr>
                <w:sz w:val="16"/>
              </w:rPr>
            </w:pPr>
          </w:p>
          <w:p>
            <w:pPr>
              <w:pStyle w:val="TableParagraph"/>
              <w:ind w:left="0"/>
              <w:rPr>
                <w:sz w:val="23"/>
              </w:rPr>
            </w:pPr>
          </w:p>
          <w:p>
            <w:pPr>
              <w:pStyle w:val="TableParagraph"/>
              <w:spacing w:line="200" w:lineRule="exact" w:before="1"/>
              <w:rPr>
                <w:sz w:val="16"/>
              </w:rPr>
            </w:pPr>
            <w:r>
              <w:rPr>
                <w:spacing w:val="-3"/>
                <w:w w:val="105"/>
                <w:sz w:val="16"/>
              </w:rPr>
              <w:t>doi.org/10.1038/s41587-019-0192</w:t>
            </w:r>
          </w:p>
          <w:p>
            <w:pPr>
              <w:pStyle w:val="TableParagraph"/>
              <w:spacing w:line="200" w:lineRule="exact"/>
              <w:rPr>
                <w:sz w:val="16"/>
              </w:rPr>
            </w:pPr>
            <w:r>
              <w:rPr>
                <w:w w:val="105"/>
                <w:sz w:val="16"/>
              </w:rPr>
              <w:t>-1</w:t>
            </w:r>
          </w:p>
        </w:tc>
        <w:tc>
          <w:tcPr>
            <w:tcW w:w="3739" w:type="dxa"/>
            <w:tcBorders>
              <w:left w:val="single" w:sz="8" w:space="0" w:color="000000"/>
            </w:tcBorders>
          </w:tcPr>
          <w:p>
            <w:pPr>
              <w:pStyle w:val="TableParagraph"/>
              <w:spacing w:line="180" w:lineRule="exact"/>
              <w:ind w:left="110"/>
              <w:jc w:val="both"/>
              <w:rPr>
                <w:sz w:val="16"/>
              </w:rPr>
            </w:pPr>
            <w:r>
              <w:rPr>
                <w:spacing w:val="-15"/>
                <w:w w:val="105"/>
                <w:sz w:val="16"/>
              </w:rPr>
              <w:t>一个双顺反子构建体，以驱动针对 </w:t>
            </w:r>
            <w:r>
              <w:rPr>
                <w:spacing w:val="-6"/>
                <w:w w:val="105"/>
                <w:sz w:val="16"/>
              </w:rPr>
              <w:t>EGFRvIII</w:t>
            </w:r>
            <w:r>
              <w:rPr>
                <w:spacing w:val="-37"/>
                <w:w w:val="105"/>
                <w:sz w:val="16"/>
              </w:rPr>
              <w:t> 的 </w:t>
            </w:r>
            <w:r>
              <w:rPr>
                <w:w w:val="105"/>
                <w:sz w:val="16"/>
              </w:rPr>
              <w:t>CAR</w:t>
            </w:r>
          </w:p>
          <w:p>
            <w:pPr>
              <w:pStyle w:val="TableParagraph"/>
              <w:spacing w:line="242" w:lineRule="auto" w:before="5"/>
              <w:ind w:left="110" w:right="65"/>
              <w:jc w:val="both"/>
              <w:rPr>
                <w:sz w:val="16"/>
              </w:rPr>
            </w:pPr>
            <w:r>
              <w:rPr>
                <w:w w:val="105"/>
                <w:sz w:val="16"/>
              </w:rPr>
              <w:t>（</w:t>
            </w:r>
            <w:r>
              <w:rPr>
                <w:spacing w:val="-9"/>
                <w:w w:val="105"/>
                <w:sz w:val="16"/>
              </w:rPr>
              <w:t>胶质母细胞瘤特异性肿瘤抗原</w:t>
            </w:r>
            <w:r>
              <w:rPr>
                <w:w w:val="105"/>
                <w:sz w:val="16"/>
              </w:rPr>
              <w:t>）</w:t>
            </w:r>
            <w:r>
              <w:rPr>
                <w:spacing w:val="-13"/>
                <w:w w:val="105"/>
                <w:sz w:val="16"/>
              </w:rPr>
              <w:t>和针对 </w:t>
            </w:r>
            <w:r>
              <w:rPr>
                <w:spacing w:val="-3"/>
                <w:w w:val="105"/>
                <w:sz w:val="16"/>
              </w:rPr>
              <w:t>EGFR</w:t>
            </w:r>
            <w:r>
              <w:rPr>
                <w:spacing w:val="-21"/>
                <w:w w:val="105"/>
                <w:sz w:val="16"/>
              </w:rPr>
              <w:t> 的</w:t>
            </w:r>
            <w:r>
              <w:rPr>
                <w:spacing w:val="-26"/>
                <w:w w:val="105"/>
                <w:sz w:val="16"/>
              </w:rPr>
              <w:t>双特异性 </w:t>
            </w:r>
            <w:r>
              <w:rPr>
                <w:w w:val="105"/>
                <w:sz w:val="16"/>
              </w:rPr>
              <w:t>T</w:t>
            </w:r>
            <w:r>
              <w:rPr>
                <w:spacing w:val="-19"/>
                <w:w w:val="105"/>
                <w:sz w:val="16"/>
              </w:rPr>
              <w:t> 细胞衔接子</w:t>
            </w:r>
            <w:r>
              <w:rPr>
                <w:spacing w:val="-3"/>
                <w:w w:val="105"/>
                <w:sz w:val="16"/>
              </w:rPr>
              <w:t>（BiTE）</w:t>
            </w:r>
            <w:r>
              <w:rPr>
                <w:spacing w:val="-6"/>
                <w:w w:val="105"/>
                <w:sz w:val="16"/>
              </w:rPr>
              <w:t>的表达，该抗原在</w:t>
            </w:r>
            <w:r>
              <w:rPr>
                <w:spacing w:val="-12"/>
                <w:sz w:val="16"/>
              </w:rPr>
              <w:t>胶质母细胞瘤中通常过表达，但也在正常组织中表</w:t>
            </w:r>
            <w:r>
              <w:rPr>
                <w:spacing w:val="-12"/>
                <w:w w:val="105"/>
                <w:sz w:val="16"/>
              </w:rPr>
              <w:t>达。</w:t>
            </w:r>
            <w:r>
              <w:rPr>
                <w:spacing w:val="-4"/>
                <w:w w:val="105"/>
                <w:sz w:val="16"/>
              </w:rPr>
              <w:t>CART.BiTE</w:t>
            </w:r>
            <w:r>
              <w:rPr>
                <w:spacing w:val="-15"/>
                <w:w w:val="105"/>
                <w:sz w:val="16"/>
              </w:rPr>
              <w:t> 细胞分泌 </w:t>
            </w:r>
            <w:r>
              <w:rPr>
                <w:spacing w:val="-6"/>
                <w:w w:val="105"/>
                <w:sz w:val="16"/>
              </w:rPr>
              <w:t>EGFR</w:t>
            </w:r>
            <w:r>
              <w:rPr>
                <w:spacing w:val="-17"/>
                <w:w w:val="105"/>
                <w:sz w:val="16"/>
              </w:rPr>
              <w:t> 特异的 </w:t>
            </w:r>
            <w:r>
              <w:rPr>
                <w:spacing w:val="-4"/>
                <w:w w:val="105"/>
                <w:sz w:val="16"/>
              </w:rPr>
              <w:t>BiTE</w:t>
            </w:r>
            <w:r>
              <w:rPr>
                <w:spacing w:val="-2"/>
                <w:w w:val="105"/>
                <w:sz w:val="16"/>
              </w:rPr>
              <w:t>，可重</w:t>
            </w:r>
            <w:r>
              <w:rPr>
                <w:spacing w:val="-20"/>
                <w:w w:val="105"/>
                <w:sz w:val="16"/>
              </w:rPr>
              <w:t>定向 </w:t>
            </w:r>
            <w:r>
              <w:rPr>
                <w:spacing w:val="-7"/>
                <w:w w:val="105"/>
                <w:sz w:val="16"/>
              </w:rPr>
              <w:t>CAR-T</w:t>
            </w:r>
            <w:r>
              <w:rPr>
                <w:spacing w:val="-14"/>
                <w:w w:val="105"/>
                <w:sz w:val="16"/>
              </w:rPr>
              <w:t> 细胞并募集未转导的旁观者 </w:t>
            </w:r>
            <w:r>
              <w:rPr>
                <w:w w:val="105"/>
                <w:sz w:val="16"/>
              </w:rPr>
              <w:t>T</w:t>
            </w:r>
            <w:r>
              <w:rPr>
                <w:spacing w:val="-16"/>
                <w:w w:val="105"/>
                <w:sz w:val="16"/>
              </w:rPr>
              <w:t> 细胞对抗</w:t>
            </w:r>
            <w:r>
              <w:rPr>
                <w:spacing w:val="-3"/>
                <w:w w:val="105"/>
                <w:sz w:val="16"/>
              </w:rPr>
              <w:t>野生型 </w:t>
            </w:r>
            <w:r>
              <w:rPr>
                <w:spacing w:val="-5"/>
                <w:w w:val="105"/>
                <w:sz w:val="16"/>
              </w:rPr>
              <w:t>EGFR</w:t>
            </w:r>
            <w:r>
              <w:rPr>
                <w:w w:val="105"/>
                <w:sz w:val="16"/>
              </w:rPr>
              <w:t>。</w:t>
            </w:r>
          </w:p>
        </w:tc>
      </w:tr>
      <w:tr>
        <w:trPr>
          <w:trHeight w:val="825" w:hRule="atLeast"/>
        </w:trPr>
        <w:tc>
          <w:tcPr>
            <w:tcW w:w="931" w:type="dxa"/>
          </w:tcPr>
          <w:p>
            <w:pPr>
              <w:pStyle w:val="TableParagraph"/>
              <w:spacing w:before="6"/>
              <w:ind w:left="0"/>
              <w:rPr>
                <w:sz w:val="21"/>
              </w:rPr>
            </w:pPr>
          </w:p>
          <w:p>
            <w:pPr>
              <w:pStyle w:val="TableParagraph"/>
              <w:rPr>
                <w:sz w:val="16"/>
              </w:rPr>
            </w:pPr>
            <w:r>
              <w:rPr>
                <w:w w:val="105"/>
                <w:sz w:val="16"/>
              </w:rPr>
              <w:t>实体瘤</w:t>
            </w:r>
          </w:p>
        </w:tc>
        <w:tc>
          <w:tcPr>
            <w:tcW w:w="2388" w:type="dxa"/>
          </w:tcPr>
          <w:p>
            <w:pPr>
              <w:pStyle w:val="TableParagraph"/>
              <w:spacing w:line="165" w:lineRule="exact"/>
              <w:jc w:val="both"/>
              <w:rPr>
                <w:sz w:val="16"/>
              </w:rPr>
            </w:pPr>
            <w:r>
              <w:rPr>
                <w:w w:val="105"/>
                <w:sz w:val="16"/>
              </w:rPr>
              <w:t>Enhanced</w:t>
            </w:r>
            <w:r>
              <w:rPr>
                <w:spacing w:val="-55"/>
                <w:w w:val="105"/>
                <w:sz w:val="16"/>
              </w:rPr>
              <w:t> </w:t>
            </w:r>
            <w:r>
              <w:rPr>
                <w:spacing w:val="-3"/>
                <w:w w:val="105"/>
                <w:sz w:val="16"/>
              </w:rPr>
              <w:t>CAR–Tcell </w:t>
            </w:r>
            <w:r>
              <w:rPr>
                <w:spacing w:val="-4"/>
                <w:w w:val="105"/>
                <w:sz w:val="16"/>
              </w:rPr>
              <w:t>activity</w:t>
            </w:r>
          </w:p>
          <w:p>
            <w:pPr>
              <w:pStyle w:val="TableParagraph"/>
              <w:spacing w:line="247" w:lineRule="auto" w:before="5"/>
              <w:ind w:right="73"/>
              <w:jc w:val="both"/>
              <w:rPr>
                <w:sz w:val="16"/>
              </w:rPr>
            </w:pPr>
            <w:r>
              <w:rPr>
                <w:spacing w:val="-3"/>
                <w:w w:val="105"/>
                <w:sz w:val="16"/>
              </w:rPr>
              <w:t>against </w:t>
            </w:r>
            <w:r>
              <w:rPr>
                <w:w w:val="105"/>
                <w:sz w:val="16"/>
              </w:rPr>
              <w:t>solid tumors </w:t>
            </w:r>
            <w:r>
              <w:rPr>
                <w:spacing w:val="-8"/>
                <w:w w:val="105"/>
                <w:sz w:val="16"/>
              </w:rPr>
              <w:t>by </w:t>
            </w:r>
            <w:r>
              <w:rPr>
                <w:spacing w:val="-3"/>
                <w:w w:val="105"/>
                <w:sz w:val="16"/>
              </w:rPr>
              <w:t>vaccine</w:t>
            </w:r>
            <w:r>
              <w:rPr>
                <w:spacing w:val="-26"/>
                <w:w w:val="105"/>
                <w:sz w:val="16"/>
              </w:rPr>
              <w:t> </w:t>
            </w:r>
            <w:r>
              <w:rPr>
                <w:spacing w:val="-4"/>
                <w:w w:val="105"/>
                <w:sz w:val="16"/>
              </w:rPr>
              <w:t>boosting</w:t>
            </w:r>
            <w:r>
              <w:rPr>
                <w:spacing w:val="-39"/>
                <w:w w:val="105"/>
                <w:sz w:val="16"/>
              </w:rPr>
              <w:t> </w:t>
            </w:r>
            <w:r>
              <w:rPr>
                <w:spacing w:val="-3"/>
                <w:w w:val="105"/>
                <w:sz w:val="16"/>
              </w:rPr>
              <w:t>through</w:t>
            </w:r>
            <w:r>
              <w:rPr>
                <w:spacing w:val="-38"/>
                <w:w w:val="105"/>
                <w:sz w:val="16"/>
              </w:rPr>
              <w:t> </w:t>
            </w:r>
            <w:r>
              <w:rPr>
                <w:w w:val="105"/>
                <w:sz w:val="16"/>
              </w:rPr>
              <w:t>the </w:t>
            </w:r>
            <w:r>
              <w:rPr>
                <w:spacing w:val="2"/>
                <w:w w:val="105"/>
                <w:sz w:val="16"/>
              </w:rPr>
              <w:t>chimeric</w:t>
            </w:r>
            <w:r>
              <w:rPr>
                <w:spacing w:val="-18"/>
                <w:w w:val="105"/>
                <w:sz w:val="16"/>
              </w:rPr>
              <w:t> </w:t>
            </w:r>
            <w:r>
              <w:rPr>
                <w:w w:val="105"/>
                <w:sz w:val="16"/>
              </w:rPr>
              <w:t>receptor</w:t>
            </w:r>
          </w:p>
        </w:tc>
        <w:tc>
          <w:tcPr>
            <w:tcW w:w="2718" w:type="dxa"/>
            <w:tcBorders>
              <w:right w:val="single" w:sz="8" w:space="0" w:color="000000"/>
            </w:tcBorders>
          </w:tcPr>
          <w:p>
            <w:pPr>
              <w:pStyle w:val="TableParagraph"/>
              <w:spacing w:before="6"/>
              <w:ind w:left="0"/>
              <w:rPr>
                <w:sz w:val="21"/>
              </w:rPr>
            </w:pPr>
          </w:p>
          <w:p>
            <w:pPr>
              <w:pStyle w:val="TableParagraph"/>
              <w:rPr>
                <w:sz w:val="16"/>
              </w:rPr>
            </w:pPr>
            <w:r>
              <w:rPr>
                <w:w w:val="105"/>
                <w:sz w:val="16"/>
              </w:rPr>
              <w:t>doi:10.1126/science.aav8692</w:t>
            </w:r>
          </w:p>
        </w:tc>
        <w:tc>
          <w:tcPr>
            <w:tcW w:w="3739" w:type="dxa"/>
            <w:tcBorders>
              <w:left w:val="single" w:sz="8" w:space="0" w:color="000000"/>
            </w:tcBorders>
          </w:tcPr>
          <w:p>
            <w:pPr>
              <w:pStyle w:val="TableParagraph"/>
              <w:spacing w:line="247" w:lineRule="auto" w:before="65"/>
              <w:ind w:left="110" w:right="69"/>
              <w:jc w:val="both"/>
              <w:rPr>
                <w:sz w:val="16"/>
              </w:rPr>
            </w:pPr>
            <w:r>
              <w:rPr>
                <w:spacing w:val="-13"/>
                <w:w w:val="105"/>
                <w:sz w:val="16"/>
              </w:rPr>
              <w:t>通过添加一种疫苗，对存活没有影响的 </w:t>
            </w:r>
            <w:r>
              <w:rPr>
                <w:spacing w:val="-7"/>
                <w:w w:val="105"/>
                <w:sz w:val="16"/>
              </w:rPr>
              <w:t>CAR-T</w:t>
            </w:r>
            <w:r>
              <w:rPr>
                <w:spacing w:val="-23"/>
                <w:w w:val="105"/>
                <w:sz w:val="16"/>
              </w:rPr>
              <w:t> 细胞</w:t>
            </w:r>
            <w:r>
              <w:rPr>
                <w:spacing w:val="-1"/>
                <w:sz w:val="16"/>
              </w:rPr>
              <w:t>治疗经这种疫苗强化后可导致一半以上的小鼠发</w:t>
            </w:r>
            <w:r>
              <w:rPr>
                <w:spacing w:val="4"/>
                <w:w w:val="105"/>
                <w:sz w:val="16"/>
              </w:rPr>
              <w:t>生完全缓解</w:t>
            </w:r>
          </w:p>
        </w:tc>
      </w:tr>
      <w:tr>
        <w:trPr>
          <w:trHeight w:val="1035" w:hRule="atLeast"/>
        </w:trPr>
        <w:tc>
          <w:tcPr>
            <w:tcW w:w="931" w:type="dxa"/>
          </w:tcPr>
          <w:p>
            <w:pPr>
              <w:pStyle w:val="TableParagraph"/>
              <w:ind w:left="0"/>
              <w:rPr>
                <w:sz w:val="16"/>
              </w:rPr>
            </w:pPr>
          </w:p>
          <w:p>
            <w:pPr>
              <w:pStyle w:val="TableParagraph"/>
              <w:spacing w:before="8"/>
              <w:ind w:left="0"/>
              <w:rPr>
                <w:sz w:val="13"/>
              </w:rPr>
            </w:pPr>
          </w:p>
          <w:p>
            <w:pPr>
              <w:pStyle w:val="TableParagraph"/>
              <w:spacing w:before="1"/>
              <w:rPr>
                <w:sz w:val="16"/>
              </w:rPr>
            </w:pPr>
            <w:r>
              <w:rPr>
                <w:w w:val="105"/>
                <w:sz w:val="16"/>
              </w:rPr>
              <w:t>实体瘤</w:t>
            </w:r>
          </w:p>
        </w:tc>
        <w:tc>
          <w:tcPr>
            <w:tcW w:w="2388" w:type="dxa"/>
          </w:tcPr>
          <w:p>
            <w:pPr>
              <w:pStyle w:val="TableParagraph"/>
              <w:spacing w:line="247" w:lineRule="auto" w:before="65"/>
              <w:ind w:right="73"/>
              <w:jc w:val="both"/>
              <w:rPr>
                <w:sz w:val="16"/>
              </w:rPr>
            </w:pPr>
            <w:r>
              <w:rPr>
                <w:w w:val="105"/>
                <w:sz w:val="16"/>
              </w:rPr>
              <w:t>TOX </w:t>
            </w:r>
            <w:r>
              <w:rPr>
                <w:spacing w:val="-6"/>
                <w:w w:val="105"/>
                <w:sz w:val="16"/>
              </w:rPr>
              <w:t>and </w:t>
            </w:r>
            <w:r>
              <w:rPr>
                <w:spacing w:val="-3"/>
                <w:w w:val="105"/>
                <w:sz w:val="16"/>
              </w:rPr>
              <w:t>TOX2 transcription factors cooperate with</w:t>
            </w:r>
            <w:r>
              <w:rPr>
                <w:spacing w:val="-16"/>
                <w:w w:val="105"/>
                <w:sz w:val="16"/>
              </w:rPr>
              <w:t> </w:t>
            </w:r>
            <w:r>
              <w:rPr>
                <w:spacing w:val="-3"/>
                <w:w w:val="105"/>
                <w:sz w:val="16"/>
              </w:rPr>
              <w:t>NR4A transcription factors </w:t>
            </w:r>
            <w:r>
              <w:rPr>
                <w:spacing w:val="-8"/>
                <w:w w:val="105"/>
                <w:sz w:val="16"/>
              </w:rPr>
              <w:t>to </w:t>
            </w:r>
            <w:r>
              <w:rPr>
                <w:spacing w:val="5"/>
                <w:w w:val="105"/>
                <w:sz w:val="16"/>
              </w:rPr>
              <w:t>impose</w:t>
            </w:r>
            <w:r>
              <w:rPr>
                <w:spacing w:val="-46"/>
                <w:w w:val="105"/>
                <w:sz w:val="16"/>
              </w:rPr>
              <w:t> </w:t>
            </w:r>
            <w:r>
              <w:rPr>
                <w:w w:val="105"/>
                <w:sz w:val="16"/>
              </w:rPr>
              <w:t>CD8+Tcell</w:t>
            </w:r>
            <w:r>
              <w:rPr>
                <w:spacing w:val="-46"/>
                <w:w w:val="105"/>
                <w:sz w:val="16"/>
              </w:rPr>
              <w:t> </w:t>
            </w:r>
            <w:r>
              <w:rPr>
                <w:spacing w:val="-3"/>
                <w:w w:val="105"/>
                <w:sz w:val="16"/>
              </w:rPr>
              <w:t>exhaustion</w:t>
            </w:r>
          </w:p>
        </w:tc>
        <w:tc>
          <w:tcPr>
            <w:tcW w:w="2718" w:type="dxa"/>
            <w:tcBorders>
              <w:right w:val="single" w:sz="8" w:space="0" w:color="000000"/>
            </w:tcBorders>
          </w:tcPr>
          <w:p>
            <w:pPr>
              <w:pStyle w:val="TableParagraph"/>
              <w:ind w:left="0"/>
              <w:rPr>
                <w:sz w:val="16"/>
              </w:rPr>
            </w:pPr>
          </w:p>
          <w:p>
            <w:pPr>
              <w:pStyle w:val="TableParagraph"/>
              <w:spacing w:before="8"/>
              <w:ind w:left="0"/>
              <w:rPr>
                <w:sz w:val="13"/>
              </w:rPr>
            </w:pPr>
          </w:p>
          <w:p>
            <w:pPr>
              <w:pStyle w:val="TableParagraph"/>
              <w:spacing w:before="1"/>
              <w:rPr>
                <w:sz w:val="16"/>
              </w:rPr>
            </w:pPr>
            <w:r>
              <w:rPr>
                <w:w w:val="105"/>
                <w:sz w:val="16"/>
              </w:rPr>
              <w:t>doi:10.1073/pnas.1905675116</w:t>
            </w:r>
          </w:p>
        </w:tc>
        <w:tc>
          <w:tcPr>
            <w:tcW w:w="3739" w:type="dxa"/>
            <w:tcBorders>
              <w:left w:val="single" w:sz="8" w:space="0" w:color="000000"/>
            </w:tcBorders>
          </w:tcPr>
          <w:p>
            <w:pPr>
              <w:pStyle w:val="TableParagraph"/>
              <w:spacing w:line="165" w:lineRule="exact"/>
              <w:ind w:left="110"/>
              <w:jc w:val="both"/>
              <w:rPr>
                <w:sz w:val="16"/>
              </w:rPr>
            </w:pPr>
            <w:r>
              <w:rPr>
                <w:spacing w:val="-3"/>
                <w:w w:val="105"/>
                <w:sz w:val="16"/>
              </w:rPr>
              <w:t>NFAT</w:t>
            </w:r>
            <w:r>
              <w:rPr>
                <w:spacing w:val="-12"/>
                <w:w w:val="105"/>
                <w:sz w:val="16"/>
              </w:rPr>
              <w:t> 的调节基因表达的转录因子开启削弱</w:t>
            </w:r>
            <w:r>
              <w:rPr>
                <w:spacing w:val="7"/>
                <w:w w:val="105"/>
                <w:sz w:val="16"/>
              </w:rPr>
              <w:t>T</w:t>
            </w:r>
            <w:r>
              <w:rPr>
                <w:w w:val="105"/>
                <w:sz w:val="16"/>
              </w:rPr>
              <w:t>细胞抗</w:t>
            </w:r>
          </w:p>
          <w:p>
            <w:pPr>
              <w:pStyle w:val="TableParagraph"/>
              <w:spacing w:line="247" w:lineRule="auto" w:before="5"/>
              <w:ind w:left="110" w:right="65"/>
              <w:jc w:val="both"/>
              <w:rPr>
                <w:sz w:val="16"/>
              </w:rPr>
            </w:pPr>
            <w:r>
              <w:rPr>
                <w:spacing w:val="-8"/>
                <w:sz w:val="16"/>
              </w:rPr>
              <w:t>肿瘤反应的“下游”基因表达，因而导致 </w:t>
            </w:r>
            <w:r>
              <w:rPr>
                <w:sz w:val="16"/>
              </w:rPr>
              <w:t>T</w:t>
            </w:r>
            <w:r>
              <w:rPr>
                <w:spacing w:val="-11"/>
                <w:sz w:val="16"/>
              </w:rPr>
              <w:t> 细胞衰</w:t>
            </w:r>
            <w:r>
              <w:rPr>
                <w:w w:val="105"/>
                <w:sz w:val="16"/>
              </w:rPr>
              <w:t>竭。</w:t>
            </w:r>
            <w:r>
              <w:rPr>
                <w:spacing w:val="-6"/>
                <w:w w:val="105"/>
                <w:sz w:val="16"/>
              </w:rPr>
              <w:t>TOX</w:t>
            </w:r>
            <w:r>
              <w:rPr>
                <w:spacing w:val="-34"/>
                <w:w w:val="105"/>
                <w:sz w:val="16"/>
              </w:rPr>
              <w:t> 和 </w:t>
            </w:r>
            <w:r>
              <w:rPr>
                <w:spacing w:val="-3"/>
                <w:w w:val="105"/>
                <w:sz w:val="16"/>
              </w:rPr>
              <w:t>TOX2</w:t>
            </w:r>
            <w:r>
              <w:rPr>
                <w:spacing w:val="-30"/>
                <w:w w:val="105"/>
                <w:sz w:val="16"/>
              </w:rPr>
              <w:t> 的 </w:t>
            </w:r>
            <w:r>
              <w:rPr>
                <w:spacing w:val="-6"/>
                <w:w w:val="105"/>
                <w:sz w:val="16"/>
              </w:rPr>
              <w:t>DNA</w:t>
            </w:r>
            <w:r>
              <w:rPr>
                <w:spacing w:val="-16"/>
                <w:w w:val="105"/>
                <w:sz w:val="16"/>
              </w:rPr>
              <w:t> 结合蛋白与 </w:t>
            </w:r>
            <w:r>
              <w:rPr>
                <w:spacing w:val="-6"/>
                <w:w w:val="105"/>
                <w:sz w:val="16"/>
              </w:rPr>
              <w:t>NR4A</w:t>
            </w:r>
            <w:r>
              <w:rPr>
                <w:spacing w:val="-12"/>
                <w:w w:val="105"/>
                <w:sz w:val="16"/>
              </w:rPr>
              <w:t> 转录因子</w:t>
            </w:r>
            <w:r>
              <w:rPr>
                <w:spacing w:val="-14"/>
                <w:w w:val="105"/>
                <w:sz w:val="16"/>
              </w:rPr>
              <w:t>一起高度表达，表明诸如 </w:t>
            </w:r>
            <w:r>
              <w:rPr>
                <w:spacing w:val="-6"/>
                <w:w w:val="105"/>
                <w:sz w:val="16"/>
              </w:rPr>
              <w:t>NFAT</w:t>
            </w:r>
            <w:r>
              <w:rPr>
                <w:spacing w:val="-39"/>
                <w:w w:val="105"/>
                <w:sz w:val="16"/>
              </w:rPr>
              <w:t> 或 </w:t>
            </w:r>
            <w:r>
              <w:rPr>
                <w:spacing w:val="-6"/>
                <w:w w:val="105"/>
                <w:sz w:val="16"/>
              </w:rPr>
              <w:t>NR4A</w:t>
            </w:r>
            <w:r>
              <w:rPr>
                <w:spacing w:val="-10"/>
                <w:w w:val="105"/>
                <w:sz w:val="16"/>
              </w:rPr>
              <w:t> 之类的因子</w:t>
            </w:r>
            <w:r>
              <w:rPr>
                <w:spacing w:val="11"/>
                <w:w w:val="105"/>
                <w:sz w:val="16"/>
              </w:rPr>
              <w:t>可能会控制</w:t>
            </w:r>
            <w:r>
              <w:rPr>
                <w:w w:val="105"/>
                <w:sz w:val="16"/>
              </w:rPr>
              <w:t>TOX</w:t>
            </w:r>
            <w:r>
              <w:rPr>
                <w:spacing w:val="-14"/>
                <w:w w:val="105"/>
                <w:sz w:val="16"/>
              </w:rPr>
              <w:t> 的表达。</w:t>
            </w:r>
          </w:p>
        </w:tc>
      </w:tr>
      <w:tr>
        <w:trPr>
          <w:trHeight w:val="1651" w:hRule="atLeast"/>
        </w:trPr>
        <w:tc>
          <w:tcPr>
            <w:tcW w:w="931" w:type="dxa"/>
          </w:tcPr>
          <w:p>
            <w:pPr>
              <w:pStyle w:val="TableParagraph"/>
              <w:ind w:left="0"/>
              <w:rPr>
                <w:sz w:val="16"/>
              </w:rPr>
            </w:pPr>
          </w:p>
          <w:p>
            <w:pPr>
              <w:pStyle w:val="TableParagraph"/>
              <w:ind w:left="0"/>
              <w:rPr>
                <w:sz w:val="16"/>
              </w:rPr>
            </w:pPr>
          </w:p>
          <w:p>
            <w:pPr>
              <w:pStyle w:val="TableParagraph"/>
              <w:spacing w:before="4"/>
              <w:ind w:left="0"/>
              <w:rPr>
                <w:sz w:val="22"/>
              </w:rPr>
            </w:pPr>
          </w:p>
          <w:p>
            <w:pPr>
              <w:pStyle w:val="TableParagraph"/>
              <w:rPr>
                <w:sz w:val="16"/>
              </w:rPr>
            </w:pPr>
            <w:r>
              <w:rPr>
                <w:w w:val="105"/>
                <w:sz w:val="16"/>
              </w:rPr>
              <w:t>实体瘤</w:t>
            </w:r>
          </w:p>
        </w:tc>
        <w:tc>
          <w:tcPr>
            <w:tcW w:w="2388" w:type="dxa"/>
          </w:tcPr>
          <w:p>
            <w:pPr>
              <w:pStyle w:val="TableParagraph"/>
              <w:spacing w:before="6"/>
              <w:ind w:left="0"/>
              <w:rPr>
                <w:sz w:val="21"/>
              </w:rPr>
            </w:pPr>
          </w:p>
          <w:p>
            <w:pPr>
              <w:pStyle w:val="TableParagraph"/>
              <w:spacing w:line="242" w:lineRule="auto"/>
              <w:ind w:right="73"/>
              <w:jc w:val="both"/>
              <w:rPr>
                <w:sz w:val="16"/>
              </w:rPr>
            </w:pPr>
            <w:r>
              <w:rPr>
                <w:w w:val="105"/>
                <w:sz w:val="16"/>
              </w:rPr>
              <w:t>Nanobody-based CAR T </w:t>
            </w:r>
            <w:r>
              <w:rPr>
                <w:spacing w:val="-4"/>
                <w:w w:val="105"/>
                <w:sz w:val="16"/>
              </w:rPr>
              <w:t>cells </w:t>
            </w:r>
            <w:r>
              <w:rPr>
                <w:spacing w:val="-3"/>
                <w:w w:val="105"/>
                <w:sz w:val="16"/>
              </w:rPr>
              <w:t>that </w:t>
            </w:r>
            <w:r>
              <w:rPr>
                <w:w w:val="105"/>
                <w:sz w:val="16"/>
              </w:rPr>
              <w:t>target the </w:t>
            </w:r>
            <w:r>
              <w:rPr>
                <w:spacing w:val="-4"/>
                <w:w w:val="105"/>
                <w:sz w:val="16"/>
              </w:rPr>
              <w:t>tumor </w:t>
            </w:r>
            <w:r>
              <w:rPr>
                <w:spacing w:val="-3"/>
                <w:w w:val="105"/>
                <w:sz w:val="16"/>
              </w:rPr>
              <w:t>microenvironment</w:t>
            </w:r>
            <w:r>
              <w:rPr>
                <w:spacing w:val="-48"/>
                <w:w w:val="105"/>
                <w:sz w:val="16"/>
              </w:rPr>
              <w:t> </w:t>
            </w:r>
            <w:r>
              <w:rPr>
                <w:spacing w:val="-3"/>
                <w:w w:val="105"/>
                <w:sz w:val="16"/>
              </w:rPr>
              <w:t>inhibit</w:t>
            </w:r>
            <w:r>
              <w:rPr>
                <w:spacing w:val="-58"/>
                <w:w w:val="105"/>
                <w:sz w:val="16"/>
              </w:rPr>
              <w:t> </w:t>
            </w:r>
            <w:r>
              <w:rPr>
                <w:w w:val="105"/>
                <w:sz w:val="16"/>
              </w:rPr>
              <w:t>the growth </w:t>
            </w:r>
            <w:r>
              <w:rPr>
                <w:spacing w:val="-4"/>
                <w:w w:val="105"/>
                <w:sz w:val="16"/>
              </w:rPr>
              <w:t>of </w:t>
            </w:r>
            <w:r>
              <w:rPr>
                <w:w w:val="105"/>
                <w:sz w:val="16"/>
              </w:rPr>
              <w:t>solid tumors </w:t>
            </w:r>
            <w:r>
              <w:rPr>
                <w:spacing w:val="-8"/>
                <w:w w:val="105"/>
                <w:sz w:val="16"/>
              </w:rPr>
              <w:t>in </w:t>
            </w:r>
            <w:r>
              <w:rPr>
                <w:w w:val="105"/>
                <w:sz w:val="16"/>
              </w:rPr>
              <w:t>immune-competent</w:t>
            </w:r>
            <w:r>
              <w:rPr>
                <w:spacing w:val="-34"/>
                <w:w w:val="105"/>
                <w:sz w:val="16"/>
              </w:rPr>
              <w:t> </w:t>
            </w:r>
            <w:r>
              <w:rPr>
                <w:spacing w:val="7"/>
                <w:w w:val="105"/>
                <w:sz w:val="16"/>
              </w:rPr>
              <w:t>mice</w:t>
            </w:r>
          </w:p>
        </w:tc>
        <w:tc>
          <w:tcPr>
            <w:tcW w:w="2718" w:type="dxa"/>
            <w:tcBorders>
              <w:right w:val="single" w:sz="8" w:space="0" w:color="000000"/>
            </w:tcBorders>
          </w:tcPr>
          <w:p>
            <w:pPr>
              <w:pStyle w:val="TableParagraph"/>
              <w:ind w:left="0"/>
              <w:rPr>
                <w:sz w:val="16"/>
              </w:rPr>
            </w:pPr>
          </w:p>
          <w:p>
            <w:pPr>
              <w:pStyle w:val="TableParagraph"/>
              <w:ind w:left="0"/>
              <w:rPr>
                <w:sz w:val="16"/>
              </w:rPr>
            </w:pPr>
          </w:p>
          <w:p>
            <w:pPr>
              <w:pStyle w:val="TableParagraph"/>
              <w:spacing w:before="4"/>
              <w:ind w:left="0"/>
              <w:rPr>
                <w:sz w:val="22"/>
              </w:rPr>
            </w:pPr>
          </w:p>
          <w:p>
            <w:pPr>
              <w:pStyle w:val="TableParagraph"/>
              <w:rPr>
                <w:sz w:val="16"/>
              </w:rPr>
            </w:pPr>
            <w:r>
              <w:rPr>
                <w:w w:val="105"/>
                <w:sz w:val="16"/>
              </w:rPr>
              <w:t>doi:10.1073/pnas.1817147116</w:t>
            </w:r>
          </w:p>
        </w:tc>
        <w:tc>
          <w:tcPr>
            <w:tcW w:w="3739" w:type="dxa"/>
            <w:tcBorders>
              <w:left w:val="single" w:sz="8" w:space="0" w:color="000000"/>
            </w:tcBorders>
          </w:tcPr>
          <w:p>
            <w:pPr>
              <w:pStyle w:val="TableParagraph"/>
              <w:spacing w:line="165" w:lineRule="exact"/>
              <w:ind w:left="110"/>
              <w:jc w:val="both"/>
              <w:rPr>
                <w:sz w:val="16"/>
              </w:rPr>
            </w:pPr>
            <w:r>
              <w:rPr>
                <w:spacing w:val="-16"/>
                <w:w w:val="105"/>
                <w:sz w:val="16"/>
              </w:rPr>
              <w:t>开发基于 </w:t>
            </w:r>
            <w:r>
              <w:rPr>
                <w:spacing w:val="-6"/>
                <w:w w:val="105"/>
                <w:sz w:val="16"/>
              </w:rPr>
              <w:t>VHH</w:t>
            </w:r>
            <w:r>
              <w:rPr>
                <w:spacing w:val="-14"/>
                <w:w w:val="105"/>
                <w:sz w:val="16"/>
              </w:rPr>
              <w:t> 的单域抗体</w:t>
            </w:r>
            <w:r>
              <w:rPr>
                <w:w w:val="105"/>
                <w:sz w:val="16"/>
              </w:rPr>
              <w:t>（</w:t>
            </w:r>
            <w:r>
              <w:rPr>
                <w:spacing w:val="-9"/>
                <w:w w:val="105"/>
                <w:sz w:val="16"/>
              </w:rPr>
              <w:t>纳米抗体</w:t>
            </w:r>
            <w:r>
              <w:rPr>
                <w:spacing w:val="-5"/>
                <w:w w:val="105"/>
                <w:sz w:val="16"/>
              </w:rPr>
              <w:t>）CART</w:t>
            </w:r>
            <w:r>
              <w:rPr>
                <w:spacing w:val="-16"/>
                <w:w w:val="105"/>
                <w:sz w:val="16"/>
              </w:rPr>
              <w:t> 细胞，</w:t>
            </w:r>
          </w:p>
          <w:p>
            <w:pPr>
              <w:pStyle w:val="TableParagraph"/>
              <w:spacing w:line="242" w:lineRule="auto" w:before="5"/>
              <w:ind w:left="110" w:right="65"/>
              <w:jc w:val="both"/>
              <w:rPr>
                <w:sz w:val="16"/>
              </w:rPr>
            </w:pPr>
            <w:r>
              <w:rPr>
                <w:sz w:val="16"/>
              </w:rPr>
              <w:t>其靶向多种癌症类型中保守的肿瘤微环境的各个</w:t>
            </w:r>
            <w:r>
              <w:rPr>
                <w:spacing w:val="-2"/>
                <w:sz w:val="16"/>
              </w:rPr>
              <w:t>方面。通过 </w:t>
            </w:r>
            <w:r>
              <w:rPr>
                <w:spacing w:val="-6"/>
                <w:sz w:val="16"/>
              </w:rPr>
              <w:t>EIIIB</w:t>
            </w:r>
            <w:r>
              <w:rPr>
                <w:spacing w:val="-8"/>
                <w:sz w:val="16"/>
              </w:rPr>
              <w:t>+纤连蛋白剪接变体靶向肿瘤基质</w:t>
            </w:r>
            <w:r>
              <w:rPr>
                <w:spacing w:val="-12"/>
                <w:w w:val="105"/>
                <w:sz w:val="16"/>
              </w:rPr>
              <w:t>和脉管系统的 </w:t>
            </w:r>
            <w:r>
              <w:rPr>
                <w:spacing w:val="-3"/>
                <w:w w:val="105"/>
                <w:sz w:val="16"/>
              </w:rPr>
              <w:t>CART</w:t>
            </w:r>
            <w:r>
              <w:rPr>
                <w:spacing w:val="-10"/>
                <w:w w:val="105"/>
                <w:sz w:val="16"/>
              </w:rPr>
              <w:t> 细胞同样有效地延迟了肿瘤的</w:t>
            </w:r>
            <w:r>
              <w:rPr>
                <w:spacing w:val="-9"/>
                <w:sz w:val="16"/>
              </w:rPr>
              <w:t>生长，</w:t>
            </w:r>
            <w:r>
              <w:rPr>
                <w:spacing w:val="-5"/>
                <w:sz w:val="16"/>
              </w:rPr>
              <w:t>EIIIB+</w:t>
            </w:r>
            <w:r>
              <w:rPr>
                <w:spacing w:val="-8"/>
                <w:sz w:val="16"/>
              </w:rPr>
              <w:t>纤连蛋白由多种肿瘤类型表达并在新</w:t>
            </w:r>
            <w:r>
              <w:rPr>
                <w:spacing w:val="-11"/>
                <w:w w:val="105"/>
                <w:sz w:val="16"/>
              </w:rPr>
              <w:t>脉管系统上表达。因此，基于 </w:t>
            </w:r>
            <w:r>
              <w:rPr>
                <w:spacing w:val="-6"/>
                <w:w w:val="105"/>
                <w:sz w:val="16"/>
              </w:rPr>
              <w:t>VHH</w:t>
            </w:r>
            <w:r>
              <w:rPr>
                <w:spacing w:val="-27"/>
                <w:w w:val="105"/>
                <w:sz w:val="16"/>
              </w:rPr>
              <w:t> 的 </w:t>
            </w:r>
            <w:r>
              <w:rPr>
                <w:spacing w:val="-3"/>
                <w:w w:val="105"/>
                <w:sz w:val="16"/>
              </w:rPr>
              <w:t>CART</w:t>
            </w:r>
            <w:r>
              <w:rPr>
                <w:spacing w:val="-14"/>
                <w:w w:val="105"/>
                <w:sz w:val="16"/>
              </w:rPr>
              <w:t> 细胞可</w:t>
            </w:r>
            <w:r>
              <w:rPr>
                <w:spacing w:val="-10"/>
                <w:sz w:val="16"/>
              </w:rPr>
              <w:t>在同基因的，具有免疫能力的动物模型中充当多个</w:t>
            </w:r>
            <w:r>
              <w:rPr>
                <w:w w:val="105"/>
                <w:sz w:val="16"/>
              </w:rPr>
              <w:t>目标的抗肿瘤药。</w:t>
            </w:r>
          </w:p>
        </w:tc>
      </w:tr>
      <w:tr>
        <w:trPr>
          <w:trHeight w:val="825" w:hRule="atLeast"/>
        </w:trPr>
        <w:tc>
          <w:tcPr>
            <w:tcW w:w="931" w:type="dxa"/>
          </w:tcPr>
          <w:p>
            <w:pPr>
              <w:pStyle w:val="TableParagraph"/>
              <w:spacing w:before="6"/>
              <w:ind w:left="0"/>
              <w:rPr>
                <w:sz w:val="21"/>
              </w:rPr>
            </w:pPr>
          </w:p>
          <w:p>
            <w:pPr>
              <w:pStyle w:val="TableParagraph"/>
              <w:rPr>
                <w:sz w:val="16"/>
              </w:rPr>
            </w:pPr>
            <w:r>
              <w:rPr>
                <w:w w:val="105"/>
                <w:sz w:val="16"/>
              </w:rPr>
              <w:t>实体瘤</w:t>
            </w:r>
          </w:p>
        </w:tc>
        <w:tc>
          <w:tcPr>
            <w:tcW w:w="2388" w:type="dxa"/>
          </w:tcPr>
          <w:p>
            <w:pPr>
              <w:pStyle w:val="TableParagraph"/>
              <w:spacing w:line="237" w:lineRule="auto" w:before="82"/>
              <w:ind w:right="74"/>
              <w:jc w:val="both"/>
              <w:rPr>
                <w:sz w:val="16"/>
              </w:rPr>
            </w:pPr>
            <w:r>
              <w:rPr>
                <w:w w:val="105"/>
                <w:sz w:val="16"/>
              </w:rPr>
              <w:t>NR4A transcription factors limit CART cell functionin solid tumours</w:t>
            </w:r>
          </w:p>
        </w:tc>
        <w:tc>
          <w:tcPr>
            <w:tcW w:w="2718" w:type="dxa"/>
            <w:tcBorders>
              <w:right w:val="single" w:sz="8" w:space="0" w:color="000000"/>
            </w:tcBorders>
          </w:tcPr>
          <w:p>
            <w:pPr>
              <w:pStyle w:val="TableParagraph"/>
              <w:spacing w:before="6"/>
              <w:ind w:left="0"/>
              <w:rPr>
                <w:sz w:val="21"/>
              </w:rPr>
            </w:pPr>
          </w:p>
          <w:p>
            <w:pPr>
              <w:pStyle w:val="TableParagraph"/>
              <w:rPr>
                <w:sz w:val="16"/>
              </w:rPr>
            </w:pPr>
            <w:r>
              <w:rPr>
                <w:w w:val="105"/>
                <w:sz w:val="16"/>
              </w:rPr>
              <w:t>doi:10.1038/s41586-019-0985-x</w:t>
            </w:r>
          </w:p>
        </w:tc>
        <w:tc>
          <w:tcPr>
            <w:tcW w:w="3739" w:type="dxa"/>
            <w:tcBorders>
              <w:left w:val="single" w:sz="8" w:space="0" w:color="000000"/>
            </w:tcBorders>
          </w:tcPr>
          <w:p>
            <w:pPr>
              <w:pStyle w:val="TableParagraph"/>
              <w:spacing w:line="175" w:lineRule="exact"/>
              <w:ind w:left="110"/>
              <w:jc w:val="both"/>
              <w:rPr>
                <w:sz w:val="16"/>
              </w:rPr>
            </w:pPr>
            <w:r>
              <w:rPr>
                <w:spacing w:val="-3"/>
                <w:w w:val="105"/>
                <w:sz w:val="16"/>
              </w:rPr>
              <w:t>Nr4a</w:t>
            </w:r>
            <w:r>
              <w:rPr>
                <w:spacing w:val="-10"/>
                <w:w w:val="105"/>
                <w:sz w:val="16"/>
              </w:rPr>
              <w:t> 转录因子的蛋白家族在调节与</w:t>
            </w:r>
            <w:r>
              <w:rPr>
                <w:spacing w:val="7"/>
                <w:w w:val="105"/>
                <w:sz w:val="16"/>
              </w:rPr>
              <w:t>T</w:t>
            </w:r>
            <w:r>
              <w:rPr>
                <w:spacing w:val="-4"/>
                <w:w w:val="105"/>
                <w:sz w:val="16"/>
              </w:rPr>
              <w:t>细胞衰竭相关</w:t>
            </w:r>
          </w:p>
          <w:p>
            <w:pPr>
              <w:pStyle w:val="TableParagraph"/>
              <w:spacing w:line="247" w:lineRule="auto"/>
              <w:ind w:left="110" w:right="67"/>
              <w:jc w:val="both"/>
              <w:rPr>
                <w:sz w:val="16"/>
              </w:rPr>
            </w:pPr>
            <w:r>
              <w:rPr>
                <w:spacing w:val="-10"/>
                <w:sz w:val="16"/>
              </w:rPr>
              <w:t>的基因方面起着突出作用。通过使用小鼠模型，证</w:t>
            </w:r>
            <w:r>
              <w:rPr>
                <w:spacing w:val="-14"/>
                <w:w w:val="105"/>
                <w:sz w:val="16"/>
              </w:rPr>
              <w:t>实了利用缺乏 </w:t>
            </w:r>
            <w:r>
              <w:rPr>
                <w:spacing w:val="-6"/>
                <w:w w:val="105"/>
                <w:sz w:val="16"/>
              </w:rPr>
              <w:t>Nr4a</w:t>
            </w:r>
            <w:r>
              <w:rPr>
                <w:spacing w:val="-13"/>
                <w:w w:val="105"/>
                <w:sz w:val="16"/>
              </w:rPr>
              <w:t> 转录因子的 </w:t>
            </w:r>
            <w:r>
              <w:rPr>
                <w:spacing w:val="-7"/>
                <w:w w:val="105"/>
                <w:sz w:val="16"/>
              </w:rPr>
              <w:t>CAR-T</w:t>
            </w:r>
            <w:r>
              <w:rPr>
                <w:spacing w:val="-11"/>
                <w:w w:val="105"/>
                <w:sz w:val="16"/>
              </w:rPr>
              <w:t> 细胞治疗小</w:t>
            </w:r>
            <w:r>
              <w:rPr>
                <w:spacing w:val="-4"/>
                <w:w w:val="105"/>
                <w:sz w:val="16"/>
              </w:rPr>
              <w:t>鼠可让肿瘤缩小和提高生存率。</w:t>
            </w:r>
          </w:p>
        </w:tc>
      </w:tr>
      <w:tr>
        <w:trPr>
          <w:trHeight w:val="825" w:hRule="atLeast"/>
        </w:trPr>
        <w:tc>
          <w:tcPr>
            <w:tcW w:w="931" w:type="dxa"/>
          </w:tcPr>
          <w:p>
            <w:pPr>
              <w:pStyle w:val="TableParagraph"/>
              <w:spacing w:line="237" w:lineRule="auto" w:before="81"/>
              <w:ind w:right="65"/>
              <w:jc w:val="both"/>
              <w:rPr>
                <w:sz w:val="16"/>
              </w:rPr>
            </w:pPr>
            <w:r>
              <w:rPr>
                <w:w w:val="105"/>
                <w:sz w:val="16"/>
              </w:rPr>
              <w:t>实 体 瘤</w:t>
            </w:r>
            <w:r>
              <w:rPr>
                <w:sz w:val="16"/>
              </w:rPr>
              <w:t>Car-M（巨</w:t>
            </w:r>
            <w:r>
              <w:rPr>
                <w:w w:val="105"/>
                <w:sz w:val="16"/>
              </w:rPr>
              <w:t>噬细胞）</w:t>
            </w:r>
          </w:p>
        </w:tc>
        <w:tc>
          <w:tcPr>
            <w:tcW w:w="2388" w:type="dxa"/>
          </w:tcPr>
          <w:p>
            <w:pPr>
              <w:pStyle w:val="TableParagraph"/>
              <w:spacing w:line="237" w:lineRule="auto" w:before="81"/>
              <w:ind w:right="76"/>
              <w:jc w:val="both"/>
              <w:rPr>
                <w:sz w:val="16"/>
              </w:rPr>
            </w:pPr>
            <w:r>
              <w:rPr>
                <w:w w:val="105"/>
                <w:sz w:val="16"/>
              </w:rPr>
              <w:t>Human chimeric antigen receptor macrophages for cancer immunotherapy</w:t>
            </w:r>
          </w:p>
        </w:tc>
        <w:tc>
          <w:tcPr>
            <w:tcW w:w="2718" w:type="dxa"/>
            <w:tcBorders>
              <w:right w:val="single" w:sz="8" w:space="0" w:color="000000"/>
            </w:tcBorders>
          </w:tcPr>
          <w:p>
            <w:pPr>
              <w:pStyle w:val="TableParagraph"/>
              <w:spacing w:before="6"/>
              <w:ind w:left="0"/>
              <w:rPr>
                <w:sz w:val="21"/>
              </w:rPr>
            </w:pPr>
          </w:p>
          <w:p>
            <w:pPr>
              <w:pStyle w:val="TableParagraph"/>
              <w:rPr>
                <w:sz w:val="16"/>
              </w:rPr>
            </w:pPr>
            <w:r>
              <w:rPr>
                <w:w w:val="105"/>
                <w:sz w:val="16"/>
              </w:rPr>
              <w:t>doi:10.1038/s41587-020-0462-y.</w:t>
            </w:r>
          </w:p>
        </w:tc>
        <w:tc>
          <w:tcPr>
            <w:tcW w:w="3739" w:type="dxa"/>
            <w:tcBorders>
              <w:left w:val="single" w:sz="8" w:space="0" w:color="000000"/>
            </w:tcBorders>
          </w:tcPr>
          <w:p>
            <w:pPr>
              <w:pStyle w:val="TableParagraph"/>
              <w:spacing w:line="175" w:lineRule="exact"/>
              <w:ind w:left="110"/>
              <w:rPr>
                <w:sz w:val="16"/>
              </w:rPr>
            </w:pPr>
            <w:r>
              <w:rPr>
                <w:sz w:val="16"/>
              </w:rPr>
              <w:t>对巨噬细胞进行基因改造可能是开发有效治疗实</w:t>
            </w:r>
          </w:p>
          <w:p>
            <w:pPr>
              <w:pStyle w:val="TableParagraph"/>
              <w:spacing w:line="247" w:lineRule="auto"/>
              <w:ind w:left="110" w:right="66"/>
              <w:jc w:val="both"/>
              <w:rPr>
                <w:sz w:val="16"/>
              </w:rPr>
            </w:pPr>
            <w:r>
              <w:rPr>
                <w:spacing w:val="-10"/>
                <w:sz w:val="16"/>
              </w:rPr>
              <w:t>体瘤的细胞疗法的关键。他们能够证实这些经基因</w:t>
            </w:r>
            <w:r>
              <w:rPr>
                <w:spacing w:val="-15"/>
                <w:w w:val="105"/>
                <w:sz w:val="16"/>
              </w:rPr>
              <w:t>改造后表达 </w:t>
            </w:r>
            <w:r>
              <w:rPr>
                <w:spacing w:val="-6"/>
                <w:w w:val="105"/>
                <w:sz w:val="16"/>
              </w:rPr>
              <w:t>CAR</w:t>
            </w:r>
            <w:r>
              <w:rPr>
                <w:spacing w:val="-10"/>
                <w:w w:val="105"/>
                <w:sz w:val="16"/>
              </w:rPr>
              <w:t> 的巨噬细胞</w:t>
            </w:r>
            <w:r>
              <w:rPr>
                <w:spacing w:val="-4"/>
                <w:w w:val="105"/>
                <w:sz w:val="16"/>
              </w:rPr>
              <w:t>（CAR-M）</w:t>
            </w:r>
            <w:r>
              <w:rPr>
                <w:spacing w:val="-7"/>
                <w:w w:val="105"/>
                <w:sz w:val="16"/>
              </w:rPr>
              <w:t>可以杀死实</w:t>
            </w:r>
            <w:r>
              <w:rPr>
                <w:spacing w:val="-5"/>
                <w:w w:val="105"/>
                <w:sz w:val="16"/>
              </w:rPr>
              <w:t>验室人类样品和小鼠模型中的肿瘤。</w:t>
            </w:r>
          </w:p>
        </w:tc>
      </w:tr>
      <w:tr>
        <w:trPr>
          <w:trHeight w:val="1035" w:hRule="atLeast"/>
        </w:trPr>
        <w:tc>
          <w:tcPr>
            <w:tcW w:w="931" w:type="dxa"/>
          </w:tcPr>
          <w:p>
            <w:pPr>
              <w:pStyle w:val="TableParagraph"/>
              <w:ind w:left="0"/>
              <w:rPr>
                <w:sz w:val="16"/>
              </w:rPr>
            </w:pPr>
          </w:p>
          <w:p>
            <w:pPr>
              <w:pStyle w:val="TableParagraph"/>
              <w:spacing w:before="9"/>
              <w:ind w:left="0"/>
              <w:rPr>
                <w:sz w:val="13"/>
              </w:rPr>
            </w:pPr>
          </w:p>
          <w:p>
            <w:pPr>
              <w:pStyle w:val="TableParagraph"/>
              <w:rPr>
                <w:sz w:val="16"/>
              </w:rPr>
            </w:pPr>
            <w:r>
              <w:rPr>
                <w:w w:val="105"/>
                <w:sz w:val="16"/>
              </w:rPr>
              <w:t>结直肠癌</w:t>
            </w:r>
          </w:p>
        </w:tc>
        <w:tc>
          <w:tcPr>
            <w:tcW w:w="2388" w:type="dxa"/>
          </w:tcPr>
          <w:p>
            <w:pPr>
              <w:pStyle w:val="TableParagraph"/>
              <w:spacing w:line="176" w:lineRule="exact"/>
              <w:jc w:val="both"/>
              <w:rPr>
                <w:sz w:val="16"/>
              </w:rPr>
            </w:pPr>
            <w:r>
              <w:rPr>
                <w:w w:val="105"/>
                <w:sz w:val="16"/>
              </w:rPr>
              <w:t>Preclinical Evaluation of</w:t>
            </w:r>
          </w:p>
          <w:p>
            <w:pPr>
              <w:pStyle w:val="TableParagraph"/>
              <w:tabs>
                <w:tab w:pos="1734" w:val="left" w:leader="none"/>
              </w:tabs>
              <w:spacing w:line="247" w:lineRule="auto"/>
              <w:ind w:right="73"/>
              <w:jc w:val="both"/>
              <w:rPr>
                <w:sz w:val="16"/>
              </w:rPr>
            </w:pPr>
            <w:r>
              <w:rPr>
                <w:w w:val="105"/>
                <w:sz w:val="16"/>
              </w:rPr>
              <w:t>Chimeric</w:t>
              <w:tab/>
            </w:r>
            <w:r>
              <w:rPr>
                <w:spacing w:val="-5"/>
                <w:w w:val="105"/>
                <w:sz w:val="16"/>
              </w:rPr>
              <w:t>Antigen </w:t>
            </w:r>
            <w:r>
              <w:rPr>
                <w:spacing w:val="-3"/>
                <w:w w:val="105"/>
                <w:sz w:val="16"/>
              </w:rPr>
              <w:t>Receptor-Modified </w:t>
            </w:r>
            <w:r>
              <w:rPr>
                <w:w w:val="105"/>
                <w:sz w:val="16"/>
              </w:rPr>
              <w:t>T </w:t>
            </w:r>
            <w:r>
              <w:rPr>
                <w:spacing w:val="-4"/>
                <w:w w:val="105"/>
                <w:sz w:val="16"/>
              </w:rPr>
              <w:t>Cells </w:t>
            </w:r>
            <w:r>
              <w:rPr>
                <w:w w:val="105"/>
                <w:sz w:val="16"/>
              </w:rPr>
              <w:t>Specific </w:t>
            </w:r>
            <w:r>
              <w:rPr>
                <w:spacing w:val="3"/>
                <w:w w:val="105"/>
                <w:sz w:val="16"/>
              </w:rPr>
              <w:t>to </w:t>
            </w:r>
            <w:r>
              <w:rPr>
                <w:w w:val="105"/>
                <w:sz w:val="16"/>
              </w:rPr>
              <w:t>EpCAM for </w:t>
            </w:r>
            <w:r>
              <w:rPr>
                <w:spacing w:val="2"/>
                <w:w w:val="105"/>
                <w:sz w:val="16"/>
              </w:rPr>
              <w:t>Treating</w:t>
            </w:r>
            <w:r>
              <w:rPr>
                <w:spacing w:val="-30"/>
                <w:w w:val="105"/>
                <w:sz w:val="16"/>
              </w:rPr>
              <w:t> </w:t>
            </w:r>
            <w:r>
              <w:rPr>
                <w:w w:val="105"/>
                <w:sz w:val="16"/>
              </w:rPr>
              <w:t>Colorectal</w:t>
            </w:r>
            <w:r>
              <w:rPr>
                <w:spacing w:val="-41"/>
                <w:w w:val="105"/>
                <w:sz w:val="16"/>
              </w:rPr>
              <w:t> </w:t>
            </w:r>
            <w:r>
              <w:rPr>
                <w:w w:val="105"/>
                <w:sz w:val="16"/>
              </w:rPr>
              <w:t>Cancer</w:t>
            </w:r>
          </w:p>
        </w:tc>
        <w:tc>
          <w:tcPr>
            <w:tcW w:w="2718" w:type="dxa"/>
            <w:tcBorders>
              <w:right w:val="single" w:sz="8" w:space="0" w:color="000000"/>
            </w:tcBorders>
          </w:tcPr>
          <w:p>
            <w:pPr>
              <w:pStyle w:val="TableParagraph"/>
              <w:ind w:left="0"/>
              <w:rPr>
                <w:sz w:val="16"/>
              </w:rPr>
            </w:pPr>
          </w:p>
          <w:p>
            <w:pPr>
              <w:pStyle w:val="TableParagraph"/>
              <w:spacing w:before="9"/>
              <w:ind w:left="0"/>
              <w:rPr>
                <w:sz w:val="13"/>
              </w:rPr>
            </w:pPr>
          </w:p>
          <w:p>
            <w:pPr>
              <w:pStyle w:val="TableParagraph"/>
              <w:rPr>
                <w:sz w:val="16"/>
              </w:rPr>
            </w:pPr>
            <w:r>
              <w:rPr>
                <w:w w:val="105"/>
                <w:sz w:val="16"/>
              </w:rPr>
              <w:t>doi:10.1089/hum.2018.229</w:t>
            </w:r>
          </w:p>
        </w:tc>
        <w:tc>
          <w:tcPr>
            <w:tcW w:w="3739" w:type="dxa"/>
            <w:tcBorders>
              <w:left w:val="single" w:sz="8" w:space="0" w:color="000000"/>
            </w:tcBorders>
          </w:tcPr>
          <w:p>
            <w:pPr>
              <w:pStyle w:val="TableParagraph"/>
              <w:spacing w:line="176" w:lineRule="exact"/>
              <w:ind w:left="110"/>
              <w:rPr>
                <w:sz w:val="16"/>
              </w:rPr>
            </w:pPr>
            <w:r>
              <w:rPr>
                <w:w w:val="105"/>
                <w:sz w:val="16"/>
              </w:rPr>
              <w:t>靶向肿瘤生物标志物上皮细胞粘附分子</w:t>
            </w:r>
            <w:r>
              <w:rPr>
                <w:sz w:val="16"/>
              </w:rPr>
              <w:t> </w:t>
            </w:r>
          </w:p>
          <w:p>
            <w:pPr>
              <w:pStyle w:val="TableParagraph"/>
              <w:spacing w:line="247" w:lineRule="auto"/>
              <w:ind w:left="110" w:right="66"/>
              <w:jc w:val="both"/>
              <w:rPr>
                <w:sz w:val="16"/>
              </w:rPr>
            </w:pPr>
            <w:r>
              <w:rPr>
                <w:w w:val="105"/>
                <w:sz w:val="16"/>
              </w:rPr>
              <w:t>(epithelial</w:t>
            </w:r>
            <w:r>
              <w:rPr>
                <w:spacing w:val="-32"/>
                <w:w w:val="105"/>
                <w:sz w:val="16"/>
              </w:rPr>
              <w:t> </w:t>
            </w:r>
            <w:r>
              <w:rPr>
                <w:spacing w:val="-3"/>
                <w:w w:val="105"/>
                <w:sz w:val="16"/>
              </w:rPr>
              <w:t>cell</w:t>
            </w:r>
            <w:r>
              <w:rPr>
                <w:spacing w:val="-20"/>
                <w:w w:val="105"/>
                <w:sz w:val="16"/>
              </w:rPr>
              <w:t> </w:t>
            </w:r>
            <w:r>
              <w:rPr>
                <w:spacing w:val="-4"/>
                <w:w w:val="105"/>
                <w:sz w:val="16"/>
              </w:rPr>
              <w:t>adhesion</w:t>
            </w:r>
            <w:r>
              <w:rPr>
                <w:spacing w:val="-20"/>
                <w:w w:val="105"/>
                <w:sz w:val="16"/>
              </w:rPr>
              <w:t> </w:t>
            </w:r>
            <w:r>
              <w:rPr>
                <w:spacing w:val="-4"/>
                <w:w w:val="105"/>
                <w:sz w:val="16"/>
              </w:rPr>
              <w:t>molecule，EpCAM</w:t>
            </w:r>
            <w:r>
              <w:rPr>
                <w:spacing w:val="-2"/>
                <w:w w:val="105"/>
                <w:sz w:val="16"/>
              </w:rPr>
              <w:t>)的</w:t>
            </w:r>
            <w:r>
              <w:rPr>
                <w:spacing w:val="-11"/>
                <w:sz w:val="16"/>
              </w:rPr>
              <w:t>癌症免疫疗法对小鼠安全无毒，而且可以显著延缓</w:t>
            </w:r>
            <w:r>
              <w:rPr>
                <w:spacing w:val="-9"/>
                <w:sz w:val="16"/>
              </w:rPr>
              <w:t>肿瘤的形成和生长。</w:t>
            </w:r>
            <w:r>
              <w:rPr>
                <w:spacing w:val="-4"/>
                <w:sz w:val="16"/>
              </w:rPr>
              <w:t>EpCAM</w:t>
            </w:r>
            <w:r>
              <w:rPr>
                <w:spacing w:val="-5"/>
                <w:sz w:val="16"/>
              </w:rPr>
              <w:t> 在多种类型的肿瘤、循</w:t>
            </w:r>
            <w:r>
              <w:rPr>
                <w:spacing w:val="-5"/>
                <w:w w:val="105"/>
                <w:sz w:val="16"/>
              </w:rPr>
              <w:t>环肿瘤细胞和肿瘤干细胞中均过表达</w:t>
            </w:r>
          </w:p>
        </w:tc>
      </w:tr>
    </w:tbl>
    <w:p>
      <w:pPr>
        <w:spacing w:before="35"/>
        <w:ind w:left="896" w:right="0" w:firstLine="0"/>
        <w:jc w:val="left"/>
        <w:rPr>
          <w:b/>
          <w:sz w:val="16"/>
        </w:rPr>
      </w:pPr>
      <w:r>
        <w:rPr>
          <w:b/>
          <w:w w:val="105"/>
          <w:sz w:val="16"/>
        </w:rPr>
        <w:t>数据来源：公开论文，财通证券研究所</w:t>
      </w:r>
    </w:p>
    <w:p>
      <w:pPr>
        <w:pStyle w:val="BodyText"/>
        <w:rPr>
          <w:b/>
          <w:sz w:val="20"/>
        </w:rPr>
      </w:pPr>
    </w:p>
    <w:p>
      <w:pPr>
        <w:pStyle w:val="BodyText"/>
        <w:rPr>
          <w:b/>
          <w:sz w:val="20"/>
        </w:rPr>
      </w:pPr>
    </w:p>
    <w:p>
      <w:pPr>
        <w:pStyle w:val="BodyText"/>
        <w:spacing w:before="4"/>
        <w:rPr>
          <w:b/>
          <w:sz w:val="19"/>
        </w:rPr>
      </w:pPr>
    </w:p>
    <w:p>
      <w:pPr>
        <w:pStyle w:val="Heading1"/>
        <w:spacing w:before="66"/>
      </w:pPr>
      <w:bookmarkStart w:name="_TOC_250014" w:id="10"/>
      <w:bookmarkEnd w:id="10"/>
      <w:r>
        <w:rPr/>
        <w:t>4、 路修远以多艰兮，Car-T 临床副作用与解决方案</w:t>
      </w:r>
    </w:p>
    <w:p>
      <w:pPr>
        <w:spacing w:after="0"/>
        <w:sectPr>
          <w:pgSz w:w="11910" w:h="16850"/>
          <w:pgMar w:header="796" w:footer="1296" w:top="1340" w:bottom="1480" w:left="260" w:right="300"/>
        </w:sectPr>
      </w:pPr>
    </w:p>
    <w:p>
      <w:pPr>
        <w:pStyle w:val="BodyText"/>
        <w:spacing w:before="1"/>
        <w:rPr>
          <w:b/>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773"/>
      </w:pPr>
      <w:r>
        <w:rPr>
          <w:b/>
          <w:spacing w:val="3"/>
        </w:rPr>
        <w:t>Car-T</w:t>
      </w:r>
      <w:r>
        <w:rPr>
          <w:b/>
          <w:spacing w:val="-7"/>
        </w:rPr>
        <w:t> 的不良反应是临床使用时不容忽视的问题。</w:t>
      </w:r>
      <w:r>
        <w:rPr/>
        <w:t>CAR-T</w:t>
      </w:r>
      <w:r>
        <w:rPr>
          <w:spacing w:val="-8"/>
        </w:rPr>
        <w:t> 细胞疗法在血液肿瘤中</w:t>
      </w:r>
      <w:r>
        <w:rPr>
          <w:spacing w:val="-12"/>
        </w:rPr>
        <w:t>的临床获益没有受到质疑，但在治疗过程中产生的细胞因子释放综合征和神经毒</w:t>
      </w:r>
      <w:r>
        <w:rPr>
          <w:spacing w:val="-15"/>
        </w:rPr>
        <w:t>性等是不能被忽视的，有时甚至是致命的。一般而言 </w:t>
      </w:r>
      <w:r>
        <w:rPr/>
        <w:t>3</w:t>
      </w:r>
      <w:r>
        <w:rPr>
          <w:spacing w:val="-7"/>
        </w:rPr>
        <w:t> 级以上的不良反应主要包</w:t>
      </w:r>
      <w:r>
        <w:rPr>
          <w:spacing w:val="-8"/>
        </w:rPr>
        <w:t>括细胞因子释放综合征</w:t>
      </w:r>
      <w:r>
        <w:rPr>
          <w:spacing w:val="-3"/>
        </w:rPr>
        <w:t>（</w:t>
      </w:r>
      <w:r>
        <w:rPr/>
        <w:t>CRS</w:t>
      </w:r>
      <w:r>
        <w:rPr>
          <w:spacing w:val="-105"/>
        </w:rPr>
        <w:t>）</w:t>
      </w:r>
      <w:r>
        <w:rPr>
          <w:spacing w:val="-7"/>
        </w:rPr>
        <w:t>、中性粒细胞减少、和神经毒性事件。细胞因子综</w:t>
      </w:r>
      <w:r>
        <w:rPr>
          <w:spacing w:val="-11"/>
        </w:rPr>
        <w:t>合征和神经毒性是在 </w:t>
      </w:r>
      <w:r>
        <w:rPr/>
        <w:t>CAR-T</w:t>
      </w:r>
      <w:r>
        <w:rPr>
          <w:spacing w:val="-11"/>
        </w:rPr>
        <w:t> 细胞疗法中最常被报道的毒性反应，有时甚至会造成患者死亡。细胞因子风暴症状 </w:t>
      </w:r>
      <w:r>
        <w:rPr/>
        <w:t>CRS</w:t>
      </w:r>
      <w:r>
        <w:rPr>
          <w:spacing w:val="-10"/>
        </w:rPr>
        <w:t> 分为轻度和重度，轻度主要反映为发烧、低血</w:t>
      </w:r>
      <w:r>
        <w:rPr>
          <w:spacing w:val="-21"/>
        </w:rPr>
        <w:t>压、心动过速、低氧、疲劳，而重度 </w:t>
      </w:r>
      <w:r>
        <w:rPr/>
        <w:t>CRS</w:t>
      </w:r>
      <w:r>
        <w:rPr>
          <w:spacing w:val="-11"/>
        </w:rPr>
        <w:t> 弥散性血管凝血、多器官损伤如干毒性、</w:t>
      </w:r>
      <w:r>
        <w:rPr>
          <w:spacing w:val="-15"/>
        </w:rPr>
        <w:t>肾衰竭、心血管疾病等。另一方面，</w:t>
      </w:r>
      <w:r>
        <w:rPr>
          <w:spacing w:val="-13"/>
        </w:rPr>
        <w:t>CAR-T</w:t>
      </w:r>
      <w:r>
        <w:rPr>
          <w:spacing w:val="-7"/>
        </w:rPr>
        <w:t> 细胞治疗应用在血液系统恶行肿瘤中， </w:t>
      </w:r>
      <w:r>
        <w:rPr>
          <w:spacing w:val="-10"/>
        </w:rPr>
        <w:t>会出现非肿瘤细胞的 </w:t>
      </w:r>
      <w:r>
        <w:rPr/>
        <w:t>B</w:t>
      </w:r>
      <w:r>
        <w:rPr>
          <w:spacing w:val="-6"/>
        </w:rPr>
        <w:t> 细胞再生障碍的毒性反应，但这一副作用是较为可控的， 临床上主要通过定期让患者注射球免。</w:t>
      </w:r>
    </w:p>
    <w:p>
      <w:pPr>
        <w:pStyle w:val="BodyText"/>
        <w:rPr>
          <w:sz w:val="20"/>
        </w:rPr>
      </w:pPr>
    </w:p>
    <w:p>
      <w:pPr>
        <w:pStyle w:val="BodyText"/>
        <w:rPr>
          <w:sz w:val="18"/>
        </w:rPr>
      </w:pPr>
    </w:p>
    <w:tbl>
      <w:tblPr>
        <w:tblW w:w="0" w:type="auto"/>
        <w:jc w:val="left"/>
        <w:tblInd w:w="30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99"/>
        <w:gridCol w:w="4325"/>
      </w:tblGrid>
      <w:tr>
        <w:trPr>
          <w:trHeight w:val="330" w:hRule="atLeast"/>
        </w:trPr>
        <w:tc>
          <w:tcPr>
            <w:tcW w:w="7524" w:type="dxa"/>
            <w:gridSpan w:val="2"/>
            <w:tcBorders>
              <w:top w:val="nil"/>
              <w:left w:val="nil"/>
              <w:bottom w:val="nil"/>
              <w:right w:val="nil"/>
            </w:tcBorders>
            <w:shd w:val="clear" w:color="auto" w:fill="A11D04"/>
          </w:tcPr>
          <w:p>
            <w:pPr>
              <w:pStyle w:val="TableParagraph"/>
              <w:spacing w:before="30"/>
              <w:ind w:left="120"/>
              <w:rPr>
                <w:b/>
                <w:sz w:val="21"/>
              </w:rPr>
            </w:pPr>
            <w:r>
              <w:rPr>
                <w:b/>
                <w:color w:val="FFFFFF"/>
                <w:sz w:val="21"/>
              </w:rPr>
              <w:t>表 6：Car-T 常见不良反应</w:t>
            </w:r>
          </w:p>
        </w:tc>
      </w:tr>
      <w:tr>
        <w:trPr>
          <w:trHeight w:val="345" w:hRule="atLeast"/>
        </w:trPr>
        <w:tc>
          <w:tcPr>
            <w:tcW w:w="7524" w:type="dxa"/>
            <w:gridSpan w:val="2"/>
            <w:tcBorders>
              <w:top w:val="nil"/>
              <w:left w:val="nil"/>
              <w:right w:val="nil"/>
            </w:tcBorders>
            <w:shd w:val="clear" w:color="auto" w:fill="C00000"/>
          </w:tcPr>
          <w:p>
            <w:pPr>
              <w:pStyle w:val="TableParagraph"/>
              <w:tabs>
                <w:tab w:pos="3318" w:val="left" w:leader="none"/>
              </w:tabs>
              <w:spacing w:before="35"/>
              <w:ind w:left="120"/>
              <w:rPr>
                <w:sz w:val="22"/>
              </w:rPr>
            </w:pPr>
            <w:r>
              <w:rPr>
                <w:color w:val="FFFFFF"/>
                <w:spacing w:val="15"/>
                <w:sz w:val="22"/>
              </w:rPr>
              <w:t>分布</w:t>
            </w:r>
            <w:r>
              <w:rPr>
                <w:color w:val="FFFFFF"/>
                <w:sz w:val="22"/>
              </w:rPr>
              <w:t>系统</w:t>
              <w:tab/>
            </w:r>
            <w:r>
              <w:rPr>
                <w:color w:val="FFFFFF"/>
                <w:spacing w:val="15"/>
                <w:sz w:val="22"/>
              </w:rPr>
              <w:t>不良</w:t>
            </w:r>
            <w:r>
              <w:rPr>
                <w:color w:val="FFFFFF"/>
                <w:sz w:val="22"/>
              </w:rPr>
              <w:t>反应</w:t>
            </w:r>
          </w:p>
        </w:tc>
      </w:tr>
      <w:tr>
        <w:trPr>
          <w:trHeight w:val="330" w:hRule="atLeast"/>
        </w:trPr>
        <w:tc>
          <w:tcPr>
            <w:tcW w:w="3199" w:type="dxa"/>
          </w:tcPr>
          <w:p>
            <w:pPr>
              <w:pStyle w:val="TableParagraph"/>
              <w:spacing w:before="20"/>
              <w:rPr>
                <w:sz w:val="22"/>
              </w:rPr>
            </w:pPr>
            <w:r>
              <w:rPr>
                <w:sz w:val="22"/>
              </w:rPr>
              <w:t>全身反应</w:t>
            </w:r>
          </w:p>
        </w:tc>
        <w:tc>
          <w:tcPr>
            <w:tcW w:w="4325" w:type="dxa"/>
          </w:tcPr>
          <w:p>
            <w:pPr>
              <w:pStyle w:val="TableParagraph"/>
              <w:spacing w:before="20"/>
              <w:rPr>
                <w:sz w:val="22"/>
              </w:rPr>
            </w:pPr>
            <w:r>
              <w:rPr>
                <w:sz w:val="22"/>
              </w:rPr>
              <w:t>发热、肌张力升高、萎靡不振、溶瘤综合症</w:t>
            </w:r>
          </w:p>
        </w:tc>
      </w:tr>
      <w:tr>
        <w:trPr>
          <w:trHeight w:val="570" w:hRule="atLeast"/>
        </w:trPr>
        <w:tc>
          <w:tcPr>
            <w:tcW w:w="3199" w:type="dxa"/>
          </w:tcPr>
          <w:p>
            <w:pPr>
              <w:pStyle w:val="TableParagraph"/>
              <w:spacing w:before="140"/>
              <w:rPr>
                <w:sz w:val="22"/>
              </w:rPr>
            </w:pPr>
            <w:r>
              <w:rPr>
                <w:sz w:val="22"/>
              </w:rPr>
              <w:t>心血管系统</w:t>
            </w:r>
          </w:p>
        </w:tc>
        <w:tc>
          <w:tcPr>
            <w:tcW w:w="4325" w:type="dxa"/>
          </w:tcPr>
          <w:p>
            <w:pPr>
              <w:pStyle w:val="TableParagraph"/>
              <w:spacing w:line="280" w:lineRule="atLeast"/>
              <w:ind w:right="63"/>
              <w:rPr>
                <w:sz w:val="22"/>
              </w:rPr>
            </w:pPr>
            <w:r>
              <w:rPr>
                <w:spacing w:val="-14"/>
                <w:sz w:val="22"/>
              </w:rPr>
              <w:t>心动过速、血压下降、严重心律失常、左心</w:t>
            </w:r>
            <w:r>
              <w:rPr>
                <w:spacing w:val="-4"/>
                <w:sz w:val="22"/>
              </w:rPr>
              <w:t>输出量下降、肌钙蛋白升高</w:t>
            </w:r>
          </w:p>
        </w:tc>
      </w:tr>
      <w:tr>
        <w:trPr>
          <w:trHeight w:val="330" w:hRule="atLeast"/>
        </w:trPr>
        <w:tc>
          <w:tcPr>
            <w:tcW w:w="3199" w:type="dxa"/>
          </w:tcPr>
          <w:p>
            <w:pPr>
              <w:pStyle w:val="TableParagraph"/>
              <w:spacing w:before="20"/>
              <w:rPr>
                <w:sz w:val="22"/>
              </w:rPr>
            </w:pPr>
            <w:r>
              <w:rPr>
                <w:sz w:val="22"/>
              </w:rPr>
              <w:t>呼吸系统</w:t>
            </w:r>
          </w:p>
        </w:tc>
        <w:tc>
          <w:tcPr>
            <w:tcW w:w="4325" w:type="dxa"/>
          </w:tcPr>
          <w:p>
            <w:pPr>
              <w:pStyle w:val="TableParagraph"/>
              <w:spacing w:before="20"/>
              <w:rPr>
                <w:sz w:val="22"/>
              </w:rPr>
            </w:pPr>
            <w:r>
              <w:rPr>
                <w:sz w:val="22"/>
              </w:rPr>
              <w:t>呼吸窘迫、缺氧、呼吸衰竭</w:t>
            </w:r>
          </w:p>
        </w:tc>
      </w:tr>
      <w:tr>
        <w:trPr>
          <w:trHeight w:val="345" w:hRule="atLeast"/>
        </w:trPr>
        <w:tc>
          <w:tcPr>
            <w:tcW w:w="3199" w:type="dxa"/>
          </w:tcPr>
          <w:p>
            <w:pPr>
              <w:pStyle w:val="TableParagraph"/>
              <w:spacing w:before="35"/>
              <w:rPr>
                <w:sz w:val="22"/>
              </w:rPr>
            </w:pPr>
            <w:r>
              <w:rPr>
                <w:sz w:val="22"/>
              </w:rPr>
              <w:t>消化系统</w:t>
            </w:r>
          </w:p>
        </w:tc>
        <w:tc>
          <w:tcPr>
            <w:tcW w:w="4325" w:type="dxa"/>
          </w:tcPr>
          <w:p>
            <w:pPr>
              <w:pStyle w:val="TableParagraph"/>
              <w:spacing w:before="35"/>
              <w:rPr>
                <w:sz w:val="22"/>
              </w:rPr>
            </w:pPr>
            <w:r>
              <w:rPr>
                <w:sz w:val="22"/>
              </w:rPr>
              <w:t>恶心、呕吐、腹泻、转氨酶及胆红素异常</w:t>
            </w:r>
          </w:p>
        </w:tc>
      </w:tr>
      <w:tr>
        <w:trPr>
          <w:trHeight w:val="330" w:hRule="atLeast"/>
        </w:trPr>
        <w:tc>
          <w:tcPr>
            <w:tcW w:w="3199" w:type="dxa"/>
          </w:tcPr>
          <w:p>
            <w:pPr>
              <w:pStyle w:val="TableParagraph"/>
              <w:spacing w:before="20"/>
              <w:rPr>
                <w:sz w:val="22"/>
              </w:rPr>
            </w:pPr>
            <w:r>
              <w:rPr>
                <w:sz w:val="22"/>
              </w:rPr>
              <w:t>泌尿系统</w:t>
            </w:r>
          </w:p>
        </w:tc>
        <w:tc>
          <w:tcPr>
            <w:tcW w:w="4325" w:type="dxa"/>
          </w:tcPr>
          <w:p>
            <w:pPr>
              <w:pStyle w:val="TableParagraph"/>
              <w:spacing w:before="20"/>
              <w:rPr>
                <w:sz w:val="22"/>
              </w:rPr>
            </w:pPr>
            <w:r>
              <w:rPr>
                <w:sz w:val="22"/>
              </w:rPr>
              <w:t>急性肾损伤、低钾（钠）血症</w:t>
            </w:r>
          </w:p>
        </w:tc>
      </w:tr>
      <w:tr>
        <w:trPr>
          <w:trHeight w:val="570" w:hRule="atLeast"/>
        </w:trPr>
        <w:tc>
          <w:tcPr>
            <w:tcW w:w="3199" w:type="dxa"/>
          </w:tcPr>
          <w:p>
            <w:pPr>
              <w:pStyle w:val="TableParagraph"/>
              <w:spacing w:before="140"/>
              <w:rPr>
                <w:sz w:val="22"/>
              </w:rPr>
            </w:pPr>
            <w:r>
              <w:rPr>
                <w:sz w:val="22"/>
              </w:rPr>
              <w:t>造血系统</w:t>
            </w:r>
          </w:p>
        </w:tc>
        <w:tc>
          <w:tcPr>
            <w:tcW w:w="4325" w:type="dxa"/>
          </w:tcPr>
          <w:p>
            <w:pPr>
              <w:pStyle w:val="TableParagraph"/>
              <w:spacing w:line="280" w:lineRule="atLeast"/>
              <w:ind w:right="9"/>
              <w:rPr>
                <w:sz w:val="22"/>
              </w:rPr>
            </w:pPr>
            <w:r>
              <w:rPr>
                <w:sz w:val="22"/>
              </w:rPr>
              <w:t>贫血、粒细胞缺乏、B 细胞成熟障碍、凝血功能异常、DIC</w:t>
            </w:r>
          </w:p>
        </w:tc>
      </w:tr>
      <w:tr>
        <w:trPr>
          <w:trHeight w:val="330" w:hRule="atLeast"/>
        </w:trPr>
        <w:tc>
          <w:tcPr>
            <w:tcW w:w="3199" w:type="dxa"/>
          </w:tcPr>
          <w:p>
            <w:pPr>
              <w:pStyle w:val="TableParagraph"/>
              <w:spacing w:before="20"/>
              <w:rPr>
                <w:sz w:val="22"/>
              </w:rPr>
            </w:pPr>
            <w:r>
              <w:rPr>
                <w:sz w:val="22"/>
              </w:rPr>
              <w:t>运动系统</w:t>
            </w:r>
          </w:p>
        </w:tc>
        <w:tc>
          <w:tcPr>
            <w:tcW w:w="4325" w:type="dxa"/>
          </w:tcPr>
          <w:p>
            <w:pPr>
              <w:pStyle w:val="TableParagraph"/>
              <w:spacing w:before="20"/>
              <w:rPr>
                <w:sz w:val="22"/>
              </w:rPr>
            </w:pPr>
            <w:r>
              <w:rPr>
                <w:sz w:val="22"/>
              </w:rPr>
              <w:t>肌痛、肌酸升高、肌力下降</w:t>
            </w:r>
          </w:p>
        </w:tc>
      </w:tr>
      <w:tr>
        <w:trPr>
          <w:trHeight w:val="570" w:hRule="atLeast"/>
        </w:trPr>
        <w:tc>
          <w:tcPr>
            <w:tcW w:w="3199" w:type="dxa"/>
          </w:tcPr>
          <w:p>
            <w:pPr>
              <w:pStyle w:val="TableParagraph"/>
              <w:spacing w:before="140"/>
              <w:rPr>
                <w:sz w:val="22"/>
              </w:rPr>
            </w:pPr>
            <w:r>
              <w:rPr>
                <w:sz w:val="22"/>
              </w:rPr>
              <w:t>神经系统</w:t>
            </w:r>
          </w:p>
        </w:tc>
        <w:tc>
          <w:tcPr>
            <w:tcW w:w="4325" w:type="dxa"/>
          </w:tcPr>
          <w:p>
            <w:pPr>
              <w:pStyle w:val="TableParagraph"/>
              <w:spacing w:line="280" w:lineRule="atLeast"/>
              <w:ind w:right="61"/>
              <w:rPr>
                <w:sz w:val="22"/>
              </w:rPr>
            </w:pPr>
            <w:r>
              <w:rPr>
                <w:spacing w:val="-14"/>
                <w:sz w:val="22"/>
              </w:rPr>
              <w:t>头痛、失语、共济失调、幻觉、癫痫、肌阵</w:t>
            </w:r>
            <w:r>
              <w:rPr>
                <w:sz w:val="22"/>
              </w:rPr>
              <w:t>挛、面神经麻痹</w:t>
            </w:r>
          </w:p>
        </w:tc>
      </w:tr>
    </w:tbl>
    <w:p>
      <w:pPr>
        <w:spacing w:before="45"/>
        <w:ind w:left="3164" w:right="0" w:firstLine="0"/>
        <w:jc w:val="left"/>
        <w:rPr>
          <w:b/>
          <w:sz w:val="15"/>
        </w:rPr>
      </w:pPr>
      <w:r>
        <w:rPr>
          <w:b/>
          <w:sz w:val="15"/>
        </w:rPr>
        <w:t>数据来源：中国肿瘤生物治疗杂志，财通证券研究所</w:t>
      </w:r>
    </w:p>
    <w:p>
      <w:pPr>
        <w:pStyle w:val="BodyText"/>
        <w:rPr>
          <w:b/>
          <w:sz w:val="20"/>
        </w:rPr>
      </w:pPr>
    </w:p>
    <w:p>
      <w:pPr>
        <w:pStyle w:val="BodyText"/>
        <w:rPr>
          <w:b/>
          <w:sz w:val="20"/>
        </w:rPr>
      </w:pPr>
    </w:p>
    <w:p>
      <w:pPr>
        <w:pStyle w:val="BodyText"/>
        <w:spacing w:before="1"/>
        <w:rPr>
          <w:b/>
          <w:sz w:val="14"/>
        </w:rPr>
      </w:pPr>
    </w:p>
    <w:tbl>
      <w:tblPr>
        <w:tblW w:w="0" w:type="auto"/>
        <w:jc w:val="left"/>
        <w:tblInd w:w="28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23"/>
        <w:gridCol w:w="5527"/>
      </w:tblGrid>
      <w:tr>
        <w:trPr>
          <w:trHeight w:val="345" w:hRule="atLeast"/>
        </w:trPr>
        <w:tc>
          <w:tcPr>
            <w:tcW w:w="7750" w:type="dxa"/>
            <w:gridSpan w:val="2"/>
            <w:tcBorders>
              <w:top w:val="nil"/>
              <w:left w:val="nil"/>
              <w:bottom w:val="nil"/>
              <w:right w:val="nil"/>
            </w:tcBorders>
            <w:shd w:val="clear" w:color="auto" w:fill="A11D04"/>
          </w:tcPr>
          <w:p>
            <w:pPr>
              <w:pStyle w:val="TableParagraph"/>
              <w:spacing w:before="30"/>
              <w:ind w:left="120"/>
              <w:rPr>
                <w:b/>
                <w:sz w:val="21"/>
              </w:rPr>
            </w:pPr>
            <w:r>
              <w:rPr>
                <w:b/>
                <w:color w:val="FFFFFF"/>
                <w:sz w:val="21"/>
              </w:rPr>
              <w:t>表 7：Car-T 主要不良反应治疗手段</w:t>
            </w:r>
          </w:p>
        </w:tc>
      </w:tr>
      <w:tr>
        <w:trPr>
          <w:trHeight w:val="330" w:hRule="atLeast"/>
        </w:trPr>
        <w:tc>
          <w:tcPr>
            <w:tcW w:w="7750" w:type="dxa"/>
            <w:gridSpan w:val="2"/>
            <w:tcBorders>
              <w:top w:val="nil"/>
              <w:left w:val="nil"/>
              <w:right w:val="nil"/>
            </w:tcBorders>
            <w:shd w:val="clear" w:color="auto" w:fill="C00000"/>
          </w:tcPr>
          <w:p>
            <w:pPr>
              <w:pStyle w:val="TableParagraph"/>
              <w:tabs>
                <w:tab w:pos="2342" w:val="left" w:leader="none"/>
              </w:tabs>
              <w:spacing w:before="20"/>
              <w:ind w:left="120"/>
              <w:rPr>
                <w:sz w:val="22"/>
              </w:rPr>
            </w:pPr>
            <w:r>
              <w:rPr>
                <w:color w:val="FFFFFF"/>
                <w:spacing w:val="15"/>
                <w:sz w:val="22"/>
              </w:rPr>
              <w:t>不良</w:t>
            </w:r>
            <w:r>
              <w:rPr>
                <w:color w:val="FFFFFF"/>
                <w:sz w:val="22"/>
              </w:rPr>
              <w:t>反应</w:t>
              <w:tab/>
            </w:r>
            <w:r>
              <w:rPr>
                <w:color w:val="FFFFFF"/>
                <w:spacing w:val="15"/>
                <w:sz w:val="22"/>
              </w:rPr>
              <w:t>治疗</w:t>
            </w:r>
            <w:r>
              <w:rPr>
                <w:color w:val="FFFFFF"/>
                <w:sz w:val="22"/>
              </w:rPr>
              <w:t>手段</w:t>
            </w:r>
          </w:p>
        </w:tc>
      </w:tr>
      <w:tr>
        <w:trPr>
          <w:trHeight w:val="570" w:hRule="atLeast"/>
        </w:trPr>
        <w:tc>
          <w:tcPr>
            <w:tcW w:w="2223" w:type="dxa"/>
          </w:tcPr>
          <w:p>
            <w:pPr>
              <w:pStyle w:val="TableParagraph"/>
              <w:spacing w:before="140"/>
              <w:rPr>
                <w:sz w:val="22"/>
              </w:rPr>
            </w:pPr>
            <w:r>
              <w:rPr>
                <w:sz w:val="22"/>
              </w:rPr>
              <w:t>轻度的细胞因子风暴</w:t>
            </w:r>
          </w:p>
        </w:tc>
        <w:tc>
          <w:tcPr>
            <w:tcW w:w="5527" w:type="dxa"/>
          </w:tcPr>
          <w:p>
            <w:pPr>
              <w:pStyle w:val="TableParagraph"/>
              <w:spacing w:line="280" w:lineRule="atLeast"/>
              <w:ind w:right="63"/>
              <w:rPr>
                <w:sz w:val="22"/>
              </w:rPr>
            </w:pPr>
            <w:r>
              <w:rPr>
                <w:spacing w:val="-9"/>
                <w:sz w:val="22"/>
              </w:rPr>
              <w:t>支持性护理、退烧药治疗，及时评估排除其它病原学致</w:t>
            </w:r>
            <w:r>
              <w:rPr>
                <w:spacing w:val="-5"/>
                <w:sz w:val="22"/>
              </w:rPr>
              <w:t>病因素和使用抗生素治疗以避免感染</w:t>
            </w:r>
          </w:p>
        </w:tc>
      </w:tr>
      <w:tr>
        <w:trPr>
          <w:trHeight w:val="1425" w:hRule="atLeast"/>
        </w:trPr>
        <w:tc>
          <w:tcPr>
            <w:tcW w:w="2223" w:type="dxa"/>
          </w:tcPr>
          <w:p>
            <w:pPr>
              <w:pStyle w:val="TableParagraph"/>
              <w:ind w:left="0"/>
              <w:rPr>
                <w:b/>
                <w:sz w:val="22"/>
              </w:rPr>
            </w:pPr>
          </w:p>
          <w:p>
            <w:pPr>
              <w:pStyle w:val="TableParagraph"/>
              <w:spacing w:before="11"/>
              <w:ind w:left="0"/>
              <w:rPr>
                <w:b/>
                <w:sz w:val="22"/>
              </w:rPr>
            </w:pPr>
          </w:p>
          <w:p>
            <w:pPr>
              <w:pStyle w:val="TableParagraph"/>
              <w:spacing w:before="1"/>
              <w:rPr>
                <w:sz w:val="22"/>
              </w:rPr>
            </w:pPr>
            <w:r>
              <w:rPr>
                <w:sz w:val="22"/>
              </w:rPr>
              <w:t>非轻度细胞因子风暴</w:t>
            </w:r>
          </w:p>
        </w:tc>
        <w:tc>
          <w:tcPr>
            <w:tcW w:w="5527" w:type="dxa"/>
          </w:tcPr>
          <w:p>
            <w:pPr>
              <w:pStyle w:val="TableParagraph"/>
              <w:spacing w:line="242" w:lineRule="auto" w:before="5"/>
              <w:ind w:right="64"/>
              <w:jc w:val="both"/>
              <w:rPr>
                <w:sz w:val="22"/>
              </w:rPr>
            </w:pPr>
            <w:r>
              <w:rPr>
                <w:spacing w:val="32"/>
                <w:sz w:val="22"/>
              </w:rPr>
              <w:t>皮质类固醇</w:t>
            </w:r>
            <w:r>
              <w:rPr>
                <w:sz w:val="22"/>
              </w:rPr>
              <w:t>（</w:t>
            </w:r>
            <w:r>
              <w:rPr>
                <w:spacing w:val="22"/>
                <w:sz w:val="22"/>
              </w:rPr>
              <w:t> 如地塞米松 </w:t>
            </w:r>
            <w:r>
              <w:rPr>
                <w:spacing w:val="-6"/>
                <w:sz w:val="22"/>
              </w:rPr>
              <w:t>10mg</w:t>
            </w:r>
            <w:r>
              <w:rPr>
                <w:spacing w:val="39"/>
                <w:sz w:val="22"/>
              </w:rPr>
              <w:t> 每日两次</w:t>
            </w:r>
            <w:r>
              <w:rPr>
                <w:sz w:val="22"/>
              </w:rPr>
              <w:t>）</w:t>
            </w:r>
            <w:r>
              <w:rPr>
                <w:spacing w:val="-10"/>
                <w:sz w:val="22"/>
              </w:rPr>
              <w:t> 联合tocilizumab</w:t>
            </w:r>
            <w:r>
              <w:rPr>
                <w:spacing w:val="-1"/>
                <w:sz w:val="22"/>
              </w:rPr>
              <w:t> 的使用通常被认为是一线治疗细胞因子风</w:t>
            </w:r>
            <w:r>
              <w:rPr>
                <w:spacing w:val="-4"/>
                <w:sz w:val="22"/>
              </w:rPr>
              <w:t>暴的手段；</w:t>
            </w:r>
            <w:r>
              <w:rPr>
                <w:spacing w:val="-12"/>
                <w:sz w:val="22"/>
              </w:rPr>
              <w:t>Siltuximab</w:t>
            </w:r>
            <w:r>
              <w:rPr>
                <w:spacing w:val="-4"/>
                <w:sz w:val="22"/>
              </w:rPr>
              <w:t>，一种嵌合抗 </w:t>
            </w:r>
            <w:r>
              <w:rPr>
                <w:spacing w:val="-6"/>
                <w:sz w:val="22"/>
              </w:rPr>
              <w:t>IL-6</w:t>
            </w:r>
            <w:r>
              <w:rPr>
                <w:spacing w:val="-5"/>
                <w:sz w:val="22"/>
              </w:rPr>
              <w:t> 单克隆抗体和</w:t>
            </w:r>
            <w:r>
              <w:rPr>
                <w:spacing w:val="-6"/>
                <w:sz w:val="22"/>
              </w:rPr>
              <w:t>anakinra</w:t>
            </w:r>
            <w:r>
              <w:rPr>
                <w:sz w:val="22"/>
              </w:rPr>
              <w:t>，一种 </w:t>
            </w:r>
            <w:r>
              <w:rPr>
                <w:spacing w:val="-6"/>
                <w:sz w:val="22"/>
              </w:rPr>
              <w:t>IL-1</w:t>
            </w:r>
            <w:r>
              <w:rPr>
                <w:spacing w:val="-13"/>
                <w:sz w:val="22"/>
              </w:rPr>
              <w:t> 受体拮抗剂，也被使用过，但为有</w:t>
            </w:r>
          </w:p>
          <w:p>
            <w:pPr>
              <w:pStyle w:val="TableParagraph"/>
              <w:spacing w:line="260" w:lineRule="exact" w:before="2"/>
              <w:rPr>
                <w:sz w:val="22"/>
              </w:rPr>
            </w:pPr>
            <w:r>
              <w:rPr>
                <w:sz w:val="22"/>
              </w:rPr>
              <w:t>数据支持有效性</w:t>
            </w:r>
          </w:p>
        </w:tc>
      </w:tr>
      <w:tr>
        <w:trPr>
          <w:trHeight w:val="330" w:hRule="atLeast"/>
        </w:trPr>
        <w:tc>
          <w:tcPr>
            <w:tcW w:w="2223" w:type="dxa"/>
          </w:tcPr>
          <w:p>
            <w:pPr>
              <w:pStyle w:val="TableParagraph"/>
              <w:spacing w:before="20"/>
              <w:rPr>
                <w:sz w:val="22"/>
              </w:rPr>
            </w:pPr>
            <w:r>
              <w:rPr>
                <w:sz w:val="22"/>
              </w:rPr>
              <w:t>神经毒性</w:t>
            </w:r>
          </w:p>
        </w:tc>
        <w:tc>
          <w:tcPr>
            <w:tcW w:w="5527" w:type="dxa"/>
          </w:tcPr>
          <w:p>
            <w:pPr>
              <w:pStyle w:val="TableParagraph"/>
              <w:spacing w:before="20"/>
              <w:rPr>
                <w:sz w:val="22"/>
              </w:rPr>
            </w:pPr>
            <w:r>
              <w:rPr>
                <w:sz w:val="22"/>
              </w:rPr>
              <w:t>丙戊酸盐、拉莫三嗪和托吡酯等抗癫痫用药</w:t>
            </w:r>
          </w:p>
        </w:tc>
      </w:tr>
      <w:tr>
        <w:trPr>
          <w:trHeight w:val="330" w:hRule="atLeast"/>
        </w:trPr>
        <w:tc>
          <w:tcPr>
            <w:tcW w:w="2223" w:type="dxa"/>
          </w:tcPr>
          <w:p>
            <w:pPr>
              <w:pStyle w:val="TableParagraph"/>
              <w:spacing w:line="276" w:lineRule="exact" w:before="35"/>
              <w:rPr>
                <w:sz w:val="22"/>
              </w:rPr>
            </w:pPr>
            <w:r>
              <w:rPr>
                <w:sz w:val="22"/>
              </w:rPr>
              <w:t>B 细胞再生障碍</w:t>
            </w:r>
          </w:p>
        </w:tc>
        <w:tc>
          <w:tcPr>
            <w:tcW w:w="5527" w:type="dxa"/>
          </w:tcPr>
          <w:p>
            <w:pPr>
              <w:pStyle w:val="TableParagraph"/>
              <w:spacing w:line="276" w:lineRule="exact" w:before="35"/>
              <w:rPr>
                <w:sz w:val="22"/>
              </w:rPr>
            </w:pPr>
            <w:r>
              <w:rPr>
                <w:sz w:val="22"/>
              </w:rPr>
              <w:t>定期注射免疫球蛋白 IVIG</w:t>
            </w:r>
          </w:p>
        </w:tc>
      </w:tr>
      <w:tr>
        <w:trPr>
          <w:trHeight w:val="855" w:hRule="atLeast"/>
        </w:trPr>
        <w:tc>
          <w:tcPr>
            <w:tcW w:w="2223" w:type="dxa"/>
          </w:tcPr>
          <w:p>
            <w:pPr>
              <w:pStyle w:val="TableParagraph"/>
              <w:spacing w:before="8"/>
              <w:ind w:left="0"/>
              <w:rPr>
                <w:b/>
                <w:sz w:val="22"/>
              </w:rPr>
            </w:pPr>
          </w:p>
          <w:p>
            <w:pPr>
              <w:pStyle w:val="TableParagraph"/>
              <w:rPr>
                <w:sz w:val="22"/>
              </w:rPr>
            </w:pPr>
            <w:r>
              <w:rPr>
                <w:sz w:val="22"/>
              </w:rPr>
              <w:t>感染并发症</w:t>
            </w:r>
          </w:p>
        </w:tc>
        <w:tc>
          <w:tcPr>
            <w:tcW w:w="5527" w:type="dxa"/>
          </w:tcPr>
          <w:p>
            <w:pPr>
              <w:pStyle w:val="TableParagraph"/>
              <w:spacing w:before="5"/>
              <w:rPr>
                <w:sz w:val="22"/>
              </w:rPr>
            </w:pPr>
            <w:r>
              <w:rPr>
                <w:sz w:val="22"/>
              </w:rPr>
              <w:t>抗菌药物 G-CSF 来防止中性粒细胞的减少，或者在靶向</w:t>
            </w:r>
          </w:p>
          <w:p>
            <w:pPr>
              <w:pStyle w:val="TableParagraph"/>
              <w:spacing w:line="280" w:lineRule="atLeast"/>
              <w:ind w:right="65"/>
              <w:rPr>
                <w:sz w:val="22"/>
              </w:rPr>
            </w:pPr>
            <w:r>
              <w:rPr>
                <w:spacing w:val="-3"/>
                <w:sz w:val="22"/>
              </w:rPr>
              <w:t>CD19</w:t>
            </w:r>
            <w:r>
              <w:rPr>
                <w:spacing w:val="-11"/>
                <w:sz w:val="22"/>
              </w:rPr>
              <w:t> 的 </w:t>
            </w:r>
            <w:r>
              <w:rPr>
                <w:spacing w:val="-4"/>
                <w:sz w:val="22"/>
              </w:rPr>
              <w:t>CAR-T</w:t>
            </w:r>
            <w:r>
              <w:rPr>
                <w:spacing w:val="-10"/>
                <w:sz w:val="22"/>
              </w:rPr>
              <w:t> 细胞治疗中使用免疫球蛋白 </w:t>
            </w:r>
            <w:r>
              <w:rPr>
                <w:spacing w:val="-6"/>
                <w:sz w:val="22"/>
              </w:rPr>
              <w:t>IVIG 来预防</w:t>
            </w:r>
            <w:r>
              <w:rPr>
                <w:spacing w:val="15"/>
                <w:sz w:val="22"/>
              </w:rPr>
              <w:t>感染</w:t>
            </w:r>
          </w:p>
        </w:tc>
      </w:tr>
    </w:tbl>
    <w:p>
      <w:pPr>
        <w:spacing w:after="0" w:line="280" w:lineRule="atLeast"/>
        <w:rPr>
          <w:sz w:val="22"/>
        </w:rPr>
        <w:sectPr>
          <w:pgSz w:w="11910" w:h="16850"/>
          <w:pgMar w:header="796" w:footer="1296" w:top="1340" w:bottom="1480" w:left="260" w:right="300"/>
        </w:sectPr>
      </w:pPr>
    </w:p>
    <w:p>
      <w:pPr>
        <w:pStyle w:val="BodyText"/>
        <w:spacing w:before="1"/>
        <w:rPr>
          <w:b/>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before="4"/>
        <w:rPr>
          <w:b/>
          <w:sz w:val="2"/>
        </w:rPr>
      </w:pPr>
    </w:p>
    <w:tbl>
      <w:tblPr>
        <w:tblW w:w="0" w:type="auto"/>
        <w:jc w:val="left"/>
        <w:tblInd w:w="28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23"/>
        <w:gridCol w:w="5527"/>
      </w:tblGrid>
      <w:tr>
        <w:trPr>
          <w:trHeight w:val="330" w:hRule="atLeast"/>
        </w:trPr>
        <w:tc>
          <w:tcPr>
            <w:tcW w:w="2223" w:type="dxa"/>
          </w:tcPr>
          <w:p>
            <w:pPr>
              <w:pStyle w:val="TableParagraph"/>
              <w:spacing w:before="20"/>
              <w:rPr>
                <w:sz w:val="22"/>
              </w:rPr>
            </w:pPr>
            <w:r>
              <w:rPr>
                <w:sz w:val="22"/>
              </w:rPr>
              <w:t>肿瘤溶解综合征</w:t>
            </w:r>
          </w:p>
        </w:tc>
        <w:tc>
          <w:tcPr>
            <w:tcW w:w="5527" w:type="dxa"/>
          </w:tcPr>
          <w:p>
            <w:pPr>
              <w:pStyle w:val="TableParagraph"/>
              <w:spacing w:before="20"/>
              <w:rPr>
                <w:sz w:val="22"/>
              </w:rPr>
            </w:pPr>
            <w:r>
              <w:rPr>
                <w:sz w:val="22"/>
              </w:rPr>
              <w:t>可以考虑在化疗和细胞输注前使用 allopurinol</w:t>
            </w:r>
          </w:p>
        </w:tc>
      </w:tr>
      <w:tr>
        <w:trPr>
          <w:trHeight w:val="1140" w:hRule="atLeast"/>
        </w:trPr>
        <w:tc>
          <w:tcPr>
            <w:tcW w:w="2223" w:type="dxa"/>
          </w:tcPr>
          <w:p>
            <w:pPr>
              <w:pStyle w:val="TableParagraph"/>
              <w:ind w:left="0"/>
              <w:rPr>
                <w:b/>
                <w:sz w:val="22"/>
              </w:rPr>
            </w:pPr>
          </w:p>
          <w:p>
            <w:pPr>
              <w:pStyle w:val="TableParagraph"/>
              <w:spacing w:before="158"/>
              <w:rPr>
                <w:sz w:val="22"/>
              </w:rPr>
            </w:pPr>
            <w:r>
              <w:rPr>
                <w:sz w:val="22"/>
              </w:rPr>
              <w:t>皮炎</w:t>
            </w:r>
          </w:p>
        </w:tc>
        <w:tc>
          <w:tcPr>
            <w:tcW w:w="5527" w:type="dxa"/>
          </w:tcPr>
          <w:p>
            <w:pPr>
              <w:pStyle w:val="TableParagraph"/>
              <w:spacing w:line="242" w:lineRule="auto" w:before="5"/>
              <w:ind w:right="63"/>
              <w:jc w:val="both"/>
              <w:rPr>
                <w:sz w:val="22"/>
              </w:rPr>
            </w:pPr>
            <w:r>
              <w:rPr>
                <w:spacing w:val="-9"/>
                <w:sz w:val="22"/>
              </w:rPr>
              <w:t>出现范围较大，瘙痒等症状影响睡眠及日常生活，可口服开瑞坦及口服美满霉素。如果皮疹广泛，破溃或伴发感染，选择适当的抗菌药物，必要时使用激素类药物甲</w:t>
            </w:r>
          </w:p>
          <w:p>
            <w:pPr>
              <w:pStyle w:val="TableParagraph"/>
              <w:spacing w:line="260" w:lineRule="exact" w:before="1"/>
              <w:rPr>
                <w:sz w:val="22"/>
              </w:rPr>
            </w:pPr>
            <w:r>
              <w:rPr>
                <w:sz w:val="22"/>
              </w:rPr>
              <w:t>强龙冲击治疗</w:t>
            </w:r>
          </w:p>
        </w:tc>
      </w:tr>
    </w:tbl>
    <w:p>
      <w:pPr>
        <w:spacing w:before="61"/>
        <w:ind w:left="0" w:right="246" w:firstLine="0"/>
        <w:jc w:val="center"/>
        <w:rPr>
          <w:b/>
          <w:sz w:val="15"/>
        </w:rPr>
      </w:pPr>
      <w:r>
        <w:rPr>
          <w:b/>
          <w:spacing w:val="19"/>
          <w:sz w:val="15"/>
        </w:rPr>
        <w:t>数据来源： </w:t>
      </w:r>
      <w:r>
        <w:rPr>
          <w:b/>
          <w:sz w:val="15"/>
        </w:rPr>
        <w:t>xicit</w:t>
      </w:r>
      <w:r>
        <w:rPr>
          <w:b/>
          <w:spacing w:val="-62"/>
          <w:sz w:val="15"/>
        </w:rPr>
        <w:t> </w:t>
      </w:r>
      <w:r>
        <w:rPr>
          <w:b/>
          <w:sz w:val="15"/>
        </w:rPr>
        <w:t>ies </w:t>
      </w:r>
      <w:r>
        <w:rPr>
          <w:b/>
          <w:spacing w:val="7"/>
          <w:sz w:val="15"/>
        </w:rPr>
        <w:t>of </w:t>
      </w:r>
      <w:r>
        <w:rPr>
          <w:b/>
          <w:sz w:val="15"/>
        </w:rPr>
        <w:t>C</w:t>
      </w:r>
      <w:r>
        <w:rPr>
          <w:b/>
          <w:spacing w:val="-61"/>
          <w:sz w:val="15"/>
        </w:rPr>
        <w:t> </w:t>
      </w:r>
      <w:r>
        <w:rPr>
          <w:b/>
          <w:sz w:val="15"/>
        </w:rPr>
        <w:t>D19 C</w:t>
      </w:r>
      <w:r>
        <w:rPr>
          <w:b/>
          <w:spacing w:val="-61"/>
          <w:sz w:val="15"/>
        </w:rPr>
        <w:t> </w:t>
      </w:r>
      <w:r>
        <w:rPr>
          <w:b/>
          <w:sz w:val="15"/>
        </w:rPr>
        <w:t>AR-T c</w:t>
      </w:r>
      <w:r>
        <w:rPr>
          <w:b/>
          <w:spacing w:val="-61"/>
          <w:sz w:val="15"/>
        </w:rPr>
        <w:t> </w:t>
      </w:r>
      <w:r>
        <w:rPr>
          <w:b/>
          <w:sz w:val="15"/>
        </w:rPr>
        <w:t>ell </w:t>
      </w:r>
      <w:r>
        <w:rPr>
          <w:b/>
          <w:spacing w:val="7"/>
          <w:sz w:val="15"/>
        </w:rPr>
        <w:t>im</w:t>
      </w:r>
      <w:r>
        <w:rPr>
          <w:b/>
          <w:spacing w:val="-61"/>
          <w:sz w:val="15"/>
        </w:rPr>
        <w:t> </w:t>
      </w:r>
      <w:r>
        <w:rPr>
          <w:b/>
          <w:sz w:val="15"/>
        </w:rPr>
        <w:t>munotherapy，财通证券研究所</w:t>
      </w:r>
    </w:p>
    <w:p>
      <w:pPr>
        <w:pStyle w:val="BodyText"/>
        <w:rPr>
          <w:b/>
          <w:sz w:val="20"/>
        </w:rPr>
      </w:pPr>
    </w:p>
    <w:p>
      <w:pPr>
        <w:pStyle w:val="BodyText"/>
        <w:spacing w:before="7"/>
        <w:rPr>
          <w:b/>
          <w:sz w:val="28"/>
        </w:rPr>
      </w:pPr>
    </w:p>
    <w:p>
      <w:pPr>
        <w:pStyle w:val="BodyText"/>
        <w:spacing w:line="328" w:lineRule="auto" w:before="71"/>
        <w:ind w:left="3164" w:right="865"/>
        <w:jc w:val="both"/>
      </w:pPr>
      <w:r>
        <w:rPr>
          <w:b/>
        </w:rPr>
        <w:t>Car-T</w:t>
      </w:r>
      <w:r>
        <w:rPr>
          <w:b/>
          <w:spacing w:val="-7"/>
        </w:rPr>
        <w:t> 的使用经验不断积累，不良反应不再是主要限制因素。</w:t>
      </w:r>
      <w:r>
        <w:rPr>
          <w:spacing w:val="-18"/>
        </w:rPr>
        <w:t>随着 </w:t>
      </w:r>
      <w:r>
        <w:rPr>
          <w:spacing w:val="-3"/>
        </w:rPr>
        <w:t>Car-T</w:t>
      </w:r>
      <w:r>
        <w:rPr>
          <w:spacing w:val="-14"/>
        </w:rPr>
        <w:t> 使用的推广，虽然这些副作用仍然存在，但在厂商的指导下（FDA</w:t>
      </w:r>
      <w:r>
        <w:rPr>
          <w:spacing w:val="-24"/>
        </w:rPr>
        <w:t> 要求 </w:t>
      </w:r>
      <w:r>
        <w:rPr>
          <w:spacing w:val="-3"/>
        </w:rPr>
        <w:t>Car-T</w:t>
      </w:r>
      <w:r>
        <w:rPr>
          <w:spacing w:val="-10"/>
        </w:rPr>
        <w:t> 治疗只能</w:t>
      </w:r>
      <w:r>
        <w:rPr>
          <w:spacing w:val="-9"/>
        </w:rPr>
        <w:t>在指定医院进行，且厂商需要对临床医生进行培训</w:t>
      </w:r>
      <w:r>
        <w:rPr>
          <w:spacing w:val="-105"/>
        </w:rPr>
        <w:t>）</w:t>
      </w:r>
      <w:r>
        <w:rPr/>
        <w:t>，临床医生已积累了很多临</w:t>
      </w:r>
      <w:r>
        <w:rPr>
          <w:spacing w:val="-6"/>
        </w:rPr>
        <w:t>床经验去控制，临床毒副作用不再使用 </w:t>
      </w:r>
      <w:r>
        <w:rPr/>
        <w:t>CAR-T</w:t>
      </w:r>
      <w:r>
        <w:rPr>
          <w:spacing w:val="-10"/>
        </w:rPr>
        <w:t> 的主要限制因素。另外，现在各厂</w:t>
      </w:r>
      <w:r>
        <w:rPr>
          <w:spacing w:val="-16"/>
        </w:rPr>
        <w:t>家在生产制备时比之前更有经验，对发生 </w:t>
      </w:r>
      <w:r>
        <w:rPr/>
        <w:t>3</w:t>
      </w:r>
      <w:r>
        <w:rPr>
          <w:spacing w:val="-19"/>
        </w:rPr>
        <w:t> 级以上 </w:t>
      </w:r>
      <w:r>
        <w:rPr>
          <w:spacing w:val="-5"/>
        </w:rPr>
        <w:t>CRS</w:t>
      </w:r>
      <w:r>
        <w:rPr>
          <w:spacing w:val="-7"/>
        </w:rPr>
        <w:t> 的比例和中枢毒性会重点</w:t>
      </w:r>
      <w:r>
        <w:rPr>
          <w:spacing w:val="-10"/>
        </w:rPr>
        <w:t>考量，产品在问世之前就已得到了较好的控制。再者，在 </w:t>
      </w:r>
      <w:r>
        <w:rPr>
          <w:spacing w:val="-3"/>
        </w:rPr>
        <w:t>CAR-T</w:t>
      </w:r>
      <w:r>
        <w:rPr>
          <w:spacing w:val="-7"/>
        </w:rPr>
        <w:t> 临床应用过程会</w:t>
      </w:r>
      <w:r>
        <w:rPr>
          <w:spacing w:val="-14"/>
        </w:rPr>
        <w:t>有各种各样的新发现，如为 </w:t>
      </w:r>
      <w:r>
        <w:rPr/>
        <w:t>CAR-T</w:t>
      </w:r>
      <w:r>
        <w:rPr>
          <w:spacing w:val="-18"/>
        </w:rPr>
        <w:t> 加“开关”、在预处理方面探寻更合适的剂量， </w:t>
      </w:r>
      <w:r>
        <w:rPr>
          <w:spacing w:val="-22"/>
        </w:rPr>
        <w:t>这些发现会使 </w:t>
      </w:r>
      <w:r>
        <w:rPr/>
        <w:t>CAR-T</w:t>
      </w:r>
      <w:r>
        <w:rPr>
          <w:spacing w:val="-7"/>
        </w:rPr>
        <w:t> 产品的副作用变得更可控、更安全。</w:t>
      </w:r>
    </w:p>
    <w:p>
      <w:pPr>
        <w:pStyle w:val="BodyText"/>
        <w:spacing w:line="328" w:lineRule="auto" w:before="114"/>
        <w:ind w:left="3164" w:right="863"/>
        <w:jc w:val="both"/>
      </w:pPr>
      <w:r>
        <w:rPr>
          <w:spacing w:val="-1"/>
        </w:rPr>
        <w:t>另外在 </w:t>
      </w:r>
      <w:r>
        <w:rPr/>
        <w:t>Car-T 本身设计上，一些创新的策略正在被评估。提高其安全性和控制CAR-T</w:t>
      </w:r>
      <w:r>
        <w:rPr>
          <w:spacing w:val="-7"/>
        </w:rPr>
        <w:t> 细胞的超生理活性至关重要。在探索和追求安全性效果更好的需求下，一</w:t>
      </w:r>
      <w:r>
        <w:rPr>
          <w:spacing w:val="-10"/>
        </w:rPr>
        <w:t>些创新的策略正在被评估，如在 </w:t>
      </w:r>
      <w:r>
        <w:rPr/>
        <w:t>CAR</w:t>
      </w:r>
      <w:r>
        <w:rPr>
          <w:spacing w:val="-7"/>
        </w:rPr>
        <w:t> 中设计开关控制系统</w:t>
      </w:r>
      <w:r>
        <w:rPr/>
        <w:t>（</w:t>
      </w:r>
      <w:r>
        <w:rPr>
          <w:spacing w:val="-24"/>
        </w:rPr>
        <w:t>如 </w:t>
      </w:r>
      <w:r>
        <w:rPr/>
        <w:t>iCasp9</w:t>
      </w:r>
      <w:r>
        <w:rPr>
          <w:spacing w:val="-10"/>
        </w:rPr>
        <w:t> 系统、能</w:t>
      </w:r>
      <w:r>
        <w:rPr>
          <w:spacing w:val="-30"/>
        </w:rPr>
        <w:t>被 </w:t>
      </w:r>
      <w:r>
        <w:rPr/>
        <w:t>EGFRmAb</w:t>
      </w:r>
      <w:r>
        <w:rPr>
          <w:spacing w:val="-20"/>
        </w:rPr>
        <w:t> 识别的 </w:t>
      </w:r>
      <w:r>
        <w:rPr/>
        <w:t>huEGFRt</w:t>
      </w:r>
      <w:r>
        <w:rPr>
          <w:spacing w:val="-15"/>
        </w:rPr>
        <w:t>、</w:t>
      </w:r>
      <w:r>
        <w:rPr/>
        <w:t>Folate-FITC</w:t>
      </w:r>
      <w:r>
        <w:rPr>
          <w:spacing w:val="-25"/>
        </w:rPr>
        <w:t> 等</w:t>
      </w:r>
      <w:r>
        <w:rPr>
          <w:spacing w:val="-105"/>
        </w:rPr>
        <w:t>）</w:t>
      </w:r>
      <w:r>
        <w:rPr>
          <w:spacing w:val="-7"/>
        </w:rPr>
        <w:t>、多抗原识别组件、对免疫为环境敏感的组件（遮掩肽加上蛋白酶切断链接子等</w:t>
      </w:r>
      <w:r>
        <w:rPr>
          <w:spacing w:val="-105"/>
        </w:rPr>
        <w:t>）</w:t>
      </w:r>
      <w:r>
        <w:rPr/>
        <w:t>。</w:t>
      </w:r>
    </w:p>
    <w:p>
      <w:pPr>
        <w:pStyle w:val="BodyText"/>
        <w:rPr>
          <w:sz w:val="19"/>
        </w:rPr>
      </w:pPr>
    </w:p>
    <w:p>
      <w:pPr>
        <w:pStyle w:val="Heading1"/>
        <w:spacing w:before="1"/>
        <w:jc w:val="both"/>
      </w:pPr>
      <w:bookmarkStart w:name="_TOC_250013" w:id="11"/>
      <w:bookmarkEnd w:id="11"/>
      <w:r>
        <w:rPr/>
        <w:t>5、 祸兮福所依，复杂的生产工艺筑 Car-T 高壁垒</w:t>
      </w:r>
    </w:p>
    <w:p>
      <w:pPr>
        <w:pStyle w:val="BodyText"/>
        <w:rPr>
          <w:b/>
          <w:sz w:val="20"/>
        </w:rPr>
      </w:pPr>
    </w:p>
    <w:p>
      <w:pPr>
        <w:pStyle w:val="BodyText"/>
        <w:spacing w:before="3"/>
        <w:rPr>
          <w:b/>
          <w:sz w:val="20"/>
        </w:rPr>
      </w:pPr>
    </w:p>
    <w:p>
      <w:pPr>
        <w:pStyle w:val="Heading2"/>
        <w:tabs>
          <w:tab w:pos="10432" w:val="left" w:leader="none"/>
        </w:tabs>
      </w:pPr>
      <w:r>
        <w:rPr/>
        <w:pict>
          <v:group style="position:absolute;margin-left:165.949997pt;margin-top:19.149988pt;width:368.7pt;height:197.9pt;mso-position-horizontal-relative:page;mso-position-vertical-relative:paragraph;z-index:-15705088;mso-wrap-distance-left:0;mso-wrap-distance-right:0" coordorigin="3319,383" coordsize="7374,3958">
            <v:rect style="position:absolute;left:3319;top:4326;width:7374;height:15" filled="true" fillcolor="#a11d04" stroked="false">
              <v:fill type="solid"/>
            </v:rect>
            <v:shape style="position:absolute;left:3761;top:383;width:6470;height:3929" type="#_x0000_t75" stroked="false">
              <v:imagedata r:id="rId22" o:title=""/>
            </v:shape>
            <w10:wrap type="topAndBottom"/>
          </v:group>
        </w:pict>
      </w:r>
      <w:r>
        <w:rPr>
          <w:rFonts w:ascii="Times New Roman" w:eastAsia="Times New Roman"/>
          <w:color w:val="FFFFFF"/>
          <w:shd w:fill="A11D04" w:color="auto" w:val="clear"/>
        </w:rPr>
        <w:t>  </w:t>
      </w:r>
      <w:r>
        <w:rPr>
          <w:color w:val="FFFFFF"/>
          <w:shd w:fill="A11D04" w:color="auto" w:val="clear"/>
        </w:rPr>
        <w:t>图</w:t>
      </w:r>
      <w:r>
        <w:rPr>
          <w:color w:val="FFFFFF"/>
          <w:spacing w:val="-35"/>
          <w:shd w:fill="A11D04" w:color="auto" w:val="clear"/>
        </w:rPr>
        <w:t> </w:t>
      </w:r>
      <w:r>
        <w:rPr>
          <w:color w:val="FFFFFF"/>
          <w:spacing w:val="10"/>
          <w:shd w:fill="A11D04" w:color="auto" w:val="clear"/>
        </w:rPr>
        <w:t>12：</w:t>
      </w:r>
      <w:r>
        <w:rPr>
          <w:color w:val="FFFFFF"/>
          <w:spacing w:val="-35"/>
          <w:shd w:fill="A11D04" w:color="auto" w:val="clear"/>
        </w:rPr>
        <w:t> </w:t>
      </w:r>
      <w:r>
        <w:rPr>
          <w:color w:val="FFFFFF"/>
          <w:spacing w:val="6"/>
          <w:shd w:fill="A11D04" w:color="auto" w:val="clear"/>
        </w:rPr>
        <w:t>Car-T</w:t>
      </w:r>
      <w:r>
        <w:rPr>
          <w:color w:val="FFFFFF"/>
          <w:spacing w:val="-49"/>
          <w:shd w:fill="A11D04" w:color="auto" w:val="clear"/>
        </w:rPr>
        <w:t> </w:t>
      </w:r>
      <w:r>
        <w:rPr>
          <w:color w:val="FFFFFF"/>
          <w:shd w:fill="A11D04" w:color="auto" w:val="clear"/>
        </w:rPr>
        <w:t>制备流程</w:t>
        <w:tab/>
      </w:r>
    </w:p>
    <w:p>
      <w:pPr>
        <w:spacing w:before="16"/>
        <w:ind w:left="3164" w:right="0" w:firstLine="0"/>
        <w:jc w:val="left"/>
        <w:rPr>
          <w:b/>
          <w:sz w:val="15"/>
        </w:rPr>
      </w:pPr>
      <w:r>
        <w:rPr>
          <w:b/>
          <w:sz w:val="15"/>
        </w:rPr>
        <w:t>数据来源：财通证券研究所</w:t>
      </w:r>
    </w:p>
    <w:p>
      <w:pPr>
        <w:spacing w:after="0"/>
        <w:jc w:val="left"/>
        <w:rPr>
          <w:sz w:val="15"/>
        </w:rPr>
        <w:sectPr>
          <w:pgSz w:w="11910" w:h="16850"/>
          <w:pgMar w:header="796" w:footer="1296" w:top="1340" w:bottom="1480" w:left="260" w:right="300"/>
        </w:sectPr>
      </w:pPr>
    </w:p>
    <w:p>
      <w:pPr>
        <w:pStyle w:val="BodyText"/>
        <w:spacing w:before="1"/>
        <w:rPr>
          <w:b/>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spacing w:line="328" w:lineRule="auto" w:before="30"/>
        <w:ind w:left="3164" w:right="762" w:firstLine="0"/>
        <w:jc w:val="left"/>
        <w:rPr>
          <w:sz w:val="21"/>
        </w:rPr>
      </w:pPr>
      <w:r>
        <w:rPr>
          <w:b/>
          <w:spacing w:val="-16"/>
          <w:sz w:val="21"/>
        </w:rPr>
        <w:t>目前，工业界仍然没有开发出一个成熟的，完全可被接受的 </w:t>
      </w:r>
      <w:r>
        <w:rPr>
          <w:b/>
          <w:sz w:val="21"/>
        </w:rPr>
        <w:t>Car-T</w:t>
      </w:r>
      <w:r>
        <w:rPr>
          <w:b/>
          <w:spacing w:val="-8"/>
          <w:sz w:val="21"/>
        </w:rPr>
        <w:t> 生产工艺过程， </w:t>
      </w:r>
      <w:r>
        <w:rPr>
          <w:b/>
          <w:spacing w:val="-24"/>
          <w:sz w:val="21"/>
        </w:rPr>
        <w:t>许多 </w:t>
      </w:r>
      <w:r>
        <w:rPr>
          <w:b/>
          <w:sz w:val="21"/>
        </w:rPr>
        <w:t>Car-T</w:t>
      </w:r>
      <w:r>
        <w:rPr>
          <w:b/>
          <w:spacing w:val="-20"/>
          <w:sz w:val="21"/>
        </w:rPr>
        <w:t> 产品使用人工操作，非常耗时耗力，而且难以扩大，且失败率很高</w:t>
      </w:r>
      <w:r>
        <w:rPr>
          <w:b/>
          <w:sz w:val="21"/>
        </w:rPr>
        <w:t>（成</w:t>
      </w:r>
      <w:r>
        <w:rPr>
          <w:b/>
          <w:w w:val="99"/>
          <w:sz w:val="21"/>
        </w:rPr>
        <w:t>功率最高的吉利德在</w:t>
      </w:r>
      <w:r>
        <w:rPr>
          <w:b/>
          <w:spacing w:val="-48"/>
          <w:sz w:val="21"/>
        </w:rPr>
        <w:t> </w:t>
      </w:r>
      <w:r>
        <w:rPr>
          <w:b/>
          <w:w w:val="99"/>
          <w:sz w:val="21"/>
        </w:rPr>
        <w:t>ZUMA-1</w:t>
      </w:r>
      <w:r>
        <w:rPr>
          <w:b/>
          <w:spacing w:val="-46"/>
          <w:sz w:val="21"/>
        </w:rPr>
        <w:t> </w:t>
      </w:r>
      <w:r>
        <w:rPr>
          <w:b/>
          <w:w w:val="99"/>
          <w:sz w:val="21"/>
        </w:rPr>
        <w:t>中也有近</w:t>
      </w:r>
      <w:r>
        <w:rPr>
          <w:b/>
          <w:spacing w:val="-47"/>
          <w:sz w:val="21"/>
        </w:rPr>
        <w:t> </w:t>
      </w:r>
      <w:r>
        <w:rPr>
          <w:b/>
          <w:w w:val="99"/>
          <w:sz w:val="21"/>
        </w:rPr>
        <w:t>10%</w:t>
      </w:r>
      <w:r>
        <w:rPr>
          <w:b/>
          <w:spacing w:val="-105"/>
          <w:w w:val="99"/>
          <w:sz w:val="21"/>
        </w:rPr>
        <w:t>）</w:t>
      </w:r>
      <w:r>
        <w:rPr>
          <w:b/>
          <w:spacing w:val="-15"/>
          <w:w w:val="99"/>
          <w:sz w:val="21"/>
        </w:rPr>
        <w:t>。</w:t>
      </w:r>
      <w:r>
        <w:rPr>
          <w:spacing w:val="-16"/>
          <w:sz w:val="21"/>
        </w:rPr>
        <w:t>自体 </w:t>
      </w:r>
      <w:r>
        <w:rPr>
          <w:sz w:val="21"/>
        </w:rPr>
        <w:t>Car</w:t>
      </w:r>
      <w:r>
        <w:rPr>
          <w:spacing w:val="-15"/>
          <w:sz w:val="21"/>
        </w:rPr>
        <w:t>-</w:t>
      </w:r>
      <w:r>
        <w:rPr>
          <w:sz w:val="21"/>
        </w:rPr>
        <w:t>T</w:t>
      </w:r>
      <w:r>
        <w:rPr>
          <w:spacing w:val="-7"/>
          <w:sz w:val="21"/>
        </w:rPr>
        <w:t> 的制备过程一般包括一</w:t>
      </w:r>
      <w:r>
        <w:rPr>
          <w:spacing w:val="-15"/>
          <w:sz w:val="21"/>
        </w:rPr>
        <w:t>些基本的步骤:首先，病人的白细胞</w:t>
      </w:r>
      <w:r>
        <w:rPr>
          <w:spacing w:val="-11"/>
          <w:sz w:val="21"/>
        </w:rPr>
        <w:t>（WBCs）</w:t>
      </w:r>
      <w:r>
        <w:rPr>
          <w:sz w:val="21"/>
        </w:rPr>
        <w:t>通过血细胞去除法分离后洗涤获得。</w:t>
      </w:r>
      <w:r>
        <w:rPr>
          <w:spacing w:val="-13"/>
          <w:sz w:val="21"/>
        </w:rPr>
        <w:t>然后，</w:t>
      </w:r>
      <w:r>
        <w:rPr>
          <w:spacing w:val="-38"/>
          <w:sz w:val="21"/>
        </w:rPr>
        <w:t>T</w:t>
      </w:r>
      <w:r>
        <w:rPr>
          <w:spacing w:val="-19"/>
          <w:sz w:val="21"/>
        </w:rPr>
        <w:t> 细胞被激活，转导 </w:t>
      </w:r>
      <w:r>
        <w:rPr>
          <w:sz w:val="21"/>
        </w:rPr>
        <w:t>Car</w:t>
      </w:r>
      <w:r>
        <w:rPr>
          <w:spacing w:val="-12"/>
          <w:sz w:val="21"/>
        </w:rPr>
        <w:t> 基因，扩增到一定数量后灌装和密封后用于治疗。</w:t>
      </w:r>
      <w:r>
        <w:rPr>
          <w:spacing w:val="-15"/>
          <w:sz w:val="21"/>
        </w:rPr>
        <w:t>经过一定质控，患者经过预处理后，将 </w:t>
      </w:r>
      <w:r>
        <w:rPr>
          <w:sz w:val="21"/>
        </w:rPr>
        <w:t>Car-T</w:t>
      </w:r>
      <w:r>
        <w:rPr>
          <w:spacing w:val="-11"/>
          <w:sz w:val="21"/>
        </w:rPr>
        <w:t> 细胞注射到患者体内。整个 </w:t>
      </w:r>
      <w:r>
        <w:rPr>
          <w:sz w:val="21"/>
        </w:rPr>
        <w:t>CAR-T </w:t>
      </w:r>
      <w:r>
        <w:rPr>
          <w:spacing w:val="-4"/>
          <w:sz w:val="21"/>
        </w:rPr>
        <w:t>工艺非常复杂，生产工艺过程也在不断优化</w:t>
      </w:r>
      <w:r>
        <w:rPr>
          <w:sz w:val="21"/>
        </w:rPr>
        <w:t>（</w:t>
      </w:r>
      <w:r>
        <w:rPr>
          <w:spacing w:val="-3"/>
          <w:sz w:val="21"/>
        </w:rPr>
        <w:t>以吉利德为例，其花费了一年的时</w:t>
      </w:r>
      <w:r>
        <w:rPr>
          <w:spacing w:val="-7"/>
          <w:sz w:val="21"/>
        </w:rPr>
        <w:t>间将整个生产流程缩短了 </w:t>
      </w:r>
      <w:r>
        <w:rPr>
          <w:sz w:val="21"/>
        </w:rPr>
        <w:t>1</w:t>
      </w:r>
      <w:r>
        <w:rPr>
          <w:spacing w:val="-23"/>
          <w:sz w:val="21"/>
        </w:rPr>
        <w:t> 周</w:t>
      </w:r>
      <w:r>
        <w:rPr>
          <w:spacing w:val="-105"/>
          <w:sz w:val="21"/>
        </w:rPr>
        <w:t>）</w:t>
      </w:r>
      <w:r>
        <w:rPr>
          <w:sz w:val="21"/>
        </w:rPr>
        <w:t>。</w:t>
      </w:r>
    </w:p>
    <w:p>
      <w:pPr>
        <w:pStyle w:val="BodyText"/>
        <w:spacing w:before="3"/>
        <w:rPr>
          <w:sz w:val="18"/>
        </w:rPr>
      </w:pPr>
    </w:p>
    <w:tbl>
      <w:tblPr>
        <w:tblW w:w="0" w:type="auto"/>
        <w:jc w:val="left"/>
        <w:tblInd w:w="3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2"/>
        <w:gridCol w:w="2681"/>
        <w:gridCol w:w="3538"/>
      </w:tblGrid>
      <w:tr>
        <w:trPr>
          <w:trHeight w:val="330" w:hRule="atLeast"/>
        </w:trPr>
        <w:tc>
          <w:tcPr>
            <w:tcW w:w="1292" w:type="dxa"/>
            <w:shd w:val="clear" w:color="auto" w:fill="A11D04"/>
          </w:tcPr>
          <w:p>
            <w:pPr>
              <w:pStyle w:val="TableParagraph"/>
              <w:spacing w:before="30"/>
              <w:ind w:left="105"/>
              <w:rPr>
                <w:b/>
                <w:sz w:val="21"/>
              </w:rPr>
            </w:pPr>
            <w:r>
              <w:rPr>
                <w:b/>
                <w:color w:val="FFFFFF"/>
                <w:sz w:val="21"/>
              </w:rPr>
              <w:t>表 8：Car-T</w:t>
            </w:r>
          </w:p>
        </w:tc>
        <w:tc>
          <w:tcPr>
            <w:tcW w:w="6219" w:type="dxa"/>
            <w:gridSpan w:val="2"/>
            <w:shd w:val="clear" w:color="auto" w:fill="A11D04"/>
          </w:tcPr>
          <w:p>
            <w:pPr>
              <w:pStyle w:val="TableParagraph"/>
              <w:spacing w:before="30"/>
              <w:ind w:left="29"/>
              <w:rPr>
                <w:b/>
                <w:sz w:val="21"/>
              </w:rPr>
            </w:pPr>
            <w:r>
              <w:rPr>
                <w:b/>
                <w:color w:val="FFFFFF"/>
                <w:sz w:val="21"/>
              </w:rPr>
              <w:t>生产各阶段遇到的挑战及解决方案</w:t>
            </w:r>
          </w:p>
        </w:tc>
      </w:tr>
      <w:tr>
        <w:trPr>
          <w:trHeight w:val="345" w:hRule="atLeast"/>
        </w:trPr>
        <w:tc>
          <w:tcPr>
            <w:tcW w:w="1292" w:type="dxa"/>
            <w:shd w:val="clear" w:color="auto" w:fill="C00000"/>
          </w:tcPr>
          <w:p>
            <w:pPr>
              <w:pStyle w:val="TableParagraph"/>
              <w:ind w:left="0"/>
              <w:rPr>
                <w:rFonts w:ascii="Times New Roman"/>
                <w:sz w:val="18"/>
              </w:rPr>
            </w:pPr>
          </w:p>
        </w:tc>
        <w:tc>
          <w:tcPr>
            <w:tcW w:w="2681" w:type="dxa"/>
            <w:shd w:val="clear" w:color="auto" w:fill="C00000"/>
          </w:tcPr>
          <w:p>
            <w:pPr>
              <w:pStyle w:val="TableParagraph"/>
              <w:spacing w:before="45"/>
              <w:ind w:left="510"/>
              <w:rPr>
                <w:b/>
                <w:sz w:val="18"/>
              </w:rPr>
            </w:pPr>
            <w:r>
              <w:rPr>
                <w:b/>
                <w:color w:val="FFFFFF"/>
                <w:sz w:val="18"/>
              </w:rPr>
              <w:t>挑战</w:t>
            </w:r>
          </w:p>
        </w:tc>
        <w:tc>
          <w:tcPr>
            <w:tcW w:w="3538" w:type="dxa"/>
            <w:shd w:val="clear" w:color="auto" w:fill="C00000"/>
          </w:tcPr>
          <w:p>
            <w:pPr>
              <w:pStyle w:val="TableParagraph"/>
              <w:spacing w:before="45"/>
              <w:ind w:left="111"/>
              <w:rPr>
                <w:b/>
                <w:sz w:val="18"/>
              </w:rPr>
            </w:pPr>
            <w:r>
              <w:rPr>
                <w:b/>
                <w:color w:val="FFFFFF"/>
                <w:sz w:val="18"/>
              </w:rPr>
              <w:t>可能的解决方案</w:t>
            </w:r>
          </w:p>
        </w:tc>
      </w:tr>
      <w:tr>
        <w:trPr>
          <w:trHeight w:val="465" w:hRule="atLeast"/>
        </w:trPr>
        <w:tc>
          <w:tcPr>
            <w:tcW w:w="1292" w:type="dxa"/>
            <w:shd w:val="clear" w:color="auto" w:fill="FBE3D5"/>
          </w:tcPr>
          <w:p>
            <w:pPr>
              <w:pStyle w:val="TableParagraph"/>
              <w:spacing w:before="105"/>
              <w:ind w:left="105"/>
              <w:rPr>
                <w:sz w:val="18"/>
              </w:rPr>
            </w:pPr>
            <w:r>
              <w:rPr>
                <w:sz w:val="18"/>
              </w:rPr>
              <w:t>血浆分离</w:t>
            </w:r>
          </w:p>
        </w:tc>
        <w:tc>
          <w:tcPr>
            <w:tcW w:w="2681" w:type="dxa"/>
            <w:shd w:val="clear" w:color="auto" w:fill="FBE3D5"/>
          </w:tcPr>
          <w:p>
            <w:pPr>
              <w:pStyle w:val="TableParagraph"/>
              <w:spacing w:line="216" w:lineRule="exact"/>
              <w:ind w:left="510"/>
              <w:rPr>
                <w:sz w:val="18"/>
              </w:rPr>
            </w:pPr>
            <w:r>
              <w:rPr>
                <w:sz w:val="18"/>
              </w:rPr>
              <w:t>血浆分离收集 CD3+细胞没</w:t>
            </w:r>
          </w:p>
          <w:p>
            <w:pPr>
              <w:pStyle w:val="TableParagraph"/>
              <w:spacing w:line="220" w:lineRule="exact" w:before="9"/>
              <w:ind w:left="510"/>
              <w:rPr>
                <w:sz w:val="18"/>
              </w:rPr>
            </w:pPr>
            <w:r>
              <w:rPr>
                <w:sz w:val="18"/>
              </w:rPr>
              <w:t>有最佳的化参数</w:t>
            </w:r>
          </w:p>
        </w:tc>
        <w:tc>
          <w:tcPr>
            <w:tcW w:w="3538" w:type="dxa"/>
            <w:shd w:val="clear" w:color="auto" w:fill="FBE3D5"/>
          </w:tcPr>
          <w:p>
            <w:pPr>
              <w:pStyle w:val="TableParagraph"/>
              <w:spacing w:before="105"/>
              <w:ind w:left="111"/>
              <w:rPr>
                <w:sz w:val="18"/>
              </w:rPr>
            </w:pPr>
            <w:r>
              <w:rPr>
                <w:sz w:val="18"/>
              </w:rPr>
              <w:t>前瞻性研究</w:t>
            </w:r>
          </w:p>
        </w:tc>
      </w:tr>
    </w:tbl>
    <w:p>
      <w:pPr>
        <w:spacing w:after="0"/>
        <w:rPr>
          <w:sz w:val="18"/>
        </w:rPr>
        <w:sectPr>
          <w:pgSz w:w="11910" w:h="16850"/>
          <w:pgMar w:header="796" w:footer="1296" w:top="1340" w:bottom="1480" w:left="260" w:right="300"/>
        </w:sectPr>
      </w:pPr>
    </w:p>
    <w:p>
      <w:pPr>
        <w:spacing w:line="216" w:lineRule="exact" w:before="0"/>
        <w:ind w:left="4861" w:right="0" w:firstLine="0"/>
        <w:jc w:val="left"/>
        <w:rPr>
          <w:sz w:val="18"/>
        </w:rPr>
      </w:pPr>
      <w:r>
        <w:rPr>
          <w:spacing w:val="-2"/>
          <w:sz w:val="18"/>
        </w:rPr>
        <w:t>从病人血浆中收集的 </w:t>
      </w:r>
      <w:r>
        <w:rPr>
          <w:spacing w:val="-5"/>
          <w:sz w:val="18"/>
        </w:rPr>
        <w:t>CD3+</w:t>
      </w:r>
    </w:p>
    <w:p>
      <w:pPr>
        <w:spacing w:before="9"/>
        <w:ind w:left="4861" w:right="0" w:firstLine="0"/>
        <w:jc w:val="left"/>
        <w:rPr>
          <w:sz w:val="18"/>
        </w:rPr>
      </w:pPr>
      <w:r>
        <w:rPr>
          <w:sz w:val="18"/>
        </w:rPr>
        <w:t>细胞绝对含量低</w:t>
      </w:r>
    </w:p>
    <w:p>
      <w:pPr>
        <w:spacing w:line="228" w:lineRule="exact" w:before="105"/>
        <w:ind w:left="185" w:right="0" w:firstLine="0"/>
        <w:jc w:val="left"/>
        <w:rPr>
          <w:sz w:val="18"/>
        </w:rPr>
      </w:pPr>
      <w:r>
        <w:rPr/>
        <w:br w:type="column"/>
      </w:r>
      <w:r>
        <w:rPr>
          <w:sz w:val="18"/>
        </w:rPr>
        <w:t>筛选病人</w:t>
      </w:r>
    </w:p>
    <w:p>
      <w:pPr>
        <w:spacing w:line="228" w:lineRule="exact" w:before="0"/>
        <w:ind w:left="185" w:right="0" w:firstLine="0"/>
        <w:jc w:val="left"/>
        <w:rPr>
          <w:sz w:val="18"/>
        </w:rPr>
      </w:pPr>
      <w:r>
        <w:rPr>
          <w:sz w:val="18"/>
        </w:rPr>
        <w:t>明确临床最佳收集时间点（例如：前期）</w:t>
      </w:r>
    </w:p>
    <w:p>
      <w:pPr>
        <w:spacing w:after="0" w:line="228" w:lineRule="exact"/>
        <w:jc w:val="left"/>
        <w:rPr>
          <w:sz w:val="18"/>
        </w:rPr>
        <w:sectPr>
          <w:type w:val="continuous"/>
          <w:pgSz w:w="11910" w:h="16850"/>
          <w:pgMar w:top="260" w:bottom="0" w:left="260" w:right="300"/>
          <w:cols w:num="2" w:equalWidth="0">
            <w:col w:w="6919" w:space="40"/>
            <w:col w:w="4391"/>
          </w:cols>
        </w:sectPr>
      </w:pPr>
    </w:p>
    <w:p>
      <w:pPr>
        <w:pStyle w:val="BodyText"/>
        <w:rPr>
          <w:sz w:val="20"/>
        </w:rPr>
      </w:pPr>
    </w:p>
    <w:p>
      <w:pPr>
        <w:pStyle w:val="BodyText"/>
        <w:rPr>
          <w:sz w:val="20"/>
        </w:rPr>
      </w:pPr>
    </w:p>
    <w:p>
      <w:pPr>
        <w:spacing w:after="0"/>
        <w:rPr>
          <w:sz w:val="20"/>
        </w:rPr>
        <w:sectPr>
          <w:type w:val="continuous"/>
          <w:pgSz w:w="11910" w:h="16850"/>
          <w:pgMar w:top="260" w:bottom="0" w:left="260" w:right="300"/>
        </w:sectPr>
      </w:pPr>
    </w:p>
    <w:p>
      <w:pPr>
        <w:pStyle w:val="BodyText"/>
        <w:rPr>
          <w:sz w:val="18"/>
        </w:rPr>
      </w:pPr>
    </w:p>
    <w:p>
      <w:pPr>
        <w:pStyle w:val="BodyText"/>
        <w:rPr>
          <w:sz w:val="18"/>
        </w:rPr>
      </w:pPr>
    </w:p>
    <w:p>
      <w:pPr>
        <w:pStyle w:val="BodyText"/>
        <w:rPr>
          <w:sz w:val="18"/>
        </w:rPr>
      </w:pPr>
    </w:p>
    <w:p>
      <w:pPr>
        <w:pStyle w:val="BodyText"/>
        <w:spacing w:before="9"/>
        <w:rPr>
          <w:sz w:val="13"/>
        </w:rPr>
      </w:pPr>
    </w:p>
    <w:p>
      <w:pPr>
        <w:spacing w:line="235" w:lineRule="auto" w:before="0"/>
        <w:ind w:left="4861" w:right="0" w:firstLine="0"/>
        <w:jc w:val="left"/>
        <w:rPr>
          <w:b/>
          <w:sz w:val="18"/>
        </w:rPr>
      </w:pPr>
      <w:r>
        <w:rPr>
          <w:b/>
          <w:sz w:val="18"/>
        </w:rPr>
        <w:t>血液净化受到红细胞、粒细胞和血小板的污染</w:t>
      </w:r>
    </w:p>
    <w:p>
      <w:pPr>
        <w:pStyle w:val="BodyText"/>
        <w:spacing w:before="2"/>
        <w:rPr>
          <w:b/>
          <w:sz w:val="18"/>
        </w:rPr>
      </w:pPr>
      <w:r>
        <w:rPr/>
        <w:br w:type="column"/>
      </w:r>
      <w:r>
        <w:rPr>
          <w:b/>
          <w:sz w:val="18"/>
        </w:rPr>
      </w:r>
    </w:p>
    <w:p>
      <w:pPr>
        <w:spacing w:before="1"/>
        <w:ind w:left="185" w:right="0" w:firstLine="0"/>
        <w:jc w:val="left"/>
        <w:rPr>
          <w:b/>
          <w:sz w:val="15"/>
        </w:rPr>
      </w:pPr>
      <w:r>
        <w:rPr>
          <w:b/>
          <w:sz w:val="15"/>
        </w:rPr>
        <w:t>洗涤方法（封闭式/自动）</w:t>
      </w:r>
    </w:p>
    <w:p>
      <w:pPr>
        <w:pStyle w:val="ListParagraph"/>
        <w:numPr>
          <w:ilvl w:val="0"/>
          <w:numId w:val="8"/>
        </w:numPr>
        <w:tabs>
          <w:tab w:pos="337" w:val="left" w:leader="none"/>
        </w:tabs>
        <w:spacing w:line="240" w:lineRule="auto" w:before="2" w:after="0"/>
        <w:ind w:left="336" w:right="0" w:hanging="152"/>
        <w:jc w:val="left"/>
        <w:rPr>
          <w:b/>
          <w:sz w:val="15"/>
        </w:rPr>
      </w:pPr>
      <w:r>
        <w:rPr/>
        <w:pict>
          <v:shape style="position:absolute;margin-left:165.950012pt;margin-top:-39.680012pt;width:375.5pt;height:159.15pt;mso-position-horizontal-relative:page;mso-position-vertical-relative:paragraph;z-index:-17147904" coordorigin="3319,-794" coordsize="7510,3183" path="m5016,-794l3319,-794,3319,2389,5016,2389,5016,-794xm10828,-794l7284,-794,5016,-794,5016,2389,7284,2389,10828,2389,10828,-794xe" filled="true" fillcolor="#fbe3d5" stroked="false">
            <v:path arrowok="t"/>
            <v:fill type="solid"/>
            <w10:wrap type="none"/>
          </v:shape>
        </w:pict>
      </w:r>
      <w:r>
        <w:rPr>
          <w:b/>
          <w:spacing w:val="11"/>
          <w:sz w:val="15"/>
        </w:rPr>
        <w:t>LOVO</w:t>
      </w:r>
      <w:r>
        <w:rPr>
          <w:b/>
          <w:spacing w:val="-6"/>
          <w:sz w:val="15"/>
        </w:rPr>
        <w:t> 细胞洗涤系统</w:t>
      </w:r>
    </w:p>
    <w:p>
      <w:pPr>
        <w:pStyle w:val="ListParagraph"/>
        <w:numPr>
          <w:ilvl w:val="0"/>
          <w:numId w:val="8"/>
        </w:numPr>
        <w:tabs>
          <w:tab w:pos="337" w:val="left" w:leader="none"/>
        </w:tabs>
        <w:spacing w:line="240" w:lineRule="auto" w:before="4" w:after="0"/>
        <w:ind w:left="336" w:right="0" w:hanging="152"/>
        <w:jc w:val="left"/>
        <w:rPr>
          <w:b/>
          <w:sz w:val="15"/>
        </w:rPr>
      </w:pPr>
      <w:r>
        <w:rPr>
          <w:b/>
          <w:spacing w:val="9"/>
          <w:sz w:val="15"/>
        </w:rPr>
        <w:t>COB</w:t>
      </w:r>
      <w:r>
        <w:rPr>
          <w:b/>
          <w:spacing w:val="-62"/>
          <w:sz w:val="15"/>
        </w:rPr>
        <w:t> </w:t>
      </w:r>
      <w:r>
        <w:rPr>
          <w:b/>
          <w:sz w:val="15"/>
        </w:rPr>
        <w:t>E2991</w:t>
      </w:r>
      <w:r>
        <w:rPr>
          <w:b/>
          <w:spacing w:val="-6"/>
          <w:sz w:val="15"/>
        </w:rPr>
        <w:t> 细胞处理器</w:t>
      </w:r>
      <w:r>
        <w:rPr>
          <w:b/>
          <w:sz w:val="15"/>
        </w:rPr>
        <w:t>(Terumo</w:t>
      </w:r>
      <w:r>
        <w:rPr>
          <w:b/>
          <w:spacing w:val="-17"/>
          <w:sz w:val="15"/>
        </w:rPr>
        <w:t> </w:t>
      </w:r>
      <w:r>
        <w:rPr>
          <w:b/>
          <w:spacing w:val="9"/>
          <w:sz w:val="15"/>
        </w:rPr>
        <w:t>BCT</w:t>
      </w:r>
      <w:r>
        <w:rPr>
          <w:b/>
          <w:spacing w:val="-16"/>
          <w:sz w:val="15"/>
        </w:rPr>
        <w:t> </w:t>
      </w:r>
      <w:r>
        <w:rPr>
          <w:b/>
          <w:sz w:val="15"/>
        </w:rPr>
        <w:t>I</w:t>
      </w:r>
      <w:r>
        <w:rPr>
          <w:b/>
          <w:spacing w:val="-61"/>
          <w:sz w:val="15"/>
        </w:rPr>
        <w:t> </w:t>
      </w:r>
      <w:r>
        <w:rPr>
          <w:b/>
          <w:sz w:val="15"/>
        </w:rPr>
        <w:t>nc.)</w:t>
      </w:r>
    </w:p>
    <w:p>
      <w:pPr>
        <w:pStyle w:val="ListParagraph"/>
        <w:numPr>
          <w:ilvl w:val="0"/>
          <w:numId w:val="8"/>
        </w:numPr>
        <w:tabs>
          <w:tab w:pos="337" w:val="left" w:leader="none"/>
        </w:tabs>
        <w:spacing w:line="240" w:lineRule="auto" w:before="2" w:after="0"/>
        <w:ind w:left="336" w:right="0" w:hanging="152"/>
        <w:jc w:val="left"/>
        <w:rPr>
          <w:b/>
          <w:sz w:val="15"/>
        </w:rPr>
      </w:pPr>
      <w:r>
        <w:rPr>
          <w:b/>
          <w:spacing w:val="6"/>
          <w:sz w:val="15"/>
        </w:rPr>
        <w:t>血细胞回输仪</w:t>
      </w:r>
      <w:r>
        <w:rPr>
          <w:b/>
          <w:sz w:val="15"/>
        </w:rPr>
        <w:t>(Haem</w:t>
      </w:r>
      <w:r>
        <w:rPr>
          <w:b/>
          <w:spacing w:val="-62"/>
          <w:sz w:val="15"/>
        </w:rPr>
        <w:t> </w:t>
      </w:r>
      <w:r>
        <w:rPr>
          <w:b/>
          <w:sz w:val="15"/>
        </w:rPr>
        <w:t>onetics</w:t>
      </w:r>
      <w:r>
        <w:rPr>
          <w:b/>
          <w:spacing w:val="-16"/>
          <w:sz w:val="15"/>
        </w:rPr>
        <w:t> </w:t>
      </w:r>
      <w:r>
        <w:rPr>
          <w:b/>
          <w:sz w:val="15"/>
        </w:rPr>
        <w:t>C</w:t>
      </w:r>
      <w:r>
        <w:rPr>
          <w:b/>
          <w:spacing w:val="-61"/>
          <w:sz w:val="15"/>
        </w:rPr>
        <w:t> </w:t>
      </w:r>
      <w:r>
        <w:rPr>
          <w:b/>
          <w:sz w:val="15"/>
        </w:rPr>
        <w:t>orp)</w:t>
      </w:r>
    </w:p>
    <w:p>
      <w:pPr>
        <w:pStyle w:val="ListParagraph"/>
        <w:numPr>
          <w:ilvl w:val="0"/>
          <w:numId w:val="8"/>
        </w:numPr>
        <w:tabs>
          <w:tab w:pos="337" w:val="left" w:leader="none"/>
        </w:tabs>
        <w:spacing w:line="244" w:lineRule="auto" w:before="3" w:after="0"/>
        <w:ind w:left="185" w:right="1396" w:firstLine="0"/>
        <w:jc w:val="left"/>
        <w:rPr>
          <w:b/>
          <w:sz w:val="15"/>
        </w:rPr>
      </w:pPr>
      <w:r>
        <w:rPr>
          <w:b/>
          <w:spacing w:val="9"/>
          <w:sz w:val="15"/>
        </w:rPr>
        <w:t>Sep</w:t>
      </w:r>
      <w:r>
        <w:rPr>
          <w:b/>
          <w:spacing w:val="-62"/>
          <w:sz w:val="15"/>
        </w:rPr>
        <w:t> </w:t>
      </w:r>
      <w:r>
        <w:rPr>
          <w:b/>
          <w:sz w:val="15"/>
        </w:rPr>
        <w:t>ax</w:t>
      </w:r>
      <w:r>
        <w:rPr>
          <w:b/>
          <w:spacing w:val="-20"/>
          <w:sz w:val="15"/>
        </w:rPr>
        <w:t> </w:t>
      </w:r>
      <w:r>
        <w:rPr>
          <w:b/>
          <w:sz w:val="15"/>
        </w:rPr>
        <w:t>2</w:t>
      </w:r>
      <w:r>
        <w:rPr>
          <w:b/>
          <w:spacing w:val="-5"/>
          <w:sz w:val="15"/>
        </w:rPr>
        <w:t> 全自动细胞分离系统</w:t>
      </w:r>
      <w:r>
        <w:rPr>
          <w:b/>
          <w:sz w:val="15"/>
        </w:rPr>
        <w:t>(biosa</w:t>
      </w:r>
      <w:r>
        <w:rPr>
          <w:b/>
          <w:spacing w:val="-61"/>
          <w:sz w:val="15"/>
        </w:rPr>
        <w:t> </w:t>
      </w:r>
      <w:r>
        <w:rPr>
          <w:b/>
          <w:spacing w:val="-5"/>
          <w:sz w:val="15"/>
        </w:rPr>
        <w:t>fe) </w:t>
      </w:r>
      <w:r>
        <w:rPr>
          <w:b/>
          <w:spacing w:val="10"/>
          <w:sz w:val="15"/>
        </w:rPr>
        <w:t>淘析离心</w:t>
      </w:r>
      <w:r>
        <w:rPr>
          <w:b/>
          <w:sz w:val="15"/>
        </w:rPr>
        <w:t>（封闭式/自动）</w:t>
      </w:r>
    </w:p>
    <w:p>
      <w:pPr>
        <w:pStyle w:val="ListParagraph"/>
        <w:numPr>
          <w:ilvl w:val="0"/>
          <w:numId w:val="8"/>
        </w:numPr>
        <w:tabs>
          <w:tab w:pos="337" w:val="left" w:leader="none"/>
        </w:tabs>
        <w:spacing w:line="244" w:lineRule="auto" w:before="0" w:after="0"/>
        <w:ind w:left="185" w:right="1516" w:firstLine="0"/>
        <w:jc w:val="left"/>
        <w:rPr>
          <w:b/>
          <w:sz w:val="15"/>
        </w:rPr>
      </w:pPr>
      <w:r>
        <w:rPr>
          <w:b/>
          <w:spacing w:val="4"/>
          <w:sz w:val="15"/>
        </w:rPr>
        <w:t>淘析细胞分离系统</w:t>
      </w:r>
      <w:r>
        <w:rPr>
          <w:b/>
          <w:sz w:val="15"/>
        </w:rPr>
        <w:t>(Te</w:t>
      </w:r>
      <w:r>
        <w:rPr>
          <w:b/>
          <w:spacing w:val="-62"/>
          <w:sz w:val="15"/>
        </w:rPr>
        <w:t> </w:t>
      </w:r>
      <w:r>
        <w:rPr>
          <w:b/>
          <w:sz w:val="15"/>
        </w:rPr>
        <w:t>rumo</w:t>
      </w:r>
      <w:r>
        <w:rPr>
          <w:b/>
          <w:spacing w:val="-20"/>
          <w:sz w:val="15"/>
        </w:rPr>
        <w:t> </w:t>
      </w:r>
      <w:r>
        <w:rPr>
          <w:b/>
          <w:sz w:val="15"/>
        </w:rPr>
        <w:t>B</w:t>
      </w:r>
      <w:r>
        <w:rPr>
          <w:b/>
          <w:spacing w:val="-62"/>
          <w:sz w:val="15"/>
        </w:rPr>
        <w:t> </w:t>
      </w:r>
      <w:r>
        <w:rPr>
          <w:b/>
          <w:sz w:val="15"/>
        </w:rPr>
        <w:t>CT</w:t>
      </w:r>
      <w:r>
        <w:rPr>
          <w:b/>
          <w:spacing w:val="-19"/>
          <w:sz w:val="15"/>
        </w:rPr>
        <w:t> </w:t>
      </w:r>
      <w:r>
        <w:rPr>
          <w:b/>
          <w:sz w:val="15"/>
        </w:rPr>
        <w:t>I</w:t>
      </w:r>
      <w:r>
        <w:rPr>
          <w:b/>
          <w:spacing w:val="-62"/>
          <w:sz w:val="15"/>
        </w:rPr>
        <w:t> </w:t>
      </w:r>
      <w:r>
        <w:rPr>
          <w:b/>
          <w:spacing w:val="-3"/>
          <w:sz w:val="15"/>
        </w:rPr>
        <w:t>nc.) </w:t>
      </w:r>
      <w:r>
        <w:rPr>
          <w:b/>
          <w:spacing w:val="10"/>
          <w:sz w:val="15"/>
        </w:rPr>
        <w:t>分离方法</w:t>
      </w:r>
      <w:r>
        <w:rPr>
          <w:b/>
          <w:sz w:val="15"/>
        </w:rPr>
        <w:t>（封闭式/自动）</w:t>
      </w:r>
    </w:p>
    <w:p>
      <w:pPr>
        <w:pStyle w:val="ListParagraph"/>
        <w:numPr>
          <w:ilvl w:val="0"/>
          <w:numId w:val="8"/>
        </w:numPr>
        <w:tabs>
          <w:tab w:pos="337" w:val="left" w:leader="none"/>
        </w:tabs>
        <w:spacing w:line="191" w:lineRule="exact" w:before="0" w:after="0"/>
        <w:ind w:left="336" w:right="0" w:hanging="152"/>
        <w:jc w:val="left"/>
        <w:rPr>
          <w:b/>
          <w:sz w:val="15"/>
        </w:rPr>
      </w:pPr>
      <w:r>
        <w:rPr>
          <w:b/>
          <w:spacing w:val="9"/>
          <w:sz w:val="15"/>
        </w:rPr>
        <w:t>Fic</w:t>
      </w:r>
      <w:r>
        <w:rPr>
          <w:b/>
          <w:spacing w:val="-62"/>
          <w:sz w:val="15"/>
        </w:rPr>
        <w:t> </w:t>
      </w:r>
      <w:r>
        <w:rPr>
          <w:b/>
          <w:sz w:val="15"/>
        </w:rPr>
        <w:t>oll</w:t>
      </w:r>
      <w:r>
        <w:rPr>
          <w:b/>
          <w:spacing w:val="-10"/>
          <w:sz w:val="15"/>
        </w:rPr>
        <w:t> 分离</w:t>
      </w:r>
      <w:r>
        <w:rPr>
          <w:b/>
          <w:sz w:val="15"/>
        </w:rPr>
        <w:t>(Sepax</w:t>
      </w:r>
      <w:r>
        <w:rPr>
          <w:b/>
          <w:spacing w:val="-16"/>
          <w:sz w:val="15"/>
        </w:rPr>
        <w:t> </w:t>
      </w:r>
      <w:r>
        <w:rPr>
          <w:b/>
          <w:sz w:val="15"/>
        </w:rPr>
        <w:t>2</w:t>
      </w:r>
      <w:r>
        <w:rPr>
          <w:b/>
          <w:spacing w:val="-27"/>
          <w:sz w:val="15"/>
        </w:rPr>
        <w:t> , </w:t>
      </w:r>
      <w:r>
        <w:rPr>
          <w:b/>
          <w:sz w:val="15"/>
        </w:rPr>
        <w:t>b</w:t>
      </w:r>
      <w:r>
        <w:rPr>
          <w:b/>
          <w:spacing w:val="-61"/>
          <w:sz w:val="15"/>
        </w:rPr>
        <w:t> </w:t>
      </w:r>
      <w:r>
        <w:rPr>
          <w:b/>
          <w:sz w:val="15"/>
        </w:rPr>
        <w:t>ios</w:t>
      </w:r>
      <w:r>
        <w:rPr>
          <w:b/>
          <w:spacing w:val="-61"/>
          <w:sz w:val="15"/>
        </w:rPr>
        <w:t> </w:t>
      </w:r>
      <w:r>
        <w:rPr>
          <w:b/>
          <w:sz w:val="15"/>
        </w:rPr>
        <w:t>afe)</w:t>
      </w:r>
    </w:p>
    <w:p>
      <w:pPr>
        <w:pStyle w:val="ListParagraph"/>
        <w:numPr>
          <w:ilvl w:val="0"/>
          <w:numId w:val="8"/>
        </w:numPr>
        <w:tabs>
          <w:tab w:pos="337" w:val="left" w:leader="none"/>
        </w:tabs>
        <w:spacing w:line="240" w:lineRule="auto" w:before="1" w:after="0"/>
        <w:ind w:left="336" w:right="0" w:hanging="152"/>
        <w:jc w:val="left"/>
        <w:rPr>
          <w:b/>
          <w:sz w:val="15"/>
        </w:rPr>
      </w:pPr>
      <w:r>
        <w:rPr>
          <w:b/>
          <w:spacing w:val="-9"/>
          <w:sz w:val="15"/>
        </w:rPr>
        <w:t>非 </w:t>
      </w:r>
      <w:r>
        <w:rPr>
          <w:b/>
          <w:spacing w:val="7"/>
          <w:sz w:val="15"/>
        </w:rPr>
        <w:t>Fi</w:t>
      </w:r>
      <w:r>
        <w:rPr>
          <w:b/>
          <w:spacing w:val="-62"/>
          <w:sz w:val="15"/>
        </w:rPr>
        <w:t> </w:t>
      </w:r>
      <w:r>
        <w:rPr>
          <w:b/>
          <w:sz w:val="15"/>
        </w:rPr>
        <w:t>coll</w:t>
      </w:r>
      <w:r>
        <w:rPr>
          <w:b/>
          <w:spacing w:val="-12"/>
          <w:sz w:val="15"/>
        </w:rPr>
        <w:t> 分离(</w:t>
      </w:r>
      <w:r>
        <w:rPr>
          <w:b/>
          <w:spacing w:val="2"/>
          <w:sz w:val="15"/>
        </w:rPr>
        <w:t>X-Lab,</w:t>
      </w:r>
      <w:r>
        <w:rPr>
          <w:b/>
          <w:spacing w:val="-17"/>
          <w:sz w:val="15"/>
        </w:rPr>
        <w:t> </w:t>
      </w:r>
      <w:r>
        <w:rPr>
          <w:b/>
          <w:sz w:val="15"/>
        </w:rPr>
        <w:t>T</w:t>
      </w:r>
      <w:r>
        <w:rPr>
          <w:b/>
          <w:spacing w:val="-61"/>
          <w:sz w:val="15"/>
        </w:rPr>
        <w:t> </w:t>
      </w:r>
      <w:r>
        <w:rPr>
          <w:b/>
          <w:sz w:val="15"/>
        </w:rPr>
        <w:t>hermogenesis</w:t>
      </w:r>
      <w:r>
        <w:rPr>
          <w:b/>
          <w:spacing w:val="-17"/>
          <w:sz w:val="15"/>
        </w:rPr>
        <w:t> </w:t>
      </w:r>
      <w:r>
        <w:rPr>
          <w:b/>
          <w:sz w:val="15"/>
        </w:rPr>
        <w:t>C</w:t>
      </w:r>
      <w:r>
        <w:rPr>
          <w:b/>
          <w:spacing w:val="-62"/>
          <w:sz w:val="15"/>
        </w:rPr>
        <w:t> </w:t>
      </w:r>
      <w:r>
        <w:rPr>
          <w:b/>
          <w:sz w:val="15"/>
        </w:rPr>
        <w:t>es</w:t>
      </w:r>
      <w:r>
        <w:rPr>
          <w:b/>
          <w:spacing w:val="-61"/>
          <w:sz w:val="15"/>
        </w:rPr>
        <w:t> </w:t>
      </w:r>
      <w:r>
        <w:rPr>
          <w:b/>
          <w:sz w:val="15"/>
        </w:rPr>
        <w:t>ca)</w:t>
      </w:r>
    </w:p>
    <w:p>
      <w:pPr>
        <w:spacing w:after="0" w:line="240" w:lineRule="auto"/>
        <w:jc w:val="left"/>
        <w:rPr>
          <w:sz w:val="15"/>
        </w:rPr>
        <w:sectPr>
          <w:type w:val="continuous"/>
          <w:pgSz w:w="11910" w:h="16850"/>
          <w:pgMar w:top="260" w:bottom="0" w:left="260" w:right="300"/>
          <w:cols w:num="2" w:equalWidth="0">
            <w:col w:w="6919" w:space="40"/>
            <w:col w:w="4391"/>
          </w:cols>
        </w:sectPr>
      </w:pPr>
    </w:p>
    <w:p>
      <w:pPr>
        <w:pStyle w:val="BodyText"/>
        <w:rPr>
          <w:b/>
          <w:sz w:val="20"/>
        </w:rPr>
      </w:pPr>
    </w:p>
    <w:p>
      <w:pPr>
        <w:pStyle w:val="BodyText"/>
        <w:rPr>
          <w:b/>
          <w:sz w:val="20"/>
        </w:rPr>
      </w:pPr>
    </w:p>
    <w:p>
      <w:pPr>
        <w:pStyle w:val="BodyText"/>
        <w:spacing w:before="7"/>
        <w:rPr>
          <w:b/>
          <w:sz w:val="23"/>
        </w:rPr>
      </w:pPr>
    </w:p>
    <w:p>
      <w:pPr>
        <w:spacing w:after="0"/>
        <w:rPr>
          <w:sz w:val="23"/>
        </w:rPr>
        <w:sectPr>
          <w:type w:val="continuous"/>
          <w:pgSz w:w="11910" w:h="16850"/>
          <w:pgMar w:top="260" w:bottom="0" w:left="260" w:right="300"/>
        </w:sectPr>
      </w:pPr>
    </w:p>
    <w:p>
      <w:pPr>
        <w:pStyle w:val="BodyText"/>
        <w:spacing w:before="5"/>
        <w:rPr>
          <w:b/>
          <w:sz w:val="23"/>
        </w:rPr>
      </w:pPr>
    </w:p>
    <w:p>
      <w:pPr>
        <w:spacing w:line="249" w:lineRule="auto" w:before="1"/>
        <w:ind w:left="4861" w:right="0" w:firstLine="0"/>
        <w:jc w:val="left"/>
        <w:rPr>
          <w:sz w:val="18"/>
        </w:rPr>
      </w:pPr>
      <w:r>
        <w:rPr>
          <w:sz w:val="18"/>
        </w:rPr>
        <w:t>血液净化受到单核细胞的污染</w:t>
      </w:r>
    </w:p>
    <w:p>
      <w:pPr>
        <w:spacing w:line="228" w:lineRule="exact" w:before="75"/>
        <w:ind w:left="201" w:right="0" w:firstLine="0"/>
        <w:jc w:val="left"/>
        <w:rPr>
          <w:sz w:val="18"/>
        </w:rPr>
      </w:pPr>
      <w:r>
        <w:rPr/>
        <w:br w:type="column"/>
      </w:r>
      <w:r>
        <w:rPr>
          <w:sz w:val="18"/>
        </w:rPr>
        <w:t>淘析离心（封闭式/自动）</w:t>
      </w:r>
    </w:p>
    <w:p>
      <w:pPr>
        <w:pStyle w:val="ListParagraph"/>
        <w:numPr>
          <w:ilvl w:val="0"/>
          <w:numId w:val="9"/>
        </w:numPr>
        <w:tabs>
          <w:tab w:pos="382" w:val="left" w:leader="none"/>
        </w:tabs>
        <w:spacing w:line="249" w:lineRule="auto" w:before="0" w:after="0"/>
        <w:ind w:left="201" w:right="1503" w:firstLine="0"/>
        <w:jc w:val="left"/>
        <w:rPr>
          <w:sz w:val="18"/>
        </w:rPr>
      </w:pPr>
      <w:r>
        <w:rPr>
          <w:sz w:val="18"/>
        </w:rPr>
        <w:t>淘析细胞分离系统(Terumo</w:t>
      </w:r>
      <w:r>
        <w:rPr>
          <w:spacing w:val="2"/>
          <w:sz w:val="18"/>
        </w:rPr>
        <w:t> </w:t>
      </w:r>
      <w:r>
        <w:rPr>
          <w:spacing w:val="-5"/>
          <w:sz w:val="18"/>
        </w:rPr>
        <w:t>BCT) </w:t>
      </w:r>
      <w:r>
        <w:rPr>
          <w:sz w:val="18"/>
        </w:rPr>
        <w:t>免疫磁选（封闭式/自动）</w:t>
      </w:r>
    </w:p>
    <w:p>
      <w:pPr>
        <w:pStyle w:val="ListParagraph"/>
        <w:numPr>
          <w:ilvl w:val="0"/>
          <w:numId w:val="9"/>
        </w:numPr>
        <w:tabs>
          <w:tab w:pos="382" w:val="left" w:leader="none"/>
        </w:tabs>
        <w:spacing w:line="228" w:lineRule="exact" w:before="0" w:after="0"/>
        <w:ind w:left="381" w:right="0" w:hanging="181"/>
        <w:jc w:val="left"/>
        <w:rPr>
          <w:sz w:val="18"/>
        </w:rPr>
      </w:pPr>
      <w:r>
        <w:rPr>
          <w:sz w:val="18"/>
        </w:rPr>
        <w:t>CD4+/8+筛选磁珠</w:t>
      </w:r>
    </w:p>
    <w:p>
      <w:pPr>
        <w:pStyle w:val="ListParagraph"/>
        <w:numPr>
          <w:ilvl w:val="0"/>
          <w:numId w:val="9"/>
        </w:numPr>
        <w:tabs>
          <w:tab w:pos="382" w:val="left" w:leader="none"/>
        </w:tabs>
        <w:spacing w:line="228" w:lineRule="exact" w:before="0" w:after="0"/>
        <w:ind w:left="381" w:right="0" w:hanging="181"/>
        <w:jc w:val="left"/>
        <w:rPr>
          <w:sz w:val="18"/>
        </w:rPr>
      </w:pPr>
      <w:r>
        <w:rPr>
          <w:sz w:val="18"/>
        </w:rPr>
        <w:t>CD62L</w:t>
      </w:r>
      <w:r>
        <w:rPr>
          <w:spacing w:val="-10"/>
          <w:sz w:val="18"/>
        </w:rPr>
        <w:t> 筛选磁珠</w:t>
      </w:r>
    </w:p>
    <w:p>
      <w:pPr>
        <w:spacing w:after="0" w:line="228" w:lineRule="exact"/>
        <w:jc w:val="left"/>
        <w:rPr>
          <w:sz w:val="18"/>
        </w:rPr>
        <w:sectPr>
          <w:type w:val="continuous"/>
          <w:pgSz w:w="11910" w:h="16850"/>
          <w:pgMar w:top="260" w:bottom="0" w:left="260" w:right="300"/>
          <w:cols w:num="2" w:equalWidth="0">
            <w:col w:w="6903" w:space="40"/>
            <w:col w:w="4407"/>
          </w:cols>
        </w:sectPr>
      </w:pPr>
    </w:p>
    <w:p>
      <w:pPr>
        <w:pStyle w:val="BodyText"/>
        <w:spacing w:before="9"/>
      </w:pPr>
    </w:p>
    <w:p>
      <w:pPr>
        <w:pStyle w:val="BodyText"/>
        <w:ind w:left="3059"/>
        <w:rPr>
          <w:sz w:val="20"/>
        </w:rPr>
      </w:pPr>
      <w:r>
        <w:rPr>
          <w:sz w:val="20"/>
        </w:rPr>
        <w:pict>
          <v:shape style="width:375.5pt;height:24pt;mso-position-horizontal-relative:char;mso-position-vertical-relative:line" type="#_x0000_t202" filled="true" fillcolor="#fbe3d5" stroked="false">
            <w10:anchorlock/>
            <v:textbox inset="0,0,0,0">
              <w:txbxContent>
                <w:p>
                  <w:pPr>
                    <w:spacing w:line="160" w:lineRule="exact" w:before="0"/>
                    <w:ind w:left="1802" w:right="0" w:firstLine="0"/>
                    <w:jc w:val="left"/>
                    <w:rPr>
                      <w:sz w:val="18"/>
                    </w:rPr>
                  </w:pPr>
                  <w:r>
                    <w:rPr>
                      <w:sz w:val="18"/>
                    </w:rPr>
                    <w:t>多中心试验中的血浆离心</w:t>
                  </w:r>
                </w:p>
                <w:p>
                  <w:pPr>
                    <w:spacing w:line="120" w:lineRule="exact" w:before="0"/>
                    <w:ind w:left="4085" w:right="0" w:firstLine="0"/>
                    <w:jc w:val="left"/>
                    <w:rPr>
                      <w:sz w:val="18"/>
                    </w:rPr>
                  </w:pPr>
                  <w:r>
                    <w:rPr>
                      <w:sz w:val="18"/>
                    </w:rPr>
                    <w:t>操作流程/设备/培训的标准化</w:t>
                  </w:r>
                </w:p>
                <w:p>
                  <w:pPr>
                    <w:spacing w:line="175" w:lineRule="exact" w:before="0"/>
                    <w:ind w:left="1802" w:right="0" w:firstLine="0"/>
                    <w:jc w:val="left"/>
                    <w:rPr>
                      <w:sz w:val="18"/>
                    </w:rPr>
                  </w:pPr>
                  <w:r>
                    <w:rPr>
                      <w:sz w:val="18"/>
                    </w:rPr>
                    <w:t>分离</w:t>
                  </w:r>
                </w:p>
              </w:txbxContent>
            </v:textbox>
            <v:fill type="solid"/>
          </v:shape>
        </w:pict>
      </w:r>
      <w:r>
        <w:rPr>
          <w:sz w:val="20"/>
        </w:rPr>
      </w:r>
    </w:p>
    <w:p>
      <w:pPr>
        <w:tabs>
          <w:tab w:pos="1697" w:val="left" w:leader="none"/>
          <w:tab w:pos="3979" w:val="left" w:leader="none"/>
        </w:tabs>
        <w:spacing w:before="15"/>
        <w:ind w:left="0" w:right="141" w:firstLine="0"/>
        <w:jc w:val="center"/>
        <w:rPr>
          <w:sz w:val="18"/>
        </w:rPr>
      </w:pPr>
      <w:r>
        <w:rPr/>
        <w:pict>
          <v:group style="position:absolute;margin-left:165.949997pt;margin-top:14.994997pt;width:375.5pt;height:136.65pt;mso-position-horizontal-relative:page;mso-position-vertical-relative:paragraph;z-index:-15703552;mso-wrap-distance-left:0;mso-wrap-distance-right:0" coordorigin="3319,300" coordsize="7510,2733">
            <v:shape style="position:absolute;left:3319;top:299;width:7510;height:2733" coordorigin="3319,300" coordsize="7510,2733" path="m5016,300l3319,300,3319,3032,5016,3032,5016,300xm10828,300l7284,300,7284,300,5016,300,5016,3032,7284,3032,10828,3032,10828,2687,10828,2342,10828,2011,7284,2011,7284,2011,10828,2011,10828,1666,10828,1666,10828,1321,10828,991,10828,990,10828,646,10828,300xe" filled="true" fillcolor="#fbe3d5" stroked="false">
              <v:path arrowok="t"/>
              <v:fill type="solid"/>
            </v:shape>
            <v:shape style="position:absolute;left:3424;top:1436;width:876;height:180" type="#_x0000_t202" filled="false" stroked="false">
              <v:textbox inset="0,0,0,0">
                <w:txbxContent>
                  <w:p>
                    <w:pPr>
                      <w:spacing w:line="180" w:lineRule="exact" w:before="0"/>
                      <w:ind w:left="0" w:right="0" w:firstLine="0"/>
                      <w:jc w:val="left"/>
                      <w:rPr>
                        <w:sz w:val="18"/>
                      </w:rPr>
                    </w:pPr>
                    <w:r>
                      <w:rPr>
                        <w:sz w:val="18"/>
                      </w:rPr>
                      <w:t>T</w:t>
                    </w:r>
                    <w:r>
                      <w:rPr>
                        <w:spacing w:val="-10"/>
                        <w:sz w:val="18"/>
                      </w:rPr>
                      <w:t> 细胞转导</w:t>
                    </w:r>
                  </w:p>
                </w:txbxContent>
              </v:textbox>
              <w10:wrap type="none"/>
            </v:shape>
            <v:shape style="position:absolute;left:5121;top:505;width:2077;height:2282" type="#_x0000_t202" filled="false" stroked="false">
              <v:textbox inset="0,0,0,0">
                <w:txbxContent>
                  <w:p>
                    <w:pPr>
                      <w:spacing w:line="205" w:lineRule="exact" w:before="0"/>
                      <w:ind w:left="0" w:right="0" w:firstLine="0"/>
                      <w:jc w:val="left"/>
                      <w:rPr>
                        <w:sz w:val="18"/>
                      </w:rPr>
                    </w:pPr>
                    <w:r>
                      <w:rPr>
                        <w:sz w:val="18"/>
                      </w:rPr>
                      <w:t>病毒载体（慢病毒/逆转录</w:t>
                    </w:r>
                  </w:p>
                  <w:p>
                    <w:pPr>
                      <w:spacing w:line="228" w:lineRule="exact" w:before="9"/>
                      <w:ind w:left="0" w:right="0" w:firstLine="0"/>
                      <w:jc w:val="left"/>
                      <w:rPr>
                        <w:sz w:val="18"/>
                      </w:rPr>
                    </w:pPr>
                    <w:r>
                      <w:rPr>
                        <w:sz w:val="18"/>
                      </w:rPr>
                      <w:t>病毒）</w:t>
                    </w:r>
                  </w:p>
                  <w:p>
                    <w:pPr>
                      <w:numPr>
                        <w:ilvl w:val="0"/>
                        <w:numId w:val="10"/>
                      </w:numPr>
                      <w:tabs>
                        <w:tab w:pos="180" w:val="left" w:leader="none"/>
                      </w:tabs>
                      <w:spacing w:line="228" w:lineRule="exact" w:before="0"/>
                      <w:ind w:left="180" w:right="0" w:hanging="180"/>
                      <w:jc w:val="left"/>
                      <w:rPr>
                        <w:sz w:val="18"/>
                      </w:rPr>
                    </w:pPr>
                    <w:r>
                      <w:rPr>
                        <w:sz w:val="18"/>
                      </w:rPr>
                      <w:t>费用</w:t>
                    </w:r>
                  </w:p>
                  <w:p>
                    <w:pPr>
                      <w:numPr>
                        <w:ilvl w:val="0"/>
                        <w:numId w:val="10"/>
                      </w:numPr>
                      <w:tabs>
                        <w:tab w:pos="180" w:val="left" w:leader="none"/>
                      </w:tabs>
                      <w:spacing w:line="228" w:lineRule="exact" w:before="9"/>
                      <w:ind w:left="180" w:right="0" w:hanging="180"/>
                      <w:jc w:val="left"/>
                      <w:rPr>
                        <w:sz w:val="18"/>
                      </w:rPr>
                    </w:pPr>
                    <w:r>
                      <w:rPr>
                        <w:sz w:val="18"/>
                      </w:rPr>
                      <w:t>人工</w:t>
                    </w:r>
                  </w:p>
                  <w:p>
                    <w:pPr>
                      <w:numPr>
                        <w:ilvl w:val="0"/>
                        <w:numId w:val="10"/>
                      </w:numPr>
                      <w:tabs>
                        <w:tab w:pos="180" w:val="left" w:leader="none"/>
                      </w:tabs>
                      <w:spacing w:line="228" w:lineRule="exact" w:before="0"/>
                      <w:ind w:left="180" w:right="0" w:hanging="180"/>
                      <w:jc w:val="left"/>
                      <w:rPr>
                        <w:sz w:val="18"/>
                      </w:rPr>
                    </w:pPr>
                    <w:r>
                      <w:rPr>
                        <w:sz w:val="18"/>
                      </w:rPr>
                      <w:t>设备</w:t>
                    </w:r>
                  </w:p>
                  <w:p>
                    <w:pPr>
                      <w:numPr>
                        <w:ilvl w:val="0"/>
                        <w:numId w:val="10"/>
                      </w:numPr>
                      <w:tabs>
                        <w:tab w:pos="180" w:val="left" w:leader="none"/>
                      </w:tabs>
                      <w:spacing w:line="228" w:lineRule="exact" w:before="10"/>
                      <w:ind w:left="180" w:right="0" w:hanging="180"/>
                      <w:jc w:val="left"/>
                      <w:rPr>
                        <w:sz w:val="18"/>
                      </w:rPr>
                    </w:pPr>
                    <w:r>
                      <w:rPr>
                        <w:sz w:val="18"/>
                      </w:rPr>
                      <w:t>安全</w:t>
                    </w:r>
                  </w:p>
                  <w:p>
                    <w:pPr>
                      <w:spacing w:line="249" w:lineRule="auto" w:before="0"/>
                      <w:ind w:left="0" w:right="3" w:firstLine="0"/>
                      <w:jc w:val="left"/>
                      <w:rPr>
                        <w:sz w:val="18"/>
                      </w:rPr>
                    </w:pPr>
                    <w:r>
                      <w:rPr>
                        <w:sz w:val="18"/>
                      </w:rPr>
                      <w:t>非病毒方法（转座子/转座酶系统/电穿孔）</w:t>
                    </w:r>
                  </w:p>
                  <w:p>
                    <w:pPr>
                      <w:numPr>
                        <w:ilvl w:val="0"/>
                        <w:numId w:val="10"/>
                      </w:numPr>
                      <w:tabs>
                        <w:tab w:pos="180" w:val="left" w:leader="none"/>
                      </w:tabs>
                      <w:spacing w:line="235" w:lineRule="auto" w:before="0"/>
                      <w:ind w:left="0" w:right="274" w:firstLine="0"/>
                      <w:jc w:val="left"/>
                      <w:rPr>
                        <w:sz w:val="18"/>
                      </w:rPr>
                    </w:pPr>
                    <w:r>
                      <w:rPr>
                        <w:spacing w:val="-2"/>
                        <w:sz w:val="18"/>
                      </w:rPr>
                      <w:t>需要更长的培养时间</w:t>
                    </w:r>
                    <w:r>
                      <w:rPr>
                        <w:sz w:val="18"/>
                      </w:rPr>
                      <w:t>不同的转导效率</w:t>
                    </w:r>
                  </w:p>
                </w:txbxContent>
              </v:textbox>
              <w10:wrap type="none"/>
            </v:shape>
            <v:shape style="position:absolute;left:7404;top:370;width:2360;height:511" type="#_x0000_t202" filled="false" stroked="false">
              <v:textbox inset="0,0,0,0">
                <w:txbxContent>
                  <w:p>
                    <w:pPr>
                      <w:spacing w:line="205" w:lineRule="exact" w:before="0"/>
                      <w:ind w:left="0" w:right="0" w:firstLine="0"/>
                      <w:jc w:val="left"/>
                      <w:rPr>
                        <w:sz w:val="18"/>
                      </w:rPr>
                    </w:pPr>
                    <w:r>
                      <w:rPr>
                        <w:sz w:val="18"/>
                      </w:rPr>
                      <w:t>高性价比非病毒基因传递系统</w:t>
                    </w:r>
                  </w:p>
                  <w:p>
                    <w:pPr>
                      <w:spacing w:line="205" w:lineRule="exact" w:before="100"/>
                      <w:ind w:left="0" w:right="0" w:firstLine="0"/>
                      <w:jc w:val="left"/>
                      <w:rPr>
                        <w:sz w:val="18"/>
                      </w:rPr>
                    </w:pPr>
                    <w:r>
                      <w:rPr>
                        <w:sz w:val="18"/>
                      </w:rPr>
                      <w:t>自动化</w:t>
                    </w:r>
                  </w:p>
                </w:txbxContent>
              </v:textbox>
              <w10:wrap type="none"/>
            </v:shape>
            <v:shape style="position:absolute;left:7404;top:1046;width:2000;height:180" type="#_x0000_t202" filled="false" stroked="false">
              <v:textbox inset="0,0,0,0">
                <w:txbxContent>
                  <w:p>
                    <w:pPr>
                      <w:spacing w:line="180" w:lineRule="exact" w:before="0"/>
                      <w:ind w:left="0" w:right="0" w:firstLine="0"/>
                      <w:jc w:val="left"/>
                      <w:rPr>
                        <w:sz w:val="18"/>
                      </w:rPr>
                    </w:pPr>
                    <w:r>
                      <w:rPr>
                        <w:sz w:val="18"/>
                      </w:rPr>
                      <w:t>复制缺陷结构，长期跟进</w:t>
                    </w:r>
                  </w:p>
                </w:txbxContent>
              </v:textbox>
              <w10:wrap type="none"/>
            </v:shape>
            <v:shape style="position:absolute;left:7404;top:1391;width:1280;height:1532" type="#_x0000_t202" filled="false" stroked="false">
              <v:textbox inset="0,0,0,0">
                <w:txbxContent>
                  <w:p>
                    <w:pPr>
                      <w:spacing w:line="205" w:lineRule="exact" w:before="0"/>
                      <w:ind w:left="0" w:right="0" w:firstLine="0"/>
                      <w:jc w:val="left"/>
                      <w:rPr>
                        <w:sz w:val="18"/>
                      </w:rPr>
                    </w:pPr>
                    <w:r>
                      <w:rPr>
                        <w:sz w:val="18"/>
                      </w:rPr>
                      <w:t>长期跟进</w:t>
                    </w:r>
                  </w:p>
                  <w:p>
                    <w:pPr>
                      <w:spacing w:line="360" w:lineRule="auto" w:before="99"/>
                      <w:ind w:left="0" w:right="378" w:firstLine="0"/>
                      <w:jc w:val="left"/>
                      <w:rPr>
                        <w:sz w:val="18"/>
                      </w:rPr>
                    </w:pPr>
                    <w:r>
                      <w:rPr>
                        <w:sz w:val="18"/>
                      </w:rPr>
                      <w:t>前瞻性研究单一载体源</w:t>
                    </w:r>
                  </w:p>
                  <w:p>
                    <w:pPr>
                      <w:spacing w:line="229" w:lineRule="exact" w:before="0"/>
                      <w:ind w:left="0" w:right="0" w:firstLine="0"/>
                      <w:jc w:val="left"/>
                      <w:rPr>
                        <w:sz w:val="18"/>
                      </w:rPr>
                    </w:pPr>
                    <w:r>
                      <w:rPr>
                        <w:sz w:val="18"/>
                      </w:rPr>
                      <w:t>标准化生产过程</w:t>
                    </w:r>
                  </w:p>
                  <w:p>
                    <w:pPr>
                      <w:spacing w:line="205" w:lineRule="exact" w:before="100"/>
                      <w:ind w:left="0" w:right="0" w:firstLine="0"/>
                      <w:jc w:val="left"/>
                      <w:rPr>
                        <w:sz w:val="18"/>
                      </w:rPr>
                    </w:pPr>
                    <w:r>
                      <w:rPr>
                        <w:sz w:val="18"/>
                      </w:rPr>
                      <w:t>前瞻性评估</w:t>
                    </w:r>
                  </w:p>
                </w:txbxContent>
              </v:textbox>
              <w10:wrap type="none"/>
            </v:shape>
            <w10:wrap type="topAndBottom"/>
          </v:group>
        </w:pict>
      </w:r>
      <w:r>
        <w:rPr>
          <w:sz w:val="18"/>
        </w:rPr>
        <w:t>T</w:t>
      </w:r>
      <w:r>
        <w:rPr>
          <w:spacing w:val="-45"/>
          <w:sz w:val="18"/>
        </w:rPr>
        <w:t> </w:t>
      </w:r>
      <w:r>
        <w:rPr>
          <w:sz w:val="18"/>
        </w:rPr>
        <w:t>细胞激活</w:t>
        <w:tab/>
        <w:t>最佳的细胞激活方法未知</w:t>
        <w:tab/>
        <w:t>前瞻性研究</w:t>
      </w:r>
    </w:p>
    <w:p>
      <w:pPr>
        <w:spacing w:after="0"/>
        <w:jc w:val="center"/>
        <w:rPr>
          <w:sz w:val="18"/>
        </w:rPr>
        <w:sectPr>
          <w:type w:val="continuous"/>
          <w:pgSz w:w="11910" w:h="16850"/>
          <w:pgMar w:top="260" w:bottom="0" w:left="260" w:right="300"/>
        </w:sectPr>
      </w:pPr>
    </w:p>
    <w:p>
      <w:pPr>
        <w:spacing w:before="134"/>
        <w:ind w:left="0" w:right="0" w:firstLine="0"/>
        <w:jc w:val="right"/>
        <w:rPr>
          <w:sz w:val="18"/>
        </w:rPr>
      </w:pPr>
      <w:r>
        <w:rPr/>
        <w:pict>
          <v:line style="position:absolute;mso-position-horizontal-relative:page;mso-position-vertical-relative:paragraph;z-index:15756288" from="36.549999pt,2.469983pt" to="534.549999pt,2.469983pt" stroked="true" strokeweight="1pt" strokecolor="#a6a6a6">
            <v:stroke dashstyle="solid"/>
            <w10:wrap type="none"/>
          </v:line>
        </w:pict>
      </w:r>
      <w:r>
        <w:rPr>
          <w:sz w:val="18"/>
        </w:rPr>
        <w:t>T 细胞增值</w:t>
      </w:r>
    </w:p>
    <w:p>
      <w:pPr>
        <w:pStyle w:val="BodyText"/>
        <w:spacing w:before="11"/>
        <w:rPr>
          <w:sz w:val="26"/>
        </w:rPr>
      </w:pPr>
      <w:r>
        <w:rPr/>
        <w:br w:type="column"/>
      </w:r>
      <w:r>
        <w:rPr>
          <w:sz w:val="26"/>
        </w:rPr>
      </w:r>
    </w:p>
    <w:p>
      <w:pPr>
        <w:spacing w:line="228" w:lineRule="exact" w:before="0"/>
        <w:ind w:left="802" w:right="0" w:firstLine="0"/>
        <w:jc w:val="left"/>
        <w:rPr>
          <w:sz w:val="18"/>
        </w:rPr>
      </w:pPr>
      <w:r>
        <w:rPr>
          <w:spacing w:val="-2"/>
          <w:sz w:val="18"/>
        </w:rPr>
        <w:t>培养瓶/WAVE/G-Rex</w:t>
      </w:r>
    </w:p>
    <w:p>
      <w:pPr>
        <w:pStyle w:val="ListParagraph"/>
        <w:numPr>
          <w:ilvl w:val="1"/>
          <w:numId w:val="9"/>
        </w:numPr>
        <w:tabs>
          <w:tab w:pos="983" w:val="left" w:leader="none"/>
        </w:tabs>
        <w:spacing w:line="228" w:lineRule="exact" w:before="0" w:after="0"/>
        <w:ind w:left="982" w:right="0" w:hanging="181"/>
        <w:jc w:val="left"/>
        <w:rPr>
          <w:sz w:val="18"/>
        </w:rPr>
      </w:pPr>
      <w:r>
        <w:rPr>
          <w:sz w:val="18"/>
        </w:rPr>
        <w:t>人力</w:t>
      </w:r>
    </w:p>
    <w:p>
      <w:pPr>
        <w:pStyle w:val="ListParagraph"/>
        <w:numPr>
          <w:ilvl w:val="1"/>
          <w:numId w:val="9"/>
        </w:numPr>
        <w:tabs>
          <w:tab w:pos="983" w:val="left" w:leader="none"/>
        </w:tabs>
        <w:spacing w:line="228" w:lineRule="exact" w:before="10" w:after="0"/>
        <w:ind w:left="982" w:right="0" w:hanging="181"/>
        <w:jc w:val="left"/>
        <w:rPr>
          <w:sz w:val="18"/>
        </w:rPr>
      </w:pPr>
      <w:r>
        <w:rPr>
          <w:sz w:val="18"/>
        </w:rPr>
        <w:t>污染</w:t>
      </w:r>
    </w:p>
    <w:p>
      <w:pPr>
        <w:pStyle w:val="ListParagraph"/>
        <w:numPr>
          <w:ilvl w:val="1"/>
          <w:numId w:val="9"/>
        </w:numPr>
        <w:tabs>
          <w:tab w:pos="983" w:val="left" w:leader="none"/>
        </w:tabs>
        <w:spacing w:line="228" w:lineRule="exact" w:before="0" w:after="0"/>
        <w:ind w:left="982" w:right="0" w:hanging="181"/>
        <w:jc w:val="left"/>
        <w:rPr>
          <w:sz w:val="18"/>
        </w:rPr>
      </w:pPr>
      <w:r>
        <w:rPr>
          <w:sz w:val="18"/>
        </w:rPr>
        <w:t>需要熟练操作</w:t>
      </w:r>
    </w:p>
    <w:p>
      <w:pPr>
        <w:pStyle w:val="ListParagraph"/>
        <w:numPr>
          <w:ilvl w:val="1"/>
          <w:numId w:val="9"/>
        </w:numPr>
        <w:tabs>
          <w:tab w:pos="983" w:val="left" w:leader="none"/>
        </w:tabs>
        <w:spacing w:line="240" w:lineRule="auto" w:before="9" w:after="0"/>
        <w:ind w:left="982" w:right="0" w:hanging="181"/>
        <w:jc w:val="left"/>
        <w:rPr>
          <w:sz w:val="18"/>
        </w:rPr>
      </w:pPr>
      <w:r>
        <w:rPr>
          <w:sz w:val="18"/>
        </w:rPr>
        <w:t>细胞数量差异大</w:t>
      </w:r>
    </w:p>
    <w:p>
      <w:pPr>
        <w:pStyle w:val="BodyText"/>
        <w:rPr>
          <w:sz w:val="18"/>
        </w:rPr>
      </w:pPr>
      <w:r>
        <w:rPr/>
        <w:br w:type="column"/>
      </w:r>
      <w:r>
        <w:rPr>
          <w:sz w:val="18"/>
        </w:rPr>
      </w:r>
    </w:p>
    <w:p>
      <w:pPr>
        <w:pStyle w:val="BodyText"/>
        <w:rPr>
          <w:sz w:val="18"/>
        </w:rPr>
      </w:pPr>
    </w:p>
    <w:p>
      <w:pPr>
        <w:pStyle w:val="BodyText"/>
        <w:spacing w:before="10"/>
        <w:rPr>
          <w:sz w:val="17"/>
        </w:rPr>
      </w:pPr>
    </w:p>
    <w:p>
      <w:pPr>
        <w:spacing w:line="249" w:lineRule="auto" w:before="1"/>
        <w:ind w:left="710" w:right="865" w:firstLine="0"/>
        <w:jc w:val="left"/>
        <w:rPr>
          <w:sz w:val="18"/>
        </w:rPr>
      </w:pPr>
      <w:r>
        <w:rPr>
          <w:sz w:val="18"/>
        </w:rPr>
        <w:t>封闭式，自动式，标准化，灵活的操作(cliniMACS prodigy)</w:t>
      </w:r>
    </w:p>
    <w:p>
      <w:pPr>
        <w:spacing w:after="0" w:line="249" w:lineRule="auto"/>
        <w:jc w:val="left"/>
        <w:rPr>
          <w:sz w:val="18"/>
        </w:rPr>
        <w:sectPr>
          <w:pgSz w:w="11910" w:h="16850"/>
          <w:pgMar w:header="796" w:footer="1296" w:top="1340" w:bottom="1480" w:left="260" w:right="300"/>
          <w:cols w:num="3" w:equalWidth="0">
            <w:col w:w="4020" w:space="40"/>
            <w:col w:w="2334" w:space="39"/>
            <w:col w:w="4917"/>
          </w:cols>
        </w:sectPr>
      </w:pPr>
    </w:p>
    <w:p>
      <w:pPr>
        <w:pStyle w:val="BodyText"/>
        <w:spacing w:before="11"/>
      </w:pPr>
    </w:p>
    <w:p>
      <w:pPr>
        <w:pStyle w:val="BodyText"/>
        <w:ind w:left="3059"/>
        <w:rPr>
          <w:sz w:val="20"/>
        </w:rPr>
      </w:pPr>
      <w:r>
        <w:rPr>
          <w:sz w:val="20"/>
        </w:rPr>
        <w:pict>
          <v:group style="width:375.5pt;height:40.550pt;mso-position-horizontal-relative:char;mso-position-vertical-relative:line" coordorigin="0,0" coordsize="7510,811">
            <v:shape style="position:absolute;left:0;top:0;width:7510;height:811" coordorigin="0,0" coordsize="7510,811" path="m1697,345l0,345,0,811,1697,811,1697,345xm1697,0l0,0,0,345,1697,345,1697,0xm7509,345l3965,345,1697,345,1697,811,3965,811,7509,811,7509,345xm7509,0l3965,0,1697,0,1697,345,3965,345,7509,345,7509,0xe" filled="true" fillcolor="#fbe3d5" stroked="false">
              <v:path arrowok="t"/>
              <v:fill type="solid"/>
            </v:shape>
            <v:shape style="position:absolute;left:105;top:70;width:740;height:180" type="#_x0000_t202" filled="false" stroked="false">
              <v:textbox inset="0,0,0,0">
                <w:txbxContent>
                  <w:p>
                    <w:pPr>
                      <w:spacing w:line="180" w:lineRule="exact" w:before="0"/>
                      <w:ind w:left="0" w:right="0" w:firstLine="0"/>
                      <w:jc w:val="left"/>
                      <w:rPr>
                        <w:sz w:val="18"/>
                      </w:rPr>
                    </w:pPr>
                    <w:r>
                      <w:rPr>
                        <w:sz w:val="18"/>
                      </w:rPr>
                      <w:t>冷冻保存</w:t>
                    </w:r>
                  </w:p>
                </w:txbxContent>
              </v:textbox>
              <w10:wrap type="none"/>
            </v:shape>
            <v:shape style="position:absolute;left:1802;top:70;width:2062;height:706" type="#_x0000_t202" filled="false" stroked="false">
              <v:textbox inset="0,0,0,0">
                <w:txbxContent>
                  <w:p>
                    <w:pPr>
                      <w:spacing w:line="205" w:lineRule="exact" w:before="0"/>
                      <w:ind w:left="0" w:right="0" w:firstLine="0"/>
                      <w:jc w:val="left"/>
                      <w:rPr>
                        <w:sz w:val="18"/>
                      </w:rPr>
                    </w:pPr>
                    <w:r>
                      <w:rPr>
                        <w:sz w:val="18"/>
                      </w:rPr>
                      <w:t>解冻后恢复情况差异大</w:t>
                    </w:r>
                  </w:p>
                  <w:p>
                    <w:pPr>
                      <w:spacing w:line="240" w:lineRule="atLeast" w:before="25"/>
                      <w:ind w:left="0" w:right="18" w:firstLine="0"/>
                      <w:jc w:val="left"/>
                      <w:rPr>
                        <w:sz w:val="18"/>
                      </w:rPr>
                    </w:pPr>
                    <w:r>
                      <w:rPr>
                        <w:sz w:val="18"/>
                      </w:rPr>
                      <w:t>细胞产品随时间变化的稳定性</w:t>
                    </w:r>
                  </w:p>
                </w:txbxContent>
              </v:textbox>
              <w10:wrap type="none"/>
            </v:shape>
            <v:shape style="position:absolute;left:4085;top:70;width:2180;height:180" type="#_x0000_t202" filled="false" stroked="false">
              <v:textbox inset="0,0,0,0">
                <w:txbxContent>
                  <w:p>
                    <w:pPr>
                      <w:spacing w:line="180" w:lineRule="exact" w:before="0"/>
                      <w:ind w:left="0" w:right="0" w:firstLine="0"/>
                      <w:jc w:val="left"/>
                      <w:rPr>
                        <w:sz w:val="18"/>
                      </w:rPr>
                    </w:pPr>
                    <w:r>
                      <w:rPr>
                        <w:sz w:val="18"/>
                      </w:rPr>
                      <w:t>标准化冷冻保存过程的操作</w:t>
                    </w:r>
                  </w:p>
                </w:txbxContent>
              </v:textbox>
              <w10:wrap type="none"/>
            </v:shape>
            <v:shape style="position:absolute;left:4085;top:475;width:2360;height:180" type="#_x0000_t202" filled="false" stroked="false">
              <v:textbox inset="0,0,0,0">
                <w:txbxContent>
                  <w:p>
                    <w:pPr>
                      <w:spacing w:line="180" w:lineRule="exact" w:before="0"/>
                      <w:ind w:left="0" w:right="0" w:firstLine="0"/>
                      <w:jc w:val="left"/>
                      <w:rPr>
                        <w:sz w:val="18"/>
                      </w:rPr>
                    </w:pPr>
                    <w:r>
                      <w:rPr>
                        <w:sz w:val="18"/>
                      </w:rPr>
                      <w:t>冷冻保存样品进行稳定性测试</w:t>
                    </w:r>
                  </w:p>
                </w:txbxContent>
              </v:textbox>
              <w10:wrap type="none"/>
            </v:shape>
          </v:group>
        </w:pict>
      </w:r>
      <w:r>
        <w:rPr>
          <w:sz w:val="20"/>
        </w:rPr>
      </w:r>
    </w:p>
    <w:p>
      <w:pPr>
        <w:pStyle w:val="BodyText"/>
        <w:spacing w:before="5"/>
        <w:rPr>
          <w:sz w:val="20"/>
        </w:rPr>
      </w:pPr>
    </w:p>
    <w:p>
      <w:pPr>
        <w:spacing w:after="0"/>
        <w:rPr>
          <w:sz w:val="20"/>
        </w:rPr>
        <w:sectPr>
          <w:type w:val="continuous"/>
          <w:pgSz w:w="11910" w:h="16850"/>
          <w:pgMar w:top="260" w:bottom="0" w:left="260" w:right="3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
        <w:rPr>
          <w:sz w:val="15"/>
        </w:rPr>
      </w:pPr>
    </w:p>
    <w:p>
      <w:pPr>
        <w:spacing w:before="0"/>
        <w:ind w:left="0" w:right="0" w:firstLine="0"/>
        <w:jc w:val="right"/>
        <w:rPr>
          <w:sz w:val="18"/>
        </w:rPr>
      </w:pPr>
      <w:r>
        <w:rPr>
          <w:sz w:val="18"/>
        </w:rPr>
        <w:t>最终产品</w:t>
      </w:r>
    </w:p>
    <w:p>
      <w:pPr>
        <w:spacing w:line="249" w:lineRule="auto" w:before="74"/>
        <w:ind w:left="937" w:right="0" w:firstLine="0"/>
        <w:jc w:val="left"/>
        <w:rPr>
          <w:sz w:val="18"/>
        </w:rPr>
      </w:pPr>
      <w:r>
        <w:rPr/>
        <w:br w:type="column"/>
      </w:r>
      <w:r>
        <w:rPr>
          <w:sz w:val="18"/>
        </w:rPr>
        <w:t>细胞数量、转导效率、细胞表型和功能差异大</w:t>
      </w:r>
    </w:p>
    <w:p>
      <w:pPr>
        <w:spacing w:line="216" w:lineRule="exact" w:before="0"/>
        <w:ind w:left="937" w:right="0" w:firstLine="0"/>
        <w:jc w:val="left"/>
        <w:rPr>
          <w:sz w:val="18"/>
        </w:rPr>
      </w:pPr>
      <w:r>
        <w:rPr>
          <w:sz w:val="18"/>
        </w:rPr>
        <w:t>质检放行遭遇瓶颈</w:t>
      </w:r>
    </w:p>
    <w:p>
      <w:pPr>
        <w:spacing w:before="10"/>
        <w:ind w:left="937" w:right="0" w:firstLine="0"/>
        <w:jc w:val="left"/>
        <w:rPr>
          <w:sz w:val="18"/>
        </w:rPr>
      </w:pPr>
      <w:r>
        <w:rPr>
          <w:sz w:val="18"/>
        </w:rPr>
        <w:t>跨国运输</w:t>
      </w:r>
    </w:p>
    <w:p>
      <w:pPr>
        <w:spacing w:before="10"/>
        <w:ind w:left="937" w:right="0" w:firstLine="0"/>
        <w:jc w:val="left"/>
        <w:rPr>
          <w:sz w:val="18"/>
        </w:rPr>
      </w:pPr>
      <w:r>
        <w:rPr>
          <w:sz w:val="18"/>
        </w:rPr>
        <w:t>医药公司在医院端的职能</w:t>
      </w:r>
    </w:p>
    <w:p>
      <w:pPr>
        <w:pStyle w:val="BodyText"/>
        <w:spacing w:before="2"/>
        <w:rPr>
          <w:sz w:val="15"/>
        </w:rPr>
      </w:pPr>
      <w:r>
        <w:rPr/>
        <w:br w:type="column"/>
      </w:r>
      <w:r>
        <w:rPr>
          <w:sz w:val="15"/>
        </w:rPr>
      </w:r>
    </w:p>
    <w:p>
      <w:pPr>
        <w:spacing w:before="0"/>
        <w:ind w:left="201" w:right="0" w:firstLine="0"/>
        <w:jc w:val="left"/>
        <w:rPr>
          <w:sz w:val="18"/>
        </w:rPr>
      </w:pPr>
      <w:r>
        <w:rPr>
          <w:sz w:val="18"/>
        </w:rPr>
        <w:t>生产流程标准化</w:t>
      </w:r>
    </w:p>
    <w:p>
      <w:pPr>
        <w:spacing w:line="242" w:lineRule="auto" w:before="10"/>
        <w:ind w:left="201" w:right="2313" w:firstLine="0"/>
        <w:jc w:val="left"/>
        <w:rPr>
          <w:sz w:val="18"/>
        </w:rPr>
      </w:pPr>
      <w:r>
        <w:rPr>
          <w:sz w:val="18"/>
        </w:rPr>
        <w:t>效用/功能性测试标准化增强对体内活性的认知简化质检放行步骤</w:t>
      </w:r>
    </w:p>
    <w:p>
      <w:pPr>
        <w:spacing w:line="249" w:lineRule="auto" w:before="0"/>
        <w:ind w:left="201" w:right="1145" w:firstLine="0"/>
        <w:jc w:val="left"/>
        <w:rPr>
          <w:sz w:val="18"/>
        </w:rPr>
      </w:pPr>
      <w:r>
        <w:rPr>
          <w:sz w:val="18"/>
        </w:rPr>
        <w:t>质管人员派出代表（近病人端的制造） 人员培训</w:t>
      </w:r>
    </w:p>
    <w:p>
      <w:pPr>
        <w:spacing w:line="217" w:lineRule="exact" w:before="0"/>
        <w:ind w:left="201" w:right="0" w:firstLine="0"/>
        <w:jc w:val="left"/>
        <w:rPr>
          <w:sz w:val="18"/>
        </w:rPr>
      </w:pPr>
      <w:r>
        <w:rPr>
          <w:sz w:val="18"/>
        </w:rPr>
        <w:t>协调国际法规要求</w:t>
      </w:r>
    </w:p>
    <w:p>
      <w:pPr>
        <w:spacing w:line="249" w:lineRule="auto" w:before="1"/>
        <w:ind w:left="201" w:right="1865" w:firstLine="0"/>
        <w:jc w:val="left"/>
        <w:rPr>
          <w:sz w:val="18"/>
        </w:rPr>
      </w:pPr>
      <w:r>
        <w:rPr>
          <w:sz w:val="18"/>
        </w:rPr>
        <w:t>为细胞疗法建立药品质量体系人员教育和培训</w:t>
      </w:r>
    </w:p>
    <w:p>
      <w:pPr>
        <w:spacing w:after="0" w:line="249" w:lineRule="auto"/>
        <w:jc w:val="left"/>
        <w:rPr>
          <w:sz w:val="18"/>
        </w:rPr>
        <w:sectPr>
          <w:type w:val="continuous"/>
          <w:pgSz w:w="11910" w:h="16850"/>
          <w:pgMar w:top="260" w:bottom="0" w:left="260" w:right="300"/>
          <w:cols w:num="3" w:equalWidth="0">
            <w:col w:w="3885" w:space="40"/>
            <w:col w:w="2979" w:space="39"/>
            <w:col w:w="4407"/>
          </w:cols>
        </w:sectPr>
      </w:pPr>
    </w:p>
    <w:p>
      <w:pPr>
        <w:pStyle w:val="BodyText"/>
        <w:rPr>
          <w:sz w:val="20"/>
        </w:rPr>
      </w:pPr>
    </w:p>
    <w:p>
      <w:pPr>
        <w:pStyle w:val="BodyText"/>
        <w:spacing w:before="10"/>
        <w:rPr>
          <w:sz w:val="25"/>
        </w:rPr>
      </w:pPr>
    </w:p>
    <w:p>
      <w:pPr>
        <w:spacing w:after="0"/>
        <w:rPr>
          <w:sz w:val="25"/>
        </w:rPr>
        <w:sectPr>
          <w:type w:val="continuous"/>
          <w:pgSz w:w="11910" w:h="16850"/>
          <w:pgMar w:top="260" w:bottom="0" w:left="260" w:right="300"/>
        </w:sectPr>
      </w:pPr>
    </w:p>
    <w:p>
      <w:pPr>
        <w:tabs>
          <w:tab w:pos="4861" w:val="left" w:leader="none"/>
        </w:tabs>
        <w:spacing w:line="235" w:lineRule="auto" w:before="79"/>
        <w:ind w:left="4861" w:right="0" w:hanging="1698"/>
        <w:jc w:val="left"/>
        <w:rPr>
          <w:sz w:val="18"/>
        </w:rPr>
      </w:pPr>
      <w:r>
        <w:rPr/>
        <w:pict>
          <v:group style="position:absolute;margin-left:165.949997pt;margin-top:-3.739987pt;width:376.25pt;height:51.8pt;mso-position-horizontal-relative:page;mso-position-vertical-relative:paragraph;z-index:-17145344" coordorigin="3319,-75" coordsize="7525,1036">
            <v:shape style="position:absolute;left:3319;top:-75;width:7510;height:1021" coordorigin="3319,-75" coordsize="7510,1021" path="m5016,-75l3319,-75,3319,946,5016,946,5016,-75xm10828,-75l7284,-75,5016,-75,5016,946,7284,946,10828,946,10828,-75xe" filled="true" fillcolor="#fbe3d5" stroked="false">
              <v:path arrowok="t"/>
              <v:fill type="solid"/>
            </v:shape>
            <v:shape style="position:absolute;left:3319;top:946;width:7525;height:15" coordorigin="3319,946" coordsize="7525,15" path="m5016,946l3319,946,3319,961,5016,961,5016,946xm10843,946l7299,946,7284,946,5031,946,5016,946,5016,961,5031,961,7284,961,7299,961,10843,961,10843,946xe" filled="true" fillcolor="#a11d04" stroked="false">
              <v:path arrowok="t"/>
              <v:fill type="solid"/>
            </v:shape>
            <w10:wrap type="none"/>
          </v:group>
        </w:pict>
      </w:r>
      <w:r>
        <w:rPr>
          <w:sz w:val="18"/>
        </w:rPr>
        <w:t>监管</w:t>
        <w:tab/>
        <w:t>GMP</w:t>
      </w:r>
      <w:r>
        <w:rPr>
          <w:spacing w:val="-45"/>
          <w:sz w:val="18"/>
        </w:rPr>
        <w:t> </w:t>
      </w:r>
      <w:r>
        <w:rPr>
          <w:sz w:val="18"/>
        </w:rPr>
        <w:t>限制高效转化为临</w:t>
      </w:r>
      <w:r>
        <w:rPr>
          <w:spacing w:val="-20"/>
          <w:sz w:val="18"/>
        </w:rPr>
        <w:t>床</w:t>
      </w:r>
      <w:r>
        <w:rPr>
          <w:sz w:val="18"/>
        </w:rPr>
        <w:t>繁复的文件材料</w:t>
      </w:r>
    </w:p>
    <w:p>
      <w:pPr>
        <w:spacing w:before="9"/>
        <w:ind w:left="4861" w:right="0" w:firstLine="0"/>
        <w:jc w:val="left"/>
        <w:rPr>
          <w:sz w:val="18"/>
        </w:rPr>
      </w:pPr>
      <w:r>
        <w:rPr>
          <w:sz w:val="18"/>
        </w:rPr>
        <w:t>不同的监管要求</w:t>
      </w:r>
    </w:p>
    <w:p>
      <w:pPr>
        <w:pStyle w:val="BodyText"/>
        <w:spacing w:before="3"/>
        <w:rPr>
          <w:sz w:val="15"/>
        </w:rPr>
      </w:pPr>
      <w:r>
        <w:rPr/>
        <w:br w:type="column"/>
      </w:r>
      <w:r>
        <w:rPr>
          <w:sz w:val="15"/>
        </w:rPr>
      </w:r>
    </w:p>
    <w:p>
      <w:pPr>
        <w:spacing w:before="0"/>
        <w:ind w:left="307" w:right="0" w:firstLine="0"/>
        <w:jc w:val="left"/>
        <w:rPr>
          <w:sz w:val="18"/>
        </w:rPr>
      </w:pPr>
      <w:r>
        <w:rPr>
          <w:sz w:val="18"/>
        </w:rPr>
        <w:t>协调国际不同法规要求</w:t>
      </w:r>
    </w:p>
    <w:p>
      <w:pPr>
        <w:spacing w:after="0"/>
        <w:jc w:val="left"/>
        <w:rPr>
          <w:sz w:val="18"/>
        </w:rPr>
        <w:sectPr>
          <w:type w:val="continuous"/>
          <w:pgSz w:w="11910" w:h="16850"/>
          <w:pgMar w:top="260" w:bottom="0" w:left="260" w:right="300"/>
          <w:cols w:num="2" w:equalWidth="0">
            <w:col w:w="6797" w:space="40"/>
            <w:col w:w="4513"/>
          </w:cols>
        </w:sectPr>
      </w:pPr>
    </w:p>
    <w:p>
      <w:pPr>
        <w:pStyle w:val="BodyText"/>
        <w:spacing w:before="4"/>
        <w:rPr>
          <w:sz w:val="13"/>
        </w:rPr>
      </w:pPr>
    </w:p>
    <w:p>
      <w:pPr>
        <w:spacing w:before="80"/>
        <w:ind w:left="3164" w:right="0" w:firstLine="0"/>
        <w:jc w:val="left"/>
        <w:rPr>
          <w:b/>
          <w:sz w:val="15"/>
        </w:rPr>
      </w:pPr>
      <w:r>
        <w:rPr>
          <w:b/>
          <w:sz w:val="15"/>
        </w:rPr>
        <w:t>数据来源：财通证券研究所</w:t>
      </w:r>
    </w:p>
    <w:p>
      <w:pPr>
        <w:pStyle w:val="BodyText"/>
        <w:rPr>
          <w:b/>
          <w:sz w:val="20"/>
        </w:rPr>
      </w:pPr>
    </w:p>
    <w:p>
      <w:pPr>
        <w:pStyle w:val="BodyText"/>
        <w:spacing w:before="1"/>
        <w:rPr>
          <w:b/>
        </w:rPr>
      </w:pPr>
    </w:p>
    <w:p>
      <w:pPr>
        <w:pStyle w:val="Heading2"/>
        <w:tabs>
          <w:tab w:pos="10583" w:val="left" w:leader="none"/>
        </w:tabs>
        <w:ind w:left="1061"/>
      </w:pPr>
      <w:r>
        <w:rPr>
          <w:rFonts w:ascii="Times New Roman" w:eastAsia="Times New Roman"/>
          <w:color w:val="FFFFFF"/>
          <w:shd w:fill="A11D04" w:color="auto" w:val="clear"/>
        </w:rPr>
        <w:t> </w:t>
      </w:r>
      <w:r>
        <w:rPr>
          <w:rFonts w:ascii="Times New Roman" w:eastAsia="Times New Roman"/>
          <w:color w:val="FFFFFF"/>
          <w:spacing w:val="15"/>
          <w:shd w:fill="A11D04" w:color="auto" w:val="clear"/>
        </w:rPr>
        <w:t> </w:t>
      </w:r>
      <w:r>
        <w:rPr>
          <w:color w:val="FFFFFF"/>
          <w:shd w:fill="A11D04" w:color="auto" w:val="clear"/>
        </w:rPr>
        <w:t>图</w:t>
      </w:r>
      <w:r>
        <w:rPr>
          <w:color w:val="FFFFFF"/>
          <w:spacing w:val="-36"/>
          <w:shd w:fill="A11D04" w:color="auto" w:val="clear"/>
        </w:rPr>
        <w:t> </w:t>
      </w:r>
      <w:r>
        <w:rPr>
          <w:color w:val="FFFFFF"/>
          <w:spacing w:val="3"/>
          <w:shd w:fill="A11D04" w:color="auto" w:val="clear"/>
        </w:rPr>
        <w:t>13：Car-T</w:t>
      </w:r>
      <w:r>
        <w:rPr>
          <w:color w:val="FFFFFF"/>
          <w:spacing w:val="-49"/>
          <w:shd w:fill="A11D04" w:color="auto" w:val="clear"/>
        </w:rPr>
        <w:t> </w:t>
      </w:r>
      <w:r>
        <w:rPr>
          <w:color w:val="FFFFFF"/>
          <w:shd w:fill="A11D04" w:color="auto" w:val="clear"/>
        </w:rPr>
        <w:t>一般制备时间</w:t>
        <w:tab/>
      </w:r>
    </w:p>
    <w:p>
      <w:pPr>
        <w:pStyle w:val="BodyText"/>
        <w:spacing w:before="10"/>
        <w:rPr>
          <w:b/>
          <w:sz w:val="17"/>
        </w:rPr>
      </w:pPr>
      <w:r>
        <w:rPr/>
        <w:drawing>
          <wp:anchor distT="0" distB="0" distL="0" distR="0" allowOverlap="1" layoutInCell="1" locked="0" behindDoc="0" simplePos="0" relativeHeight="52">
            <wp:simplePos x="0" y="0"/>
            <wp:positionH relativeFrom="page">
              <wp:posOffset>1309624</wp:posOffset>
            </wp:positionH>
            <wp:positionV relativeFrom="paragraph">
              <wp:posOffset>169850</wp:posOffset>
            </wp:positionV>
            <wp:extent cx="5050704" cy="1793938"/>
            <wp:effectExtent l="0" t="0" r="0" b="0"/>
            <wp:wrapTopAndBottom/>
            <wp:docPr id="21" name="image15.png"/>
            <wp:cNvGraphicFramePr>
              <a:graphicFrameLocks noChangeAspect="1"/>
            </wp:cNvGraphicFramePr>
            <a:graphic>
              <a:graphicData uri="http://schemas.openxmlformats.org/drawingml/2006/picture">
                <pic:pic>
                  <pic:nvPicPr>
                    <pic:cNvPr id="22" name="image15.png"/>
                    <pic:cNvPicPr/>
                  </pic:nvPicPr>
                  <pic:blipFill>
                    <a:blip r:embed="rId23" cstate="print"/>
                    <a:stretch>
                      <a:fillRect/>
                    </a:stretch>
                  </pic:blipFill>
                  <pic:spPr>
                    <a:xfrm>
                      <a:off x="0" y="0"/>
                      <a:ext cx="5050704" cy="1793938"/>
                    </a:xfrm>
                    <a:prstGeom prst="rect">
                      <a:avLst/>
                    </a:prstGeom>
                  </pic:spPr>
                </pic:pic>
              </a:graphicData>
            </a:graphic>
          </wp:anchor>
        </w:drawing>
      </w:r>
      <w:r>
        <w:rPr/>
        <w:pict>
          <v:rect style="position:absolute;margin-left:66.824997pt;margin-top:168.22403pt;width:475.35pt;height:.75pt;mso-position-horizontal-relative:page;mso-position-vertical-relative:paragraph;z-index:-15701504;mso-wrap-distance-left:0;mso-wrap-distance-right:0" filled="true" fillcolor="#a11d04" stroked="false">
            <v:fill type="solid"/>
            <w10:wrap type="topAndBottom"/>
          </v:rect>
        </w:pict>
      </w:r>
    </w:p>
    <w:p>
      <w:pPr>
        <w:pStyle w:val="BodyText"/>
        <w:spacing w:before="11"/>
        <w:rPr>
          <w:b/>
          <w:sz w:val="15"/>
        </w:rPr>
      </w:pPr>
    </w:p>
    <w:p>
      <w:pPr>
        <w:spacing w:before="31"/>
        <w:ind w:left="1181" w:right="0" w:firstLine="0"/>
        <w:jc w:val="left"/>
        <w:rPr>
          <w:b/>
          <w:sz w:val="15"/>
        </w:rPr>
      </w:pPr>
      <w:r>
        <w:rPr>
          <w:b/>
          <w:sz w:val="15"/>
        </w:rPr>
        <w:t>数据来源：财通证券研究所</w:t>
      </w:r>
    </w:p>
    <w:p>
      <w:pPr>
        <w:pStyle w:val="BodyText"/>
        <w:rPr>
          <w:b/>
          <w:sz w:val="20"/>
        </w:rPr>
      </w:pPr>
    </w:p>
    <w:p>
      <w:pPr>
        <w:pStyle w:val="BodyText"/>
        <w:spacing w:before="8"/>
        <w:rPr>
          <w:b/>
          <w:sz w:val="28"/>
        </w:rPr>
      </w:pPr>
    </w:p>
    <w:p>
      <w:pPr>
        <w:spacing w:line="326" w:lineRule="auto" w:before="70"/>
        <w:ind w:left="3164" w:right="866" w:firstLine="0"/>
        <w:jc w:val="both"/>
        <w:rPr>
          <w:sz w:val="21"/>
        </w:rPr>
      </w:pPr>
      <w:r>
        <w:rPr>
          <w:b/>
          <w:sz w:val="21"/>
        </w:rPr>
        <w:t>除了生产流程复杂，Car-T</w:t>
      </w:r>
      <w:r>
        <w:rPr>
          <w:b/>
          <w:spacing w:val="-6"/>
          <w:sz w:val="21"/>
        </w:rPr>
        <w:t> 还面临生产周期长以及成本高昂的问题。</w:t>
      </w:r>
      <w:r>
        <w:rPr>
          <w:sz w:val="21"/>
        </w:rPr>
        <w:t>Car-T</w:t>
      </w:r>
      <w:r>
        <w:rPr>
          <w:spacing w:val="-20"/>
          <w:sz w:val="21"/>
        </w:rPr>
        <w:t> 产品</w:t>
      </w:r>
      <w:r>
        <w:rPr>
          <w:spacing w:val="-19"/>
          <w:sz w:val="21"/>
        </w:rPr>
        <w:t>为针对每个病人个体定制化的产品，每一批产品都需要使用异质化的病人独立的T</w:t>
      </w:r>
      <w:r>
        <w:rPr>
          <w:spacing w:val="-5"/>
          <w:sz w:val="21"/>
        </w:rPr>
        <w:t> 细胞，每一批产品的生产都需要严格筛选，从</w:t>
      </w:r>
      <w:r>
        <w:rPr>
          <w:sz w:val="21"/>
        </w:rPr>
        <w:t>T</w:t>
      </w:r>
      <w:r>
        <w:rPr>
          <w:spacing w:val="-7"/>
          <w:sz w:val="21"/>
        </w:rPr>
        <w:t> 细胞的分离转导激活，到后续</w:t>
      </w:r>
      <w:r>
        <w:rPr>
          <w:spacing w:val="-12"/>
          <w:sz w:val="21"/>
        </w:rPr>
        <w:t>的灌封质检运输，再到最后回输给病人，流程长且复杂，大约会消耗 </w:t>
      </w:r>
      <w:r>
        <w:rPr>
          <w:spacing w:val="-5"/>
          <w:sz w:val="21"/>
        </w:rPr>
        <w:t>2-4</w:t>
      </w:r>
      <w:r>
        <w:rPr>
          <w:spacing w:val="-12"/>
          <w:sz w:val="21"/>
        </w:rPr>
        <w:t> 周不等</w:t>
      </w:r>
    </w:p>
    <w:p>
      <w:pPr>
        <w:spacing w:after="0" w:line="326" w:lineRule="auto"/>
        <w:jc w:val="both"/>
        <w:rPr>
          <w:sz w:val="21"/>
        </w:rPr>
        <w:sectPr>
          <w:type w:val="continuous"/>
          <w:pgSz w:w="11910" w:h="16850"/>
          <w:pgMar w:top="260" w:bottom="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794"/>
      </w:pPr>
      <w:r>
        <w:rPr/>
        <w:t>（Yescarta</w:t>
      </w:r>
      <w:r>
        <w:rPr>
          <w:spacing w:val="-19"/>
        </w:rPr>
        <w:t> 平均约 </w:t>
      </w:r>
      <w:r>
        <w:rPr/>
        <w:t>17</w:t>
      </w:r>
      <w:r>
        <w:rPr>
          <w:spacing w:val="-16"/>
        </w:rPr>
        <w:t> 天、</w:t>
      </w:r>
      <w:r>
        <w:rPr/>
        <w:t>Kymriah22</w:t>
      </w:r>
      <w:r>
        <w:rPr>
          <w:spacing w:val="-16"/>
        </w:rPr>
        <w:t> 天、</w:t>
      </w:r>
      <w:r>
        <w:rPr/>
        <w:t>Juno</w:t>
      </w:r>
      <w:r>
        <w:rPr>
          <w:spacing w:val="-17"/>
        </w:rPr>
        <w:t> 将提交 </w:t>
      </w:r>
      <w:r>
        <w:rPr/>
        <w:t>BLA</w:t>
      </w:r>
      <w:r>
        <w:rPr>
          <w:spacing w:val="-31"/>
        </w:rPr>
        <w:t> 的 </w:t>
      </w:r>
      <w:r>
        <w:rPr/>
        <w:t>Liso-cel24</w:t>
      </w:r>
      <w:r>
        <w:rPr>
          <w:spacing w:val="-23"/>
        </w:rPr>
        <w:t> 天</w:t>
      </w:r>
      <w:r>
        <w:rPr>
          <w:spacing w:val="-105"/>
        </w:rPr>
        <w:t>）</w:t>
      </w:r>
      <w:r>
        <w:rPr/>
        <w:t>。Car-T</w:t>
      </w:r>
      <w:r>
        <w:rPr>
          <w:spacing w:val="-7"/>
        </w:rPr>
        <w:t> 本身是一种新型的复杂的生物产品，产品的质量控制和监测是生产的重中</w:t>
      </w:r>
      <w:r>
        <w:rPr>
          <w:spacing w:val="-12"/>
        </w:rPr>
        <w:t>之重，也具有较大的挑战和困难，这使得 </w:t>
      </w:r>
      <w:r>
        <w:rPr/>
        <w:t>Car-T</w:t>
      </w:r>
      <w:r>
        <w:rPr>
          <w:spacing w:val="-7"/>
        </w:rPr>
        <w:t> 的生产场地更像实验室而有别于</w:t>
      </w:r>
      <w:r>
        <w:rPr>
          <w:spacing w:val="-13"/>
        </w:rPr>
        <w:t>传统生产设施，其 </w:t>
      </w:r>
      <w:r>
        <w:rPr/>
        <w:t>GMP</w:t>
      </w:r>
      <w:r>
        <w:rPr>
          <w:spacing w:val="-12"/>
        </w:rPr>
        <w:t> 验证十分困难，这些因素都使得 </w:t>
      </w:r>
      <w:r>
        <w:rPr/>
        <w:t>Car-T</w:t>
      </w:r>
      <w:r>
        <w:rPr>
          <w:spacing w:val="-10"/>
        </w:rPr>
        <w:t> 成本高居不下，其</w:t>
      </w:r>
      <w:r>
        <w:rPr>
          <w:spacing w:val="-15"/>
        </w:rPr>
        <w:t>中生产材料以及 </w:t>
      </w:r>
      <w:r>
        <w:rPr/>
        <w:t>QA\QC</w:t>
      </w:r>
      <w:r>
        <w:rPr>
          <w:spacing w:val="-7"/>
        </w:rPr>
        <w:t> 费用占比极高。</w:t>
      </w:r>
    </w:p>
    <w:p>
      <w:pPr>
        <w:pStyle w:val="BodyText"/>
        <w:rPr>
          <w:sz w:val="20"/>
        </w:rPr>
      </w:pPr>
    </w:p>
    <w:p>
      <w:pPr>
        <w:pStyle w:val="BodyText"/>
        <w:spacing w:before="1"/>
        <w:rPr>
          <w:sz w:val="14"/>
        </w:rPr>
      </w:pPr>
    </w:p>
    <w:p>
      <w:pPr>
        <w:pStyle w:val="Heading2"/>
        <w:tabs>
          <w:tab w:pos="5627" w:val="left" w:leader="none"/>
          <w:tab w:pos="5867" w:val="left" w:leader="none"/>
          <w:tab w:pos="10433" w:val="left" w:leader="none"/>
        </w:tabs>
        <w:ind w:left="1061"/>
      </w:pPr>
      <w:r>
        <w:rPr>
          <w:rFonts w:ascii="Times New Roman" w:eastAsia="Times New Roman"/>
          <w:color w:val="FFFFFF"/>
          <w:shd w:fill="A11D04" w:color="auto" w:val="clear"/>
        </w:rPr>
        <w:t> </w:t>
      </w:r>
      <w:r>
        <w:rPr>
          <w:rFonts w:ascii="Times New Roman" w:eastAsia="Times New Roman"/>
          <w:color w:val="FFFFFF"/>
          <w:spacing w:val="15"/>
          <w:shd w:fill="A11D04" w:color="auto" w:val="clear"/>
        </w:rPr>
        <w:t> </w:t>
      </w:r>
      <w:r>
        <w:rPr>
          <w:color w:val="FFFFFF"/>
          <w:shd w:fill="A11D04" w:color="auto" w:val="clear"/>
        </w:rPr>
        <w:t>图</w:t>
      </w:r>
      <w:r>
        <w:rPr>
          <w:color w:val="FFFFFF"/>
          <w:spacing w:val="-33"/>
          <w:shd w:fill="A11D04" w:color="auto" w:val="clear"/>
        </w:rPr>
        <w:t> </w:t>
      </w:r>
      <w:r>
        <w:rPr>
          <w:color w:val="FFFFFF"/>
          <w:spacing w:val="3"/>
          <w:shd w:fill="A11D04" w:color="auto" w:val="clear"/>
        </w:rPr>
        <w:t>14：Car-T</w:t>
      </w:r>
      <w:r>
        <w:rPr>
          <w:color w:val="FFFFFF"/>
          <w:spacing w:val="-47"/>
          <w:shd w:fill="A11D04" w:color="auto" w:val="clear"/>
        </w:rPr>
        <w:t> </w:t>
      </w:r>
      <w:r>
        <w:rPr>
          <w:color w:val="FFFFFF"/>
          <w:shd w:fill="A11D04" w:color="auto" w:val="clear"/>
        </w:rPr>
        <w:t>制备成本</w:t>
        <w:tab/>
      </w:r>
      <w:r>
        <w:rPr>
          <w:color w:val="FFFFFF"/>
        </w:rPr>
        <w:tab/>
      </w:r>
      <w:r>
        <w:rPr>
          <w:color w:val="FFFFFF"/>
          <w:shd w:fill="A11D04" w:color="auto" w:val="clear"/>
        </w:rPr>
        <w:t>图</w:t>
      </w:r>
      <w:r>
        <w:rPr>
          <w:color w:val="FFFFFF"/>
          <w:spacing w:val="-35"/>
          <w:shd w:fill="A11D04" w:color="auto" w:val="clear"/>
        </w:rPr>
        <w:t> </w:t>
      </w:r>
      <w:r>
        <w:rPr>
          <w:color w:val="FFFFFF"/>
          <w:spacing w:val="3"/>
          <w:shd w:fill="A11D04" w:color="auto" w:val="clear"/>
        </w:rPr>
        <w:t>15：Car-T</w:t>
      </w:r>
      <w:r>
        <w:rPr>
          <w:color w:val="FFFFFF"/>
          <w:spacing w:val="-49"/>
          <w:shd w:fill="A11D04" w:color="auto" w:val="clear"/>
        </w:rPr>
        <w:t> </w:t>
      </w:r>
      <w:r>
        <w:rPr>
          <w:color w:val="FFFFFF"/>
          <w:shd w:fill="A11D04" w:color="auto" w:val="clear"/>
        </w:rPr>
        <w:t>成本敏感性分析</w:t>
        <w:tab/>
      </w:r>
    </w:p>
    <w:p>
      <w:pPr>
        <w:pStyle w:val="BodyText"/>
        <w:spacing w:before="7"/>
        <w:rPr>
          <w:b/>
          <w:sz w:val="26"/>
        </w:rPr>
      </w:pPr>
      <w:r>
        <w:rPr/>
        <w:drawing>
          <wp:anchor distT="0" distB="0" distL="0" distR="0" allowOverlap="1" layoutInCell="1" locked="0" behindDoc="0" simplePos="0" relativeHeight="57">
            <wp:simplePos x="0" y="0"/>
            <wp:positionH relativeFrom="page">
              <wp:posOffset>1131252</wp:posOffset>
            </wp:positionH>
            <wp:positionV relativeFrom="paragraph">
              <wp:posOffset>502206</wp:posOffset>
            </wp:positionV>
            <wp:extent cx="2315137" cy="1204150"/>
            <wp:effectExtent l="0" t="0" r="0" b="0"/>
            <wp:wrapTopAndBottom/>
            <wp:docPr id="23" name="image16.png"/>
            <wp:cNvGraphicFramePr>
              <a:graphicFrameLocks noChangeAspect="1"/>
            </wp:cNvGraphicFramePr>
            <a:graphic>
              <a:graphicData uri="http://schemas.openxmlformats.org/drawingml/2006/picture">
                <pic:pic>
                  <pic:nvPicPr>
                    <pic:cNvPr id="24" name="image16.png"/>
                    <pic:cNvPicPr/>
                  </pic:nvPicPr>
                  <pic:blipFill>
                    <a:blip r:embed="rId24" cstate="print"/>
                    <a:stretch>
                      <a:fillRect/>
                    </a:stretch>
                  </pic:blipFill>
                  <pic:spPr>
                    <a:xfrm>
                      <a:off x="0" y="0"/>
                      <a:ext cx="2315137" cy="1204150"/>
                    </a:xfrm>
                    <a:prstGeom prst="rect">
                      <a:avLst/>
                    </a:prstGeom>
                  </pic:spPr>
                </pic:pic>
              </a:graphicData>
            </a:graphic>
          </wp:anchor>
        </w:drawing>
      </w:r>
      <w:r>
        <w:rPr/>
        <w:drawing>
          <wp:anchor distT="0" distB="0" distL="0" distR="0" allowOverlap="1" layoutInCell="1" locked="0" behindDoc="0" simplePos="0" relativeHeight="58">
            <wp:simplePos x="0" y="0"/>
            <wp:positionH relativeFrom="page">
              <wp:posOffset>4005276</wp:posOffset>
            </wp:positionH>
            <wp:positionV relativeFrom="paragraph">
              <wp:posOffset>240790</wp:posOffset>
            </wp:positionV>
            <wp:extent cx="2673552" cy="1692211"/>
            <wp:effectExtent l="0" t="0" r="0" b="0"/>
            <wp:wrapTopAndBottom/>
            <wp:docPr id="25" name="image17.png"/>
            <wp:cNvGraphicFramePr>
              <a:graphicFrameLocks noChangeAspect="1"/>
            </wp:cNvGraphicFramePr>
            <a:graphic>
              <a:graphicData uri="http://schemas.openxmlformats.org/drawingml/2006/picture">
                <pic:pic>
                  <pic:nvPicPr>
                    <pic:cNvPr id="26" name="image17.png"/>
                    <pic:cNvPicPr/>
                  </pic:nvPicPr>
                  <pic:blipFill>
                    <a:blip r:embed="rId25" cstate="print"/>
                    <a:stretch>
                      <a:fillRect/>
                    </a:stretch>
                  </pic:blipFill>
                  <pic:spPr>
                    <a:xfrm>
                      <a:off x="0" y="0"/>
                      <a:ext cx="2673552" cy="1692211"/>
                    </a:xfrm>
                    <a:prstGeom prst="rect">
                      <a:avLst/>
                    </a:prstGeom>
                  </pic:spPr>
                </pic:pic>
              </a:graphicData>
            </a:graphic>
          </wp:anchor>
        </w:drawing>
      </w:r>
      <w:r>
        <w:rPr/>
        <w:pict>
          <v:rect style="position:absolute;margin-left:66.824997pt;margin-top:172.739838pt;width:227.55pt;height:.75pt;mso-position-horizontal-relative:page;mso-position-vertical-relative:paragraph;z-index:-15698432;mso-wrap-distance-left:0;mso-wrap-distance-right:0" filled="true" fillcolor="#a11d04" stroked="false">
            <v:fill type="solid"/>
            <w10:wrap type="topAndBottom"/>
          </v:rect>
        </w:pict>
      </w:r>
      <w:r>
        <w:rPr/>
        <w:pict>
          <v:rect style="position:absolute;margin-left:306.380005pt;margin-top:172.739838pt;width:228.28pt;height:.75pt;mso-position-horizontal-relative:page;mso-position-vertical-relative:paragraph;z-index:-15697920;mso-wrap-distance-left:0;mso-wrap-distance-right:0" filled="true" fillcolor="#a11d04" stroked="false">
            <v:fill type="solid"/>
            <w10:wrap type="topAndBottom"/>
          </v:rect>
        </w:pict>
      </w:r>
    </w:p>
    <w:p>
      <w:pPr>
        <w:pStyle w:val="BodyText"/>
        <w:spacing w:before="9"/>
        <w:rPr>
          <w:b/>
          <w:sz w:val="26"/>
        </w:rPr>
      </w:pPr>
    </w:p>
    <w:p>
      <w:pPr>
        <w:spacing w:before="61"/>
        <w:ind w:left="5972" w:right="0" w:firstLine="0"/>
        <w:jc w:val="left"/>
        <w:rPr>
          <w:b/>
          <w:sz w:val="15"/>
        </w:rPr>
      </w:pPr>
      <w:r>
        <w:rPr>
          <w:b/>
          <w:spacing w:val="4"/>
          <w:sz w:val="15"/>
        </w:rPr>
        <w:t>数据来源： </w:t>
      </w:r>
      <w:r>
        <w:rPr>
          <w:b/>
          <w:sz w:val="15"/>
        </w:rPr>
        <w:t>C</w:t>
      </w:r>
      <w:r>
        <w:rPr>
          <w:b/>
          <w:spacing w:val="-61"/>
          <w:sz w:val="15"/>
        </w:rPr>
        <w:t> </w:t>
      </w:r>
      <w:r>
        <w:rPr>
          <w:b/>
          <w:sz w:val="15"/>
        </w:rPr>
        <w:t>ell </w:t>
      </w:r>
      <w:r>
        <w:rPr>
          <w:b/>
          <w:spacing w:val="9"/>
          <w:sz w:val="15"/>
        </w:rPr>
        <w:t>and </w:t>
      </w:r>
      <w:r>
        <w:rPr>
          <w:b/>
          <w:sz w:val="15"/>
        </w:rPr>
        <w:t>g</w:t>
      </w:r>
      <w:r>
        <w:rPr>
          <w:b/>
          <w:spacing w:val="-61"/>
          <w:sz w:val="15"/>
        </w:rPr>
        <w:t> </w:t>
      </w:r>
      <w:r>
        <w:rPr>
          <w:b/>
          <w:sz w:val="15"/>
        </w:rPr>
        <w:t>ene i</w:t>
      </w:r>
      <w:r>
        <w:rPr>
          <w:b/>
          <w:spacing w:val="-61"/>
          <w:sz w:val="15"/>
        </w:rPr>
        <w:t> </w:t>
      </w:r>
      <w:r>
        <w:rPr>
          <w:b/>
          <w:sz w:val="15"/>
        </w:rPr>
        <w:t>nsight，财通证券研究所</w:t>
      </w:r>
    </w:p>
    <w:p>
      <w:pPr>
        <w:pStyle w:val="BodyText"/>
        <w:spacing w:before="4"/>
        <w:rPr>
          <w:b/>
          <w:sz w:val="9"/>
        </w:rPr>
      </w:pPr>
    </w:p>
    <w:p>
      <w:pPr>
        <w:spacing w:after="0"/>
        <w:rPr>
          <w:sz w:val="9"/>
        </w:rPr>
        <w:sectPr>
          <w:pgSz w:w="11910" w:h="16850"/>
          <w:pgMar w:header="796" w:footer="1296" w:top="1340" w:bottom="1480" w:left="260" w:right="300"/>
        </w:sectPr>
      </w:pPr>
    </w:p>
    <w:p>
      <w:pPr>
        <w:pStyle w:val="BodyText"/>
        <w:rPr>
          <w:b/>
          <w:sz w:val="14"/>
        </w:rPr>
      </w:pPr>
    </w:p>
    <w:p>
      <w:pPr>
        <w:pStyle w:val="BodyText"/>
        <w:spacing w:before="11"/>
        <w:rPr>
          <w:b/>
          <w:sz w:val="17"/>
        </w:rPr>
      </w:pPr>
    </w:p>
    <w:p>
      <w:pPr>
        <w:spacing w:before="0"/>
        <w:ind w:left="1181" w:right="0" w:firstLine="0"/>
        <w:jc w:val="left"/>
        <w:rPr>
          <w:b/>
          <w:sz w:val="15"/>
        </w:rPr>
      </w:pPr>
      <w:r>
        <w:rPr>
          <w:b/>
          <w:sz w:val="15"/>
        </w:rPr>
        <w:t>数据来源：财通证券研究所</w:t>
      </w:r>
    </w:p>
    <w:p>
      <w:pPr>
        <w:spacing w:line="328" w:lineRule="auto" w:before="79"/>
        <w:ind w:left="1181" w:right="1025" w:firstLine="0"/>
        <w:jc w:val="both"/>
        <w:rPr>
          <w:b/>
          <w:sz w:val="15"/>
        </w:rPr>
      </w:pPr>
      <w:r>
        <w:rPr/>
        <w:br w:type="column"/>
      </w:r>
      <w:r>
        <w:rPr>
          <w:b/>
          <w:spacing w:val="-4"/>
          <w:w w:val="95"/>
          <w:sz w:val="15"/>
        </w:rPr>
        <w:t>敏感性分析：最大的成分来自血液分离，一次性用品和病毒，病毒 </w:t>
      </w:r>
      <w:r>
        <w:rPr>
          <w:b/>
          <w:spacing w:val="-4"/>
          <w:sz w:val="15"/>
        </w:rPr>
        <w:t>载体的成本估计在最理想情况下仅占 </w:t>
      </w:r>
      <w:r>
        <w:rPr>
          <w:b/>
          <w:sz w:val="15"/>
        </w:rPr>
        <w:t>4-5％。但是当病毒载体工艺</w:t>
      </w:r>
      <w:r>
        <w:rPr>
          <w:b/>
          <w:spacing w:val="1"/>
          <w:sz w:val="15"/>
        </w:rPr>
        <w:t>产量不佳时对成本影响极大。</w:t>
      </w:r>
    </w:p>
    <w:p>
      <w:pPr>
        <w:spacing w:line="244" w:lineRule="auto" w:before="0"/>
        <w:ind w:left="1181" w:right="1035" w:firstLine="0"/>
        <w:jc w:val="both"/>
        <w:rPr>
          <w:b/>
          <w:sz w:val="15"/>
        </w:rPr>
      </w:pPr>
      <w:r>
        <w:rPr>
          <w:b/>
          <w:spacing w:val="-4"/>
          <w:sz w:val="15"/>
        </w:rPr>
        <w:t>假设是建立在诺华 </w:t>
      </w:r>
      <w:r>
        <w:rPr>
          <w:b/>
          <w:sz w:val="15"/>
        </w:rPr>
        <w:t>17</w:t>
      </w:r>
      <w:r>
        <w:rPr>
          <w:b/>
          <w:spacing w:val="-10"/>
          <w:sz w:val="15"/>
        </w:rPr>
        <w:t> 万平方英尺的细胞生产车间每年能生产 </w:t>
      </w:r>
      <w:r>
        <w:rPr>
          <w:b/>
          <w:spacing w:val="-4"/>
          <w:sz w:val="15"/>
        </w:rPr>
        <w:t>1500 </w:t>
      </w:r>
      <w:r>
        <w:rPr>
          <w:b/>
          <w:spacing w:val="-11"/>
          <w:sz w:val="15"/>
        </w:rPr>
        <w:t>批， 且达到满产的情况。若病人数低于 </w:t>
      </w:r>
      <w:r>
        <w:rPr>
          <w:b/>
          <w:sz w:val="15"/>
        </w:rPr>
        <w:t>600</w:t>
      </w:r>
      <w:r>
        <w:rPr>
          <w:b/>
          <w:spacing w:val="-2"/>
          <w:sz w:val="15"/>
        </w:rPr>
        <w:t>，则成本可能会提高至</w:t>
      </w:r>
      <w:r>
        <w:rPr>
          <w:b/>
          <w:spacing w:val="7"/>
          <w:sz w:val="15"/>
        </w:rPr>
        <w:t>10</w:t>
      </w:r>
      <w:r>
        <w:rPr>
          <w:b/>
          <w:spacing w:val="-42"/>
          <w:sz w:val="15"/>
        </w:rPr>
        <w:t> . </w:t>
      </w:r>
      <w:r>
        <w:rPr>
          <w:b/>
          <w:sz w:val="15"/>
        </w:rPr>
        <w:t>6w</w:t>
      </w:r>
      <w:r>
        <w:rPr>
          <w:b/>
          <w:spacing w:val="-10"/>
          <w:sz w:val="15"/>
        </w:rPr>
        <w:t> 美金</w:t>
      </w:r>
    </w:p>
    <w:p>
      <w:pPr>
        <w:spacing w:after="0" w:line="244" w:lineRule="auto"/>
        <w:jc w:val="both"/>
        <w:rPr>
          <w:sz w:val="15"/>
        </w:rPr>
        <w:sectPr>
          <w:type w:val="continuous"/>
          <w:pgSz w:w="11910" w:h="16850"/>
          <w:pgMar w:top="260" w:bottom="0" w:left="260" w:right="300"/>
          <w:cols w:num="2" w:equalWidth="0">
            <w:col w:w="3067" w:space="1724"/>
            <w:col w:w="6559"/>
          </w:cols>
        </w:sectPr>
      </w:pPr>
    </w:p>
    <w:p>
      <w:pPr>
        <w:pStyle w:val="BodyText"/>
        <w:spacing w:before="2"/>
        <w:rPr>
          <w:b/>
          <w:sz w:val="25"/>
        </w:rPr>
      </w:pPr>
    </w:p>
    <w:p>
      <w:pPr>
        <w:pStyle w:val="BodyText"/>
        <w:spacing w:line="328" w:lineRule="auto" w:before="71"/>
        <w:ind w:left="3164" w:right="774"/>
      </w:pPr>
      <w:r>
        <w:rPr>
          <w:b/>
          <w:spacing w:val="3"/>
        </w:rPr>
        <w:t>Car-T</w:t>
      </w:r>
      <w:r>
        <w:rPr>
          <w:b/>
          <w:spacing w:val="-6"/>
        </w:rPr>
        <w:t> 生产还需要有强大的上下游整合能力。</w:t>
      </w:r>
      <w:r>
        <w:rPr/>
        <w:t>Car-T</w:t>
      </w:r>
      <w:r>
        <w:rPr>
          <w:spacing w:val="-8"/>
        </w:rPr>
        <w:t> 疗法产业链中，上游为流式</w:t>
      </w:r>
      <w:r>
        <w:rPr>
          <w:spacing w:val="-10"/>
        </w:rPr>
        <w:t>细胞仪等设备生产商，用于 </w:t>
      </w:r>
      <w:r>
        <w:rPr/>
        <w:t>T</w:t>
      </w:r>
      <w:r>
        <w:rPr>
          <w:spacing w:val="-6"/>
        </w:rPr>
        <w:t> 细胞分选、转染等步骤的试剂，及细胞因子等原、</w:t>
      </w:r>
      <w:r>
        <w:rPr>
          <w:spacing w:val="-7"/>
        </w:rPr>
        <w:t>辅料。首先就是慢病毒的生产，如何实现高效的生产慢病毒，并实现慢病毒生产</w:t>
      </w:r>
      <w:r>
        <w:rPr>
          <w:spacing w:val="-10"/>
        </w:rPr>
        <w:t>工艺的稳定放大，是行业普遍面临的难点也是生产企业受制的一大因素。目前全</w:t>
      </w:r>
      <w:r>
        <w:rPr>
          <w:spacing w:val="-19"/>
        </w:rPr>
        <w:t>球仅有 </w:t>
      </w:r>
      <w:r>
        <w:rPr/>
        <w:t>Oxford</w:t>
      </w:r>
      <w:r>
        <w:rPr>
          <w:spacing w:val="-15"/>
        </w:rPr>
        <w:t>、</w:t>
      </w:r>
      <w:r>
        <w:rPr/>
        <w:t>BioMedica</w:t>
      </w:r>
      <w:r>
        <w:rPr>
          <w:spacing w:val="-10"/>
        </w:rPr>
        <w:t> 等几家企业，具有病毒载体制备的核心技术，和稳定</w:t>
      </w:r>
      <w:r>
        <w:rPr>
          <w:spacing w:val="-12"/>
        </w:rPr>
        <w:t>的规模化生产工艺，并且得到监管机构的认证。以诺华为例，其病毒供应就依赖</w:t>
      </w:r>
      <w:r>
        <w:rPr>
          <w:spacing w:val="-10"/>
        </w:rPr>
        <w:t>于供应商 </w:t>
      </w:r>
      <w:r>
        <w:rPr/>
        <w:t>Oxford。而在中下游产业链中，除了产品的研发生产以及稳定的冷链运输网络构建，Car-T 公司需要承担在学术界、生物技术和医学界的推广责任。</w:t>
      </w:r>
      <w:r>
        <w:rPr>
          <w:spacing w:val="-2"/>
        </w:rPr>
        <w:t>这些逻辑都可以从国际知名巨头在基因治疗产业的布局中得到印证。例如，辉瑞</w:t>
      </w:r>
      <w:r>
        <w:rPr>
          <w:spacing w:val="-17"/>
        </w:rPr>
        <w:t>收购 </w:t>
      </w:r>
      <w:r>
        <w:rPr/>
        <w:t>Bamboo</w:t>
      </w:r>
      <w:r>
        <w:rPr>
          <w:spacing w:val="-31"/>
        </w:rPr>
        <w:t> 和 </w:t>
      </w:r>
      <w:r>
        <w:rPr>
          <w:spacing w:val="-3"/>
        </w:rPr>
        <w:t>Vivet</w:t>
      </w:r>
      <w:r>
        <w:rPr>
          <w:spacing w:val="-24"/>
        </w:rPr>
        <w:t> 并与 </w:t>
      </w:r>
      <w:r>
        <w:rPr/>
        <w:t>Spark</w:t>
      </w:r>
      <w:r>
        <w:rPr>
          <w:spacing w:val="-60"/>
        </w:rPr>
        <w:t> </w:t>
      </w:r>
      <w:r>
        <w:rPr/>
        <w:t>Therapeutics</w:t>
      </w:r>
      <w:r>
        <w:rPr>
          <w:spacing w:val="-35"/>
        </w:rPr>
        <w:t> 和 </w:t>
      </w:r>
      <w:r>
        <w:rPr/>
        <w:t>Sangamo</w:t>
      </w:r>
      <w:r>
        <w:rPr>
          <w:spacing w:val="-8"/>
        </w:rPr>
        <w:t> 合作，建立了一个腺相关病毒（AAV）平台，同时进行大量内部投资（</w:t>
      </w:r>
      <w:r>
        <w:rPr>
          <w:spacing w:val="-17"/>
        </w:rPr>
        <w:t>超过 </w:t>
      </w:r>
      <w:r>
        <w:rPr/>
        <w:t>5</w:t>
      </w:r>
      <w:r>
        <w:rPr>
          <w:spacing w:val="-6"/>
        </w:rPr>
        <w:t> 亿美元用于生产部分</w:t>
      </w:r>
      <w:r>
        <w:rPr>
          <w:spacing w:val="-105"/>
        </w:rPr>
        <w:t>）</w:t>
      </w:r>
      <w:r>
        <w:rPr/>
        <w:t>。Sarepta</w:t>
      </w:r>
      <w:r>
        <w:rPr>
          <w:spacing w:val="-4"/>
        </w:rPr>
        <w:t> 通过许可来自学术机构和较小的生物技术公司</w:t>
      </w:r>
      <w:r>
        <w:rPr/>
        <w:t>（</w:t>
      </w:r>
      <w:r>
        <w:rPr>
          <w:spacing w:val="-7"/>
        </w:rPr>
        <w:t>包括 </w:t>
      </w:r>
      <w:r>
        <w:rPr/>
        <w:t>Nationwide</w:t>
      </w:r>
      <w:r>
        <w:rPr>
          <w:spacing w:val="-5"/>
        </w:rPr>
        <w:t> 儿童医院，Myonexus，Lysogene</w:t>
      </w:r>
      <w:r>
        <w:rPr/>
        <w:t> 和 Lacerta）的一系列资产来建立其渠道，同时与Brammer，Paragon</w:t>
      </w:r>
      <w:r>
        <w:rPr>
          <w:spacing w:val="-30"/>
        </w:rPr>
        <w:t> 和 </w:t>
      </w:r>
      <w:r>
        <w:rPr/>
        <w:t>Aldevron</w:t>
      </w:r>
      <w:r>
        <w:rPr>
          <w:spacing w:val="-7"/>
        </w:rPr>
        <w:t> 等公司一起开发制造外部网络。</w:t>
      </w:r>
    </w:p>
    <w:p>
      <w:pPr>
        <w:spacing w:after="0" w:line="328" w:lineRule="auto"/>
        <w:sectPr>
          <w:type w:val="continuous"/>
          <w:pgSz w:w="11910" w:h="16850"/>
          <w:pgMar w:top="260" w:bottom="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before="1"/>
        <w:rPr>
          <w:sz w:val="26"/>
        </w:rPr>
      </w:pPr>
    </w:p>
    <w:p>
      <w:pPr>
        <w:pStyle w:val="Heading2"/>
        <w:spacing w:before="71"/>
        <w:ind w:left="3164" w:right="880"/>
      </w:pPr>
      <w:r>
        <w:rPr>
          <w:spacing w:val="-13"/>
        </w:rPr>
        <w:t>受限于本文篇幅，本报告不对 </w:t>
      </w:r>
      <w:r>
        <w:rPr/>
        <w:t>Car-T</w:t>
      </w:r>
      <w:r>
        <w:rPr>
          <w:spacing w:val="-8"/>
        </w:rPr>
        <w:t> 产业链的生产工艺尤其是质粒和病毒载体开</w:t>
      </w:r>
      <w:r>
        <w:rPr/>
        <w:t>发生产重点描述，我们后续将就书写相关报告。</w:t>
      </w:r>
    </w:p>
    <w:p>
      <w:pPr>
        <w:pStyle w:val="BodyText"/>
        <w:rPr>
          <w:b/>
          <w:sz w:val="20"/>
        </w:rPr>
      </w:pPr>
    </w:p>
    <w:p>
      <w:pPr>
        <w:pStyle w:val="BodyText"/>
        <w:spacing w:before="1"/>
        <w:rPr>
          <w:b/>
          <w:sz w:val="27"/>
        </w:rPr>
      </w:pPr>
    </w:p>
    <w:p>
      <w:pPr>
        <w:spacing w:line="328" w:lineRule="auto" w:before="0"/>
        <w:ind w:left="3164" w:right="656" w:firstLine="0"/>
        <w:jc w:val="left"/>
        <w:rPr>
          <w:sz w:val="21"/>
        </w:rPr>
      </w:pPr>
      <w:r>
        <w:rPr>
          <w:b/>
          <w:spacing w:val="-9"/>
          <w:sz w:val="21"/>
        </w:rPr>
        <w:t>最后，我们不难看出，规模化生产能力与上下游网络的建立以及降低生产成本是Car-T</w:t>
      </w:r>
      <w:r>
        <w:rPr>
          <w:b/>
          <w:spacing w:val="-6"/>
          <w:sz w:val="21"/>
        </w:rPr>
        <w:t> 领域现阶段竞争的核心之一。</w:t>
      </w:r>
      <w:r>
        <w:rPr>
          <w:spacing w:val="-20"/>
          <w:sz w:val="21"/>
        </w:rPr>
        <w:t>由于 </w:t>
      </w:r>
      <w:r>
        <w:rPr>
          <w:sz w:val="21"/>
        </w:rPr>
        <w:t>Car-T</w:t>
      </w:r>
      <w:r>
        <w:rPr>
          <w:spacing w:val="-8"/>
          <w:sz w:val="21"/>
        </w:rPr>
        <w:t> 具有平台技术的特点，能够形成“</w:t>
      </w:r>
      <w:r>
        <w:rPr>
          <w:spacing w:val="-9"/>
          <w:sz w:val="21"/>
        </w:rPr>
        <w:t>赢者通吃”的动力。快速的形成申报与规模化生产能力，并且在快速抢占市场 的</w:t>
      </w:r>
      <w:r>
        <w:rPr>
          <w:spacing w:val="-13"/>
          <w:sz w:val="21"/>
        </w:rPr>
        <w:t>过程中与医生、运输渠道形成稳定关系是现阶 </w:t>
      </w:r>
      <w:r>
        <w:rPr>
          <w:sz w:val="21"/>
        </w:rPr>
        <w:t>Car-T</w:t>
      </w:r>
      <w:r>
        <w:rPr>
          <w:spacing w:val="-7"/>
          <w:sz w:val="21"/>
        </w:rPr>
        <w:t> 企业抢占市场的首要选择。而</w:t>
      </w:r>
      <w:r>
        <w:rPr>
          <w:spacing w:val="-8"/>
          <w:sz w:val="21"/>
        </w:rPr>
        <w:t>后续生产成本的降低，则可以通过例如引入更多 </w:t>
      </w:r>
      <w:r>
        <w:rPr>
          <w:sz w:val="21"/>
        </w:rPr>
        <w:t>CDMO/CMO</w:t>
      </w:r>
      <w:r>
        <w:rPr>
          <w:spacing w:val="-3"/>
          <w:sz w:val="21"/>
        </w:rPr>
        <w:t> 企业、全自动化生产、γδT</w:t>
      </w:r>
      <w:r>
        <w:rPr>
          <w:spacing w:val="-7"/>
          <w:sz w:val="21"/>
        </w:rPr>
        <w:t> 细胞的研究深入、</w:t>
      </w:r>
      <w:r>
        <w:rPr>
          <w:sz w:val="21"/>
        </w:rPr>
        <w:t>UniCar、CarNK</w:t>
      </w:r>
      <w:r>
        <w:rPr>
          <w:spacing w:val="-10"/>
          <w:sz w:val="21"/>
        </w:rPr>
        <w:t>、基于 </w:t>
      </w:r>
      <w:r>
        <w:rPr>
          <w:sz w:val="21"/>
        </w:rPr>
        <w:t>mRNA、</w:t>
      </w:r>
      <w:r>
        <w:rPr>
          <w:spacing w:val="-5"/>
          <w:sz w:val="21"/>
        </w:rPr>
        <w:t>DNA</w:t>
      </w:r>
      <w:r>
        <w:rPr>
          <w:spacing w:val="-9"/>
          <w:sz w:val="21"/>
        </w:rPr>
        <w:t> 和转座子</w:t>
      </w:r>
      <w:r>
        <w:rPr>
          <w:sz w:val="21"/>
        </w:rPr>
        <w:t>/转座酶的电转系统等实现。</w:t>
      </w:r>
    </w:p>
    <w:p>
      <w:pPr>
        <w:pStyle w:val="BodyText"/>
        <w:spacing w:before="11"/>
        <w:rPr>
          <w:sz w:val="18"/>
        </w:rPr>
      </w:pPr>
    </w:p>
    <w:p>
      <w:pPr>
        <w:pStyle w:val="Heading1"/>
      </w:pPr>
      <w:bookmarkStart w:name="_TOC_250012" w:id="12"/>
      <w:bookmarkEnd w:id="12"/>
      <w:r>
        <w:rPr/>
        <w:t>6、 孤棹自迟从蹭蹬，Car-T 商业化有困难，但也充满展望</w:t>
      </w:r>
    </w:p>
    <w:p>
      <w:pPr>
        <w:pStyle w:val="BodyText"/>
        <w:spacing w:line="326" w:lineRule="auto" w:before="203"/>
        <w:ind w:left="3164" w:right="861"/>
        <w:jc w:val="both"/>
      </w:pPr>
      <w:r>
        <w:rPr>
          <w:b/>
          <w:spacing w:val="-2"/>
        </w:rPr>
        <w:t>市场目前较为担心 </w:t>
      </w:r>
      <w:r>
        <w:rPr>
          <w:b/>
        </w:rPr>
        <w:t>Car-T</w:t>
      </w:r>
      <w:r>
        <w:rPr>
          <w:b/>
          <w:spacing w:val="-1"/>
        </w:rPr>
        <w:t> 产品的销售不及预期，商业前景难以支撑整个 </w:t>
      </w:r>
      <w:r>
        <w:rPr>
          <w:b/>
        </w:rPr>
        <w:t>Car-T 市场估值。</w:t>
      </w:r>
      <w:r>
        <w:rPr>
          <w:spacing w:val="-4"/>
        </w:rPr>
        <w:t>2019</w:t>
      </w:r>
      <w:r>
        <w:rPr>
          <w:spacing w:val="-19"/>
        </w:rPr>
        <w:t> 年，两款 </w:t>
      </w:r>
      <w:r>
        <w:rPr>
          <w:spacing w:val="-3"/>
        </w:rPr>
        <w:t>Car-T</w:t>
      </w:r>
      <w:r>
        <w:rPr>
          <w:spacing w:val="-15"/>
        </w:rPr>
        <w:t> 产品虽然较 </w:t>
      </w:r>
      <w:r>
        <w:rPr>
          <w:spacing w:val="-4"/>
        </w:rPr>
        <w:t>2018</w:t>
      </w:r>
      <w:r>
        <w:rPr>
          <w:spacing w:val="-19"/>
        </w:rPr>
        <w:t> 年录得 </w:t>
      </w:r>
      <w:r>
        <w:rPr/>
        <w:t>138%</w:t>
      </w:r>
      <w:r>
        <w:rPr>
          <w:spacing w:val="-14"/>
        </w:rPr>
        <w:t>的涨幅，但近 </w:t>
      </w:r>
      <w:r>
        <w:rPr/>
        <w:t>3</w:t>
      </w:r>
      <w:r>
        <w:rPr>
          <w:spacing w:val="-23"/>
        </w:rPr>
        <w:t> 个</w:t>
      </w:r>
      <w:r>
        <w:rPr>
          <w:spacing w:val="-29"/>
        </w:rPr>
        <w:t>季度销售增速放缓，以 </w:t>
      </w:r>
      <w:r>
        <w:rPr/>
        <w:t>YesCarta</w:t>
      </w:r>
      <w:r>
        <w:rPr>
          <w:spacing w:val="-13"/>
        </w:rPr>
        <w:t> 为例，其在美国及欧洲销售近三季度有所反复， </w:t>
      </w:r>
      <w:r>
        <w:rPr>
          <w:spacing w:val="-14"/>
        </w:rPr>
        <w:t>基本维持在同一水平。市场上投资者普遍认为一款有前景的新药应该在上市前几</w:t>
      </w:r>
      <w:r>
        <w:rPr>
          <w:spacing w:val="-18"/>
        </w:rPr>
        <w:t>年各季度均保持极高增速增长，而看衰 </w:t>
      </w:r>
      <w:r>
        <w:rPr/>
        <w:t>Car-T</w:t>
      </w:r>
      <w:r>
        <w:rPr>
          <w:spacing w:val="-14"/>
        </w:rPr>
        <w:t> 的产业前景，尤其是吉利德在 </w:t>
      </w:r>
      <w:r>
        <w:rPr/>
        <w:t>2019 </w:t>
      </w:r>
      <w:r>
        <w:rPr>
          <w:spacing w:val="-7"/>
        </w:rPr>
        <w:t>年计提了部分 </w:t>
      </w:r>
      <w:r>
        <w:rPr/>
        <w:t>Kite</w:t>
      </w:r>
      <w:r>
        <w:rPr>
          <w:spacing w:val="-9"/>
        </w:rPr>
        <w:t> 的投资损失，市场的担忧情绪普遍加重。我们认为 </w:t>
      </w:r>
      <w:r>
        <w:rPr/>
        <w:t>Car-T</w:t>
      </w:r>
      <w:r>
        <w:rPr>
          <w:spacing w:val="-23"/>
        </w:rPr>
        <w:t> 作</w:t>
      </w:r>
      <w:r>
        <w:rPr>
          <w:spacing w:val="-18"/>
        </w:rPr>
        <w:t>为一种跨时代的细胞治疗方法，其转产与扩产复杂性、医院推广及医生教育、医</w:t>
      </w:r>
      <w:r>
        <w:rPr>
          <w:spacing w:val="-22"/>
        </w:rPr>
        <w:t>保支付等方式完全有别于传统化药与大分子生物药，综合分析各影响 </w:t>
      </w:r>
      <w:r>
        <w:rPr/>
        <w:t>Car-T</w:t>
      </w:r>
      <w:r>
        <w:rPr>
          <w:spacing w:val="-16"/>
        </w:rPr>
        <w:t> 销售</w:t>
      </w:r>
      <w:r>
        <w:rPr>
          <w:spacing w:val="-15"/>
        </w:rPr>
        <w:t>的因素，我们认为 </w:t>
      </w:r>
      <w:r>
        <w:rPr/>
        <w:t>Car-T</w:t>
      </w:r>
      <w:r>
        <w:rPr>
          <w:spacing w:val="-10"/>
        </w:rPr>
        <w:t> 市场前景仍然向好，市场应当对这种全新的细胞疗法更多的耐心。</w:t>
      </w:r>
    </w:p>
    <w:p>
      <w:pPr>
        <w:pStyle w:val="BodyText"/>
        <w:spacing w:before="12"/>
        <w:rPr>
          <w:sz w:val="18"/>
        </w:rPr>
      </w:pPr>
    </w:p>
    <w:p>
      <w:pPr>
        <w:pStyle w:val="Heading2"/>
        <w:tabs>
          <w:tab w:pos="10432" w:val="left" w:leader="none"/>
        </w:tabs>
      </w:pPr>
      <w:r>
        <w:rPr>
          <w:rFonts w:ascii="Times New Roman" w:eastAsia="Times New Roman"/>
          <w:color w:val="FFFFFF"/>
          <w:shd w:fill="A11D04" w:color="auto" w:val="clear"/>
        </w:rPr>
        <w:t>  </w:t>
      </w:r>
      <w:r>
        <w:rPr>
          <w:color w:val="FFFFFF"/>
          <w:shd w:fill="A11D04" w:color="auto" w:val="clear"/>
        </w:rPr>
        <w:t>图</w:t>
      </w:r>
      <w:r>
        <w:rPr>
          <w:color w:val="FFFFFF"/>
          <w:spacing w:val="-35"/>
          <w:shd w:fill="A11D04" w:color="auto" w:val="clear"/>
        </w:rPr>
        <w:t> </w:t>
      </w:r>
      <w:r>
        <w:rPr>
          <w:color w:val="FFFFFF"/>
          <w:spacing w:val="3"/>
          <w:shd w:fill="A11D04" w:color="auto" w:val="clear"/>
        </w:rPr>
        <w:t>16：Car-T</w:t>
      </w:r>
      <w:r>
        <w:rPr>
          <w:color w:val="FFFFFF"/>
          <w:spacing w:val="-49"/>
          <w:shd w:fill="A11D04" w:color="auto" w:val="clear"/>
        </w:rPr>
        <w:t> </w:t>
      </w:r>
      <w:r>
        <w:rPr>
          <w:color w:val="FFFFFF"/>
          <w:shd w:fill="A11D04" w:color="auto" w:val="clear"/>
        </w:rPr>
        <w:t>全球销售额</w:t>
        <w:tab/>
      </w:r>
    </w:p>
    <w:p>
      <w:pPr>
        <w:pStyle w:val="BodyText"/>
        <w:spacing w:before="2"/>
        <w:rPr>
          <w:b/>
          <w:sz w:val="24"/>
        </w:rPr>
      </w:pPr>
      <w:r>
        <w:rPr/>
        <w:drawing>
          <wp:anchor distT="0" distB="0" distL="0" distR="0" allowOverlap="1" layoutInCell="1" locked="0" behindDoc="0" simplePos="0" relativeHeight="62">
            <wp:simplePos x="0" y="0"/>
            <wp:positionH relativeFrom="page">
              <wp:posOffset>3143457</wp:posOffset>
            </wp:positionH>
            <wp:positionV relativeFrom="paragraph">
              <wp:posOffset>221477</wp:posOffset>
            </wp:positionV>
            <wp:extent cx="2712319" cy="1616202"/>
            <wp:effectExtent l="0" t="0" r="0" b="0"/>
            <wp:wrapTopAndBottom/>
            <wp:docPr id="27" name="image18.png"/>
            <wp:cNvGraphicFramePr>
              <a:graphicFrameLocks noChangeAspect="1"/>
            </wp:cNvGraphicFramePr>
            <a:graphic>
              <a:graphicData uri="http://schemas.openxmlformats.org/drawingml/2006/picture">
                <pic:pic>
                  <pic:nvPicPr>
                    <pic:cNvPr id="28" name="image18.png"/>
                    <pic:cNvPicPr/>
                  </pic:nvPicPr>
                  <pic:blipFill>
                    <a:blip r:embed="rId26" cstate="print"/>
                    <a:stretch>
                      <a:fillRect/>
                    </a:stretch>
                  </pic:blipFill>
                  <pic:spPr>
                    <a:xfrm>
                      <a:off x="0" y="0"/>
                      <a:ext cx="2712319" cy="1616202"/>
                    </a:xfrm>
                    <a:prstGeom prst="rect">
                      <a:avLst/>
                    </a:prstGeom>
                  </pic:spPr>
                </pic:pic>
              </a:graphicData>
            </a:graphic>
          </wp:anchor>
        </w:drawing>
      </w:r>
    </w:p>
    <w:p>
      <w:pPr>
        <w:pStyle w:val="BodyText"/>
        <w:rPr>
          <w:b/>
          <w:sz w:val="20"/>
        </w:rPr>
      </w:pPr>
    </w:p>
    <w:p>
      <w:pPr>
        <w:pStyle w:val="BodyText"/>
        <w:spacing w:before="4"/>
        <w:rPr>
          <w:b/>
          <w:sz w:val="11"/>
        </w:rPr>
      </w:pPr>
      <w:r>
        <w:rPr/>
        <w:pict>
          <v:rect style="position:absolute;margin-left:165.949997pt;margin-top:9.245961pt;width:368.7pt;height:.75pt;mso-position-horizontal-relative:page;mso-position-vertical-relative:paragraph;z-index:-15696384;mso-wrap-distance-left:0;mso-wrap-distance-right:0" filled="true" fillcolor="#a11d04" stroked="false">
            <v:fill type="solid"/>
            <w10:wrap type="topAndBottom"/>
          </v:rect>
        </w:pict>
      </w:r>
    </w:p>
    <w:p>
      <w:pPr>
        <w:spacing w:before="31"/>
        <w:ind w:left="3164" w:right="0" w:firstLine="0"/>
        <w:jc w:val="left"/>
        <w:rPr>
          <w:b/>
          <w:sz w:val="15"/>
        </w:rPr>
      </w:pPr>
      <w:r>
        <w:rPr>
          <w:b/>
          <w:sz w:val="15"/>
        </w:rPr>
        <w:t>数据来源：公司财报，财通证券研究所</w:t>
      </w:r>
    </w:p>
    <w:p>
      <w:pPr>
        <w:pStyle w:val="BodyText"/>
        <w:rPr>
          <w:b/>
          <w:sz w:val="20"/>
        </w:rPr>
      </w:pPr>
    </w:p>
    <w:p>
      <w:pPr>
        <w:pStyle w:val="BodyText"/>
        <w:spacing w:before="8"/>
        <w:rPr>
          <w:b/>
          <w:sz w:val="28"/>
        </w:rPr>
      </w:pPr>
    </w:p>
    <w:p>
      <w:pPr>
        <w:pStyle w:val="BodyText"/>
        <w:spacing w:before="71"/>
        <w:ind w:left="3164"/>
      </w:pPr>
      <w:r>
        <w:rPr/>
        <w:t>目前 Car-T 是对一个前所未有的产品销售与推广，无论医保方、医疗提供方还是</w:t>
      </w:r>
    </w:p>
    <w:p>
      <w:pPr>
        <w:spacing w:after="0"/>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866"/>
        <w:jc w:val="both"/>
      </w:pPr>
      <w:r>
        <w:rPr>
          <w:spacing w:val="-3"/>
        </w:rPr>
        <w:t>患者都是一个全新的接受与认知过程，市场也还需要对其复杂性逐步认知。我们</w:t>
      </w:r>
      <w:r>
        <w:rPr>
          <w:spacing w:val="-8"/>
        </w:rPr>
        <w:t>认为医院数量以及医生使用 </w:t>
      </w:r>
      <w:r>
        <w:rPr/>
        <w:t>Car-T</w:t>
      </w:r>
      <w:r>
        <w:rPr>
          <w:spacing w:val="-16"/>
        </w:rPr>
        <w:t> 尤其是商业化 </w:t>
      </w:r>
      <w:r>
        <w:rPr>
          <w:spacing w:val="-3"/>
        </w:rPr>
        <w:t>Car-T</w:t>
      </w:r>
      <w:r>
        <w:rPr>
          <w:spacing w:val="-8"/>
        </w:rPr>
        <w:t> 产品的积极性对于产品销售额有显著影响，并且些变量又受到多个其他因素的影响。</w:t>
      </w:r>
    </w:p>
    <w:p>
      <w:pPr>
        <w:pStyle w:val="Heading2"/>
        <w:numPr>
          <w:ilvl w:val="1"/>
          <w:numId w:val="11"/>
        </w:numPr>
        <w:tabs>
          <w:tab w:pos="3645" w:val="left" w:leader="none"/>
        </w:tabs>
        <w:spacing w:line="240" w:lineRule="auto" w:before="110" w:after="0"/>
        <w:ind w:left="3645" w:right="0" w:hanging="481"/>
        <w:jc w:val="both"/>
      </w:pPr>
      <w:bookmarkStart w:name="_TOC_250011" w:id="13"/>
      <w:r>
        <w:rPr>
          <w:spacing w:val="-2"/>
        </w:rPr>
        <w:t>有资格开展 </w:t>
      </w:r>
      <w:r>
        <w:rPr/>
        <w:t>Car-T</w:t>
      </w:r>
      <w:bookmarkEnd w:id="13"/>
      <w:r>
        <w:rPr>
          <w:spacing w:val="-7"/>
        </w:rPr>
        <w:t> 治疗的医院数量对产品销售有影响</w:t>
      </w:r>
    </w:p>
    <w:p>
      <w:pPr>
        <w:pStyle w:val="BodyText"/>
        <w:spacing w:before="4"/>
        <w:rPr>
          <w:b/>
          <w:sz w:val="15"/>
        </w:rPr>
      </w:pPr>
    </w:p>
    <w:p>
      <w:pPr>
        <w:pStyle w:val="BodyText"/>
        <w:spacing w:line="328" w:lineRule="auto"/>
        <w:ind w:left="3164" w:right="672"/>
      </w:pPr>
      <w:r>
        <w:rPr>
          <w:b/>
          <w:spacing w:val="1"/>
        </w:rPr>
        <w:t>市场普遍没有意识到有资格实施</w:t>
      </w:r>
      <w:r>
        <w:rPr>
          <w:b/>
        </w:rPr>
        <w:t>Car-T</w:t>
      </w:r>
      <w:r>
        <w:rPr>
          <w:b/>
          <w:spacing w:val="-7"/>
        </w:rPr>
        <w:t> 的治疗医院资源对于</w:t>
      </w:r>
      <w:r>
        <w:rPr>
          <w:b/>
        </w:rPr>
        <w:t>Car-T</w:t>
      </w:r>
      <w:r>
        <w:rPr>
          <w:b/>
          <w:spacing w:val="-13"/>
        </w:rPr>
        <w:t> 销售的重要性。</w:t>
      </w:r>
      <w:r>
        <w:rPr>
          <w:spacing w:val="-13"/>
        </w:rPr>
        <w:t>FDA</w:t>
      </w:r>
      <w:r>
        <w:rPr>
          <w:spacing w:val="-21"/>
        </w:rPr>
        <w:t> 强制要求 </w:t>
      </w:r>
      <w:r>
        <w:rPr/>
        <w:t>Car-T</w:t>
      </w:r>
      <w:r>
        <w:rPr>
          <w:spacing w:val="-12"/>
        </w:rPr>
        <w:t> 细胞只能在经认证的中心进行使用并由经过培训的医生</w:t>
      </w:r>
      <w:r>
        <w:rPr/>
        <w:t>（HCP） </w:t>
      </w:r>
      <w:r>
        <w:rPr>
          <w:spacing w:val="-7"/>
        </w:rPr>
        <w:t>提供，而占美国医疗机构较大比例的肿瘤门诊尚不能提供。目前细胞疗法大多由 医院的血液和骨髓移植（BMT）</w:t>
      </w:r>
      <w:r>
        <w:rPr/>
        <w:t>部门提供，一些医院也会建立专门针对细胞疗法的队伍（成员多为原白血病或淋巴瘤小组</w:t>
      </w:r>
      <w:r>
        <w:rPr>
          <w:spacing w:val="-105"/>
        </w:rPr>
        <w:t>）</w:t>
      </w:r>
      <w:r>
        <w:rPr>
          <w:spacing w:val="-9"/>
        </w:rPr>
        <w:t>，同时 </w:t>
      </w:r>
      <w:r>
        <w:rPr/>
        <w:t>Car</w:t>
      </w:r>
      <w:r>
        <w:rPr>
          <w:spacing w:val="-1"/>
        </w:rPr>
        <w:t>-</w:t>
      </w:r>
      <w:r>
        <w:rPr/>
        <w:t>T</w:t>
      </w:r>
      <w:r>
        <w:rPr>
          <w:spacing w:val="-6"/>
        </w:rPr>
        <w:t> 护理交付工作</w:t>
      </w:r>
      <w:r>
        <w:rPr/>
        <w:t>（特别是 患者使用资格的审核评估与输注后的管理</w:t>
      </w:r>
      <w:r>
        <w:rPr>
          <w:spacing w:val="-30"/>
        </w:rPr>
        <w:t>）</w:t>
      </w:r>
      <w:r>
        <w:rPr>
          <w:spacing w:val="-3"/>
        </w:rPr>
        <w:t>又需要跨专业的工作组，这就导致了 开展医院必须原先就拥有极强的综合医疗水平和护理能力；Car-T</w:t>
      </w:r>
      <w:r>
        <w:rPr>
          <w:spacing w:val="-7"/>
        </w:rPr>
        <w:t> 需要细胞疗法专门</w:t>
      </w:r>
      <w:r>
        <w:rPr/>
        <w:t>的数据和质量管理团队进行数据报告和法规监控，并且注射中心必须满足FACT（2018a，2018b）</w:t>
      </w:r>
      <w:r>
        <w:rPr>
          <w:spacing w:val="-23"/>
        </w:rPr>
        <w:t>和 </w:t>
      </w:r>
      <w:r>
        <w:rPr/>
        <w:t>FDA（2018）的监管法规要求。整个治疗过程从细胞收集</w:t>
      </w:r>
      <w:r>
        <w:rPr>
          <w:spacing w:val="-7"/>
        </w:rPr>
        <w:t>，储存，运输和接收都有既定流程和数据要求，这对医院的基础科研能力以及信</w:t>
      </w:r>
      <w:r>
        <w:rPr>
          <w:spacing w:val="-12"/>
        </w:rPr>
        <w:t>息化能力提出了极高的要求，因而在 </w:t>
      </w:r>
      <w:r>
        <w:rPr/>
        <w:t>Car-T</w:t>
      </w:r>
      <w:r>
        <w:rPr>
          <w:spacing w:val="-9"/>
        </w:rPr>
        <w:t> 推广中，医院作为弥足珍贵的资源对于</w:t>
      </w:r>
      <w:r>
        <w:rPr>
          <w:spacing w:val="-45"/>
        </w:rPr>
        <w:t> </w:t>
      </w:r>
      <w:r>
        <w:rPr/>
        <w:t>Car-T</w:t>
      </w:r>
      <w:r>
        <w:rPr>
          <w:spacing w:val="-7"/>
        </w:rPr>
        <w:t> 产品的放量尤为重要。</w:t>
      </w:r>
    </w:p>
    <w:p>
      <w:pPr>
        <w:pStyle w:val="BodyText"/>
        <w:rPr>
          <w:sz w:val="20"/>
        </w:rPr>
      </w:pPr>
    </w:p>
    <w:p>
      <w:pPr>
        <w:pStyle w:val="BodyText"/>
        <w:spacing w:before="3"/>
        <w:rPr>
          <w:sz w:val="14"/>
        </w:rPr>
      </w:pPr>
    </w:p>
    <w:p>
      <w:pPr>
        <w:pStyle w:val="Heading2"/>
        <w:tabs>
          <w:tab w:pos="10432" w:val="left" w:leader="none"/>
        </w:tabs>
        <w:spacing w:before="78"/>
      </w:pPr>
      <w:r>
        <w:rPr>
          <w:rFonts w:ascii="Times New Roman" w:eastAsia="Times New Roman"/>
          <w:color w:val="FFFFFF"/>
          <w:shd w:fill="A11D04" w:color="auto" w:val="clear"/>
        </w:rPr>
        <w:t>  </w:t>
      </w:r>
      <w:r>
        <w:rPr>
          <w:color w:val="FFFFFF"/>
          <w:shd w:fill="A11D04" w:color="auto" w:val="clear"/>
        </w:rPr>
        <w:t>图</w:t>
      </w:r>
      <w:r>
        <w:rPr>
          <w:color w:val="FFFFFF"/>
          <w:spacing w:val="-38"/>
          <w:shd w:fill="A11D04" w:color="auto" w:val="clear"/>
        </w:rPr>
        <w:t> </w:t>
      </w:r>
      <w:r>
        <w:rPr>
          <w:color w:val="FFFFFF"/>
          <w:spacing w:val="3"/>
          <w:shd w:fill="A11D04" w:color="auto" w:val="clear"/>
        </w:rPr>
        <w:t>17：Car-T</w:t>
      </w:r>
      <w:r>
        <w:rPr>
          <w:color w:val="FFFFFF"/>
          <w:spacing w:val="-52"/>
          <w:shd w:fill="A11D04" w:color="auto" w:val="clear"/>
        </w:rPr>
        <w:t> </w:t>
      </w:r>
      <w:r>
        <w:rPr>
          <w:color w:val="FFFFFF"/>
          <w:shd w:fill="A11D04" w:color="auto" w:val="clear"/>
        </w:rPr>
        <w:t>全球销售额与获批医院数量</w:t>
        <w:tab/>
      </w:r>
    </w:p>
    <w:p>
      <w:pPr>
        <w:pStyle w:val="BodyText"/>
        <w:spacing w:before="7"/>
        <w:rPr>
          <w:b/>
        </w:rPr>
      </w:pPr>
      <w:r>
        <w:rPr/>
        <w:drawing>
          <wp:anchor distT="0" distB="0" distL="0" distR="0" allowOverlap="1" layoutInCell="1" locked="0" behindDoc="0" simplePos="0" relativeHeight="65">
            <wp:simplePos x="0" y="0"/>
            <wp:positionH relativeFrom="page">
              <wp:posOffset>2511091</wp:posOffset>
            </wp:positionH>
            <wp:positionV relativeFrom="paragraph">
              <wp:posOffset>200423</wp:posOffset>
            </wp:positionV>
            <wp:extent cx="3735891" cy="1625536"/>
            <wp:effectExtent l="0" t="0" r="0" b="0"/>
            <wp:wrapTopAndBottom/>
            <wp:docPr id="29" name="image19.png"/>
            <wp:cNvGraphicFramePr>
              <a:graphicFrameLocks noChangeAspect="1"/>
            </wp:cNvGraphicFramePr>
            <a:graphic>
              <a:graphicData uri="http://schemas.openxmlformats.org/drawingml/2006/picture">
                <pic:pic>
                  <pic:nvPicPr>
                    <pic:cNvPr id="30" name="image19.png"/>
                    <pic:cNvPicPr/>
                  </pic:nvPicPr>
                  <pic:blipFill>
                    <a:blip r:embed="rId27" cstate="print"/>
                    <a:stretch>
                      <a:fillRect/>
                    </a:stretch>
                  </pic:blipFill>
                  <pic:spPr>
                    <a:xfrm>
                      <a:off x="0" y="0"/>
                      <a:ext cx="3735891" cy="1625536"/>
                    </a:xfrm>
                    <a:prstGeom prst="rect">
                      <a:avLst/>
                    </a:prstGeom>
                  </pic:spPr>
                </pic:pic>
              </a:graphicData>
            </a:graphic>
          </wp:anchor>
        </w:drawing>
      </w:r>
    </w:p>
    <w:p>
      <w:pPr>
        <w:pStyle w:val="BodyText"/>
        <w:rPr>
          <w:b/>
          <w:sz w:val="20"/>
        </w:rPr>
      </w:pPr>
    </w:p>
    <w:p>
      <w:pPr>
        <w:pStyle w:val="BodyText"/>
        <w:spacing w:before="10"/>
        <w:rPr>
          <w:b/>
          <w:sz w:val="12"/>
        </w:rPr>
      </w:pPr>
      <w:r>
        <w:rPr/>
        <w:pict>
          <v:rect style="position:absolute;margin-left:165.949997pt;margin-top:10.160682pt;width:368.7pt;height:.75pt;mso-position-horizontal-relative:page;mso-position-vertical-relative:paragraph;z-index:-15694848;mso-wrap-distance-left:0;mso-wrap-distance-right:0" filled="true" fillcolor="#a11d04" stroked="false">
            <v:fill type="solid"/>
            <w10:wrap type="topAndBottom"/>
          </v:rect>
        </w:pict>
      </w:r>
    </w:p>
    <w:p>
      <w:pPr>
        <w:spacing w:before="31"/>
        <w:ind w:left="3164" w:right="0" w:firstLine="0"/>
        <w:jc w:val="left"/>
        <w:rPr>
          <w:b/>
          <w:sz w:val="15"/>
        </w:rPr>
      </w:pPr>
      <w:r>
        <w:rPr>
          <w:b/>
          <w:spacing w:val="4"/>
          <w:sz w:val="15"/>
        </w:rPr>
        <w:t>数据来源： </w:t>
      </w:r>
      <w:r>
        <w:rPr>
          <w:b/>
          <w:sz w:val="15"/>
        </w:rPr>
        <w:t>c</w:t>
      </w:r>
      <w:r>
        <w:rPr>
          <w:b/>
          <w:spacing w:val="-61"/>
          <w:sz w:val="15"/>
        </w:rPr>
        <w:t> </w:t>
      </w:r>
      <w:r>
        <w:rPr>
          <w:b/>
          <w:sz w:val="15"/>
        </w:rPr>
        <w:t>linica</w:t>
      </w:r>
      <w:r>
        <w:rPr>
          <w:b/>
          <w:spacing w:val="-61"/>
          <w:sz w:val="15"/>
        </w:rPr>
        <w:t> </w:t>
      </w:r>
      <w:r>
        <w:rPr>
          <w:b/>
          <w:sz w:val="15"/>
        </w:rPr>
        <w:t>ltrials</w:t>
      </w:r>
      <w:r>
        <w:rPr>
          <w:b/>
          <w:spacing w:val="-4"/>
          <w:sz w:val="15"/>
        </w:rPr>
        <w:t>、公司公告、医院网页、公司官网， 财通证券研究所</w:t>
      </w:r>
    </w:p>
    <w:p>
      <w:pPr>
        <w:pStyle w:val="BodyText"/>
        <w:rPr>
          <w:b/>
          <w:sz w:val="20"/>
        </w:rPr>
      </w:pPr>
    </w:p>
    <w:p>
      <w:pPr>
        <w:pStyle w:val="BodyText"/>
        <w:spacing w:before="7"/>
        <w:rPr>
          <w:b/>
          <w:sz w:val="16"/>
        </w:rPr>
      </w:pPr>
    </w:p>
    <w:p>
      <w:pPr>
        <w:pStyle w:val="Heading2"/>
        <w:spacing w:line="331" w:lineRule="auto" w:before="0"/>
        <w:ind w:left="3164" w:right="870"/>
        <w:jc w:val="both"/>
      </w:pPr>
      <w:r>
        <w:rPr/>
        <w:drawing>
          <wp:anchor distT="0" distB="0" distL="0" distR="0" allowOverlap="1" layoutInCell="1" locked="0" behindDoc="0" simplePos="0" relativeHeight="67">
            <wp:simplePos x="0" y="0"/>
            <wp:positionH relativeFrom="page">
              <wp:posOffset>2886834</wp:posOffset>
            </wp:positionH>
            <wp:positionV relativeFrom="paragraph">
              <wp:posOffset>994951</wp:posOffset>
            </wp:positionV>
            <wp:extent cx="2444776" cy="456914"/>
            <wp:effectExtent l="0" t="0" r="0" b="0"/>
            <wp:wrapTopAndBottom/>
            <wp:docPr id="31" name="image20.png"/>
            <wp:cNvGraphicFramePr>
              <a:graphicFrameLocks noChangeAspect="1"/>
            </wp:cNvGraphicFramePr>
            <a:graphic>
              <a:graphicData uri="http://schemas.openxmlformats.org/drawingml/2006/picture">
                <pic:pic>
                  <pic:nvPicPr>
                    <pic:cNvPr id="32" name="image20.png"/>
                    <pic:cNvPicPr/>
                  </pic:nvPicPr>
                  <pic:blipFill>
                    <a:blip r:embed="rId28" cstate="print"/>
                    <a:stretch>
                      <a:fillRect/>
                    </a:stretch>
                  </pic:blipFill>
                  <pic:spPr>
                    <a:xfrm>
                      <a:off x="0" y="0"/>
                      <a:ext cx="2444776" cy="456914"/>
                    </a:xfrm>
                    <a:prstGeom prst="rect">
                      <a:avLst/>
                    </a:prstGeom>
                  </pic:spPr>
                </pic:pic>
              </a:graphicData>
            </a:graphic>
          </wp:anchor>
        </w:drawing>
      </w:r>
      <w:r>
        <w:rPr>
          <w:spacing w:val="-11"/>
        </w:rPr>
        <w:t>从历史数据中我们可以发现，拥有 </w:t>
      </w:r>
      <w:r>
        <w:rPr/>
        <w:t>Car-T</w:t>
      </w:r>
      <w:r>
        <w:rPr>
          <w:spacing w:val="-12"/>
        </w:rPr>
        <w:t> 注射资格的医院数量与 </w:t>
      </w:r>
      <w:r>
        <w:rPr/>
        <w:t>Car-T</w:t>
      </w:r>
      <w:r>
        <w:rPr>
          <w:spacing w:val="-12"/>
        </w:rPr>
        <w:t> 销售额之</w:t>
      </w:r>
      <w:r>
        <w:rPr>
          <w:spacing w:val="-10"/>
          <w:w w:val="95"/>
        </w:rPr>
        <w:t>间高度相关，两者之间增长率额基本保持一致。然后，我们用计量模型对销售额  </w:t>
      </w:r>
      <w:r>
        <w:rPr>
          <w:spacing w:val="-7"/>
        </w:rPr>
        <w:t>和获批医院数进行小样本估计。其中，</w:t>
      </w:r>
      <w:r>
        <w:rPr/>
        <w:t>Yt+1: </w:t>
      </w:r>
      <w:r>
        <w:rPr>
          <w:spacing w:val="4"/>
        </w:rPr>
        <w:t>t+1</w:t>
      </w:r>
      <w:r>
        <w:rPr>
          <w:spacing w:val="-26"/>
        </w:rPr>
        <w:t> 期的 </w:t>
      </w:r>
      <w:r>
        <w:rPr/>
        <w:t>Car-T</w:t>
      </w:r>
      <w:r>
        <w:rPr>
          <w:spacing w:val="-11"/>
        </w:rPr>
        <w:t> 销售额。</w:t>
      </w:r>
      <w:r>
        <w:rPr/>
        <w:t>Xt: t</w:t>
      </w:r>
      <w:r>
        <w:rPr>
          <w:spacing w:val="-26"/>
        </w:rPr>
        <w:t> 期</w:t>
      </w:r>
      <w:r>
        <w:rPr/>
        <w:t>的获批医院数。回归结果如下，模型显著，拟合度较好：</w:t>
      </w:r>
    </w:p>
    <w:p>
      <w:pPr>
        <w:spacing w:after="0" w:line="331" w:lineRule="auto"/>
        <w:jc w:val="both"/>
        <w:sectPr>
          <w:pgSz w:w="11910" w:h="16850"/>
          <w:pgMar w:header="796" w:footer="1296" w:top="1340" w:bottom="1480" w:left="260" w:right="300"/>
        </w:sectPr>
      </w:pPr>
    </w:p>
    <w:p>
      <w:pPr>
        <w:pStyle w:val="BodyText"/>
        <w:rPr>
          <w:b/>
          <w:sz w:val="20"/>
        </w:rPr>
      </w:pPr>
    </w:p>
    <w:p>
      <w:pPr>
        <w:pStyle w:val="BodyText"/>
        <w:spacing w:before="7"/>
        <w:rPr>
          <w:b/>
          <w:sz w:val="11"/>
        </w:rPr>
      </w:pPr>
    </w:p>
    <w:p>
      <w:pPr>
        <w:pStyle w:val="BodyText"/>
        <w:ind w:left="3059"/>
        <w:rPr>
          <w:sz w:val="20"/>
        </w:rPr>
      </w:pPr>
      <w:r>
        <w:rPr>
          <w:sz w:val="20"/>
        </w:rPr>
        <w:pict>
          <v:shape style="width:368.7pt;height:16.55pt;mso-position-horizontal-relative:char;mso-position-vertical-relative:line" type="#_x0000_t202" filled="true" fillcolor="#a11d04" stroked="false">
            <w10:anchorlock/>
            <v:textbox inset="0,0,0,0">
              <w:txbxContent>
                <w:p>
                  <w:pPr>
                    <w:spacing w:before="30"/>
                    <w:ind w:left="105" w:right="0" w:firstLine="0"/>
                    <w:jc w:val="left"/>
                    <w:rPr>
                      <w:b/>
                      <w:sz w:val="21"/>
                    </w:rPr>
                  </w:pPr>
                  <w:r>
                    <w:rPr>
                      <w:b/>
                      <w:color w:val="FFFFFF"/>
                      <w:sz w:val="21"/>
                    </w:rPr>
                    <w:t>图 18：Car-T 医院和销售额回归模型</w:t>
                  </w:r>
                </w:p>
              </w:txbxContent>
            </v:textbox>
            <v:fill type="solid"/>
          </v:shape>
        </w:pict>
      </w:r>
      <w:r>
        <w:rPr>
          <w:sz w:val="20"/>
        </w:rPr>
      </w:r>
    </w:p>
    <w:p>
      <w:pPr>
        <w:pStyle w:val="BodyText"/>
        <w:spacing w:before="7"/>
        <w:rPr>
          <w:b/>
          <w:sz w:val="14"/>
        </w:rPr>
      </w:pPr>
      <w:r>
        <w:rPr/>
        <w:drawing>
          <wp:anchor distT="0" distB="0" distL="0" distR="0" allowOverlap="1" layoutInCell="1" locked="0" behindDoc="0" simplePos="0" relativeHeight="69">
            <wp:simplePos x="0" y="0"/>
            <wp:positionH relativeFrom="page">
              <wp:posOffset>2956560</wp:posOffset>
            </wp:positionH>
            <wp:positionV relativeFrom="paragraph">
              <wp:posOffset>143319</wp:posOffset>
            </wp:positionV>
            <wp:extent cx="2936474" cy="1765173"/>
            <wp:effectExtent l="0" t="0" r="0" b="0"/>
            <wp:wrapTopAndBottom/>
            <wp:docPr id="35" name="image21.png"/>
            <wp:cNvGraphicFramePr>
              <a:graphicFrameLocks noChangeAspect="1"/>
            </wp:cNvGraphicFramePr>
            <a:graphic>
              <a:graphicData uri="http://schemas.openxmlformats.org/drawingml/2006/picture">
                <pic:pic>
                  <pic:nvPicPr>
                    <pic:cNvPr id="36" name="image21.png"/>
                    <pic:cNvPicPr/>
                  </pic:nvPicPr>
                  <pic:blipFill>
                    <a:blip r:embed="rId31" cstate="print"/>
                    <a:stretch>
                      <a:fillRect/>
                    </a:stretch>
                  </pic:blipFill>
                  <pic:spPr>
                    <a:xfrm>
                      <a:off x="0" y="0"/>
                      <a:ext cx="2936474" cy="1765173"/>
                    </a:xfrm>
                    <a:prstGeom prst="rect">
                      <a:avLst/>
                    </a:prstGeom>
                  </pic:spPr>
                </pic:pic>
              </a:graphicData>
            </a:graphic>
          </wp:anchor>
        </w:drawing>
      </w:r>
      <w:r>
        <w:rPr/>
        <w:pict>
          <v:rect style="position:absolute;margin-left:165.949997pt;margin-top:165.175003pt;width:368.7pt;height:.75pt;mso-position-horizontal-relative:page;mso-position-vertical-relative:paragraph;z-index:-15692800;mso-wrap-distance-left:0;mso-wrap-distance-right:0" filled="true" fillcolor="#a11d04" stroked="false">
            <v:fill type="solid"/>
            <w10:wrap type="topAndBottom"/>
          </v:rect>
        </w:pict>
      </w:r>
    </w:p>
    <w:p>
      <w:pPr>
        <w:pStyle w:val="BodyText"/>
        <w:spacing w:before="12"/>
        <w:rPr>
          <w:b/>
          <w:sz w:val="17"/>
        </w:rPr>
      </w:pPr>
    </w:p>
    <w:p>
      <w:pPr>
        <w:spacing w:before="16"/>
        <w:ind w:left="3164" w:right="0" w:firstLine="0"/>
        <w:jc w:val="left"/>
        <w:rPr>
          <w:b/>
          <w:sz w:val="15"/>
        </w:rPr>
      </w:pPr>
      <w:r>
        <w:rPr>
          <w:b/>
          <w:sz w:val="15"/>
        </w:rPr>
        <w:t>数据来源：财通证券研究所</w:t>
      </w:r>
    </w:p>
    <w:p>
      <w:pPr>
        <w:pStyle w:val="BodyText"/>
        <w:rPr>
          <w:b/>
          <w:sz w:val="20"/>
        </w:rPr>
      </w:pPr>
    </w:p>
    <w:p>
      <w:pPr>
        <w:pStyle w:val="BodyText"/>
        <w:spacing w:before="8"/>
        <w:rPr>
          <w:b/>
          <w:sz w:val="28"/>
        </w:rPr>
      </w:pPr>
    </w:p>
    <w:p>
      <w:pPr>
        <w:pStyle w:val="BodyText"/>
        <w:spacing w:line="331" w:lineRule="auto" w:before="71"/>
        <w:ind w:left="3164" w:right="655"/>
      </w:pPr>
      <w:r>
        <w:rPr>
          <w:b/>
          <w:spacing w:val="-4"/>
          <w:w w:val="95"/>
        </w:rPr>
        <w:t>我们对得到的结果做格兰杰因果检验。</w:t>
      </w:r>
      <w:r>
        <w:rPr>
          <w:w w:val="95"/>
        </w:rPr>
        <w:t>由于经典回归模型要求数据必须是平稳的，  </w:t>
      </w:r>
      <w:r>
        <w:rPr>
          <w:spacing w:val="-4"/>
        </w:rPr>
        <w:t>但是这个数据具有明确趋势性，所以考虑证明协整来证明数据间的长期均衡，防 止伪回归的现象。Hos</w:t>
      </w:r>
      <w:r>
        <w:rPr>
          <w:spacing w:val="-7"/>
        </w:rPr>
        <w:t> 代表医院数量。</w:t>
      </w:r>
      <w:r>
        <w:rPr/>
        <w:t>ADF</w:t>
      </w:r>
      <w:r>
        <w:rPr>
          <w:spacing w:val="-18"/>
        </w:rPr>
        <w:t> 检验发现 </w:t>
      </w:r>
      <w:r>
        <w:rPr/>
        <w:t>sale</w:t>
      </w:r>
      <w:r>
        <w:rPr>
          <w:spacing w:val="-8"/>
        </w:rPr>
        <w:t> 是一阶单整，</w:t>
      </w:r>
      <w:r>
        <w:rPr>
          <w:spacing w:val="-4"/>
        </w:rPr>
        <w:t>hos</w:t>
      </w:r>
      <w:r>
        <w:rPr>
          <w:spacing w:val="-11"/>
        </w:rPr>
        <w:t> 是二阶</w:t>
      </w:r>
      <w:r>
        <w:rPr>
          <w:spacing w:val="-16"/>
        </w:rPr>
        <w:t>单整，对 </w:t>
      </w:r>
      <w:r>
        <w:rPr/>
        <w:t>hos</w:t>
      </w:r>
      <w:r>
        <w:rPr>
          <w:spacing w:val="-8"/>
        </w:rPr>
        <w:t> 进行差分处理使其变为一阶单整，然后利用 </w:t>
      </w:r>
      <w:r>
        <w:rPr/>
        <w:t>johansen</w:t>
      </w:r>
      <w:r>
        <w:rPr>
          <w:spacing w:val="-6"/>
        </w:rPr>
        <w:t> 检验验证其是否存在协整关系，结果：d(hos</w:t>
      </w:r>
      <w:r>
        <w:rPr>
          <w:spacing w:val="-20"/>
        </w:rPr>
        <w:t>)与 </w:t>
      </w:r>
      <w:r>
        <w:rPr/>
        <w:t>sale 具有长期均衡关系。</w:t>
      </w:r>
    </w:p>
    <w:p>
      <w:pPr>
        <w:pStyle w:val="BodyText"/>
        <w:rPr>
          <w:sz w:val="20"/>
        </w:rPr>
      </w:pPr>
    </w:p>
    <w:p>
      <w:pPr>
        <w:pStyle w:val="BodyText"/>
        <w:spacing w:before="10"/>
        <w:rPr>
          <w:sz w:val="14"/>
        </w:rPr>
      </w:pPr>
      <w:r>
        <w:rPr/>
        <w:pict>
          <v:group style="position:absolute;margin-left:165.949997pt;margin-top:11.451563pt;width:368.7pt;height:213.2pt;mso-position-horizontal-relative:page;mso-position-vertical-relative:paragraph;z-index:-15692288;mso-wrap-distance-left:0;mso-wrap-distance-right:0" coordorigin="3319,229" coordsize="7374,4264">
            <v:rect style="position:absolute;left:3319;top:4478;width:7374;height:15" filled="true" fillcolor="#a11d04" stroked="false">
              <v:fill type="solid"/>
            </v:rect>
            <v:shape style="position:absolute;left:4564;top:554;width:4863;height:3911" type="#_x0000_t75" stroked="false">
              <v:imagedata r:id="rId32" o:title=""/>
            </v:shape>
            <v:shape style="position:absolute;left:3319;top:229;width:7374;height:330" type="#_x0000_t202" filled="true" fillcolor="#a11d04" stroked="false">
              <v:textbox inset="0,0,0,0">
                <w:txbxContent>
                  <w:p>
                    <w:pPr>
                      <w:spacing w:before="30"/>
                      <w:ind w:left="105" w:right="0" w:firstLine="0"/>
                      <w:jc w:val="left"/>
                      <w:rPr>
                        <w:b/>
                        <w:sz w:val="21"/>
                      </w:rPr>
                    </w:pPr>
                    <w:r>
                      <w:rPr>
                        <w:b/>
                        <w:color w:val="FFFFFF"/>
                        <w:sz w:val="21"/>
                      </w:rPr>
                      <w:t>图 19：d(hos)与 sale 均衡关系</w:t>
                    </w:r>
                  </w:p>
                </w:txbxContent>
              </v:textbox>
              <v:fill type="solid"/>
              <w10:wrap type="none"/>
            </v:shape>
            <w10:wrap type="topAndBottom"/>
          </v:group>
        </w:pict>
      </w:r>
    </w:p>
    <w:p>
      <w:pPr>
        <w:spacing w:before="16"/>
        <w:ind w:left="3164" w:right="0" w:firstLine="0"/>
        <w:jc w:val="left"/>
        <w:rPr>
          <w:b/>
          <w:sz w:val="15"/>
        </w:rPr>
      </w:pPr>
      <w:r>
        <w:rPr>
          <w:b/>
          <w:sz w:val="15"/>
        </w:rPr>
        <w:t>数据来源：财通证券研究所</w:t>
      </w:r>
    </w:p>
    <w:p>
      <w:pPr>
        <w:pStyle w:val="BodyText"/>
        <w:rPr>
          <w:b/>
          <w:sz w:val="20"/>
        </w:rPr>
      </w:pPr>
    </w:p>
    <w:p>
      <w:pPr>
        <w:pStyle w:val="BodyText"/>
        <w:spacing w:before="10"/>
        <w:rPr>
          <w:b/>
          <w:sz w:val="29"/>
        </w:rPr>
      </w:pPr>
    </w:p>
    <w:p>
      <w:pPr>
        <w:pStyle w:val="BodyText"/>
        <w:spacing w:line="328" w:lineRule="auto" w:before="71"/>
        <w:ind w:left="3164" w:right="876"/>
        <w:jc w:val="both"/>
      </w:pPr>
      <w:r>
        <w:rPr>
          <w:spacing w:val="-4"/>
        </w:rPr>
        <w:t>现有数据无法进行格兰杰因果分析，原因是格兰杰因果检验要求两组序列同为平</w:t>
      </w:r>
      <w:r>
        <w:rPr>
          <w:spacing w:val="-8"/>
        </w:rPr>
        <w:t>稳序列，对现有数据进行二阶差分会同时减少样本量，且对医院数进行差分后无法与原本的实际意义联系起来，所以只证明到两变量存在均衡关系。</w:t>
      </w:r>
    </w:p>
    <w:p>
      <w:pPr>
        <w:spacing w:after="0" w:line="328" w:lineRule="auto"/>
        <w:jc w:val="both"/>
        <w:sectPr>
          <w:headerReference w:type="default" r:id="rId29"/>
          <w:footerReference w:type="default" r:id="rId30"/>
          <w:pgSz w:w="11910" w:h="16850"/>
          <w:pgMar w:header="796" w:footer="1296" w:top="1400" w:bottom="1480" w:left="260" w:right="300"/>
        </w:sectPr>
      </w:pPr>
    </w:p>
    <w:p>
      <w:pPr>
        <w:pStyle w:val="BodyText"/>
        <w:spacing w:before="11"/>
        <w:rPr>
          <w:sz w:val="27"/>
        </w:rPr>
      </w:pPr>
    </w:p>
    <w:p>
      <w:pPr>
        <w:pStyle w:val="Heading2"/>
        <w:tabs>
          <w:tab w:pos="10432" w:val="left" w:leader="none"/>
        </w:tabs>
        <w:spacing w:before="78"/>
      </w:pPr>
      <w:r>
        <w:rPr>
          <w:rFonts w:ascii="Times New Roman" w:eastAsia="Times New Roman"/>
          <w:color w:val="FFFFFF"/>
          <w:shd w:fill="A11D04" w:color="auto" w:val="clear"/>
        </w:rPr>
        <w:t>  </w:t>
      </w:r>
      <w:r>
        <w:rPr>
          <w:color w:val="FFFFFF"/>
          <w:shd w:fill="A11D04" w:color="auto" w:val="clear"/>
        </w:rPr>
        <w:t>图</w:t>
      </w:r>
      <w:r>
        <w:rPr>
          <w:color w:val="FFFFFF"/>
          <w:spacing w:val="-44"/>
          <w:shd w:fill="A11D04" w:color="auto" w:val="clear"/>
        </w:rPr>
        <w:t> </w:t>
      </w:r>
      <w:r>
        <w:rPr>
          <w:color w:val="FFFFFF"/>
          <w:spacing w:val="10"/>
          <w:shd w:fill="A11D04" w:color="auto" w:val="clear"/>
        </w:rPr>
        <w:t>20：</w:t>
      </w:r>
      <w:r>
        <w:rPr>
          <w:color w:val="FFFFFF"/>
          <w:shd w:fill="A11D04" w:color="auto" w:val="clear"/>
        </w:rPr>
        <w:t>无法进行格兰杰因果检验</w:t>
        <w:tab/>
      </w:r>
    </w:p>
    <w:p>
      <w:pPr>
        <w:pStyle w:val="BodyText"/>
        <w:rPr>
          <w:b/>
          <w:sz w:val="20"/>
        </w:rPr>
      </w:pPr>
    </w:p>
    <w:p>
      <w:pPr>
        <w:pStyle w:val="BodyText"/>
        <w:rPr>
          <w:b/>
          <w:sz w:val="28"/>
        </w:rPr>
      </w:pPr>
      <w:r>
        <w:rPr/>
        <w:drawing>
          <wp:anchor distT="0" distB="0" distL="0" distR="0" allowOverlap="1" layoutInCell="1" locked="0" behindDoc="0" simplePos="0" relativeHeight="72">
            <wp:simplePos x="0" y="0"/>
            <wp:positionH relativeFrom="page">
              <wp:posOffset>2343150</wp:posOffset>
            </wp:positionH>
            <wp:positionV relativeFrom="paragraph">
              <wp:posOffset>252952</wp:posOffset>
            </wp:positionV>
            <wp:extent cx="3810000" cy="1226820"/>
            <wp:effectExtent l="0" t="0" r="0" b="0"/>
            <wp:wrapTopAndBottom/>
            <wp:docPr id="37" name="image23.png"/>
            <wp:cNvGraphicFramePr>
              <a:graphicFrameLocks noChangeAspect="1"/>
            </wp:cNvGraphicFramePr>
            <a:graphic>
              <a:graphicData uri="http://schemas.openxmlformats.org/drawingml/2006/picture">
                <pic:pic>
                  <pic:nvPicPr>
                    <pic:cNvPr id="38" name="image23.png"/>
                    <pic:cNvPicPr/>
                  </pic:nvPicPr>
                  <pic:blipFill>
                    <a:blip r:embed="rId33" cstate="print"/>
                    <a:stretch>
                      <a:fillRect/>
                    </a:stretch>
                  </pic:blipFill>
                  <pic:spPr>
                    <a:xfrm>
                      <a:off x="0" y="0"/>
                      <a:ext cx="3810000" cy="1226820"/>
                    </a:xfrm>
                    <a:prstGeom prst="rect">
                      <a:avLst/>
                    </a:prstGeom>
                  </pic:spPr>
                </pic:pic>
              </a:graphicData>
            </a:graphic>
          </wp:anchor>
        </w:drawing>
      </w:r>
    </w:p>
    <w:p>
      <w:pPr>
        <w:pStyle w:val="BodyText"/>
        <w:rPr>
          <w:b/>
          <w:sz w:val="20"/>
        </w:rPr>
      </w:pPr>
    </w:p>
    <w:p>
      <w:pPr>
        <w:pStyle w:val="BodyText"/>
        <w:rPr>
          <w:b/>
          <w:sz w:val="20"/>
        </w:rPr>
      </w:pPr>
    </w:p>
    <w:p>
      <w:pPr>
        <w:pStyle w:val="BodyText"/>
        <w:spacing w:before="4"/>
        <w:rPr>
          <w:b/>
          <w:sz w:val="15"/>
        </w:rPr>
      </w:pPr>
      <w:r>
        <w:rPr/>
        <w:pict>
          <v:rect style="position:absolute;margin-left:165.949997pt;margin-top:11.795pt;width:368.7pt;height:.75pt;mso-position-horizontal-relative:page;mso-position-vertical-relative:paragraph;z-index:-15691264;mso-wrap-distance-left:0;mso-wrap-distance-right:0" filled="true" fillcolor="#a11d04" stroked="false">
            <v:fill type="solid"/>
            <w10:wrap type="topAndBottom"/>
          </v:rect>
        </w:pict>
      </w:r>
    </w:p>
    <w:p>
      <w:pPr>
        <w:spacing w:before="16"/>
        <w:ind w:left="3164" w:right="0" w:firstLine="0"/>
        <w:jc w:val="left"/>
        <w:rPr>
          <w:b/>
          <w:sz w:val="15"/>
        </w:rPr>
      </w:pPr>
      <w:r>
        <w:rPr>
          <w:b/>
          <w:sz w:val="15"/>
        </w:rPr>
        <w:t>数据来源：财通证券研究所</w:t>
      </w:r>
    </w:p>
    <w:p>
      <w:pPr>
        <w:pStyle w:val="BodyText"/>
        <w:rPr>
          <w:b/>
          <w:sz w:val="20"/>
        </w:rPr>
      </w:pPr>
    </w:p>
    <w:p>
      <w:pPr>
        <w:pStyle w:val="BodyText"/>
        <w:spacing w:before="8"/>
        <w:rPr>
          <w:b/>
          <w:sz w:val="28"/>
        </w:rPr>
      </w:pPr>
    </w:p>
    <w:p>
      <w:pPr>
        <w:pStyle w:val="Heading2"/>
        <w:spacing w:line="336" w:lineRule="auto" w:before="71"/>
        <w:ind w:left="3164" w:right="881"/>
      </w:pPr>
      <w:r>
        <w:rPr>
          <w:spacing w:val="-10"/>
        </w:rPr>
        <w:t>综上，我们认为获批医院数量对 </w:t>
      </w:r>
      <w:r>
        <w:rPr/>
        <w:t>Car-T</w:t>
      </w:r>
      <w:r>
        <w:rPr>
          <w:spacing w:val="-11"/>
        </w:rPr>
        <w:t> 销售额的影响是有意义的，但受限于数据</w:t>
      </w:r>
      <w:r>
        <w:rPr/>
        <w:t>量较少，两者间的未来一段时间内的关系仍有待观察。</w:t>
      </w:r>
    </w:p>
    <w:p>
      <w:pPr>
        <w:pStyle w:val="Heading2"/>
        <w:numPr>
          <w:ilvl w:val="1"/>
          <w:numId w:val="11"/>
        </w:numPr>
        <w:tabs>
          <w:tab w:pos="3645" w:val="left" w:leader="none"/>
        </w:tabs>
        <w:spacing w:line="240" w:lineRule="auto" w:before="102" w:after="0"/>
        <w:ind w:left="3645" w:right="0" w:hanging="481"/>
        <w:jc w:val="left"/>
      </w:pPr>
      <w:bookmarkStart w:name="_TOC_250010" w:id="14"/>
      <w:r>
        <w:rPr>
          <w:spacing w:val="-4"/>
        </w:rPr>
        <w:t>现有的美国医保政策影响医生选择 </w:t>
      </w:r>
      <w:r>
        <w:rPr>
          <w:spacing w:val="2"/>
        </w:rPr>
        <w:t>Car-T</w:t>
      </w:r>
      <w:bookmarkEnd w:id="14"/>
      <w:r>
        <w:rPr>
          <w:spacing w:val="-13"/>
        </w:rPr>
        <w:t> 的积极性</w:t>
      </w:r>
    </w:p>
    <w:p>
      <w:pPr>
        <w:pStyle w:val="BodyText"/>
        <w:spacing w:before="4"/>
        <w:rPr>
          <w:b/>
          <w:sz w:val="15"/>
        </w:rPr>
      </w:pPr>
    </w:p>
    <w:p>
      <w:pPr>
        <w:pStyle w:val="Heading2"/>
        <w:spacing w:line="328" w:lineRule="auto" w:before="0"/>
        <w:ind w:left="3164" w:right="773"/>
      </w:pPr>
      <w:r>
        <w:rPr>
          <w:spacing w:val="-10"/>
        </w:rPr>
        <w:t>我们发现在 </w:t>
      </w:r>
      <w:r>
        <w:rPr>
          <w:spacing w:val="2"/>
        </w:rPr>
        <w:t>Car-T</w:t>
      </w:r>
      <w:r>
        <w:rPr>
          <w:spacing w:val="-7"/>
        </w:rPr>
        <w:t> 的绝对疗效以及学术追求的驱动下，医生有较强的使用动力， </w:t>
      </w:r>
      <w:r>
        <w:rPr>
          <w:spacing w:val="-12"/>
        </w:rPr>
        <w:t>但各医院对于商业化 </w:t>
      </w:r>
      <w:r>
        <w:rPr/>
        <w:t>Car-T</w:t>
      </w:r>
      <w:r>
        <w:rPr>
          <w:spacing w:val="-13"/>
        </w:rPr>
        <w:t> 仍处于低水平使用阶段，主要受制于现有保险政策使</w:t>
      </w:r>
      <w:r>
        <w:rPr/>
        <w:t>得医院处于亏损状态和临床医生有相对更多的将患者转到临床的选择。</w:t>
      </w:r>
    </w:p>
    <w:p>
      <w:pPr>
        <w:pStyle w:val="BodyText"/>
        <w:spacing w:line="326" w:lineRule="auto" w:before="125"/>
        <w:ind w:left="3164" w:right="772"/>
      </w:pPr>
      <w:r>
        <w:rPr>
          <w:b/>
          <w:spacing w:val="-3"/>
        </w:rPr>
        <w:t>目前的市场还没有充分了解医保政策对于医院使用 </w:t>
      </w:r>
      <w:r>
        <w:rPr>
          <w:b/>
        </w:rPr>
        <w:t>Car-T</w:t>
      </w:r>
      <w:r>
        <w:rPr>
          <w:b/>
          <w:spacing w:val="-7"/>
        </w:rPr>
        <w:t> 积极性的影响</w:t>
      </w:r>
      <w:r>
        <w:rPr>
          <w:spacing w:val="-23"/>
        </w:rPr>
        <w:t>。一来是</w:t>
      </w:r>
      <w:r>
        <w:rPr>
          <w:spacing w:val="-26"/>
        </w:rPr>
        <w:t>由于美国医保尤其是 </w:t>
      </w:r>
      <w:r>
        <w:rPr/>
        <w:t>Medicare</w:t>
      </w:r>
      <w:r>
        <w:rPr>
          <w:spacing w:val="-31"/>
        </w:rPr>
        <w:t> 和 </w:t>
      </w:r>
      <w:r>
        <w:rPr/>
        <w:t>Medicaid</w:t>
      </w:r>
      <w:r>
        <w:rPr>
          <w:spacing w:val="-18"/>
        </w:rPr>
        <w:t> 的复杂性，二来是 </w:t>
      </w:r>
      <w:r>
        <w:rPr>
          <w:spacing w:val="-3"/>
        </w:rPr>
        <w:t>Car-T</w:t>
      </w:r>
      <w:r>
        <w:rPr>
          <w:spacing w:val="-9"/>
        </w:rPr>
        <w:t> 疗法尚处在</w:t>
      </w:r>
      <w:r>
        <w:rPr>
          <w:spacing w:val="-12"/>
        </w:rPr>
        <w:t>积极进入各国医保的阶段，市场更为关注增量市场的前景，但是了解美国医保对</w:t>
      </w:r>
      <w:r>
        <w:rPr>
          <w:spacing w:val="-21"/>
        </w:rPr>
        <w:t>于 </w:t>
      </w:r>
      <w:r>
        <w:rPr/>
        <w:t>Car-T</w:t>
      </w:r>
      <w:r>
        <w:rPr>
          <w:spacing w:val="-6"/>
        </w:rPr>
        <w:t> 推广的影响有助于我们正确推演未来产品放量的推动力与可能。目前， </w:t>
      </w:r>
      <w:r>
        <w:rPr>
          <w:spacing w:val="-9"/>
        </w:rPr>
        <w:t>美国的医保体系主要由三部分组成：一是针对退伍军人、现役军人、印第安人等</w:t>
      </w:r>
      <w:r>
        <w:rPr>
          <w:spacing w:val="-12"/>
        </w:rPr>
        <w:t>建立的公费医疗体制；二是政府举办的 </w:t>
      </w:r>
      <w:r>
        <w:rPr/>
        <w:t>Medicare</w:t>
      </w:r>
      <w:r>
        <w:rPr>
          <w:spacing w:val="-35"/>
        </w:rPr>
        <w:t> 和 </w:t>
      </w:r>
      <w:r>
        <w:rPr/>
        <w:t>Medicaid，另外也有州政府</w:t>
      </w:r>
      <w:r>
        <w:rPr>
          <w:spacing w:val="6"/>
        </w:rPr>
        <w:t>主办、面向儿童的儿童健保</w:t>
      </w:r>
      <w:r>
        <w:rPr>
          <w:spacing w:val="2"/>
        </w:rPr>
        <w:t>（State</w:t>
      </w:r>
      <w:r>
        <w:rPr/>
        <w:t> Child Health Insurance Program</w:t>
      </w:r>
      <w:r>
        <w:rPr>
          <w:spacing w:val="4"/>
        </w:rPr>
        <w:t>，简称SCHI</w:t>
      </w:r>
      <w:r>
        <w:rPr>
          <w:spacing w:val="1"/>
        </w:rPr>
        <w:t>P</w:t>
      </w:r>
      <w:r>
        <w:rPr>
          <w:spacing w:val="-105"/>
        </w:rPr>
        <w:t>）</w:t>
      </w:r>
      <w:r>
        <w:rPr>
          <w:spacing w:val="-2"/>
        </w:rPr>
        <w:t>；三是商业医保。在 </w:t>
      </w:r>
      <w:r>
        <w:rPr/>
        <w:t>Car-T</w:t>
      </w:r>
      <w:r>
        <w:rPr>
          <w:spacing w:val="-5"/>
        </w:rPr>
        <w:t> 报销上，由于商保也极大程度受到 </w:t>
      </w:r>
      <w:r>
        <w:rPr/>
        <w:t>Medicare</w:t>
      </w:r>
      <w:r>
        <w:rPr>
          <w:spacing w:val="-15"/>
        </w:rPr>
        <w:t>和 </w:t>
      </w:r>
      <w:r>
        <w:rPr/>
        <w:t>Medicaid</w:t>
      </w:r>
      <w:r>
        <w:rPr>
          <w:spacing w:val="-10"/>
        </w:rPr>
        <w:t> 影响</w:t>
      </w:r>
      <w:r>
        <w:rPr/>
        <w:t>，Medicaid</w:t>
      </w:r>
      <w:r>
        <w:rPr>
          <w:spacing w:val="-8"/>
        </w:rPr>
        <w:t> 目前基本不涵盖，我们将重点分析 </w:t>
      </w:r>
      <w:r>
        <w:rPr/>
        <w:t>Medicare</w:t>
      </w:r>
      <w:r>
        <w:rPr>
          <w:spacing w:val="-10"/>
        </w:rPr>
        <w:t> 的基本情况。</w:t>
      </w:r>
    </w:p>
    <w:p>
      <w:pPr>
        <w:spacing w:after="0" w:line="326" w:lineRule="auto"/>
        <w:sectPr>
          <w:pgSz w:w="11910" w:h="16850"/>
          <w:pgMar w:header="796" w:footer="1296" w:top="1400" w:bottom="1480" w:left="260" w:right="300"/>
        </w:sectPr>
      </w:pPr>
    </w:p>
    <w:p>
      <w:pPr>
        <w:pStyle w:val="Heading2"/>
        <w:tabs>
          <w:tab w:pos="10432" w:val="left" w:leader="none"/>
        </w:tabs>
        <w:spacing w:before="59"/>
      </w:pPr>
      <w:r>
        <w:rPr/>
        <w:pict>
          <v:group style="position:absolute;margin-left:165.949997pt;margin-top:18.619984pt;width:368.7pt;height:210.3pt;mso-position-horizontal-relative:page;mso-position-vertical-relative:paragraph;z-index:-15690752;mso-wrap-distance-left:0;mso-wrap-distance-right:0" coordorigin="3319,372" coordsize="7374,4206">
            <v:rect style="position:absolute;left:3319;top:4563;width:7374;height:15" filled="true" fillcolor="#a11d04" stroked="false">
              <v:fill type="solid"/>
            </v:rect>
            <v:shape style="position:absolute;left:5001;top:372;width:3983;height:4127" type="#_x0000_t75" stroked="false">
              <v:imagedata r:id="rId34" o:title=""/>
            </v:shape>
            <w10:wrap type="topAndBottom"/>
          </v:group>
        </w:pict>
      </w:r>
      <w:r>
        <w:rPr>
          <w:rFonts w:ascii="Times New Roman" w:eastAsia="Times New Roman"/>
          <w:color w:val="FFFFFF"/>
          <w:shd w:fill="A11D04" w:color="auto" w:val="clear"/>
        </w:rPr>
        <w:t>  </w:t>
      </w:r>
      <w:r>
        <w:rPr>
          <w:color w:val="FFFFFF"/>
          <w:w w:val="99"/>
          <w:shd w:fill="A11D04" w:color="auto" w:val="clear"/>
        </w:rPr>
        <w:t>图</w:t>
      </w:r>
      <w:r>
        <w:rPr>
          <w:color w:val="FFFFFF"/>
          <w:spacing w:val="-31"/>
          <w:shd w:fill="A11D04" w:color="auto" w:val="clear"/>
        </w:rPr>
        <w:t> </w:t>
      </w:r>
      <w:r>
        <w:rPr>
          <w:color w:val="FFFFFF"/>
          <w:spacing w:val="15"/>
          <w:w w:val="99"/>
          <w:shd w:fill="A11D04" w:color="auto" w:val="clear"/>
        </w:rPr>
        <w:t>21</w:t>
      </w:r>
      <w:r>
        <w:rPr>
          <w:color w:val="FFFFFF"/>
          <w:spacing w:val="-105"/>
          <w:w w:val="99"/>
          <w:shd w:fill="A11D04" w:color="auto" w:val="clear"/>
        </w:rPr>
        <w:t>：</w:t>
      </w:r>
      <w:r>
        <w:rPr>
          <w:color w:val="FFFFFF"/>
          <w:w w:val="99"/>
          <w:shd w:fill="A11D04" w:color="auto" w:val="clear"/>
        </w:rPr>
        <w:t>：美国</w:t>
      </w:r>
      <w:r>
        <w:rPr>
          <w:color w:val="FFFFFF"/>
          <w:spacing w:val="-61"/>
          <w:shd w:fill="A11D04" w:color="auto" w:val="clear"/>
        </w:rPr>
        <w:t> </w:t>
      </w:r>
      <w:r>
        <w:rPr>
          <w:color w:val="FFFFFF"/>
          <w:w w:val="99"/>
          <w:shd w:fill="A11D04" w:color="auto" w:val="clear"/>
        </w:rPr>
        <w:t>M</w:t>
      </w:r>
      <w:r>
        <w:rPr>
          <w:color w:val="FFFFFF"/>
          <w:spacing w:val="14"/>
          <w:w w:val="99"/>
          <w:shd w:fill="A11D04" w:color="auto" w:val="clear"/>
        </w:rPr>
        <w:t>e</w:t>
      </w:r>
      <w:r>
        <w:rPr>
          <w:color w:val="FFFFFF"/>
          <w:w w:val="99"/>
          <w:shd w:fill="A11D04" w:color="auto" w:val="clear"/>
        </w:rPr>
        <w:t>dicare</w:t>
      </w:r>
      <w:r>
        <w:rPr>
          <w:color w:val="FFFFFF"/>
          <w:spacing w:val="-60"/>
          <w:shd w:fill="A11D04" w:color="auto" w:val="clear"/>
        </w:rPr>
        <w:t> </w:t>
      </w:r>
      <w:r>
        <w:rPr>
          <w:color w:val="FFFFFF"/>
          <w:w w:val="99"/>
          <w:shd w:fill="A11D04" w:color="auto" w:val="clear"/>
        </w:rPr>
        <w:t>报</w:t>
      </w:r>
      <w:r>
        <w:rPr>
          <w:color w:val="FFFFFF"/>
          <w:spacing w:val="15"/>
          <w:w w:val="99"/>
          <w:shd w:fill="A11D04" w:color="auto" w:val="clear"/>
        </w:rPr>
        <w:t>销</w:t>
      </w:r>
      <w:r>
        <w:rPr>
          <w:color w:val="FFFFFF"/>
          <w:w w:val="99"/>
          <w:shd w:fill="A11D04" w:color="auto" w:val="clear"/>
        </w:rPr>
        <w:t>流程</w:t>
      </w:r>
      <w:r>
        <w:rPr>
          <w:color w:val="FFFFFF"/>
          <w:shd w:fill="A11D04" w:color="auto" w:val="clear"/>
        </w:rPr>
        <w:tab/>
      </w:r>
    </w:p>
    <w:p>
      <w:pPr>
        <w:spacing w:before="16"/>
        <w:ind w:left="3164" w:right="0" w:firstLine="0"/>
        <w:jc w:val="left"/>
        <w:rPr>
          <w:b/>
          <w:sz w:val="15"/>
        </w:rPr>
      </w:pPr>
      <w:r>
        <w:rPr>
          <w:b/>
          <w:sz w:val="15"/>
        </w:rPr>
        <w:t>数据来源：财通证券研究所</w:t>
      </w:r>
    </w:p>
    <w:p>
      <w:pPr>
        <w:pStyle w:val="BodyText"/>
        <w:spacing w:before="1"/>
        <w:rPr>
          <w:b/>
          <w:sz w:val="11"/>
        </w:rPr>
      </w:pPr>
    </w:p>
    <w:p>
      <w:pPr>
        <w:pStyle w:val="BodyText"/>
        <w:spacing w:line="336" w:lineRule="auto" w:before="71"/>
        <w:ind w:left="3164" w:right="866"/>
      </w:pPr>
      <w:r>
        <w:rPr/>
        <w:t>Medicare 包括四个部分，分别为住院保险</w:t>
      </w:r>
      <w:r>
        <w:rPr>
          <w:spacing w:val="-3"/>
        </w:rPr>
        <w:t>（</w:t>
      </w:r>
      <w:r>
        <w:rPr/>
        <w:t>PartA</w:t>
      </w:r>
      <w:r>
        <w:rPr>
          <w:spacing w:val="-105"/>
        </w:rPr>
        <w:t>）</w:t>
      </w:r>
      <w:r>
        <w:rPr>
          <w:spacing w:val="2"/>
        </w:rPr>
        <w:t>、门诊保险</w:t>
      </w:r>
      <w:r>
        <w:rPr>
          <w:spacing w:val="-1"/>
        </w:rPr>
        <w:t>（</w:t>
      </w:r>
      <w:r>
        <w:rPr/>
        <w:t>Part</w:t>
      </w:r>
      <w:r>
        <w:rPr>
          <w:spacing w:val="1"/>
        </w:rPr>
        <w:t>B</w:t>
      </w:r>
      <w:r>
        <w:rPr>
          <w:spacing w:val="-105"/>
        </w:rPr>
        <w:t>）</w:t>
      </w:r>
      <w:r>
        <w:rPr/>
        <w:t>、商业</w:t>
      </w:r>
      <w:r>
        <w:rPr>
          <w:spacing w:val="-3"/>
        </w:rPr>
        <w:t>医保公司提供的医保优势项目</w:t>
      </w:r>
      <w:r>
        <w:rPr>
          <w:spacing w:val="-5"/>
        </w:rPr>
        <w:t>（PartC）</w:t>
      </w:r>
      <w:r>
        <w:rPr>
          <w:spacing w:val="-15"/>
        </w:rPr>
        <w:t>以及 </w:t>
      </w:r>
      <w:r>
        <w:rPr/>
        <w:t>2006</w:t>
      </w:r>
      <w:r>
        <w:rPr>
          <w:spacing w:val="-36"/>
        </w:rPr>
        <w:t> 年 </w:t>
      </w:r>
      <w:r>
        <w:rPr/>
        <w:t>1</w:t>
      </w:r>
      <w:r>
        <w:rPr>
          <w:spacing w:val="-7"/>
        </w:rPr>
        <w:t> 月开始实施的处方药计划</w:t>
      </w:r>
    </w:p>
    <w:p>
      <w:pPr>
        <w:pStyle w:val="BodyText"/>
        <w:spacing w:line="251" w:lineRule="exact"/>
        <w:ind w:left="3164"/>
      </w:pPr>
      <w:r>
        <w:rPr/>
        <w:t>（PartD</w:t>
      </w:r>
      <w:r>
        <w:rPr>
          <w:spacing w:val="-105"/>
        </w:rPr>
        <w:t>）。</w:t>
      </w:r>
    </w:p>
    <w:p>
      <w:pPr>
        <w:pStyle w:val="BodyText"/>
        <w:spacing w:before="9"/>
        <w:rPr>
          <w:sz w:val="17"/>
        </w:rPr>
      </w:pPr>
    </w:p>
    <w:p>
      <w:pPr>
        <w:pStyle w:val="BodyText"/>
        <w:spacing w:line="326" w:lineRule="auto"/>
        <w:ind w:left="3164" w:right="866"/>
        <w:jc w:val="both"/>
      </w:pPr>
      <w:r>
        <w:rPr/>
        <w:t>CAR-T</w:t>
      </w:r>
      <w:r>
        <w:rPr>
          <w:spacing w:val="-10"/>
        </w:rPr>
        <w:t> 疗法的标价本身就很高，从 </w:t>
      </w:r>
      <w:r>
        <w:rPr>
          <w:spacing w:val="-4"/>
        </w:rPr>
        <w:t>37.3</w:t>
      </w:r>
      <w:r>
        <w:rPr>
          <w:spacing w:val="-16"/>
        </w:rPr>
        <w:t> 万美元到 </w:t>
      </w:r>
      <w:r>
        <w:rPr>
          <w:spacing w:val="-4"/>
        </w:rPr>
        <w:t>47.5</w:t>
      </w:r>
      <w:r>
        <w:rPr>
          <w:spacing w:val="-7"/>
        </w:rPr>
        <w:t> 万美元不等，但是医院在</w:t>
      </w:r>
      <w:r>
        <w:rPr>
          <w:spacing w:val="-10"/>
        </w:rPr>
        <w:t>提供治疗时会产生其他费用，而这部分住院费用会根据病人的情况</w:t>
      </w:r>
      <w:r>
        <w:rPr/>
        <w:t>（是否发生不</w:t>
      </w:r>
      <w:r>
        <w:rPr>
          <w:spacing w:val="20"/>
        </w:rPr>
        <w:t>良反应</w:t>
      </w:r>
      <w:r>
        <w:rPr>
          <w:spacing w:val="15"/>
        </w:rPr>
        <w:t>）</w:t>
      </w:r>
      <w:r>
        <w:rPr>
          <w:spacing w:val="16"/>
        </w:rPr>
        <w:t>从数万美元到数十万美元不等。目前，</w:t>
      </w:r>
      <w:r>
        <w:rPr>
          <w:spacing w:val="3"/>
        </w:rPr>
        <w:t>CMS</w:t>
      </w:r>
      <w:r>
        <w:rPr>
          <w:spacing w:val="16"/>
        </w:rPr>
        <w:t> 规定 </w:t>
      </w:r>
      <w:r>
        <w:rPr/>
        <w:t>Medicare</w:t>
      </w:r>
      <w:r>
        <w:rPr>
          <w:spacing w:val="17"/>
        </w:rPr>
        <w:t> 通过</w:t>
      </w:r>
      <w:r>
        <w:rPr/>
        <w:t>newtechnologyadd-onpayment（NTAP）</w:t>
      </w:r>
      <w:r>
        <w:rPr>
          <w:spacing w:val="-10"/>
        </w:rPr>
        <w:t>向医院偿还 </w:t>
      </w:r>
      <w:r>
        <w:rPr/>
        <w:t>CAR-T</w:t>
      </w:r>
      <w:r>
        <w:rPr>
          <w:spacing w:val="-10"/>
        </w:rPr>
        <w:t> 疗法的费用，用其中住</w:t>
      </w:r>
      <w:r>
        <w:rPr>
          <w:spacing w:val="-12"/>
        </w:rPr>
        <w:t>院与门诊治疗的报销又有所不同,并且 </w:t>
      </w:r>
      <w:r>
        <w:rPr/>
        <w:t>2019</w:t>
      </w:r>
      <w:r>
        <w:rPr>
          <w:spacing w:val="-31"/>
        </w:rPr>
        <w:t> 年 </w:t>
      </w:r>
      <w:r>
        <w:rPr/>
        <w:t>10</w:t>
      </w:r>
      <w:r>
        <w:rPr>
          <w:spacing w:val="-24"/>
        </w:rPr>
        <w:t> 月起 </w:t>
      </w:r>
      <w:r>
        <w:rPr/>
        <w:t>CMS</w:t>
      </w:r>
      <w:r>
        <w:rPr>
          <w:spacing w:val="-24"/>
        </w:rPr>
        <w:t> 已将 </w:t>
      </w:r>
      <w:r>
        <w:rPr/>
        <w:t>B</w:t>
      </w:r>
      <w:r>
        <w:rPr>
          <w:spacing w:val="-8"/>
        </w:rPr>
        <w:t> 部分的报销级</w:t>
      </w:r>
      <w:r>
        <w:rPr>
          <w:spacing w:val="-16"/>
        </w:rPr>
        <w:t>别确定为 </w:t>
      </w:r>
      <w:r>
        <w:rPr/>
        <w:t>Car-T</w:t>
      </w:r>
      <w:r>
        <w:rPr>
          <w:spacing w:val="-9"/>
        </w:rPr>
        <w:t> 的批发成本</w:t>
      </w:r>
      <w:r>
        <w:rPr/>
        <w:t>+6％。</w:t>
      </w:r>
    </w:p>
    <w:p>
      <w:pPr>
        <w:pStyle w:val="BodyText"/>
        <w:spacing w:line="326" w:lineRule="auto" w:before="131"/>
        <w:ind w:left="3705" w:right="869"/>
        <w:jc w:val="both"/>
      </w:pPr>
      <w:r>
        <w:rPr>
          <w:b/>
          <w:spacing w:val="-9"/>
        </w:rPr>
        <w:t>在住院情况下，</w:t>
      </w:r>
      <w:r>
        <w:rPr>
          <w:spacing w:val="-5"/>
        </w:rPr>
        <w:t>基本上，</w:t>
      </w:r>
      <w:r>
        <w:rPr>
          <w:spacing w:val="-19"/>
        </w:rPr>
        <w:t>CART</w:t>
      </w:r>
      <w:r>
        <w:rPr>
          <w:spacing w:val="-11"/>
        </w:rPr>
        <w:t> 细胞疗法的基本报销为 </w:t>
      </w:r>
      <w:r>
        <w:rPr/>
        <w:t>24.25</w:t>
      </w:r>
      <w:r>
        <w:rPr>
          <w:spacing w:val="-19"/>
        </w:rPr>
        <w:t> 万美元。然后， </w:t>
      </w:r>
      <w:r>
        <w:rPr>
          <w:spacing w:val="-22"/>
        </w:rPr>
        <w:t>医院可以申请所谓的 </w:t>
      </w:r>
      <w:r>
        <w:rPr/>
        <w:t>outlier</w:t>
      </w:r>
      <w:r>
        <w:rPr>
          <w:spacing w:val="-58"/>
        </w:rPr>
        <w:t> </w:t>
      </w:r>
      <w:r>
        <w:rPr>
          <w:spacing w:val="-10"/>
        </w:rPr>
        <w:t>payment</w:t>
      </w:r>
      <w:r>
        <w:rPr>
          <w:spacing w:val="-3"/>
        </w:rPr>
        <w:t>，该笔费用可以偿还部分剩余费用， </w:t>
      </w:r>
      <w:r>
        <w:rPr>
          <w:spacing w:val="-7"/>
        </w:rPr>
        <w:t>但少于剩余费用的 </w:t>
      </w:r>
      <w:r>
        <w:rPr/>
        <w:t>80％</w:t>
      </w:r>
      <w:r>
        <w:rPr>
          <w:spacing w:val="-3"/>
        </w:rPr>
        <w:t>。在这种系统下，医院每次管理 </w:t>
      </w:r>
      <w:r>
        <w:rPr/>
        <w:t>CART</w:t>
      </w:r>
      <w:r>
        <w:rPr>
          <w:spacing w:val="-6"/>
        </w:rPr>
        <w:t> 细胞都会损失数万到数十万美元，具体损失将依具体住院费用而定。</w:t>
      </w:r>
    </w:p>
    <w:p>
      <w:pPr>
        <w:pStyle w:val="BodyText"/>
        <w:spacing w:line="326" w:lineRule="auto" w:before="128"/>
        <w:ind w:left="3705" w:right="865"/>
        <w:jc w:val="both"/>
      </w:pPr>
      <w:r>
        <w:rPr>
          <w:b/>
          <w:spacing w:val="-12"/>
          <w:w w:val="99"/>
        </w:rPr>
        <w:t>在门诊的情况下，</w:t>
      </w:r>
      <w:r>
        <w:rPr>
          <w:spacing w:val="5"/>
        </w:rPr>
        <w:t>医院将获得</w:t>
      </w:r>
      <w:r>
        <w:rPr/>
        <w:t>WAC</w:t>
      </w:r>
      <w:r>
        <w:rPr>
          <w:spacing w:val="-16"/>
        </w:rPr>
        <w:t> 加上</w:t>
      </w:r>
      <w:r>
        <w:rPr/>
        <w:t>6</w:t>
      </w:r>
      <w:r>
        <w:rPr>
          <w:spacing w:val="-105"/>
        </w:rPr>
        <w:t>％</w:t>
      </w:r>
      <w:r>
        <w:rPr/>
        <w:t>（</w:t>
      </w:r>
      <w:r>
        <w:rPr>
          <w:spacing w:val="30"/>
        </w:rPr>
        <w:t>如</w:t>
      </w:r>
      <w:r>
        <w:rPr/>
        <w:t>Yescarta</w:t>
      </w:r>
      <w:r>
        <w:rPr>
          <w:spacing w:val="-22"/>
        </w:rPr>
        <w:t> 为</w:t>
      </w:r>
      <w:r>
        <w:rPr/>
        <w:t>37.3</w:t>
      </w:r>
      <w:r>
        <w:rPr>
          <w:spacing w:val="-38"/>
        </w:rPr>
        <w:t> 万</w:t>
      </w:r>
      <w:r>
        <w:rPr/>
        <w:t>+2.23</w:t>
      </w:r>
      <w:r>
        <w:rPr>
          <w:spacing w:val="1"/>
        </w:rPr>
        <w:t>8</w:t>
      </w:r>
      <w:r>
        <w:rPr>
          <w:spacing w:val="-105"/>
        </w:rPr>
        <w:t>）。</w:t>
      </w:r>
      <w:r>
        <w:rPr>
          <w:spacing w:val="-6"/>
        </w:rPr>
        <w:t>如果患者在注入 </w:t>
      </w:r>
      <w:r>
        <w:rPr/>
        <w:t>CART</w:t>
      </w:r>
      <w:r>
        <w:rPr>
          <w:spacing w:val="-15"/>
        </w:rPr>
        <w:t> 细胞疗法后三天内住院，则 </w:t>
      </w:r>
      <w:r>
        <w:rPr>
          <w:spacing w:val="-5"/>
        </w:rPr>
        <w:t>CMS</w:t>
      </w:r>
      <w:r>
        <w:rPr>
          <w:spacing w:val="-7"/>
        </w:rPr>
        <w:t> 的三天规则会将报销</w:t>
      </w:r>
      <w:r>
        <w:rPr>
          <w:spacing w:val="-9"/>
        </w:rPr>
        <w:t>费率转换为住院费率。不受 </w:t>
      </w:r>
      <w:r>
        <w:rPr/>
        <w:t>DRG</w:t>
      </w:r>
      <w:r>
        <w:rPr>
          <w:spacing w:val="-6"/>
        </w:rPr>
        <w:t> 管理的的癌症中心将根据不同的方法获得报销，并且适用不同的指南。</w:t>
      </w:r>
    </w:p>
    <w:p>
      <w:pPr>
        <w:pStyle w:val="BodyText"/>
        <w:spacing w:before="4"/>
        <w:rPr>
          <w:sz w:val="19"/>
        </w:rPr>
      </w:pPr>
    </w:p>
    <w:tbl>
      <w:tblPr>
        <w:tblW w:w="0" w:type="auto"/>
        <w:jc w:val="left"/>
        <w:tblInd w:w="20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32"/>
        <w:gridCol w:w="6773"/>
      </w:tblGrid>
      <w:tr>
        <w:trPr>
          <w:trHeight w:val="330" w:hRule="atLeast"/>
        </w:trPr>
        <w:tc>
          <w:tcPr>
            <w:tcW w:w="8305" w:type="dxa"/>
            <w:gridSpan w:val="2"/>
            <w:tcBorders>
              <w:top w:val="nil"/>
              <w:left w:val="nil"/>
              <w:bottom w:val="nil"/>
              <w:right w:val="nil"/>
            </w:tcBorders>
            <w:shd w:val="clear" w:color="auto" w:fill="A11D04"/>
          </w:tcPr>
          <w:p>
            <w:pPr>
              <w:pStyle w:val="TableParagraph"/>
              <w:spacing w:before="30"/>
              <w:ind w:left="120"/>
              <w:rPr>
                <w:b/>
                <w:sz w:val="21"/>
              </w:rPr>
            </w:pPr>
            <w:r>
              <w:rPr>
                <w:b/>
                <w:color w:val="FFFFFF"/>
                <w:sz w:val="21"/>
              </w:rPr>
              <w:t>表 9：Medicare PartA、B 具体保费、报销情况</w:t>
            </w:r>
          </w:p>
        </w:tc>
      </w:tr>
      <w:tr>
        <w:trPr>
          <w:trHeight w:val="345" w:hRule="atLeast"/>
        </w:trPr>
        <w:tc>
          <w:tcPr>
            <w:tcW w:w="8305" w:type="dxa"/>
            <w:gridSpan w:val="2"/>
            <w:tcBorders>
              <w:top w:val="nil"/>
              <w:left w:val="nil"/>
              <w:right w:val="nil"/>
            </w:tcBorders>
            <w:shd w:val="clear" w:color="auto" w:fill="C00000"/>
          </w:tcPr>
          <w:p>
            <w:pPr>
              <w:pStyle w:val="TableParagraph"/>
              <w:tabs>
                <w:tab w:pos="1651" w:val="left" w:leader="none"/>
              </w:tabs>
              <w:spacing w:before="35"/>
              <w:ind w:left="120"/>
              <w:rPr>
                <w:sz w:val="22"/>
              </w:rPr>
            </w:pPr>
            <w:r>
              <w:rPr>
                <w:color w:val="FFFFFF"/>
                <w:spacing w:val="15"/>
                <w:sz w:val="22"/>
              </w:rPr>
              <w:t>项</w:t>
            </w:r>
            <w:r>
              <w:rPr>
                <w:color w:val="FFFFFF"/>
                <w:sz w:val="22"/>
              </w:rPr>
              <w:t>目</w:t>
              <w:tab/>
            </w:r>
            <w:r>
              <w:rPr>
                <w:color w:val="FFFFFF"/>
                <w:spacing w:val="15"/>
                <w:sz w:val="22"/>
              </w:rPr>
              <w:t>注释</w:t>
            </w:r>
          </w:p>
        </w:tc>
      </w:tr>
      <w:tr>
        <w:trPr>
          <w:trHeight w:val="1126" w:hRule="atLeast"/>
        </w:trPr>
        <w:tc>
          <w:tcPr>
            <w:tcW w:w="1532" w:type="dxa"/>
            <w:tcBorders>
              <w:right w:val="single" w:sz="8" w:space="0" w:color="000000"/>
            </w:tcBorders>
          </w:tcPr>
          <w:p>
            <w:pPr>
              <w:pStyle w:val="TableParagraph"/>
              <w:ind w:left="0"/>
              <w:rPr>
                <w:sz w:val="22"/>
              </w:rPr>
            </w:pPr>
          </w:p>
          <w:p>
            <w:pPr>
              <w:pStyle w:val="TableParagraph"/>
              <w:spacing w:before="143"/>
              <w:rPr>
                <w:sz w:val="22"/>
              </w:rPr>
            </w:pPr>
            <w:r>
              <w:rPr>
                <w:color w:val="333333"/>
                <w:sz w:val="22"/>
              </w:rPr>
              <w:t>PartA 保费</w:t>
            </w:r>
          </w:p>
        </w:tc>
        <w:tc>
          <w:tcPr>
            <w:tcW w:w="6773" w:type="dxa"/>
            <w:tcBorders>
              <w:left w:val="single" w:sz="8" w:space="0" w:color="000000"/>
            </w:tcBorders>
          </w:tcPr>
          <w:p>
            <w:pPr>
              <w:pStyle w:val="TableParagraph"/>
              <w:spacing w:line="242" w:lineRule="auto" w:before="5"/>
              <w:ind w:left="110" w:right="50"/>
              <w:jc w:val="both"/>
              <w:rPr>
                <w:sz w:val="22"/>
              </w:rPr>
            </w:pPr>
            <w:r>
              <w:rPr>
                <w:spacing w:val="-6"/>
                <w:w w:val="102"/>
                <w:sz w:val="22"/>
              </w:rPr>
              <w:t>大多数人不用为</w:t>
            </w:r>
            <w:r>
              <w:rPr>
                <w:spacing w:val="-50"/>
                <w:sz w:val="22"/>
              </w:rPr>
              <w:t> </w:t>
            </w:r>
            <w:r>
              <w:rPr>
                <w:color w:val="333333"/>
                <w:spacing w:val="-8"/>
                <w:w w:val="102"/>
                <w:sz w:val="22"/>
              </w:rPr>
              <w:t>Pa</w:t>
            </w:r>
            <w:r>
              <w:rPr>
                <w:color w:val="333333"/>
                <w:spacing w:val="7"/>
                <w:w w:val="102"/>
                <w:sz w:val="22"/>
              </w:rPr>
              <w:t>r</w:t>
            </w:r>
            <w:r>
              <w:rPr>
                <w:color w:val="333333"/>
                <w:spacing w:val="-8"/>
                <w:w w:val="102"/>
                <w:sz w:val="22"/>
              </w:rPr>
              <w:t>t</w:t>
            </w:r>
            <w:r>
              <w:rPr>
                <w:color w:val="333333"/>
                <w:w w:val="102"/>
                <w:sz w:val="22"/>
              </w:rPr>
              <w:t>A</w:t>
            </w:r>
            <w:r>
              <w:rPr>
                <w:color w:val="333333"/>
                <w:spacing w:val="-57"/>
                <w:sz w:val="22"/>
              </w:rPr>
              <w:t> </w:t>
            </w:r>
            <w:r>
              <w:rPr>
                <w:spacing w:val="-19"/>
                <w:w w:val="102"/>
                <w:sz w:val="22"/>
              </w:rPr>
              <w:t>每月支付保费</w:t>
            </w:r>
            <w:r>
              <w:rPr>
                <w:w w:val="102"/>
                <w:sz w:val="22"/>
              </w:rPr>
              <w:t>（</w:t>
            </w:r>
            <w:r>
              <w:rPr>
                <w:spacing w:val="-7"/>
                <w:w w:val="102"/>
                <w:sz w:val="22"/>
              </w:rPr>
              <w:t>有时称为“无保费</w:t>
            </w:r>
            <w:r>
              <w:rPr>
                <w:spacing w:val="-51"/>
                <w:sz w:val="22"/>
              </w:rPr>
              <w:t> </w:t>
            </w:r>
            <w:r>
              <w:rPr>
                <w:w w:val="102"/>
                <w:sz w:val="22"/>
              </w:rPr>
              <w:t>A</w:t>
            </w:r>
            <w:r>
              <w:rPr>
                <w:spacing w:val="-58"/>
                <w:sz w:val="22"/>
              </w:rPr>
              <w:t> </w:t>
            </w:r>
            <w:r>
              <w:rPr>
                <w:spacing w:val="-6"/>
                <w:w w:val="102"/>
                <w:sz w:val="22"/>
              </w:rPr>
              <w:t>部分”</w:t>
            </w:r>
            <w:r>
              <w:rPr>
                <w:spacing w:val="-90"/>
                <w:w w:val="102"/>
                <w:sz w:val="22"/>
              </w:rPr>
              <w:t>）。</w:t>
            </w:r>
            <w:r>
              <w:rPr>
                <w:spacing w:val="-6"/>
                <w:sz w:val="22"/>
              </w:rPr>
              <w:t>如果购买 </w:t>
            </w:r>
            <w:r>
              <w:rPr>
                <w:sz w:val="22"/>
              </w:rPr>
              <w:t>A</w:t>
            </w:r>
            <w:r>
              <w:rPr>
                <w:spacing w:val="-12"/>
                <w:sz w:val="22"/>
              </w:rPr>
              <w:t> 部分，则将在 </w:t>
            </w:r>
            <w:r>
              <w:rPr>
                <w:spacing w:val="-3"/>
                <w:sz w:val="22"/>
              </w:rPr>
              <w:t>2020</w:t>
            </w:r>
            <w:r>
              <w:rPr>
                <w:spacing w:val="-10"/>
                <w:sz w:val="22"/>
              </w:rPr>
              <w:t> 年每月最多支付 </w:t>
            </w:r>
            <w:r>
              <w:rPr>
                <w:spacing w:val="-6"/>
                <w:sz w:val="22"/>
              </w:rPr>
              <w:t>458</w:t>
            </w:r>
            <w:r>
              <w:rPr>
                <w:spacing w:val="-8"/>
                <w:sz w:val="22"/>
              </w:rPr>
              <w:t> 美元。如果缴纳</w:t>
            </w:r>
            <w:r>
              <w:rPr>
                <w:spacing w:val="-9"/>
                <w:sz w:val="22"/>
              </w:rPr>
              <w:t>的医疗保险税少于 </w:t>
            </w:r>
            <w:r>
              <w:rPr>
                <w:spacing w:val="-4"/>
                <w:sz w:val="22"/>
              </w:rPr>
              <w:t>30</w:t>
            </w:r>
            <w:r>
              <w:rPr>
                <w:spacing w:val="-10"/>
                <w:sz w:val="22"/>
              </w:rPr>
              <w:t> 个季度，则标准 </w:t>
            </w:r>
            <w:r>
              <w:rPr>
                <w:sz w:val="22"/>
              </w:rPr>
              <w:t>A</w:t>
            </w:r>
            <w:r>
              <w:rPr>
                <w:spacing w:val="-13"/>
                <w:sz w:val="22"/>
              </w:rPr>
              <w:t> 部分保费为 </w:t>
            </w:r>
            <w:r>
              <w:rPr>
                <w:sz w:val="22"/>
              </w:rPr>
              <w:t>458</w:t>
            </w:r>
            <w:r>
              <w:rPr>
                <w:spacing w:val="-10"/>
                <w:sz w:val="22"/>
              </w:rPr>
              <w:t> 美元。如果</w:t>
            </w:r>
          </w:p>
          <w:p>
            <w:pPr>
              <w:pStyle w:val="TableParagraph"/>
              <w:spacing w:line="245" w:lineRule="exact" w:before="2"/>
              <w:ind w:left="110"/>
              <w:jc w:val="both"/>
              <w:rPr>
                <w:sz w:val="22"/>
              </w:rPr>
            </w:pPr>
            <w:r>
              <w:rPr>
                <w:spacing w:val="-16"/>
                <w:sz w:val="22"/>
              </w:rPr>
              <w:t>在 </w:t>
            </w:r>
            <w:r>
              <w:rPr>
                <w:sz w:val="22"/>
              </w:rPr>
              <w:t>30-39</w:t>
            </w:r>
            <w:r>
              <w:rPr>
                <w:spacing w:val="-11"/>
                <w:sz w:val="22"/>
              </w:rPr>
              <w:t> 个季度内缴纳了 </w:t>
            </w:r>
            <w:r>
              <w:rPr>
                <w:spacing w:val="-4"/>
                <w:sz w:val="22"/>
              </w:rPr>
              <w:t>Medicare</w:t>
            </w:r>
            <w:r>
              <w:rPr>
                <w:spacing w:val="-13"/>
                <w:sz w:val="22"/>
              </w:rPr>
              <w:t> 税，则标准 </w:t>
            </w:r>
            <w:r>
              <w:rPr>
                <w:sz w:val="22"/>
              </w:rPr>
              <w:t>A</w:t>
            </w:r>
            <w:r>
              <w:rPr>
                <w:spacing w:val="-14"/>
                <w:sz w:val="22"/>
              </w:rPr>
              <w:t> 部分保费为 </w:t>
            </w:r>
            <w:r>
              <w:rPr>
                <w:spacing w:val="-6"/>
                <w:sz w:val="22"/>
              </w:rPr>
              <w:t>252</w:t>
            </w:r>
            <w:r>
              <w:rPr>
                <w:spacing w:val="-20"/>
                <w:sz w:val="22"/>
              </w:rPr>
              <w:t> 美</w:t>
            </w:r>
          </w:p>
        </w:tc>
      </w:tr>
    </w:tbl>
    <w:p>
      <w:pPr>
        <w:spacing w:after="0" w:line="245" w:lineRule="exact"/>
        <w:jc w:val="both"/>
        <w:rPr>
          <w:sz w:val="22"/>
        </w:rPr>
        <w:sectPr>
          <w:pgSz w:w="11910" w:h="16850"/>
          <w:pgMar w:header="796" w:footer="1296" w:top="1400" w:bottom="1480" w:left="260" w:right="300"/>
        </w:sectPr>
      </w:pPr>
    </w:p>
    <w:p>
      <w:pPr>
        <w:pStyle w:val="BodyText"/>
        <w:spacing w:before="3"/>
        <w:rPr>
          <w:sz w:val="2"/>
        </w:rPr>
      </w:pPr>
    </w:p>
    <w:tbl>
      <w:tblPr>
        <w:tblW w:w="0" w:type="auto"/>
        <w:jc w:val="left"/>
        <w:tblInd w:w="20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32"/>
        <w:gridCol w:w="6773"/>
      </w:tblGrid>
      <w:tr>
        <w:trPr>
          <w:trHeight w:val="330" w:hRule="atLeast"/>
        </w:trPr>
        <w:tc>
          <w:tcPr>
            <w:tcW w:w="1532" w:type="dxa"/>
            <w:tcBorders>
              <w:right w:val="single" w:sz="8" w:space="0" w:color="000000"/>
            </w:tcBorders>
          </w:tcPr>
          <w:p>
            <w:pPr>
              <w:pStyle w:val="TableParagraph"/>
              <w:ind w:left="0"/>
              <w:rPr>
                <w:rFonts w:ascii="Times New Roman"/>
                <w:sz w:val="20"/>
              </w:rPr>
            </w:pPr>
          </w:p>
        </w:tc>
        <w:tc>
          <w:tcPr>
            <w:tcW w:w="6773" w:type="dxa"/>
            <w:tcBorders>
              <w:left w:val="single" w:sz="8" w:space="0" w:color="000000"/>
            </w:tcBorders>
          </w:tcPr>
          <w:p>
            <w:pPr>
              <w:pStyle w:val="TableParagraph"/>
              <w:spacing w:before="5"/>
              <w:ind w:left="110"/>
              <w:rPr>
                <w:sz w:val="22"/>
              </w:rPr>
            </w:pPr>
            <w:r>
              <w:rPr>
                <w:sz w:val="22"/>
              </w:rPr>
              <w:t>元。</w:t>
            </w:r>
          </w:p>
        </w:tc>
      </w:tr>
      <w:tr>
        <w:trPr>
          <w:trHeight w:val="345" w:hRule="atLeast"/>
        </w:trPr>
        <w:tc>
          <w:tcPr>
            <w:tcW w:w="1532" w:type="dxa"/>
            <w:vMerge w:val="restart"/>
            <w:tcBorders>
              <w:right w:val="single" w:sz="8" w:space="0" w:color="000000"/>
            </w:tcBorders>
          </w:tcPr>
          <w:p>
            <w:pPr>
              <w:pStyle w:val="TableParagraph"/>
              <w:ind w:left="0"/>
              <w:rPr>
                <w:sz w:val="22"/>
              </w:rPr>
            </w:pPr>
          </w:p>
          <w:p>
            <w:pPr>
              <w:pStyle w:val="TableParagraph"/>
              <w:spacing w:before="3"/>
              <w:ind w:left="0"/>
              <w:rPr>
                <w:sz w:val="18"/>
              </w:rPr>
            </w:pPr>
          </w:p>
          <w:p>
            <w:pPr>
              <w:pStyle w:val="TableParagraph"/>
              <w:spacing w:line="242" w:lineRule="auto"/>
              <w:ind w:right="77"/>
              <w:jc w:val="both"/>
              <w:rPr>
                <w:sz w:val="22"/>
              </w:rPr>
            </w:pPr>
            <w:r>
              <w:rPr>
                <w:color w:val="333333"/>
                <w:sz w:val="22"/>
              </w:rPr>
              <w:t>PartA 医院住院病 人免赔额和 共同保险</w:t>
            </w:r>
          </w:p>
        </w:tc>
        <w:tc>
          <w:tcPr>
            <w:tcW w:w="6773" w:type="dxa"/>
            <w:tcBorders>
              <w:left w:val="single" w:sz="8" w:space="0" w:color="000000"/>
            </w:tcBorders>
          </w:tcPr>
          <w:p>
            <w:pPr>
              <w:pStyle w:val="TableParagraph"/>
              <w:spacing w:before="35"/>
              <w:ind w:left="110"/>
              <w:rPr>
                <w:sz w:val="22"/>
              </w:rPr>
            </w:pPr>
            <w:r>
              <w:rPr>
                <w:color w:val="333333"/>
                <w:sz w:val="22"/>
              </w:rPr>
              <w:t>自付</w:t>
            </w:r>
          </w:p>
        </w:tc>
      </w:tr>
      <w:tr>
        <w:trPr>
          <w:trHeight w:val="330" w:hRule="atLeast"/>
        </w:trPr>
        <w:tc>
          <w:tcPr>
            <w:tcW w:w="1532" w:type="dxa"/>
            <w:vMerge/>
            <w:tcBorders>
              <w:top w:val="nil"/>
              <w:right w:val="single" w:sz="8" w:space="0" w:color="000000"/>
            </w:tcBorders>
          </w:tcPr>
          <w:p>
            <w:pPr>
              <w:rPr>
                <w:sz w:val="2"/>
                <w:szCs w:val="2"/>
              </w:rPr>
            </w:pPr>
          </w:p>
        </w:tc>
        <w:tc>
          <w:tcPr>
            <w:tcW w:w="6773" w:type="dxa"/>
            <w:tcBorders>
              <w:left w:val="single" w:sz="8" w:space="0" w:color="000000"/>
            </w:tcBorders>
          </w:tcPr>
          <w:p>
            <w:pPr>
              <w:pStyle w:val="TableParagraph"/>
              <w:spacing w:before="20"/>
              <w:ind w:left="335"/>
              <w:rPr>
                <w:sz w:val="22"/>
              </w:rPr>
            </w:pPr>
            <w:r>
              <w:rPr>
                <w:color w:val="333333"/>
                <w:sz w:val="22"/>
              </w:rPr>
              <w:t>每次理赔自付 1408 美元</w:t>
            </w:r>
          </w:p>
        </w:tc>
      </w:tr>
      <w:tr>
        <w:trPr>
          <w:trHeight w:val="330" w:hRule="atLeast"/>
        </w:trPr>
        <w:tc>
          <w:tcPr>
            <w:tcW w:w="1532" w:type="dxa"/>
            <w:vMerge/>
            <w:tcBorders>
              <w:top w:val="nil"/>
              <w:right w:val="single" w:sz="8" w:space="0" w:color="000000"/>
            </w:tcBorders>
          </w:tcPr>
          <w:p>
            <w:pPr>
              <w:rPr>
                <w:sz w:val="2"/>
                <w:szCs w:val="2"/>
              </w:rPr>
            </w:pPr>
          </w:p>
        </w:tc>
        <w:tc>
          <w:tcPr>
            <w:tcW w:w="6773" w:type="dxa"/>
            <w:tcBorders>
              <w:left w:val="single" w:sz="8" w:space="0" w:color="000000"/>
            </w:tcBorders>
          </w:tcPr>
          <w:p>
            <w:pPr>
              <w:pStyle w:val="TableParagraph"/>
              <w:spacing w:before="20"/>
              <w:ind w:left="335"/>
              <w:rPr>
                <w:sz w:val="22"/>
              </w:rPr>
            </w:pPr>
            <w:r>
              <w:rPr>
                <w:color w:val="333333"/>
                <w:sz w:val="22"/>
              </w:rPr>
              <w:t>第 1 至 60 天：共同保险赔付 0 美元</w:t>
            </w:r>
          </w:p>
        </w:tc>
      </w:tr>
      <w:tr>
        <w:trPr>
          <w:trHeight w:val="345" w:hRule="atLeast"/>
        </w:trPr>
        <w:tc>
          <w:tcPr>
            <w:tcW w:w="1532" w:type="dxa"/>
            <w:vMerge/>
            <w:tcBorders>
              <w:top w:val="nil"/>
              <w:right w:val="single" w:sz="8" w:space="0" w:color="000000"/>
            </w:tcBorders>
          </w:tcPr>
          <w:p>
            <w:pPr>
              <w:rPr>
                <w:sz w:val="2"/>
                <w:szCs w:val="2"/>
              </w:rPr>
            </w:pPr>
          </w:p>
        </w:tc>
        <w:tc>
          <w:tcPr>
            <w:tcW w:w="6773" w:type="dxa"/>
            <w:tcBorders>
              <w:left w:val="single" w:sz="8" w:space="0" w:color="000000"/>
            </w:tcBorders>
          </w:tcPr>
          <w:p>
            <w:pPr>
              <w:pStyle w:val="TableParagraph"/>
              <w:spacing w:before="35"/>
              <w:ind w:left="335"/>
              <w:rPr>
                <w:sz w:val="22"/>
              </w:rPr>
            </w:pPr>
            <w:r>
              <w:rPr>
                <w:color w:val="333333"/>
                <w:sz w:val="22"/>
              </w:rPr>
              <w:t>第 61-90 天：共同保险每天赔付 352 美元</w:t>
            </w:r>
          </w:p>
        </w:tc>
      </w:tr>
      <w:tr>
        <w:trPr>
          <w:trHeight w:val="1036" w:hRule="atLeast"/>
        </w:trPr>
        <w:tc>
          <w:tcPr>
            <w:tcW w:w="1532" w:type="dxa"/>
            <w:vMerge/>
            <w:tcBorders>
              <w:top w:val="nil"/>
              <w:right w:val="single" w:sz="8" w:space="0" w:color="000000"/>
            </w:tcBorders>
          </w:tcPr>
          <w:p>
            <w:pPr>
              <w:rPr>
                <w:sz w:val="2"/>
                <w:szCs w:val="2"/>
              </w:rPr>
            </w:pPr>
          </w:p>
        </w:tc>
        <w:tc>
          <w:tcPr>
            <w:tcW w:w="6773" w:type="dxa"/>
            <w:tcBorders>
              <w:left w:val="single" w:sz="8" w:space="0" w:color="000000"/>
            </w:tcBorders>
          </w:tcPr>
          <w:p>
            <w:pPr>
              <w:pStyle w:val="TableParagraph"/>
              <w:spacing w:before="12"/>
              <w:ind w:left="0"/>
              <w:rPr>
                <w:sz w:val="17"/>
              </w:rPr>
            </w:pPr>
          </w:p>
          <w:p>
            <w:pPr>
              <w:pStyle w:val="TableParagraph"/>
              <w:spacing w:line="242" w:lineRule="auto"/>
              <w:ind w:left="335" w:right="34"/>
              <w:rPr>
                <w:sz w:val="22"/>
              </w:rPr>
            </w:pPr>
            <w:r>
              <w:rPr>
                <w:color w:val="333333"/>
                <w:spacing w:val="-14"/>
                <w:sz w:val="22"/>
              </w:rPr>
              <w:t>第 </w:t>
            </w:r>
            <w:r>
              <w:rPr>
                <w:color w:val="333333"/>
                <w:spacing w:val="-4"/>
                <w:sz w:val="22"/>
              </w:rPr>
              <w:t>91</w:t>
            </w:r>
            <w:r>
              <w:rPr>
                <w:color w:val="333333"/>
                <w:spacing w:val="-13"/>
                <w:sz w:val="22"/>
              </w:rPr>
              <w:t> 天及以后：共同保险每天赔付 </w:t>
            </w:r>
            <w:r>
              <w:rPr>
                <w:color w:val="333333"/>
                <w:spacing w:val="-6"/>
                <w:sz w:val="22"/>
              </w:rPr>
              <w:t>704</w:t>
            </w:r>
            <w:r>
              <w:rPr>
                <w:color w:val="333333"/>
                <w:spacing w:val="-12"/>
                <w:sz w:val="22"/>
              </w:rPr>
              <w:t> 美元</w:t>
            </w:r>
            <w:r>
              <w:rPr>
                <w:color w:val="333333"/>
                <w:spacing w:val="-15"/>
                <w:sz w:val="22"/>
              </w:rPr>
              <w:t>（</w:t>
            </w:r>
            <w:r>
              <w:rPr>
                <w:color w:val="333333"/>
                <w:spacing w:val="-8"/>
                <w:sz w:val="22"/>
              </w:rPr>
              <w:t>一生中最多 </w:t>
            </w:r>
            <w:r>
              <w:rPr>
                <w:color w:val="333333"/>
                <w:spacing w:val="-4"/>
                <w:sz w:val="22"/>
              </w:rPr>
              <w:t>60</w:t>
            </w:r>
            <w:r>
              <w:rPr>
                <w:color w:val="333333"/>
                <w:spacing w:val="-26"/>
                <w:sz w:val="22"/>
              </w:rPr>
              <w:t> 天</w:t>
            </w:r>
            <w:r>
              <w:rPr>
                <w:color w:val="333333"/>
                <w:spacing w:val="-15"/>
                <w:sz w:val="22"/>
              </w:rPr>
              <w:t>） </w:t>
            </w:r>
            <w:r>
              <w:rPr>
                <w:color w:val="333333"/>
                <w:spacing w:val="-5"/>
                <w:sz w:val="22"/>
              </w:rPr>
              <w:t>超过终身保留天数：所有费用自付</w:t>
            </w:r>
          </w:p>
        </w:tc>
      </w:tr>
      <w:tr>
        <w:trPr>
          <w:trHeight w:val="555" w:hRule="atLeast"/>
        </w:trPr>
        <w:tc>
          <w:tcPr>
            <w:tcW w:w="1532" w:type="dxa"/>
            <w:tcBorders>
              <w:right w:val="single" w:sz="8" w:space="0" w:color="000000"/>
            </w:tcBorders>
          </w:tcPr>
          <w:p>
            <w:pPr>
              <w:pStyle w:val="TableParagraph"/>
              <w:spacing w:before="140"/>
              <w:rPr>
                <w:sz w:val="22"/>
              </w:rPr>
            </w:pPr>
            <w:r>
              <w:rPr>
                <w:color w:val="333333"/>
                <w:sz w:val="22"/>
              </w:rPr>
              <w:t>PartB 保费</w:t>
            </w:r>
          </w:p>
        </w:tc>
        <w:tc>
          <w:tcPr>
            <w:tcW w:w="6773" w:type="dxa"/>
            <w:tcBorders>
              <w:left w:val="single" w:sz="8" w:space="0" w:color="000000"/>
            </w:tcBorders>
          </w:tcPr>
          <w:p>
            <w:pPr>
              <w:pStyle w:val="TableParagraph"/>
              <w:spacing w:line="272" w:lineRule="exact"/>
              <w:ind w:left="110"/>
              <w:rPr>
                <w:sz w:val="22"/>
              </w:rPr>
            </w:pPr>
            <w:r>
              <w:rPr>
                <w:color w:val="333333"/>
                <w:sz w:val="22"/>
              </w:rPr>
              <w:t>PartB</w:t>
            </w:r>
            <w:r>
              <w:rPr>
                <w:color w:val="333333"/>
                <w:spacing w:val="-9"/>
                <w:sz w:val="22"/>
              </w:rPr>
              <w:t> 的标准保费金额为 </w:t>
            </w:r>
            <w:r>
              <w:rPr>
                <w:color w:val="333333"/>
                <w:spacing w:val="-7"/>
                <w:sz w:val="22"/>
              </w:rPr>
              <w:t>144.6</w:t>
            </w:r>
            <w:r>
              <w:rPr>
                <w:color w:val="333333"/>
                <w:spacing w:val="-10"/>
                <w:sz w:val="22"/>
              </w:rPr>
              <w:t> 美元</w:t>
            </w:r>
            <w:r>
              <w:rPr>
                <w:color w:val="333333"/>
                <w:sz w:val="22"/>
              </w:rPr>
              <w:t>（</w:t>
            </w:r>
            <w:r>
              <w:rPr>
                <w:color w:val="333333"/>
                <w:spacing w:val="-9"/>
                <w:sz w:val="22"/>
              </w:rPr>
              <w:t>或更高，具体取决于投保人的</w:t>
            </w:r>
          </w:p>
          <w:p>
            <w:pPr>
              <w:pStyle w:val="TableParagraph"/>
              <w:spacing w:line="260" w:lineRule="exact" w:before="3"/>
              <w:ind w:left="110"/>
              <w:rPr>
                <w:sz w:val="22"/>
              </w:rPr>
            </w:pPr>
            <w:r>
              <w:rPr>
                <w:color w:val="333333"/>
                <w:sz w:val="22"/>
              </w:rPr>
              <w:t>收入）。</w:t>
            </w:r>
          </w:p>
        </w:tc>
      </w:tr>
      <w:tr>
        <w:trPr>
          <w:trHeight w:val="855" w:hRule="atLeast"/>
        </w:trPr>
        <w:tc>
          <w:tcPr>
            <w:tcW w:w="1532" w:type="dxa"/>
            <w:tcBorders>
              <w:right w:val="single" w:sz="8" w:space="0" w:color="000000"/>
            </w:tcBorders>
          </w:tcPr>
          <w:p>
            <w:pPr>
              <w:pStyle w:val="TableParagraph"/>
              <w:spacing w:line="242" w:lineRule="auto" w:before="155"/>
              <w:ind w:right="77"/>
              <w:rPr>
                <w:sz w:val="22"/>
              </w:rPr>
            </w:pPr>
            <w:r>
              <w:rPr>
                <w:color w:val="333333"/>
                <w:sz w:val="22"/>
              </w:rPr>
              <w:t>PartB 免赔额和共同保险</w:t>
            </w:r>
          </w:p>
        </w:tc>
        <w:tc>
          <w:tcPr>
            <w:tcW w:w="6773" w:type="dxa"/>
            <w:tcBorders>
              <w:left w:val="single" w:sz="8" w:space="0" w:color="000000"/>
            </w:tcBorders>
          </w:tcPr>
          <w:p>
            <w:pPr>
              <w:pStyle w:val="TableParagraph"/>
              <w:spacing w:before="5"/>
              <w:ind w:left="110"/>
              <w:rPr>
                <w:sz w:val="22"/>
              </w:rPr>
            </w:pPr>
            <w:r>
              <w:rPr>
                <w:color w:val="333333"/>
                <w:sz w:val="22"/>
              </w:rPr>
              <w:t>198</w:t>
            </w:r>
            <w:r>
              <w:rPr>
                <w:color w:val="333333"/>
                <w:spacing w:val="-10"/>
                <w:sz w:val="22"/>
              </w:rPr>
              <w:t> 美元。达到免赔额后，通常需要支付</w:t>
            </w:r>
            <w:r>
              <w:rPr>
                <w:color w:val="0E0E0E"/>
                <w:spacing w:val="-6"/>
                <w:sz w:val="22"/>
              </w:rPr>
              <w:t>医疗保险批准金额的 </w:t>
            </w:r>
            <w:r>
              <w:rPr>
                <w:color w:val="333333"/>
                <w:spacing w:val="-4"/>
                <w:sz w:val="22"/>
              </w:rPr>
              <w:t>20％，</w:t>
            </w:r>
          </w:p>
          <w:p>
            <w:pPr>
              <w:pStyle w:val="TableParagraph"/>
              <w:spacing w:line="280" w:lineRule="atLeast"/>
              <w:ind w:left="110" w:right="61"/>
              <w:rPr>
                <w:sz w:val="22"/>
              </w:rPr>
            </w:pPr>
            <w:r>
              <w:rPr>
                <w:color w:val="333333"/>
                <w:spacing w:val="-9"/>
                <w:sz w:val="22"/>
              </w:rPr>
              <w:t>以用于大多数医生服务</w:t>
            </w:r>
            <w:r>
              <w:rPr>
                <w:color w:val="333333"/>
                <w:sz w:val="22"/>
              </w:rPr>
              <w:t>（</w:t>
            </w:r>
            <w:r>
              <w:rPr>
                <w:color w:val="333333"/>
                <w:spacing w:val="-10"/>
                <w:sz w:val="22"/>
              </w:rPr>
              <w:t>包括住院期间的大多数医生服务</w:t>
            </w:r>
            <w:r>
              <w:rPr>
                <w:color w:val="333333"/>
                <w:spacing w:val="-15"/>
                <w:sz w:val="22"/>
              </w:rPr>
              <w:t>），</w:t>
            </w:r>
            <w:r>
              <w:rPr>
                <w:color w:val="333333"/>
                <w:spacing w:val="-6"/>
                <w:sz w:val="22"/>
              </w:rPr>
              <w:t>门诊治</w:t>
            </w:r>
            <w:r>
              <w:rPr>
                <w:color w:val="333333"/>
                <w:spacing w:val="15"/>
                <w:sz w:val="22"/>
              </w:rPr>
              <w:t>疗和</w:t>
            </w:r>
            <w:r>
              <w:rPr>
                <w:color w:val="0E0E0E"/>
                <w:spacing w:val="-6"/>
                <w:sz w:val="22"/>
              </w:rPr>
              <w:t>耐用医疗设备</w:t>
            </w:r>
            <w:r>
              <w:rPr>
                <w:color w:val="0E0E0E"/>
                <w:sz w:val="22"/>
              </w:rPr>
              <w:t>（dme）</w:t>
            </w:r>
          </w:p>
        </w:tc>
      </w:tr>
    </w:tbl>
    <w:p>
      <w:pPr>
        <w:spacing w:before="61"/>
        <w:ind w:left="2158" w:right="0" w:firstLine="0"/>
        <w:jc w:val="left"/>
        <w:rPr>
          <w:b/>
          <w:sz w:val="15"/>
        </w:rPr>
      </w:pPr>
      <w:r>
        <w:rPr>
          <w:b/>
          <w:sz w:val="15"/>
        </w:rPr>
        <w:t>数据来源：财通证券研究所</w:t>
      </w:r>
    </w:p>
    <w:p>
      <w:pPr>
        <w:pStyle w:val="BodyText"/>
        <w:rPr>
          <w:b/>
          <w:sz w:val="20"/>
        </w:rPr>
      </w:pPr>
    </w:p>
    <w:p>
      <w:pPr>
        <w:pStyle w:val="BodyText"/>
        <w:spacing w:before="9"/>
        <w:rPr>
          <w:b/>
          <w:sz w:val="17"/>
        </w:rPr>
      </w:pPr>
    </w:p>
    <w:p>
      <w:pPr>
        <w:pStyle w:val="BodyText"/>
        <w:spacing w:line="328" w:lineRule="auto"/>
        <w:ind w:left="3164" w:right="869"/>
        <w:jc w:val="both"/>
      </w:pPr>
      <w:r>
        <w:rPr>
          <w:spacing w:val="-5"/>
        </w:rPr>
        <w:t>总体而言，在目前的 </w:t>
      </w:r>
      <w:r>
        <w:rPr/>
        <w:t>MediCare</w:t>
      </w:r>
      <w:r>
        <w:rPr>
          <w:spacing w:val="-11"/>
        </w:rPr>
        <w:t> 还款模式下，每次 </w:t>
      </w:r>
      <w:r>
        <w:rPr/>
        <w:t>CAR-T</w:t>
      </w:r>
      <w:r>
        <w:rPr>
          <w:spacing w:val="-7"/>
        </w:rPr>
        <w:t> 治疗，医院基本都处于</w:t>
      </w:r>
      <w:r>
        <w:rPr>
          <w:spacing w:val="-10"/>
        </w:rPr>
        <w:t>亏损状态，最多可能损失 </w:t>
      </w:r>
      <w:r>
        <w:rPr/>
        <w:t>30</w:t>
      </w:r>
      <w:r>
        <w:rPr>
          <w:spacing w:val="-6"/>
        </w:rPr>
        <w:t> 万美元。大多数医院即使在亏损的情况下仍然使用</w:t>
      </w:r>
      <w:r>
        <w:rPr>
          <w:spacing w:val="-13"/>
        </w:rPr>
        <w:t>Car-T</w:t>
      </w:r>
      <w:r>
        <w:rPr>
          <w:spacing w:val="-10"/>
        </w:rPr>
        <w:t>，除了出门科研和证明自身能力的需求，也是基于 </w:t>
      </w:r>
      <w:r>
        <w:rPr>
          <w:spacing w:val="-3"/>
        </w:rPr>
        <w:t>Car-T</w:t>
      </w:r>
      <w:r>
        <w:rPr>
          <w:spacing w:val="-7"/>
        </w:rPr>
        <w:t> 令人叹服的疗效， 大部分适合 </w:t>
      </w:r>
      <w:r>
        <w:rPr/>
        <w:t>Car-T 的患者都经受过了化疗或其他治疗，本身体质已经较弱，而Car-T</w:t>
      </w:r>
      <w:r>
        <w:rPr>
          <w:spacing w:val="-7"/>
        </w:rPr>
        <w:t> 能够给予这些患者重生的机会。</w:t>
      </w:r>
    </w:p>
    <w:p>
      <w:pPr>
        <w:pStyle w:val="Heading2"/>
        <w:numPr>
          <w:ilvl w:val="1"/>
          <w:numId w:val="11"/>
        </w:numPr>
        <w:tabs>
          <w:tab w:pos="3645" w:val="left" w:leader="none"/>
        </w:tabs>
        <w:spacing w:line="240" w:lineRule="auto" w:before="94" w:after="0"/>
        <w:ind w:left="3645" w:right="0" w:hanging="481"/>
        <w:jc w:val="both"/>
      </w:pPr>
      <w:bookmarkStart w:name="_TOC_250009" w:id="15"/>
      <w:r>
        <w:rPr>
          <w:spacing w:val="-2"/>
        </w:rPr>
        <w:t>临床试验对商业化 </w:t>
      </w:r>
      <w:r>
        <w:rPr/>
        <w:t>Car-T</w:t>
      </w:r>
      <w:bookmarkEnd w:id="15"/>
      <w:r>
        <w:rPr>
          <w:spacing w:val="-7"/>
        </w:rPr>
        <w:t> 产品产生一定替代效应</w:t>
      </w:r>
    </w:p>
    <w:p>
      <w:pPr>
        <w:pStyle w:val="BodyText"/>
        <w:spacing w:before="6"/>
        <w:rPr>
          <w:b/>
          <w:sz w:val="16"/>
        </w:rPr>
      </w:pPr>
    </w:p>
    <w:p>
      <w:pPr>
        <w:pStyle w:val="BodyText"/>
        <w:spacing w:line="328" w:lineRule="auto"/>
        <w:ind w:left="3164" w:right="759"/>
      </w:pPr>
      <w:r>
        <w:rPr>
          <w:b/>
          <w:spacing w:val="2"/>
        </w:rPr>
        <w:t>我们分析影响医生选择商业化</w:t>
      </w:r>
      <w:r>
        <w:rPr>
          <w:b/>
        </w:rPr>
        <w:t>Car-T</w:t>
      </w:r>
      <w:r>
        <w:rPr>
          <w:b/>
          <w:spacing w:val="-6"/>
        </w:rPr>
        <w:t> 产品的另一个原因是</w:t>
      </w:r>
      <w:r>
        <w:rPr>
          <w:b/>
        </w:rPr>
        <w:t>Car-T</w:t>
      </w:r>
      <w:r>
        <w:rPr>
          <w:b/>
          <w:spacing w:val="-12"/>
        </w:rPr>
        <w:t> 临床入组对于医</w:t>
      </w:r>
      <w:r>
        <w:rPr>
          <w:b/>
          <w:spacing w:val="-14"/>
        </w:rPr>
        <w:t>生而言的替代选择性。</w:t>
      </w:r>
      <w:r>
        <w:rPr>
          <w:spacing w:val="-1"/>
        </w:rPr>
        <w:t>临床上医生对于病人治疗方案的确立除了考虑病人的身体</w:t>
      </w:r>
      <w:r>
        <w:rPr>
          <w:spacing w:val="-8"/>
        </w:rPr>
        <w:t>状态还需考量病人的经济能力，临床上往往存在一些除了 </w:t>
      </w:r>
      <w:r>
        <w:rPr/>
        <w:t>Car-T</w:t>
      </w:r>
      <w:r>
        <w:rPr>
          <w:spacing w:val="-7"/>
        </w:rPr>
        <w:t> 无药可用但自身</w:t>
      </w:r>
      <w:r>
        <w:rPr>
          <w:spacing w:val="-16"/>
        </w:rPr>
        <w:t>经济能力不足的患者，出于救人优先的考量，医生往往会建议患者入组临床试验， </w:t>
      </w:r>
      <w:r>
        <w:rPr>
          <w:spacing w:val="-21"/>
        </w:rPr>
        <w:t>尤其是目前 </w:t>
      </w:r>
      <w:r>
        <w:rPr/>
        <w:t>Car-T</w:t>
      </w:r>
      <w:r>
        <w:rPr>
          <w:spacing w:val="-10"/>
        </w:rPr>
        <w:t> 产业仍处于积极申报阶段，有大量临床试验开展，这就使得医</w:t>
      </w:r>
      <w:r>
        <w:rPr>
          <w:spacing w:val="-12"/>
        </w:rPr>
        <w:t>生可以在降低患者经济负担</w:t>
      </w:r>
      <w:r>
        <w:rPr/>
        <w:t>（</w:t>
      </w:r>
      <w:r>
        <w:rPr>
          <w:spacing w:val="-4"/>
        </w:rPr>
        <w:t>进入临床试验一般无需支付 </w:t>
      </w:r>
      <w:r>
        <w:rPr/>
        <w:t>Car-T</w:t>
      </w:r>
      <w:r>
        <w:rPr>
          <w:spacing w:val="-11"/>
        </w:rPr>
        <w:t> 产品的费用，仅</w:t>
      </w:r>
      <w:r>
        <w:rPr>
          <w:spacing w:val="-13"/>
        </w:rPr>
        <w:t>需支付住院费用，美国平均为医保前 </w:t>
      </w:r>
      <w:r>
        <w:rPr/>
        <w:t>5-10</w:t>
      </w:r>
      <w:r>
        <w:rPr>
          <w:spacing w:val="-14"/>
        </w:rPr>
        <w:t> 万美元，国内约 </w:t>
      </w:r>
      <w:r>
        <w:rPr>
          <w:spacing w:val="-8"/>
        </w:rPr>
        <w:t>15</w:t>
      </w:r>
      <w:r>
        <w:rPr>
          <w:spacing w:val="-16"/>
        </w:rPr>
        <w:t> 万元</w:t>
      </w:r>
      <w:r>
        <w:rPr>
          <w:spacing w:val="-15"/>
        </w:rPr>
        <w:t>）</w:t>
      </w:r>
      <w:r>
        <w:rPr>
          <w:spacing w:val="-4"/>
        </w:rPr>
        <w:t>的同时，达</w:t>
      </w:r>
    </w:p>
    <w:p>
      <w:pPr>
        <w:pStyle w:val="BodyText"/>
        <w:spacing w:line="328" w:lineRule="auto"/>
        <w:ind w:left="3164" w:right="868"/>
        <w:jc w:val="both"/>
      </w:pPr>
      <w:r>
        <w:rPr>
          <w:spacing w:val="-3"/>
        </w:rPr>
        <w:t>到救治的目的。目前，美国约有 </w:t>
      </w:r>
      <w:r>
        <w:rPr/>
        <w:t>25%</w:t>
      </w:r>
      <w:r>
        <w:rPr>
          <w:spacing w:val="-3"/>
        </w:rPr>
        <w:t>左右的病人被转到临床试验。以 </w:t>
      </w:r>
      <w:r>
        <w:rPr/>
        <w:t>3</w:t>
      </w:r>
      <w:r>
        <w:rPr>
          <w:spacing w:val="-20"/>
        </w:rPr>
        <w:t> 月 </w:t>
      </w:r>
      <w:r>
        <w:rPr/>
        <w:t>13</w:t>
      </w:r>
      <w:r>
        <w:rPr>
          <w:spacing w:val="-15"/>
        </w:rPr>
        <w:t> 日</w:t>
      </w:r>
      <w:r>
        <w:rPr>
          <w:spacing w:val="-18"/>
        </w:rPr>
        <w:t>的数据为例，全美正在进行 </w:t>
      </w:r>
      <w:r>
        <w:rPr/>
        <w:t>121</w:t>
      </w:r>
      <w:r>
        <w:rPr>
          <w:spacing w:val="-31"/>
        </w:rPr>
        <w:t> 例 </w:t>
      </w:r>
      <w:r>
        <w:rPr/>
        <w:t>Car-T</w:t>
      </w:r>
      <w:r>
        <w:rPr>
          <w:spacing w:val="-10"/>
        </w:rPr>
        <w:t> 相关临床试验，其中实体瘤 </w:t>
      </w:r>
      <w:r>
        <w:rPr/>
        <w:t>34</w:t>
      </w:r>
      <w:r>
        <w:rPr>
          <w:spacing w:val="-12"/>
        </w:rPr>
        <w:t> 例、血</w:t>
      </w:r>
      <w:r>
        <w:rPr>
          <w:spacing w:val="-24"/>
        </w:rPr>
        <w:t>液瘤 </w:t>
      </w:r>
      <w:r>
        <w:rPr/>
        <w:t>80</w:t>
      </w:r>
      <w:r>
        <w:rPr>
          <w:spacing w:val="-16"/>
        </w:rPr>
        <w:t> 例，共招募 </w:t>
      </w:r>
      <w:r>
        <w:rPr>
          <w:spacing w:val="-4"/>
        </w:rPr>
        <w:t>6917</w:t>
      </w:r>
      <w:r>
        <w:rPr>
          <w:spacing w:val="-14"/>
        </w:rPr>
        <w:t> 人，其中血液瘤 </w:t>
      </w:r>
      <w:r>
        <w:rPr>
          <w:spacing w:val="-4"/>
        </w:rPr>
        <w:t>5295</w:t>
      </w:r>
      <w:r>
        <w:rPr>
          <w:spacing w:val="-16"/>
        </w:rPr>
        <w:t> 人，实体瘤 </w:t>
      </w:r>
      <w:r>
        <w:rPr>
          <w:spacing w:val="-4"/>
        </w:rPr>
        <w:t>1622</w:t>
      </w:r>
      <w:r>
        <w:rPr>
          <w:spacing w:val="-9"/>
        </w:rPr>
        <w:t> 人。假设招募实</w:t>
      </w:r>
      <w:r>
        <w:rPr>
          <w:spacing w:val="-18"/>
        </w:rPr>
        <w:t>验中有 </w:t>
      </w:r>
      <w:r>
        <w:rPr/>
        <w:t>60%</w:t>
      </w:r>
      <w:r>
        <w:rPr>
          <w:spacing w:val="-10"/>
        </w:rPr>
        <w:t>患者使用 </w:t>
      </w:r>
      <w:r>
        <w:rPr/>
        <w:t>Car-T，</w:t>
      </w:r>
      <w:r>
        <w:rPr>
          <w:spacing w:val="-9"/>
        </w:rPr>
        <w:t>实验招募成功率 </w:t>
      </w:r>
      <w:r>
        <w:rPr/>
        <w:t>70%，</w:t>
      </w:r>
      <w:r>
        <w:rPr>
          <w:spacing w:val="-13"/>
        </w:rPr>
        <w:t>则血液瘤 </w:t>
      </w:r>
      <w:r>
        <w:rPr/>
        <w:t>3</w:t>
      </w:r>
      <w:r>
        <w:rPr>
          <w:spacing w:val="-31"/>
        </w:rPr>
        <w:t> 月 </w:t>
      </w:r>
      <w:r>
        <w:rPr>
          <w:spacing w:val="-8"/>
        </w:rPr>
        <w:t>13</w:t>
      </w:r>
      <w:r>
        <w:rPr>
          <w:spacing w:val="-9"/>
        </w:rPr>
        <w:t> 日正在招募</w:t>
      </w:r>
      <w:r>
        <w:rPr>
          <w:spacing w:val="-16"/>
        </w:rPr>
        <w:t>患者人数为 </w:t>
      </w:r>
      <w:r>
        <w:rPr/>
        <w:t>2224</w:t>
      </w:r>
      <w:r>
        <w:rPr>
          <w:spacing w:val="-11"/>
        </w:rPr>
        <w:t> 人。由此可见，由于 </w:t>
      </w:r>
      <w:r>
        <w:rPr/>
        <w:t>Car-T</w:t>
      </w:r>
      <w:r>
        <w:rPr>
          <w:spacing w:val="-7"/>
        </w:rPr>
        <w:t> 行业正处于高速申报期，大量企业</w:t>
      </w:r>
      <w:r>
        <w:rPr>
          <w:spacing w:val="-10"/>
        </w:rPr>
        <w:t>正处于将研发品转为产品的阶段，导致了临床试验丰度较高，从而增加了医生的</w:t>
      </w:r>
      <w:r>
        <w:rPr>
          <w:spacing w:val="-13"/>
        </w:rPr>
        <w:t>可选择性，因而影响了医生对商业化 </w:t>
      </w:r>
      <w:r>
        <w:rPr/>
        <w:t>Car-T</w:t>
      </w:r>
      <w:r>
        <w:rPr>
          <w:spacing w:val="-9"/>
        </w:rPr>
        <w:t> 产品选择。</w:t>
      </w:r>
    </w:p>
    <w:p>
      <w:pPr>
        <w:spacing w:after="0" w:line="328" w:lineRule="auto"/>
        <w:jc w:val="both"/>
        <w:sectPr>
          <w:pgSz w:w="11910" w:h="16850"/>
          <w:pgMar w:header="796" w:footer="1296" w:top="1400" w:bottom="1480" w:left="260" w:right="300"/>
        </w:sectPr>
      </w:pPr>
    </w:p>
    <w:p>
      <w:pPr>
        <w:pStyle w:val="BodyText"/>
        <w:spacing w:before="9"/>
        <w:rPr>
          <w:sz w:val="19"/>
        </w:rPr>
      </w:pPr>
    </w:p>
    <w:p>
      <w:pPr>
        <w:pStyle w:val="Heading2"/>
        <w:tabs>
          <w:tab w:pos="10432" w:val="left" w:leader="none"/>
        </w:tabs>
      </w:pPr>
      <w:r>
        <w:rPr>
          <w:rFonts w:ascii="Times New Roman" w:eastAsia="Times New Roman"/>
          <w:color w:val="FFFFFF"/>
          <w:shd w:fill="A11D04" w:color="auto" w:val="clear"/>
        </w:rPr>
        <w:t>  </w:t>
      </w:r>
      <w:r>
        <w:rPr>
          <w:color w:val="FFFFFF"/>
          <w:shd w:fill="A11D04" w:color="auto" w:val="clear"/>
        </w:rPr>
        <w:t>图</w:t>
      </w:r>
      <w:r>
        <w:rPr>
          <w:color w:val="FFFFFF"/>
          <w:spacing w:val="-37"/>
          <w:shd w:fill="A11D04" w:color="auto" w:val="clear"/>
        </w:rPr>
        <w:t> </w:t>
      </w:r>
      <w:r>
        <w:rPr>
          <w:color w:val="FFFFFF"/>
          <w:spacing w:val="3"/>
          <w:shd w:fill="A11D04" w:color="auto" w:val="clear"/>
        </w:rPr>
        <w:t>22：Car-T</w:t>
      </w:r>
      <w:r>
        <w:rPr>
          <w:color w:val="FFFFFF"/>
          <w:spacing w:val="-50"/>
          <w:shd w:fill="A11D04" w:color="auto" w:val="clear"/>
        </w:rPr>
        <w:t> </w:t>
      </w:r>
      <w:r>
        <w:rPr>
          <w:color w:val="FFFFFF"/>
          <w:shd w:fill="A11D04" w:color="auto" w:val="clear"/>
        </w:rPr>
        <w:t>试验及临床招募情况</w:t>
        <w:tab/>
      </w:r>
    </w:p>
    <w:p>
      <w:pPr>
        <w:pStyle w:val="BodyText"/>
        <w:spacing w:before="1"/>
        <w:rPr>
          <w:b/>
          <w:sz w:val="10"/>
        </w:rPr>
      </w:pPr>
      <w:r>
        <w:rPr/>
        <w:drawing>
          <wp:anchor distT="0" distB="0" distL="0" distR="0" allowOverlap="1" layoutInCell="1" locked="0" behindDoc="0" simplePos="0" relativeHeight="75">
            <wp:simplePos x="0" y="0"/>
            <wp:positionH relativeFrom="page">
              <wp:posOffset>2730130</wp:posOffset>
            </wp:positionH>
            <wp:positionV relativeFrom="paragraph">
              <wp:posOffset>106949</wp:posOffset>
            </wp:positionV>
            <wp:extent cx="3517349" cy="1761172"/>
            <wp:effectExtent l="0" t="0" r="0" b="0"/>
            <wp:wrapTopAndBottom/>
            <wp:docPr id="39" name="image25.png"/>
            <wp:cNvGraphicFramePr>
              <a:graphicFrameLocks noChangeAspect="1"/>
            </wp:cNvGraphicFramePr>
            <a:graphic>
              <a:graphicData uri="http://schemas.openxmlformats.org/drawingml/2006/picture">
                <pic:pic>
                  <pic:nvPicPr>
                    <pic:cNvPr id="40" name="image25.png"/>
                    <pic:cNvPicPr/>
                  </pic:nvPicPr>
                  <pic:blipFill>
                    <a:blip r:embed="rId35" cstate="print"/>
                    <a:stretch>
                      <a:fillRect/>
                    </a:stretch>
                  </pic:blipFill>
                  <pic:spPr>
                    <a:xfrm>
                      <a:off x="0" y="0"/>
                      <a:ext cx="3517349" cy="1761172"/>
                    </a:xfrm>
                    <a:prstGeom prst="rect">
                      <a:avLst/>
                    </a:prstGeom>
                  </pic:spPr>
                </pic:pic>
              </a:graphicData>
            </a:graphic>
          </wp:anchor>
        </w:drawing>
      </w:r>
      <w:r>
        <w:rPr/>
        <w:pict>
          <v:rect style="position:absolute;margin-left:165.949997pt;margin-top:168.975006pt;width:368.7pt;height:.75pt;mso-position-horizontal-relative:page;mso-position-vertical-relative:paragraph;z-index:-15689728;mso-wrap-distance-left:0;mso-wrap-distance-right:0" filled="true" fillcolor="#a11d04" stroked="false">
            <v:fill type="solid"/>
            <w10:wrap type="topAndBottom"/>
          </v:rect>
        </w:pict>
      </w:r>
    </w:p>
    <w:p>
      <w:pPr>
        <w:pStyle w:val="BodyText"/>
        <w:spacing w:before="10"/>
        <w:rPr>
          <w:b/>
          <w:sz w:val="28"/>
        </w:rPr>
      </w:pPr>
    </w:p>
    <w:p>
      <w:pPr>
        <w:spacing w:before="16"/>
        <w:ind w:left="3164" w:right="0" w:firstLine="0"/>
        <w:jc w:val="left"/>
        <w:rPr>
          <w:b/>
          <w:sz w:val="15"/>
        </w:rPr>
      </w:pPr>
      <w:r>
        <w:rPr>
          <w:b/>
          <w:spacing w:val="8"/>
          <w:sz w:val="15"/>
        </w:rPr>
        <w:t>数据来源：</w:t>
      </w:r>
      <w:r>
        <w:rPr>
          <w:b/>
          <w:sz w:val="15"/>
        </w:rPr>
        <w:t>clinica</w:t>
      </w:r>
      <w:r>
        <w:rPr>
          <w:b/>
          <w:spacing w:val="-62"/>
          <w:sz w:val="15"/>
        </w:rPr>
        <w:t> </w:t>
      </w:r>
      <w:r>
        <w:rPr>
          <w:b/>
          <w:sz w:val="15"/>
        </w:rPr>
        <w:t>ltrials，财通证券研究所</w:t>
      </w:r>
    </w:p>
    <w:p>
      <w:pPr>
        <w:pStyle w:val="BodyText"/>
        <w:rPr>
          <w:b/>
          <w:sz w:val="20"/>
        </w:rPr>
      </w:pPr>
    </w:p>
    <w:p>
      <w:pPr>
        <w:pStyle w:val="BodyText"/>
        <w:spacing w:before="8"/>
        <w:rPr>
          <w:b/>
          <w:sz w:val="28"/>
        </w:rPr>
      </w:pPr>
    </w:p>
    <w:p>
      <w:pPr>
        <w:pStyle w:val="Heading2"/>
        <w:numPr>
          <w:ilvl w:val="1"/>
          <w:numId w:val="11"/>
        </w:numPr>
        <w:tabs>
          <w:tab w:pos="3645" w:val="left" w:leader="none"/>
        </w:tabs>
        <w:spacing w:line="240" w:lineRule="auto" w:before="71" w:after="0"/>
        <w:ind w:left="3645" w:right="0" w:hanging="481"/>
        <w:jc w:val="left"/>
      </w:pPr>
      <w:bookmarkStart w:name="_TOC_250008" w:id="16"/>
      <w:r>
        <w:rPr>
          <w:spacing w:val="9"/>
        </w:rPr>
        <w:t>Car-T</w:t>
      </w:r>
      <w:bookmarkEnd w:id="16"/>
      <w:r>
        <w:rPr>
          <w:spacing w:val="-7"/>
        </w:rPr>
        <w:t> 生产销售过程中有一定损耗</w:t>
      </w:r>
    </w:p>
    <w:p>
      <w:pPr>
        <w:pStyle w:val="BodyText"/>
        <w:spacing w:before="4"/>
        <w:rPr>
          <w:b/>
          <w:sz w:val="15"/>
        </w:rPr>
      </w:pPr>
    </w:p>
    <w:p>
      <w:pPr>
        <w:spacing w:line="328" w:lineRule="auto" w:before="0"/>
        <w:ind w:left="3164" w:right="778" w:firstLine="0"/>
        <w:jc w:val="left"/>
        <w:rPr>
          <w:sz w:val="21"/>
        </w:rPr>
      </w:pPr>
      <w:r>
        <w:rPr>
          <w:b/>
          <w:spacing w:val="-18"/>
          <w:sz w:val="21"/>
        </w:rPr>
        <w:t>由于 </w:t>
      </w:r>
      <w:r>
        <w:rPr>
          <w:b/>
          <w:sz w:val="21"/>
        </w:rPr>
        <w:t>Car-T</w:t>
      </w:r>
      <w:r>
        <w:rPr>
          <w:b/>
          <w:spacing w:val="-9"/>
          <w:sz w:val="21"/>
        </w:rPr>
        <w:t> 产品本身复杂性以及患者本身体质导致 </w:t>
      </w:r>
      <w:r>
        <w:rPr>
          <w:b/>
          <w:sz w:val="21"/>
        </w:rPr>
        <w:t>Car-T</w:t>
      </w:r>
      <w:r>
        <w:rPr>
          <w:b/>
          <w:spacing w:val="-8"/>
          <w:sz w:val="21"/>
        </w:rPr>
        <w:t> 生产过程中损耗较大， </w:t>
      </w:r>
      <w:r>
        <w:rPr>
          <w:b/>
          <w:spacing w:val="-6"/>
          <w:sz w:val="21"/>
        </w:rPr>
        <w:t>也为后续进一步将成本转化为销售留下了空间。</w:t>
      </w:r>
      <w:r>
        <w:rPr>
          <w:spacing w:val="-3"/>
          <w:sz w:val="21"/>
        </w:rPr>
        <w:t>Car-T</w:t>
      </w:r>
      <w:r>
        <w:rPr>
          <w:spacing w:val="-8"/>
          <w:sz w:val="21"/>
        </w:rPr>
        <w:t> 的患者往往本身经历过了</w:t>
      </w:r>
      <w:r>
        <w:rPr>
          <w:spacing w:val="-11"/>
          <w:sz w:val="21"/>
        </w:rPr>
        <w:t>多次化疗和药物治疗，本身免疫系统已经受到了一定伤害，血液中淋巴细胞数量</w:t>
      </w:r>
      <w:r>
        <w:rPr>
          <w:spacing w:val="-19"/>
          <w:sz w:val="21"/>
        </w:rPr>
        <w:t>很可能达不到 </w:t>
      </w:r>
      <w:r>
        <w:rPr>
          <w:sz w:val="21"/>
        </w:rPr>
        <w:t>Car-T</w:t>
      </w:r>
      <w:r>
        <w:rPr>
          <w:spacing w:val="-24"/>
          <w:sz w:val="21"/>
        </w:rPr>
        <w:t> 制备的要求，同时 </w:t>
      </w:r>
      <w:r>
        <w:rPr>
          <w:spacing w:val="3"/>
          <w:sz w:val="21"/>
        </w:rPr>
        <w:t>Car-T</w:t>
      </w:r>
      <w:r>
        <w:rPr>
          <w:spacing w:val="-18"/>
          <w:sz w:val="21"/>
        </w:rPr>
        <w:t> 生产耗时，有部分患者在等待 </w:t>
      </w:r>
      <w:r>
        <w:rPr>
          <w:sz w:val="21"/>
        </w:rPr>
        <w:t>Car-T </w:t>
      </w:r>
      <w:r>
        <w:rPr>
          <w:spacing w:val="-4"/>
          <w:sz w:val="21"/>
        </w:rPr>
        <w:t>制备的过程中病情恶化至不适合 </w:t>
      </w:r>
      <w:r>
        <w:rPr>
          <w:sz w:val="21"/>
        </w:rPr>
        <w:t>Car-T</w:t>
      </w:r>
      <w:r>
        <w:rPr>
          <w:spacing w:val="-11"/>
          <w:sz w:val="21"/>
        </w:rPr>
        <w:t> 治疗甚至死亡。经验上，这部分患者占比</w:t>
      </w:r>
      <w:r>
        <w:rPr>
          <w:spacing w:val="-13"/>
          <w:sz w:val="21"/>
        </w:rPr>
        <w:t>约占 </w:t>
      </w:r>
      <w:r>
        <w:rPr>
          <w:sz w:val="21"/>
        </w:rPr>
        <w:t>8%</w:t>
      </w:r>
      <w:r>
        <w:rPr>
          <w:spacing w:val="-2"/>
          <w:sz w:val="21"/>
        </w:rPr>
        <w:t>左右。同时，由于 </w:t>
      </w:r>
      <w:r>
        <w:rPr>
          <w:sz w:val="21"/>
        </w:rPr>
        <w:t>Car-T</w:t>
      </w:r>
      <w:r>
        <w:rPr>
          <w:spacing w:val="-4"/>
          <w:sz w:val="21"/>
        </w:rPr>
        <w:t> 身缠复杂，生产过程中可能造成例如污染等各</w:t>
      </w:r>
      <w:r>
        <w:rPr>
          <w:spacing w:val="-15"/>
          <w:sz w:val="21"/>
        </w:rPr>
        <w:t>种问题，导致产品不符合生产标准从而无法一次输送给患者，根据 </w:t>
      </w:r>
      <w:r>
        <w:rPr>
          <w:spacing w:val="-3"/>
          <w:sz w:val="21"/>
        </w:rPr>
        <w:t>Zuma-1</w:t>
      </w:r>
      <w:r>
        <w:rPr>
          <w:spacing w:val="-12"/>
          <w:sz w:val="21"/>
        </w:rPr>
        <w:t> 试验， </w:t>
      </w:r>
      <w:r>
        <w:rPr>
          <w:spacing w:val="-15"/>
          <w:sz w:val="21"/>
        </w:rPr>
        <w:t>各类生产问题导致的失败占比约 </w:t>
      </w:r>
      <w:r>
        <w:rPr>
          <w:sz w:val="21"/>
        </w:rPr>
        <w:t>10%。</w:t>
      </w:r>
    </w:p>
    <w:p>
      <w:pPr>
        <w:pStyle w:val="Heading2"/>
        <w:numPr>
          <w:ilvl w:val="1"/>
          <w:numId w:val="11"/>
        </w:numPr>
        <w:tabs>
          <w:tab w:pos="3645" w:val="left" w:leader="none"/>
        </w:tabs>
        <w:spacing w:line="240" w:lineRule="auto" w:before="98" w:after="0"/>
        <w:ind w:left="3645" w:right="0" w:hanging="481"/>
        <w:jc w:val="left"/>
      </w:pPr>
      <w:bookmarkStart w:name="_TOC_250007" w:id="17"/>
      <w:bookmarkEnd w:id="17"/>
      <w:r>
        <w:rPr>
          <w:spacing w:val="2"/>
        </w:rPr>
        <w:t>不应对吉利德减值过分担忧</w:t>
      </w:r>
    </w:p>
    <w:p>
      <w:pPr>
        <w:pStyle w:val="BodyText"/>
        <w:spacing w:before="6"/>
        <w:rPr>
          <w:b/>
          <w:sz w:val="16"/>
        </w:rPr>
      </w:pPr>
    </w:p>
    <w:p>
      <w:pPr>
        <w:spacing w:line="336" w:lineRule="auto" w:before="1"/>
        <w:ind w:left="3164" w:right="882" w:firstLine="0"/>
        <w:jc w:val="both"/>
        <w:rPr>
          <w:b/>
          <w:sz w:val="21"/>
        </w:rPr>
      </w:pPr>
      <w:r>
        <w:rPr>
          <w:b/>
          <w:spacing w:val="-4"/>
          <w:sz w:val="21"/>
        </w:rPr>
        <w:t>关于市场关于吉利德近期对于 </w:t>
      </w:r>
      <w:r>
        <w:rPr>
          <w:b/>
          <w:sz w:val="21"/>
        </w:rPr>
        <w:t>Kite</w:t>
      </w:r>
      <w:r>
        <w:rPr>
          <w:b/>
          <w:spacing w:val="-13"/>
          <w:sz w:val="21"/>
        </w:rPr>
        <w:t> 惰性非霍奇金淋巴瘤 </w:t>
      </w:r>
      <w:r>
        <w:rPr>
          <w:b/>
          <w:sz w:val="21"/>
        </w:rPr>
        <w:t>8</w:t>
      </w:r>
      <w:r>
        <w:rPr>
          <w:b/>
          <w:spacing w:val="-8"/>
          <w:sz w:val="21"/>
        </w:rPr>
        <w:t> 亿美金减值的担忧， </w:t>
      </w:r>
      <w:r>
        <w:rPr>
          <w:b/>
          <w:sz w:val="21"/>
        </w:rPr>
        <w:t>我们认为市场悲观的情绪是对本次减值的过分解读。我们的理由如下：</w:t>
      </w:r>
    </w:p>
    <w:p>
      <w:pPr>
        <w:pStyle w:val="BodyText"/>
        <w:spacing w:line="331" w:lineRule="auto" w:before="102"/>
        <w:ind w:left="3164" w:right="864"/>
        <w:jc w:val="both"/>
      </w:pPr>
      <w:r>
        <w:rPr>
          <w:b/>
          <w:spacing w:val="-11"/>
        </w:rPr>
        <w:t>首先，吉利德对于 </w:t>
      </w:r>
      <w:r>
        <w:rPr>
          <w:b/>
        </w:rPr>
        <w:t>Kite</w:t>
      </w:r>
      <w:r>
        <w:rPr>
          <w:b/>
          <w:spacing w:val="-10"/>
        </w:rPr>
        <w:t> 的收购本身就带有溢价。</w:t>
      </w:r>
      <w:r>
        <w:rPr>
          <w:spacing w:val="-7"/>
        </w:rPr>
        <w:t>吉利德作为一家 </w:t>
      </w:r>
      <w:r>
        <w:rPr>
          <w:spacing w:val="-4"/>
        </w:rPr>
        <w:t>1989</w:t>
      </w:r>
      <w:r>
        <w:rPr>
          <w:spacing w:val="-11"/>
        </w:rPr>
        <w:t> 年成立的</w:t>
      </w:r>
      <w:r>
        <w:rPr>
          <w:spacing w:val="-17"/>
        </w:rPr>
        <w:t>较为年轻的医药巨头，其一向以对创新的不懈追求和激进的作风著称。收购 </w:t>
      </w:r>
      <w:r>
        <w:rPr/>
        <w:t>Kite </w:t>
      </w:r>
      <w:r>
        <w:rPr>
          <w:spacing w:val="-6"/>
        </w:rPr>
        <w:t>时其本身就受到 </w:t>
      </w:r>
      <w:r>
        <w:rPr/>
        <w:t>HCV</w:t>
      </w:r>
      <w:r>
        <w:rPr>
          <w:spacing w:val="-11"/>
        </w:rPr>
        <w:t> 市场下滑的挑战，渴望收购新增长点，加之其一贯的慷慨作</w:t>
      </w:r>
      <w:r>
        <w:rPr>
          <w:spacing w:val="-16"/>
        </w:rPr>
        <w:t>风，也不奇怪 </w:t>
      </w:r>
      <w:r>
        <w:rPr/>
        <w:t>Kite</w:t>
      </w:r>
      <w:r>
        <w:rPr>
          <w:spacing w:val="-7"/>
        </w:rPr>
        <w:t> 交易有一定的泡沫；</w:t>
      </w:r>
    </w:p>
    <w:p>
      <w:pPr>
        <w:spacing w:after="0" w:line="331" w:lineRule="auto"/>
        <w:jc w:val="both"/>
        <w:sectPr>
          <w:pgSz w:w="11910" w:h="16850"/>
          <w:pgMar w:header="796" w:footer="1296" w:top="1400" w:bottom="1480" w:left="260" w:right="300"/>
        </w:sectPr>
      </w:pPr>
    </w:p>
    <w:p>
      <w:pPr>
        <w:pStyle w:val="Heading2"/>
        <w:tabs>
          <w:tab w:pos="10432" w:val="left" w:leader="none"/>
        </w:tabs>
        <w:spacing w:before="59"/>
      </w:pPr>
      <w:r>
        <w:rPr>
          <w:rFonts w:ascii="Times New Roman" w:eastAsia="Times New Roman"/>
          <w:color w:val="FFFFFF"/>
          <w:shd w:fill="A11D04" w:color="auto" w:val="clear"/>
        </w:rPr>
        <w:t>  </w:t>
      </w:r>
      <w:r>
        <w:rPr>
          <w:color w:val="FFFFFF"/>
          <w:shd w:fill="A11D04" w:color="auto" w:val="clear"/>
        </w:rPr>
        <w:t>图</w:t>
      </w:r>
      <w:r>
        <w:rPr>
          <w:color w:val="FFFFFF"/>
          <w:spacing w:val="-48"/>
          <w:shd w:fill="A11D04" w:color="auto" w:val="clear"/>
        </w:rPr>
        <w:t> </w:t>
      </w:r>
      <w:r>
        <w:rPr>
          <w:color w:val="FFFFFF"/>
          <w:spacing w:val="10"/>
          <w:shd w:fill="A11D04" w:color="auto" w:val="clear"/>
        </w:rPr>
        <w:t>23：</w:t>
      </w:r>
      <w:r>
        <w:rPr>
          <w:color w:val="FFFFFF"/>
          <w:shd w:fill="A11D04" w:color="auto" w:val="clear"/>
        </w:rPr>
        <w:t>吉利德一般会给予收购标的</w:t>
      </w:r>
      <w:r>
        <w:rPr>
          <w:color w:val="FFFFFF"/>
          <w:spacing w:val="15"/>
          <w:shd w:fill="A11D04" w:color="auto" w:val="clear"/>
        </w:rPr>
        <w:t>较</w:t>
      </w:r>
      <w:r>
        <w:rPr>
          <w:color w:val="FFFFFF"/>
          <w:shd w:fill="A11D04" w:color="auto" w:val="clear"/>
        </w:rPr>
        <w:t>高估值</w:t>
        <w:tab/>
      </w:r>
    </w:p>
    <w:p>
      <w:pPr>
        <w:pStyle w:val="BodyText"/>
        <w:spacing w:before="11"/>
        <w:rPr>
          <w:b/>
          <w:sz w:val="16"/>
        </w:rPr>
      </w:pPr>
      <w:r>
        <w:rPr/>
        <w:drawing>
          <wp:anchor distT="0" distB="0" distL="0" distR="0" allowOverlap="1" layoutInCell="1" locked="0" behindDoc="0" simplePos="0" relativeHeight="77">
            <wp:simplePos x="0" y="0"/>
            <wp:positionH relativeFrom="page">
              <wp:posOffset>2800985</wp:posOffset>
            </wp:positionH>
            <wp:positionV relativeFrom="paragraph">
              <wp:posOffset>162139</wp:posOffset>
            </wp:positionV>
            <wp:extent cx="3312189" cy="1743455"/>
            <wp:effectExtent l="0" t="0" r="0" b="0"/>
            <wp:wrapTopAndBottom/>
            <wp:docPr id="41" name="image26.jpeg"/>
            <wp:cNvGraphicFramePr>
              <a:graphicFrameLocks noChangeAspect="1"/>
            </wp:cNvGraphicFramePr>
            <a:graphic>
              <a:graphicData uri="http://schemas.openxmlformats.org/drawingml/2006/picture">
                <pic:pic>
                  <pic:nvPicPr>
                    <pic:cNvPr id="42" name="image26.jpeg"/>
                    <pic:cNvPicPr/>
                  </pic:nvPicPr>
                  <pic:blipFill>
                    <a:blip r:embed="rId36" cstate="print"/>
                    <a:stretch>
                      <a:fillRect/>
                    </a:stretch>
                  </pic:blipFill>
                  <pic:spPr>
                    <a:xfrm>
                      <a:off x="0" y="0"/>
                      <a:ext cx="3312189" cy="1743455"/>
                    </a:xfrm>
                    <a:prstGeom prst="rect">
                      <a:avLst/>
                    </a:prstGeom>
                  </pic:spPr>
                </pic:pic>
              </a:graphicData>
            </a:graphic>
          </wp:anchor>
        </w:drawing>
      </w:r>
      <w:r>
        <w:rPr/>
        <w:pict>
          <v:rect style="position:absolute;margin-left:165.949997pt;margin-top:168.216873pt;width:368.7pt;height:.75pt;mso-position-horizontal-relative:page;mso-position-vertical-relative:paragraph;z-index:-15688704;mso-wrap-distance-left:0;mso-wrap-distance-right:0" filled="true" fillcolor="#a11d04" stroked="false">
            <v:fill type="solid"/>
            <w10:wrap type="topAndBottom"/>
          </v:rect>
        </w:pict>
      </w:r>
    </w:p>
    <w:p>
      <w:pPr>
        <w:pStyle w:val="BodyText"/>
        <w:rPr>
          <w:b/>
          <w:sz w:val="23"/>
        </w:rPr>
      </w:pPr>
    </w:p>
    <w:p>
      <w:pPr>
        <w:spacing w:before="31"/>
        <w:ind w:left="3164" w:right="0" w:firstLine="0"/>
        <w:jc w:val="left"/>
        <w:rPr>
          <w:b/>
          <w:sz w:val="15"/>
        </w:rPr>
      </w:pPr>
      <w:r>
        <w:rPr>
          <w:b/>
          <w:spacing w:val="2"/>
          <w:sz w:val="15"/>
        </w:rPr>
        <w:t>数据来源：公司公告、</w:t>
      </w:r>
      <w:r>
        <w:rPr>
          <w:b/>
          <w:sz w:val="15"/>
        </w:rPr>
        <w:t>go</w:t>
      </w:r>
      <w:r>
        <w:rPr>
          <w:b/>
          <w:spacing w:val="-62"/>
          <w:sz w:val="15"/>
        </w:rPr>
        <w:t> </w:t>
      </w:r>
      <w:r>
        <w:rPr>
          <w:b/>
          <w:sz w:val="15"/>
        </w:rPr>
        <w:t>ogle g</w:t>
      </w:r>
      <w:r>
        <w:rPr>
          <w:b/>
          <w:spacing w:val="-61"/>
          <w:sz w:val="15"/>
        </w:rPr>
        <w:t> </w:t>
      </w:r>
      <w:r>
        <w:rPr>
          <w:b/>
          <w:sz w:val="15"/>
        </w:rPr>
        <w:t>raph，财通证券研究所</w:t>
      </w:r>
    </w:p>
    <w:p>
      <w:pPr>
        <w:pStyle w:val="BodyText"/>
        <w:rPr>
          <w:b/>
          <w:sz w:val="20"/>
        </w:rPr>
      </w:pPr>
    </w:p>
    <w:p>
      <w:pPr>
        <w:pStyle w:val="BodyText"/>
        <w:spacing w:before="8"/>
        <w:rPr>
          <w:b/>
          <w:sz w:val="28"/>
        </w:rPr>
      </w:pPr>
    </w:p>
    <w:p>
      <w:pPr>
        <w:spacing w:line="328" w:lineRule="auto" w:before="71"/>
        <w:ind w:left="3164" w:right="781" w:firstLine="0"/>
        <w:jc w:val="left"/>
        <w:rPr>
          <w:sz w:val="21"/>
        </w:rPr>
      </w:pPr>
      <w:r>
        <w:rPr>
          <w:b/>
          <w:spacing w:val="-35"/>
          <w:w w:val="99"/>
          <w:sz w:val="21"/>
        </w:rPr>
        <w:t>其次，</w:t>
      </w:r>
      <w:r>
        <w:rPr>
          <w:b/>
          <w:w w:val="99"/>
          <w:sz w:val="21"/>
        </w:rPr>
        <w:t>Ki</w:t>
      </w:r>
      <w:r>
        <w:rPr>
          <w:b/>
          <w:spacing w:val="14"/>
          <w:w w:val="99"/>
          <w:sz w:val="21"/>
        </w:rPr>
        <w:t>t</w:t>
      </w:r>
      <w:r>
        <w:rPr>
          <w:b/>
          <w:w w:val="99"/>
          <w:sz w:val="21"/>
        </w:rPr>
        <w:t>e</w:t>
      </w:r>
      <w:r>
        <w:rPr>
          <w:b/>
          <w:spacing w:val="-76"/>
          <w:sz w:val="21"/>
        </w:rPr>
        <w:t> </w:t>
      </w:r>
      <w:r>
        <w:rPr>
          <w:b/>
          <w:spacing w:val="1"/>
          <w:w w:val="99"/>
          <w:sz w:val="21"/>
        </w:rPr>
        <w:t>已经就治疗成人复发或难治性地幔细胞淋巴瘤</w:t>
      </w:r>
      <w:r>
        <w:rPr>
          <w:b/>
          <w:w w:val="99"/>
          <w:sz w:val="21"/>
        </w:rPr>
        <w:t>MCL</w:t>
      </w:r>
      <w:r>
        <w:rPr>
          <w:b/>
          <w:spacing w:val="-61"/>
          <w:sz w:val="21"/>
        </w:rPr>
        <w:t> </w:t>
      </w:r>
      <w:r>
        <w:rPr>
          <w:b/>
          <w:spacing w:val="30"/>
          <w:w w:val="99"/>
          <w:sz w:val="21"/>
        </w:rPr>
        <w:t>向</w:t>
      </w:r>
      <w:r>
        <w:rPr>
          <w:b/>
          <w:w w:val="99"/>
          <w:sz w:val="21"/>
        </w:rPr>
        <w:t>FDA</w:t>
      </w:r>
      <w:r>
        <w:rPr>
          <w:b/>
          <w:spacing w:val="-76"/>
          <w:sz w:val="21"/>
        </w:rPr>
        <w:t> </w:t>
      </w:r>
      <w:r>
        <w:rPr>
          <w:b/>
          <w:spacing w:val="14"/>
          <w:w w:val="99"/>
          <w:sz w:val="21"/>
        </w:rPr>
        <w:t>提交了</w:t>
      </w:r>
      <w:r>
        <w:rPr>
          <w:b/>
          <w:w w:val="99"/>
          <w:sz w:val="21"/>
        </w:rPr>
        <w:t>BLA</w:t>
      </w:r>
      <w:r>
        <w:rPr>
          <w:b/>
          <w:w w:val="99"/>
          <w:sz w:val="21"/>
        </w:rPr>
        <w:t>，</w:t>
      </w:r>
      <w:r>
        <w:rPr>
          <w:spacing w:val="-15"/>
          <w:sz w:val="21"/>
        </w:rPr>
        <w:t>虽然 </w:t>
      </w:r>
      <w:r>
        <w:rPr>
          <w:sz w:val="21"/>
        </w:rPr>
        <w:t>MCL</w:t>
      </w:r>
      <w:r>
        <w:rPr>
          <w:spacing w:val="-16"/>
          <w:sz w:val="21"/>
        </w:rPr>
        <w:t> 本身是罕见病，但其 </w:t>
      </w:r>
      <w:r>
        <w:rPr>
          <w:spacing w:val="-3"/>
          <w:sz w:val="21"/>
        </w:rPr>
        <w:t>Car-T</w:t>
      </w:r>
      <w:r>
        <w:rPr>
          <w:spacing w:val="-11"/>
          <w:sz w:val="21"/>
        </w:rPr>
        <w:t> 在慢性淋巴细胞白血病 </w:t>
      </w:r>
      <w:r>
        <w:rPr>
          <w:spacing w:val="-5"/>
          <w:sz w:val="21"/>
        </w:rPr>
        <w:t>CLL</w:t>
      </w:r>
      <w:r>
        <w:rPr>
          <w:spacing w:val="-7"/>
          <w:sz w:val="21"/>
        </w:rPr>
        <w:t> 和多发性骨髓瘤MM 等适应症上的突破有一定意义；</w:t>
      </w:r>
    </w:p>
    <w:p>
      <w:pPr>
        <w:pStyle w:val="BodyText"/>
        <w:spacing w:line="326" w:lineRule="auto" w:before="125"/>
        <w:ind w:left="3164" w:right="861"/>
        <w:jc w:val="both"/>
      </w:pPr>
      <w:r>
        <w:rPr>
          <w:b/>
          <w:spacing w:val="-5"/>
        </w:rPr>
        <w:t>然后，我们要考虑吉利德收购 </w:t>
      </w:r>
      <w:r>
        <w:rPr>
          <w:b/>
        </w:rPr>
        <w:t>Kite</w:t>
      </w:r>
      <w:r>
        <w:rPr>
          <w:b/>
          <w:spacing w:val="-7"/>
        </w:rPr>
        <w:t> 时是为了争夺首个获批的机会，争夺一个全</w:t>
      </w:r>
      <w:r>
        <w:rPr>
          <w:b/>
          <w:spacing w:val="-8"/>
          <w:w w:val="95"/>
        </w:rPr>
        <w:t>新行业领导者地位与普通开发一个药的商业模式是不同的。</w:t>
      </w:r>
      <w:r>
        <w:rPr>
          <w:w w:val="95"/>
        </w:rPr>
        <w:t>由于基因治疗领域仍  </w:t>
      </w:r>
      <w:r>
        <w:rPr>
          <w:spacing w:val="-5"/>
        </w:rPr>
        <w:t>然是新兴领域，因此迅速获得人才，专业知识和经验至关重要。对一个全新的且</w:t>
      </w:r>
      <w:r>
        <w:rPr>
          <w:spacing w:val="-9"/>
        </w:rPr>
        <w:t>马上可以见到前景的领域，速度远比省钱来得重要，通过集中精力收购一个平台</w:t>
      </w:r>
      <w:r>
        <w:rPr>
          <w:spacing w:val="-12"/>
        </w:rPr>
        <w:t>来支持各种治疗方法、聚集行业人才将项目快速推向临床、乃至上市，远比节约</w:t>
      </w:r>
      <w:r>
        <w:rPr>
          <w:spacing w:val="-14"/>
        </w:rPr>
        <w:t>经费自己一步步研发或慢慢讨价还价来的划算。而且，我们应认识到基因治疗尚是一个不成熟的制造业，必将迫使早公司押注一些资金进行制造工艺的发展，并</w:t>
      </w:r>
      <w:r>
        <w:rPr>
          <w:spacing w:val="-16"/>
        </w:rPr>
        <w:t>且可能涉及未经商业证明的技术，这就导致了前期企业的投入必然远高于行业规</w:t>
      </w:r>
      <w:r>
        <w:rPr>
          <w:spacing w:val="-13"/>
        </w:rPr>
        <w:t>模化后的成本，所以一般早期公司在后期往往会对资产有一定的减值。当然，这些公司早期也可以通过创新带动股价上升获得不错的报酬。</w:t>
      </w:r>
    </w:p>
    <w:p>
      <w:pPr>
        <w:pStyle w:val="BodyText"/>
        <w:spacing w:before="3"/>
        <w:rPr>
          <w:sz w:val="20"/>
        </w:rPr>
      </w:pPr>
    </w:p>
    <w:p>
      <w:pPr>
        <w:pStyle w:val="Heading1"/>
        <w:jc w:val="both"/>
      </w:pPr>
      <w:bookmarkStart w:name="_TOC_250006" w:id="18"/>
      <w:bookmarkEnd w:id="18"/>
      <w:r>
        <w:rPr/>
        <w:t>7、 春与青溪长，看好 Car-T 产业长期发展</w:t>
      </w:r>
    </w:p>
    <w:p>
      <w:pPr>
        <w:pStyle w:val="BodyText"/>
        <w:spacing w:line="321" w:lineRule="auto" w:before="203"/>
        <w:ind w:left="3164" w:right="772"/>
        <w:jc w:val="both"/>
      </w:pPr>
      <w:r>
        <w:rPr>
          <w:spacing w:val="-10"/>
        </w:rPr>
        <w:t>尽管 </w:t>
      </w:r>
      <w:r>
        <w:rPr/>
        <w:t>Car-T</w:t>
      </w:r>
      <w:r>
        <w:rPr>
          <w:spacing w:val="-6"/>
        </w:rPr>
        <w:t> 产业仍面临这诸多难题需要解决，但我们长期看好产业发展的趋势， 特别是在中国市场，有望出现行业领军企业，理由如下：</w:t>
      </w:r>
    </w:p>
    <w:p>
      <w:pPr>
        <w:pStyle w:val="Heading2"/>
        <w:numPr>
          <w:ilvl w:val="1"/>
          <w:numId w:val="12"/>
        </w:numPr>
        <w:tabs>
          <w:tab w:pos="3645" w:val="left" w:leader="none"/>
        </w:tabs>
        <w:spacing w:line="295" w:lineRule="auto" w:before="120" w:after="0"/>
        <w:ind w:left="5327" w:right="898" w:hanging="2163"/>
        <w:jc w:val="both"/>
      </w:pPr>
      <w:bookmarkStart w:name="_TOC_250005" w:id="19"/>
      <w:r>
        <w:rPr>
          <w:spacing w:val="-1"/>
          <w:w w:val="95"/>
        </w:rPr>
        <w:t>美国市场销售将随获批医疗机构增加逐步增长，治疗方式切合中国医疗体  </w:t>
      </w:r>
      <w:bookmarkEnd w:id="19"/>
      <w:r>
        <w:rPr>
          <w:spacing w:val="-1"/>
        </w:rPr>
        <w:t>系</w:t>
      </w:r>
    </w:p>
    <w:p>
      <w:pPr>
        <w:spacing w:line="328" w:lineRule="auto" w:before="149"/>
        <w:ind w:left="3164" w:right="864" w:firstLine="0"/>
        <w:jc w:val="both"/>
        <w:rPr>
          <w:sz w:val="21"/>
        </w:rPr>
      </w:pPr>
      <w:r>
        <w:rPr>
          <w:b/>
          <w:spacing w:val="-6"/>
          <w:sz w:val="21"/>
        </w:rPr>
        <w:t>我们在前文已经论述 </w:t>
      </w:r>
      <w:r>
        <w:rPr>
          <w:b/>
          <w:sz w:val="21"/>
        </w:rPr>
        <w:t>Car-T</w:t>
      </w:r>
      <w:r>
        <w:rPr>
          <w:b/>
          <w:spacing w:val="-10"/>
          <w:sz w:val="21"/>
        </w:rPr>
        <w:t> 的销售额与有资格治疗的医疗机构数量高度相关，目</w:t>
      </w:r>
      <w:r>
        <w:rPr>
          <w:b/>
          <w:spacing w:val="-31"/>
          <w:sz w:val="21"/>
        </w:rPr>
        <w:t>前 </w:t>
      </w:r>
      <w:r>
        <w:rPr>
          <w:b/>
          <w:sz w:val="21"/>
        </w:rPr>
        <w:t>FDA</w:t>
      </w:r>
      <w:r>
        <w:rPr>
          <w:b/>
          <w:spacing w:val="-12"/>
          <w:sz w:val="21"/>
        </w:rPr>
        <w:t> 出于安全性的角度严格规定了 </w:t>
      </w:r>
      <w:r>
        <w:rPr>
          <w:b/>
          <w:sz w:val="21"/>
        </w:rPr>
        <w:t>Car-T</w:t>
      </w:r>
      <w:r>
        <w:rPr>
          <w:b/>
          <w:spacing w:val="-20"/>
          <w:sz w:val="21"/>
        </w:rPr>
        <w:t> 的使用场所。</w:t>
      </w:r>
      <w:r>
        <w:rPr>
          <w:sz w:val="21"/>
        </w:rPr>
        <w:t>随着医生教育的不断加</w:t>
      </w:r>
      <w:r>
        <w:rPr>
          <w:spacing w:val="-5"/>
          <w:sz w:val="21"/>
        </w:rPr>
        <w:t>强以及临床医生对于 </w:t>
      </w:r>
      <w:r>
        <w:rPr>
          <w:sz w:val="21"/>
        </w:rPr>
        <w:t>Car-T</w:t>
      </w:r>
      <w:r>
        <w:rPr>
          <w:spacing w:val="-10"/>
          <w:sz w:val="21"/>
        </w:rPr>
        <w:t> 副作用更加了解，不良反应的治疗将更为成熟，产品</w:t>
      </w:r>
      <w:r>
        <w:rPr>
          <w:spacing w:val="-15"/>
          <w:sz w:val="21"/>
        </w:rPr>
        <w:t>会变得更加可控，预计 </w:t>
      </w:r>
      <w:r>
        <w:rPr>
          <w:sz w:val="21"/>
        </w:rPr>
        <w:t>FDA</w:t>
      </w:r>
      <w:r>
        <w:rPr>
          <w:spacing w:val="-9"/>
          <w:sz w:val="21"/>
        </w:rPr>
        <w:t> 会逐步降低门槛，对会有越来越多的美国中部地区综</w:t>
      </w:r>
      <w:r>
        <w:rPr>
          <w:spacing w:val="-12"/>
          <w:sz w:val="21"/>
        </w:rPr>
        <w:t>合医院及部分有能力的肿瘤诊所获批使用 </w:t>
      </w:r>
      <w:r>
        <w:rPr>
          <w:sz w:val="21"/>
        </w:rPr>
        <w:t>Car-T。在美国占分级医疗系统中绝大</w:t>
      </w:r>
    </w:p>
    <w:p>
      <w:pPr>
        <w:spacing w:after="0" w:line="328" w:lineRule="auto"/>
        <w:jc w:val="both"/>
        <w:rPr>
          <w:sz w:val="21"/>
        </w:rPr>
        <w:sectPr>
          <w:pgSz w:w="11910" w:h="16850"/>
          <w:pgMar w:header="796" w:footer="1296" w:top="140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before="30"/>
        <w:ind w:left="3164"/>
        <w:jc w:val="both"/>
      </w:pPr>
      <w:r>
        <w:rPr/>
        <w:t>多数的诊所将会给 Car-T 在美国市场的放量提供坚实的基础。</w:t>
      </w:r>
    </w:p>
    <w:p>
      <w:pPr>
        <w:pStyle w:val="BodyText"/>
        <w:spacing w:before="8"/>
        <w:rPr>
          <w:sz w:val="17"/>
        </w:rPr>
      </w:pPr>
    </w:p>
    <w:p>
      <w:pPr>
        <w:pStyle w:val="BodyText"/>
        <w:spacing w:line="326" w:lineRule="auto"/>
        <w:ind w:left="3164" w:right="866"/>
        <w:jc w:val="both"/>
      </w:pPr>
      <w:r>
        <w:rPr>
          <w:b/>
          <w:spacing w:val="-5"/>
        </w:rPr>
        <w:t>中国医疗体系可能更适合 </w:t>
      </w:r>
      <w:r>
        <w:rPr>
          <w:b/>
        </w:rPr>
        <w:t>Car-T</w:t>
      </w:r>
      <w:r>
        <w:rPr>
          <w:b/>
          <w:spacing w:val="-15"/>
        </w:rPr>
        <w:t> 销售模式。</w:t>
      </w:r>
      <w:r>
        <w:rPr>
          <w:spacing w:val="-6"/>
        </w:rPr>
        <w:t>在中国医疗市场，由于大型公立医院</w:t>
      </w:r>
      <w:r>
        <w:rPr>
          <w:spacing w:val="-9"/>
        </w:rPr>
        <w:t>在公共医疗中占据着绝对比重，且大型公立医院各个科室基本没有明显短板，近</w:t>
      </w:r>
      <w:r>
        <w:rPr>
          <w:spacing w:val="-8"/>
        </w:rPr>
        <w:t>年来医院信息化的推进等各方面因素为 </w:t>
      </w:r>
      <w:r>
        <w:rPr/>
        <w:t>Car-T 在中国市场放量提供了坚实的基</w:t>
      </w:r>
      <w:r>
        <w:rPr>
          <w:spacing w:val="-1"/>
        </w:rPr>
        <w:t>础。目前中国三甲医院数共计 </w:t>
      </w:r>
      <w:r>
        <w:rPr/>
        <w:t>763 家，国家批准细胞临床治疗研究研究机构共</w:t>
      </w:r>
    </w:p>
    <w:p>
      <w:pPr>
        <w:pStyle w:val="BodyText"/>
        <w:spacing w:line="326" w:lineRule="auto" w:before="8"/>
        <w:ind w:left="3164" w:right="866"/>
        <w:jc w:val="both"/>
      </w:pPr>
      <w:r>
        <w:rPr/>
        <w:t>118</w:t>
      </w:r>
      <w:r>
        <w:rPr>
          <w:spacing w:val="-23"/>
        </w:rPr>
        <w:t> 家</w:t>
      </w:r>
      <w:r>
        <w:rPr/>
        <w:t>（</w:t>
      </w:r>
      <w:r>
        <w:rPr>
          <w:spacing w:val="-10"/>
        </w:rPr>
        <w:t>其中医院 </w:t>
      </w:r>
      <w:r>
        <w:rPr/>
        <w:t>106</w:t>
      </w:r>
      <w:r>
        <w:rPr>
          <w:spacing w:val="-11"/>
        </w:rPr>
        <w:t> 家，军队系统医院 </w:t>
      </w:r>
      <w:r>
        <w:rPr/>
        <w:t>12</w:t>
      </w:r>
      <w:r>
        <w:rPr>
          <w:spacing w:val="-23"/>
        </w:rPr>
        <w:t> 家</w:t>
      </w:r>
      <w:r>
        <w:rPr>
          <w:spacing w:val="-105"/>
        </w:rPr>
        <w:t>）</w:t>
      </w:r>
      <w:r>
        <w:rPr>
          <w:spacing w:val="-4"/>
        </w:rPr>
        <w:t>，且已有大量医院具有了 </w:t>
      </w:r>
      <w:r>
        <w:rPr/>
        <w:t>Car-T的临床经验（在中国开展临床数已超过美国</w:t>
      </w:r>
      <w:r>
        <w:rPr>
          <w:spacing w:val="-105"/>
        </w:rPr>
        <w:t>）</w:t>
      </w:r>
      <w:r>
        <w:rPr/>
        <w:t>。预计今后将有更多的医院报备临</w:t>
      </w:r>
      <w:r>
        <w:rPr>
          <w:spacing w:val="-11"/>
        </w:rPr>
        <w:t>床研究资格，数量众多的有资格医院将在 </w:t>
      </w:r>
      <w:r>
        <w:rPr/>
        <w:t>Car-T</w:t>
      </w:r>
      <w:r>
        <w:rPr>
          <w:spacing w:val="-7"/>
        </w:rPr>
        <w:t> 产品正式获批后为产品快速使用</w:t>
      </w:r>
      <w:r>
        <w:rPr>
          <w:spacing w:val="-9"/>
        </w:rPr>
        <w:t>提供助力。同时，目前报备的临床中大量是按照医疗技术类申报，随着监管政策的逐步完善（</w:t>
      </w:r>
      <w:r>
        <w:rPr>
          <w:spacing w:val="-13"/>
        </w:rPr>
        <w:t>如医疗技术类也需符合 </w:t>
      </w:r>
      <w:r>
        <w:rPr/>
        <w:t>GMP</w:t>
      </w:r>
      <w:r>
        <w:rPr>
          <w:spacing w:val="-12"/>
        </w:rPr>
        <w:t> 标准等</w:t>
      </w:r>
      <w:r>
        <w:rPr>
          <w:spacing w:val="-105"/>
        </w:rPr>
        <w:t>）</w:t>
      </w:r>
      <w:r>
        <w:rPr>
          <w:spacing w:val="-8"/>
        </w:rPr>
        <w:t>，只要未来 </w:t>
      </w:r>
      <w:r>
        <w:rPr/>
        <w:t>Car-T</w:t>
      </w:r>
      <w:r>
        <w:rPr>
          <w:spacing w:val="-9"/>
        </w:rPr>
        <w:t> 商业化产品</w:t>
      </w:r>
      <w:r>
        <w:rPr>
          <w:spacing w:val="-26"/>
        </w:rPr>
        <w:t>价格适合</w:t>
      </w:r>
      <w:r>
        <w:rPr/>
        <w:t>（例如等同骨髓移植费用</w:t>
      </w:r>
      <w:r>
        <w:rPr>
          <w:spacing w:val="-90"/>
        </w:rPr>
        <w:t>）</w:t>
      </w:r>
      <w:r>
        <w:rPr>
          <w:spacing w:val="-13"/>
        </w:rPr>
        <w:t>，将有较多的医院选择商业化的 </w:t>
      </w:r>
      <w:r>
        <w:rPr>
          <w:spacing w:val="-3"/>
        </w:rPr>
        <w:t>Car-T</w:t>
      </w:r>
      <w:r>
        <w:rPr>
          <w:spacing w:val="-12"/>
        </w:rPr>
        <w:t> 产品。</w:t>
      </w:r>
    </w:p>
    <w:p>
      <w:pPr>
        <w:pStyle w:val="BodyText"/>
        <w:rPr>
          <w:sz w:val="20"/>
        </w:rPr>
      </w:pPr>
    </w:p>
    <w:p>
      <w:pPr>
        <w:pStyle w:val="BodyText"/>
        <w:spacing w:before="9"/>
        <w:rPr>
          <w:sz w:val="14"/>
        </w:rPr>
      </w:pPr>
    </w:p>
    <w:p>
      <w:pPr>
        <w:pStyle w:val="Heading2"/>
        <w:tabs>
          <w:tab w:pos="5627" w:val="left" w:leader="none"/>
          <w:tab w:pos="5867" w:val="left" w:leader="none"/>
        </w:tabs>
        <w:ind w:left="1061"/>
      </w:pPr>
      <w:r>
        <w:rPr>
          <w:rFonts w:ascii="Times New Roman" w:eastAsia="Times New Roman"/>
          <w:color w:val="FFFFFF"/>
          <w:shd w:fill="A11D04" w:color="auto" w:val="clear"/>
        </w:rPr>
        <w:t> </w:t>
      </w:r>
      <w:r>
        <w:rPr>
          <w:rFonts w:ascii="Times New Roman" w:eastAsia="Times New Roman"/>
          <w:color w:val="FFFFFF"/>
          <w:spacing w:val="15"/>
          <w:shd w:fill="A11D04" w:color="auto" w:val="clear"/>
        </w:rPr>
        <w:t> </w:t>
      </w:r>
      <w:r>
        <w:rPr>
          <w:color w:val="FFFFFF"/>
          <w:shd w:fill="A11D04" w:color="auto" w:val="clear"/>
        </w:rPr>
        <w:t>图</w:t>
      </w:r>
      <w:r>
        <w:rPr>
          <w:color w:val="FFFFFF"/>
          <w:spacing w:val="-33"/>
          <w:shd w:fill="A11D04" w:color="auto" w:val="clear"/>
        </w:rPr>
        <w:t> </w:t>
      </w:r>
      <w:r>
        <w:rPr>
          <w:color w:val="FFFFFF"/>
          <w:spacing w:val="3"/>
          <w:shd w:fill="A11D04" w:color="auto" w:val="clear"/>
        </w:rPr>
        <w:t>24：Car-T</w:t>
      </w:r>
      <w:r>
        <w:rPr>
          <w:color w:val="FFFFFF"/>
          <w:spacing w:val="-48"/>
          <w:shd w:fill="A11D04" w:color="auto" w:val="clear"/>
        </w:rPr>
        <w:t> </w:t>
      </w:r>
      <w:r>
        <w:rPr>
          <w:color w:val="FFFFFF"/>
          <w:shd w:fill="A11D04" w:color="auto" w:val="clear"/>
        </w:rPr>
        <w:t>临床数量对比</w:t>
        <w:tab/>
      </w:r>
      <w:r>
        <w:rPr>
          <w:color w:val="FFFFFF"/>
        </w:rPr>
        <w:tab/>
      </w:r>
      <w:r>
        <w:rPr>
          <w:color w:val="FFFFFF"/>
          <w:shd w:fill="A11D04" w:color="auto" w:val="clear"/>
        </w:rPr>
        <w:t>图</w:t>
      </w:r>
      <w:r>
        <w:rPr>
          <w:color w:val="FFFFFF"/>
          <w:spacing w:val="-32"/>
          <w:shd w:fill="A11D04" w:color="auto" w:val="clear"/>
        </w:rPr>
        <w:t> </w:t>
      </w:r>
      <w:r>
        <w:rPr>
          <w:color w:val="FFFFFF"/>
          <w:spacing w:val="10"/>
          <w:shd w:fill="A11D04" w:color="auto" w:val="clear"/>
        </w:rPr>
        <w:t>25：</w:t>
      </w:r>
      <w:r>
        <w:rPr>
          <w:color w:val="FFFFFF"/>
          <w:shd w:fill="A11D04" w:color="auto" w:val="clear"/>
        </w:rPr>
        <w:t>中国获批开展细胞治疗临床</w:t>
      </w:r>
      <w:r>
        <w:rPr>
          <w:color w:val="FFFFFF"/>
          <w:spacing w:val="15"/>
          <w:shd w:fill="A11D04" w:color="auto" w:val="clear"/>
        </w:rPr>
        <w:t>研</w:t>
      </w:r>
      <w:r>
        <w:rPr>
          <w:color w:val="FFFFFF"/>
          <w:shd w:fill="A11D04" w:color="auto" w:val="clear"/>
        </w:rPr>
        <w:t>究医院数</w:t>
      </w:r>
      <w:r>
        <w:rPr>
          <w:color w:val="FFFFFF"/>
          <w:spacing w:val="26"/>
          <w:shd w:fill="A11D04" w:color="auto" w:val="clear"/>
        </w:rPr>
        <w:t> </w:t>
      </w:r>
    </w:p>
    <w:p>
      <w:pPr>
        <w:pStyle w:val="BodyText"/>
        <w:rPr>
          <w:b/>
          <w:sz w:val="20"/>
        </w:rPr>
      </w:pPr>
    </w:p>
    <w:p>
      <w:pPr>
        <w:pStyle w:val="BodyText"/>
        <w:spacing w:before="12"/>
        <w:rPr>
          <w:b/>
          <w:sz w:val="17"/>
        </w:rPr>
      </w:pPr>
      <w:r>
        <w:rPr/>
        <w:drawing>
          <wp:anchor distT="0" distB="0" distL="0" distR="0" allowOverlap="1" layoutInCell="1" locked="0" behindDoc="0" simplePos="0" relativeHeight="80">
            <wp:simplePos x="0" y="0"/>
            <wp:positionH relativeFrom="page">
              <wp:posOffset>949642</wp:posOffset>
            </wp:positionH>
            <wp:positionV relativeFrom="paragraph">
              <wp:posOffset>171132</wp:posOffset>
            </wp:positionV>
            <wp:extent cx="2668973" cy="1555432"/>
            <wp:effectExtent l="0" t="0" r="0" b="0"/>
            <wp:wrapTopAndBottom/>
            <wp:docPr id="45" name="image27.png"/>
            <wp:cNvGraphicFramePr>
              <a:graphicFrameLocks noChangeAspect="1"/>
            </wp:cNvGraphicFramePr>
            <a:graphic>
              <a:graphicData uri="http://schemas.openxmlformats.org/drawingml/2006/picture">
                <pic:pic>
                  <pic:nvPicPr>
                    <pic:cNvPr id="46" name="image27.png"/>
                    <pic:cNvPicPr/>
                  </pic:nvPicPr>
                  <pic:blipFill>
                    <a:blip r:embed="rId39" cstate="print"/>
                    <a:stretch>
                      <a:fillRect/>
                    </a:stretch>
                  </pic:blipFill>
                  <pic:spPr>
                    <a:xfrm>
                      <a:off x="0" y="0"/>
                      <a:ext cx="2668973" cy="1555432"/>
                    </a:xfrm>
                    <a:prstGeom prst="rect">
                      <a:avLst/>
                    </a:prstGeom>
                  </pic:spPr>
                </pic:pic>
              </a:graphicData>
            </a:graphic>
          </wp:anchor>
        </w:drawing>
      </w:r>
      <w:r>
        <w:rPr/>
        <w:drawing>
          <wp:anchor distT="0" distB="0" distL="0" distR="0" allowOverlap="1" layoutInCell="1" locked="0" behindDoc="0" simplePos="0" relativeHeight="81">
            <wp:simplePos x="0" y="0"/>
            <wp:positionH relativeFrom="page">
              <wp:posOffset>4216300</wp:posOffset>
            </wp:positionH>
            <wp:positionV relativeFrom="paragraph">
              <wp:posOffset>298235</wp:posOffset>
            </wp:positionV>
            <wp:extent cx="2331520" cy="1371600"/>
            <wp:effectExtent l="0" t="0" r="0" b="0"/>
            <wp:wrapTopAndBottom/>
            <wp:docPr id="47" name="image28.png"/>
            <wp:cNvGraphicFramePr>
              <a:graphicFrameLocks noChangeAspect="1"/>
            </wp:cNvGraphicFramePr>
            <a:graphic>
              <a:graphicData uri="http://schemas.openxmlformats.org/drawingml/2006/picture">
                <pic:pic>
                  <pic:nvPicPr>
                    <pic:cNvPr id="48" name="image28.png"/>
                    <pic:cNvPicPr/>
                  </pic:nvPicPr>
                  <pic:blipFill>
                    <a:blip r:embed="rId40" cstate="print"/>
                    <a:stretch>
                      <a:fillRect/>
                    </a:stretch>
                  </pic:blipFill>
                  <pic:spPr>
                    <a:xfrm>
                      <a:off x="0" y="0"/>
                      <a:ext cx="2331520" cy="1371600"/>
                    </a:xfrm>
                    <a:prstGeom prst="rect">
                      <a:avLst/>
                    </a:prstGeom>
                  </pic:spPr>
                </pic:pic>
              </a:graphicData>
            </a:graphic>
          </wp:anchor>
        </w:drawing>
      </w:r>
    </w:p>
    <w:p>
      <w:pPr>
        <w:pStyle w:val="BodyText"/>
        <w:rPr>
          <w:b/>
          <w:sz w:val="20"/>
        </w:rPr>
      </w:pPr>
    </w:p>
    <w:p>
      <w:pPr>
        <w:pStyle w:val="BodyText"/>
        <w:spacing w:before="1"/>
        <w:rPr>
          <w:b/>
          <w:sz w:val="12"/>
        </w:rPr>
      </w:pPr>
      <w:r>
        <w:rPr/>
        <w:pict>
          <v:rect style="position:absolute;margin-left:66.824997pt;margin-top:9.7125pt;width:227.55pt;height:.75pt;mso-position-horizontal-relative:page;mso-position-vertical-relative:paragraph;z-index:-15686656;mso-wrap-distance-left:0;mso-wrap-distance-right:0" filled="true" fillcolor="#a11d04" stroked="false">
            <v:fill type="solid"/>
            <w10:wrap type="topAndBottom"/>
          </v:rect>
        </w:pict>
      </w:r>
      <w:r>
        <w:rPr/>
        <w:pict>
          <v:rect style="position:absolute;margin-left:306.380005pt;margin-top:9.7125pt;width:228.28pt;height:.75pt;mso-position-horizontal-relative:page;mso-position-vertical-relative:paragraph;z-index:-15686144;mso-wrap-distance-left:0;mso-wrap-distance-right:0" filled="true" fillcolor="#a11d04" stroked="false">
            <v:fill type="solid"/>
            <w10:wrap type="topAndBottom"/>
          </v:rect>
        </w:pict>
      </w:r>
    </w:p>
    <w:p>
      <w:pPr>
        <w:tabs>
          <w:tab w:pos="5972" w:val="left" w:leader="none"/>
        </w:tabs>
        <w:spacing w:before="16"/>
        <w:ind w:left="1181" w:right="0" w:firstLine="0"/>
        <w:jc w:val="left"/>
        <w:rPr>
          <w:b/>
          <w:sz w:val="15"/>
        </w:rPr>
      </w:pPr>
      <w:r>
        <w:rPr>
          <w:b/>
          <w:spacing w:val="14"/>
          <w:sz w:val="15"/>
        </w:rPr>
        <w:t>数据来</w:t>
      </w:r>
      <w:r>
        <w:rPr>
          <w:b/>
          <w:sz w:val="15"/>
        </w:rPr>
        <w:t>源：clinica</w:t>
      </w:r>
      <w:r>
        <w:rPr>
          <w:b/>
          <w:spacing w:val="-63"/>
          <w:sz w:val="15"/>
        </w:rPr>
        <w:t> </w:t>
      </w:r>
      <w:r>
        <w:rPr>
          <w:b/>
          <w:sz w:val="15"/>
        </w:rPr>
        <w:t>ltrials，财通证券研究所</w:t>
        <w:tab/>
      </w:r>
      <w:r>
        <w:rPr>
          <w:b/>
          <w:spacing w:val="14"/>
          <w:sz w:val="15"/>
        </w:rPr>
        <w:t>数据来</w:t>
      </w:r>
      <w:r>
        <w:rPr>
          <w:b/>
          <w:sz w:val="15"/>
        </w:rPr>
        <w:t>源：</w:t>
      </w:r>
      <w:r>
        <w:rPr>
          <w:b/>
          <w:spacing w:val="-31"/>
          <w:sz w:val="15"/>
        </w:rPr>
        <w:t> </w:t>
      </w:r>
      <w:r>
        <w:rPr>
          <w:b/>
          <w:spacing w:val="9"/>
          <w:sz w:val="15"/>
        </w:rPr>
        <w:t>cli</w:t>
      </w:r>
      <w:r>
        <w:rPr>
          <w:b/>
          <w:spacing w:val="-61"/>
          <w:sz w:val="15"/>
        </w:rPr>
        <w:t> </w:t>
      </w:r>
      <w:r>
        <w:rPr>
          <w:b/>
          <w:sz w:val="15"/>
        </w:rPr>
        <w:t>nicaltrial</w:t>
      </w:r>
      <w:r>
        <w:rPr>
          <w:b/>
          <w:spacing w:val="-61"/>
          <w:sz w:val="15"/>
        </w:rPr>
        <w:t> </w:t>
      </w:r>
      <w:r>
        <w:rPr>
          <w:b/>
          <w:sz w:val="15"/>
        </w:rPr>
        <w:t>s，财通证券研究所财通证券研究所</w:t>
      </w:r>
    </w:p>
    <w:p>
      <w:pPr>
        <w:pStyle w:val="BodyText"/>
        <w:rPr>
          <w:b/>
          <w:sz w:val="20"/>
        </w:rPr>
      </w:pPr>
    </w:p>
    <w:p>
      <w:pPr>
        <w:pStyle w:val="BodyText"/>
        <w:spacing w:before="6"/>
        <w:rPr>
          <w:b/>
          <w:sz w:val="27"/>
        </w:rPr>
      </w:pPr>
    </w:p>
    <w:p>
      <w:pPr>
        <w:pStyle w:val="Heading2"/>
        <w:numPr>
          <w:ilvl w:val="1"/>
          <w:numId w:val="12"/>
        </w:numPr>
        <w:tabs>
          <w:tab w:pos="3645" w:val="left" w:leader="none"/>
        </w:tabs>
        <w:spacing w:line="240" w:lineRule="auto" w:before="70" w:after="0"/>
        <w:ind w:left="3645" w:right="0" w:hanging="481"/>
        <w:jc w:val="left"/>
      </w:pPr>
      <w:bookmarkStart w:name="_TOC_250004" w:id="20"/>
      <w:r>
        <w:rPr>
          <w:spacing w:val="9"/>
        </w:rPr>
        <w:t>Car-T</w:t>
      </w:r>
      <w:bookmarkEnd w:id="20"/>
      <w:r>
        <w:rPr>
          <w:spacing w:val="-6"/>
        </w:rPr>
        <w:t> 生产成本有望逐步下降，并且国产替代有空间</w:t>
      </w:r>
    </w:p>
    <w:p>
      <w:pPr>
        <w:pStyle w:val="BodyText"/>
        <w:spacing w:before="6"/>
        <w:rPr>
          <w:b/>
          <w:sz w:val="16"/>
        </w:rPr>
      </w:pPr>
    </w:p>
    <w:p>
      <w:pPr>
        <w:spacing w:line="328" w:lineRule="auto" w:before="1"/>
        <w:ind w:left="3164" w:right="867" w:firstLine="0"/>
        <w:jc w:val="both"/>
        <w:rPr>
          <w:sz w:val="21"/>
        </w:rPr>
      </w:pPr>
      <w:r>
        <w:rPr>
          <w:b/>
          <w:spacing w:val="5"/>
          <w:w w:val="99"/>
          <w:sz w:val="21"/>
        </w:rPr>
        <w:t>随着通用型</w:t>
      </w:r>
      <w:r>
        <w:rPr>
          <w:b/>
          <w:w w:val="99"/>
          <w:sz w:val="21"/>
        </w:rPr>
        <w:t>Car</w:t>
      </w:r>
      <w:r>
        <w:rPr>
          <w:b/>
          <w:spacing w:val="-76"/>
          <w:sz w:val="21"/>
        </w:rPr>
        <w:t> </w:t>
      </w:r>
      <w:r>
        <w:rPr>
          <w:b/>
          <w:spacing w:val="-8"/>
          <w:w w:val="99"/>
          <w:sz w:val="21"/>
        </w:rPr>
        <w:t>等技术的逐步成熟，以及上下游以及</w:t>
      </w:r>
      <w:r>
        <w:rPr>
          <w:b/>
          <w:w w:val="99"/>
          <w:sz w:val="21"/>
        </w:rPr>
        <w:t>C</w:t>
      </w:r>
      <w:r>
        <w:rPr>
          <w:b/>
          <w:spacing w:val="14"/>
          <w:w w:val="99"/>
          <w:sz w:val="21"/>
        </w:rPr>
        <w:t>D</w:t>
      </w:r>
      <w:r>
        <w:rPr>
          <w:b/>
          <w:w w:val="99"/>
          <w:sz w:val="21"/>
        </w:rPr>
        <w:t>MO</w:t>
      </w:r>
      <w:r>
        <w:rPr>
          <w:b/>
          <w:spacing w:val="-76"/>
          <w:sz w:val="21"/>
        </w:rPr>
        <w:t> </w:t>
      </w:r>
      <w:r>
        <w:rPr>
          <w:b/>
          <w:spacing w:val="-14"/>
          <w:w w:val="99"/>
          <w:sz w:val="21"/>
        </w:rPr>
        <w:t>产业的逐渐成熟，</w:t>
      </w:r>
      <w:r>
        <w:rPr>
          <w:b/>
          <w:w w:val="99"/>
          <w:sz w:val="21"/>
        </w:rPr>
        <w:t>Car-T</w:t>
      </w:r>
      <w:r>
        <w:rPr>
          <w:b/>
          <w:spacing w:val="-6"/>
          <w:sz w:val="21"/>
        </w:rPr>
        <w:t>成本有望下降，给国产替代留下空间。</w:t>
      </w:r>
      <w:r>
        <w:rPr>
          <w:spacing w:val="-9"/>
          <w:sz w:val="21"/>
        </w:rPr>
        <w:t>目前获批的 </w:t>
      </w:r>
      <w:r>
        <w:rPr>
          <w:spacing w:val="-3"/>
          <w:sz w:val="21"/>
        </w:rPr>
        <w:t>Car-T</w:t>
      </w:r>
      <w:r>
        <w:rPr>
          <w:spacing w:val="-8"/>
          <w:sz w:val="21"/>
        </w:rPr>
        <w:t> 成本高昂主要是行业先</w:t>
      </w:r>
      <w:r>
        <w:rPr>
          <w:spacing w:val="-11"/>
          <w:sz w:val="21"/>
        </w:rPr>
        <w:t>驱者诺华和吉利德引领行业制定生产和放行标准，其在生产和检验中使用的设备如 系 统 包 括 DynabeadsCD3/CD28 细 胞 治 疗 系 统 CTS 、 </w:t>
      </w:r>
      <w:r>
        <w:rPr>
          <w:spacing w:val="-3"/>
          <w:sz w:val="21"/>
        </w:rPr>
        <w:t>Elutra</w:t>
      </w:r>
      <w:r>
        <w:rPr>
          <w:spacing w:val="-13"/>
          <w:sz w:val="21"/>
        </w:rPr>
        <w:t> 、CellSaver</w:t>
      </w:r>
      <w:r>
        <w:rPr>
          <w:rFonts w:ascii="Calibri" w:hAnsi="Calibri" w:eastAsia="Calibri"/>
          <w:spacing w:val="-13"/>
          <w:sz w:val="21"/>
        </w:rPr>
        <w:t>®</w:t>
      </w:r>
      <w:r>
        <w:rPr>
          <w:spacing w:val="-13"/>
          <w:sz w:val="21"/>
        </w:rPr>
        <w:t>5(Haemonetics</w:t>
      </w:r>
      <w:r>
        <w:rPr>
          <w:spacing w:val="-9"/>
          <w:sz w:val="21"/>
        </w:rPr>
        <w:t>)等均来自跨国公司，如 </w:t>
      </w:r>
      <w:r>
        <w:rPr>
          <w:sz w:val="21"/>
        </w:rPr>
        <w:t>GE、赛默飞等，且其检测流</w:t>
      </w:r>
      <w:r>
        <w:rPr>
          <w:spacing w:val="-15"/>
          <w:sz w:val="21"/>
        </w:rPr>
        <w:t>程如 </w:t>
      </w:r>
      <w:r>
        <w:rPr>
          <w:sz w:val="21"/>
        </w:rPr>
        <w:t>CAR-T</w:t>
      </w:r>
      <w:r>
        <w:rPr>
          <w:spacing w:val="-11"/>
          <w:sz w:val="21"/>
        </w:rPr>
        <w:t> 的鉴别和纯度检测、病毒检测系统及残留 </w:t>
      </w:r>
      <w:r>
        <w:rPr>
          <w:sz w:val="21"/>
        </w:rPr>
        <w:t>DNA、残留蛋白等的检测均靠自己反复摸索，造成了成本高昂。</w:t>
      </w:r>
    </w:p>
    <w:p>
      <w:pPr>
        <w:pStyle w:val="BodyText"/>
        <w:spacing w:line="321" w:lineRule="auto" w:before="122"/>
        <w:ind w:left="3164" w:right="773"/>
        <w:jc w:val="both"/>
      </w:pPr>
      <w:r>
        <w:rPr>
          <w:spacing w:val="-6"/>
        </w:rPr>
        <w:t>后续，随着 </w:t>
      </w:r>
      <w:r>
        <w:rPr/>
        <w:t>Car-T</w:t>
      </w:r>
      <w:r>
        <w:rPr>
          <w:spacing w:val="-6"/>
        </w:rPr>
        <w:t> 产业逐渐成熟，上下游供应商逐步熟悉相关生产，相应设备、试剂有望实现降价。</w:t>
      </w:r>
    </w:p>
    <w:p>
      <w:pPr>
        <w:pStyle w:val="BodyText"/>
        <w:spacing w:before="134"/>
        <w:ind w:left="3164"/>
        <w:jc w:val="both"/>
      </w:pPr>
      <w:r>
        <w:rPr/>
        <w:t>同时，目前还未充分发挥作用的 CDMO 企业也将发挥作用，尤其是中国的 CDMO 将</w:t>
      </w:r>
    </w:p>
    <w:p>
      <w:pPr>
        <w:spacing w:after="0"/>
        <w:jc w:val="both"/>
        <w:sectPr>
          <w:headerReference w:type="default" r:id="rId37"/>
          <w:footerReference w:type="default" r:id="rId38"/>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861"/>
        <w:jc w:val="both"/>
      </w:pPr>
      <w:r>
        <w:rPr>
          <w:spacing w:val="-8"/>
        </w:rPr>
        <w:t>快速地发挥其作用。在早前 </w:t>
      </w:r>
      <w:r>
        <w:rPr/>
        <w:t>Car-T</w:t>
      </w:r>
      <w:r>
        <w:rPr>
          <w:spacing w:val="-9"/>
        </w:rPr>
        <w:t> 发展阶段，由于行业标准整体较低且监管理念</w:t>
      </w:r>
      <w:r>
        <w:rPr>
          <w:spacing w:val="-8"/>
        </w:rPr>
        <w:t>尚未完全确立，市场上出现了大量的研发机构或企业，但整体起点较低，</w:t>
      </w:r>
      <w:r>
        <w:rPr/>
        <w:t>90%左</w:t>
      </w:r>
      <w:r>
        <w:rPr>
          <w:spacing w:val="-5"/>
        </w:rPr>
        <w:t>右的企业在管理理念、注册合规性及生产体系上存在缺陷，导致大量申报机构为</w:t>
      </w:r>
      <w:r>
        <w:rPr>
          <w:spacing w:val="-7"/>
        </w:rPr>
        <w:t>的研究所、医院及无药品生产经验药品研发企业，出现了“上百个 </w:t>
      </w:r>
      <w:r>
        <w:rPr/>
        <w:t>IND、十指数</w:t>
      </w:r>
      <w:r>
        <w:rPr>
          <w:spacing w:val="-1"/>
        </w:rPr>
        <w:t>批临床”的现象。随着监管的逐步完善，近期出台相关政策的出台，如《</w:t>
      </w:r>
      <w:r>
        <w:rPr/>
        <w:t>GMP</w:t>
      </w:r>
      <w:r>
        <w:rPr>
          <w:spacing w:val="-23"/>
        </w:rPr>
        <w:t> 附</w:t>
      </w:r>
      <w:r>
        <w:rPr>
          <w:spacing w:val="-24"/>
        </w:rPr>
        <w:t>录-细胞治疗产品》、《人用基因治疗制品总论-中国药典 </w:t>
      </w:r>
      <w:r>
        <w:rPr/>
        <w:t>2020</w:t>
      </w:r>
      <w:r>
        <w:rPr>
          <w:spacing w:val="-81"/>
        </w:rPr>
        <w:t>》、《</w:t>
      </w:r>
      <w:r>
        <w:rPr/>
        <w:t>Car-T</w:t>
      </w:r>
      <w:r>
        <w:rPr>
          <w:spacing w:val="-10"/>
        </w:rPr>
        <w:t> 产品质检</w:t>
      </w:r>
      <w:r>
        <w:rPr>
          <w:spacing w:val="-19"/>
        </w:rPr>
        <w:t>及非临床研究要点》、《细胞治疗产品研究及评价》等，将会有大量不合格的研发</w:t>
      </w:r>
      <w:r>
        <w:rPr>
          <w:spacing w:val="-25"/>
        </w:rPr>
        <w:t>企业选择 </w:t>
      </w:r>
      <w:r>
        <w:rPr/>
        <w:t>CDMO</w:t>
      </w:r>
      <w:r>
        <w:rPr>
          <w:spacing w:val="-11"/>
        </w:rPr>
        <w:t> 进行生产，从而逐步发挥 </w:t>
      </w:r>
      <w:r>
        <w:rPr/>
        <w:t>CDMO</w:t>
      </w:r>
      <w:r>
        <w:rPr>
          <w:spacing w:val="-10"/>
        </w:rPr>
        <w:t> 的作用。</w:t>
      </w:r>
    </w:p>
    <w:p>
      <w:pPr>
        <w:pStyle w:val="Heading2"/>
        <w:numPr>
          <w:ilvl w:val="1"/>
          <w:numId w:val="12"/>
        </w:numPr>
        <w:tabs>
          <w:tab w:pos="3645" w:val="left" w:leader="none"/>
        </w:tabs>
        <w:spacing w:line="240" w:lineRule="auto" w:before="99" w:after="0"/>
        <w:ind w:left="3645" w:right="0" w:hanging="481"/>
        <w:jc w:val="both"/>
      </w:pPr>
      <w:bookmarkStart w:name="_TOC_250003" w:id="21"/>
      <w:r>
        <w:rPr>
          <w:spacing w:val="9"/>
        </w:rPr>
        <w:t>Car-T</w:t>
      </w:r>
      <w:bookmarkEnd w:id="21"/>
      <w:r>
        <w:rPr>
          <w:spacing w:val="-6"/>
        </w:rPr>
        <w:t> 产业与细胞、基因治疗产业发展相辅相成</w:t>
      </w:r>
    </w:p>
    <w:p>
      <w:pPr>
        <w:pStyle w:val="BodyText"/>
        <w:spacing w:before="5"/>
        <w:rPr>
          <w:b/>
          <w:sz w:val="16"/>
        </w:rPr>
      </w:pPr>
    </w:p>
    <w:p>
      <w:pPr>
        <w:pStyle w:val="BodyText"/>
        <w:spacing w:line="328" w:lineRule="auto" w:before="1"/>
        <w:ind w:left="3164" w:right="773"/>
      </w:pPr>
      <w:r>
        <w:rPr>
          <w:b/>
        </w:rPr>
        <w:t>Car-T</w:t>
      </w:r>
      <w:r>
        <w:rPr>
          <w:b/>
          <w:spacing w:val="-7"/>
        </w:rPr>
        <w:t> 对整个细胞、基因治疗产业的可持续性具有推动作用。</w:t>
      </w:r>
      <w:r>
        <w:rPr>
          <w:spacing w:val="-4"/>
        </w:rPr>
        <w:t>目前，整个产业较</w:t>
      </w:r>
      <w:r>
        <w:rPr>
          <w:spacing w:val="-8"/>
        </w:rPr>
        <w:t>为缺乏具备相应服务能力的 </w:t>
      </w:r>
      <w:r>
        <w:rPr/>
        <w:t>CMO/CDMO</w:t>
      </w:r>
      <w:r>
        <w:rPr>
          <w:spacing w:val="-28"/>
        </w:rPr>
        <w:t>，包括质粒、病毒载体、</w:t>
      </w:r>
      <w:r>
        <w:rPr/>
        <w:t>CAR-T</w:t>
      </w:r>
      <w:r>
        <w:rPr>
          <w:spacing w:val="-8"/>
        </w:rPr>
        <w:t> 细胞制备等。</w:t>
      </w:r>
      <w:r>
        <w:rPr>
          <w:spacing w:val="-20"/>
        </w:rPr>
        <w:t>而 </w:t>
      </w:r>
      <w:r>
        <w:rPr/>
        <w:t>Car-T</w:t>
      </w:r>
      <w:r>
        <w:rPr>
          <w:spacing w:val="-6"/>
        </w:rPr>
        <w:t> 生产所使用的设备与工艺对于其它类型的细胞、基因治疗具有通用性， </w:t>
      </w:r>
      <w:r>
        <w:rPr>
          <w:spacing w:val="-10"/>
        </w:rPr>
        <w:t>许多设备仪器可以相互转化使用，从而一定程度上可以避免产业逐步成熟后生产过剩的问题，长期的资本成本有边际着落。</w:t>
      </w:r>
    </w:p>
    <w:p>
      <w:pPr>
        <w:pStyle w:val="Heading2"/>
        <w:numPr>
          <w:ilvl w:val="1"/>
          <w:numId w:val="12"/>
        </w:numPr>
        <w:tabs>
          <w:tab w:pos="3645" w:val="left" w:leader="none"/>
        </w:tabs>
        <w:spacing w:line="240" w:lineRule="auto" w:before="94" w:after="0"/>
        <w:ind w:left="3645" w:right="0" w:hanging="481"/>
        <w:jc w:val="left"/>
      </w:pPr>
      <w:bookmarkStart w:name="_TOC_250002" w:id="22"/>
      <w:r>
        <w:rPr>
          <w:spacing w:val="9"/>
        </w:rPr>
        <w:t>Car-T</w:t>
      </w:r>
      <w:bookmarkEnd w:id="22"/>
      <w:r>
        <w:rPr>
          <w:spacing w:val="-7"/>
        </w:rPr>
        <w:t> 市场仍具有极大潜力</w:t>
      </w:r>
    </w:p>
    <w:p>
      <w:pPr>
        <w:pStyle w:val="BodyText"/>
        <w:spacing w:before="6"/>
        <w:rPr>
          <w:b/>
          <w:sz w:val="16"/>
        </w:rPr>
      </w:pPr>
    </w:p>
    <w:p>
      <w:pPr>
        <w:pStyle w:val="BodyText"/>
        <w:spacing w:line="328" w:lineRule="auto"/>
        <w:ind w:left="3164" w:right="865"/>
        <w:jc w:val="both"/>
      </w:pPr>
      <w:r>
        <w:rPr>
          <w:b/>
        </w:rPr>
        <w:t>Car-T</w:t>
      </w:r>
      <w:r>
        <w:rPr>
          <w:b/>
          <w:spacing w:val="-3"/>
        </w:rPr>
        <w:t> 市场仍具有极大潜力</w:t>
      </w:r>
      <w:r>
        <w:rPr>
          <w:b/>
        </w:rPr>
        <w:t>（为了简化起见，我们仅计算中国市场作为参考</w:t>
      </w:r>
      <w:r>
        <w:rPr>
          <w:b/>
          <w:spacing w:val="-105"/>
        </w:rPr>
        <w:t>）</w:t>
      </w:r>
      <w:r>
        <w:rPr>
          <w:b/>
        </w:rPr>
        <w:t>。</w:t>
      </w:r>
      <w:r>
        <w:rPr/>
        <w:t>CAR-T</w:t>
      </w:r>
      <w:r>
        <w:rPr>
          <w:spacing w:val="-5"/>
        </w:rPr>
        <w:t> 产品的定价方面，诺华给出了 </w:t>
      </w:r>
      <w:r>
        <w:rPr/>
        <w:t>50</w:t>
      </w:r>
      <w:r>
        <w:rPr>
          <w:spacing w:val="-4"/>
        </w:rPr>
        <w:t> 万美元的高昂定价范围，这是参照美国</w:t>
      </w:r>
      <w:r>
        <w:rPr>
          <w:spacing w:val="-9"/>
        </w:rPr>
        <w:t>骨髓移植的费用而制定的价格。我们假定 </w:t>
      </w:r>
      <w:r>
        <w:rPr/>
        <w:t>Car-T</w:t>
      </w:r>
      <w:r>
        <w:rPr>
          <w:spacing w:val="-9"/>
        </w:rPr>
        <w:t> 上市后有两种定价策略，一种是</w:t>
      </w:r>
      <w:r>
        <w:rPr>
          <w:spacing w:val="-12"/>
        </w:rPr>
        <w:t>参考骨髓移植在中国的费用 </w:t>
      </w:r>
      <w:r>
        <w:rPr/>
        <w:t>40</w:t>
      </w:r>
      <w:r>
        <w:rPr>
          <w:spacing w:val="-10"/>
        </w:rPr>
        <w:t> 万定价，在这种定价策略下 </w:t>
      </w:r>
      <w:r>
        <w:rPr/>
        <w:t>Car-T</w:t>
      </w:r>
      <w:r>
        <w:rPr>
          <w:spacing w:val="-8"/>
        </w:rPr>
        <w:t> 主要通过市场</w:t>
      </w:r>
      <w:r>
        <w:rPr>
          <w:spacing w:val="-10"/>
        </w:rPr>
        <w:t>渗透来实现收入，医保可以参照目前骨髓移植大病保险的方式进行覆盖，有能力</w:t>
      </w:r>
      <w:r>
        <w:rPr>
          <w:spacing w:val="-15"/>
        </w:rPr>
        <w:t>的医院基本都会使用该疗法。在计算市场天花板时，我们假定 </w:t>
      </w:r>
      <w:r>
        <w:rPr/>
        <w:t>Car-T</w:t>
      </w:r>
      <w:r>
        <w:rPr>
          <w:spacing w:val="-9"/>
        </w:rPr>
        <w:t> 能获批多发</w:t>
      </w:r>
      <w:r>
        <w:rPr>
          <w:spacing w:val="-11"/>
        </w:rPr>
        <w:t>性骨髓瘤及其他骨髓瘤，且其药物经济学上优于巩固和维持治疗的 </w:t>
      </w:r>
      <w:r>
        <w:rPr/>
        <w:t>VRd（来那度胺+硼替佐米+少量地塞米松</w:t>
      </w:r>
      <w:r>
        <w:rPr>
          <w:spacing w:val="-105"/>
        </w:rPr>
        <w:t>）</w:t>
      </w:r>
      <w:r>
        <w:rPr>
          <w:spacing w:val="-53"/>
        </w:rPr>
        <w:t>方案</w:t>
      </w:r>
      <w:r>
        <w:rPr/>
        <w:t>（Car-T</w:t>
      </w:r>
      <w:r>
        <w:rPr>
          <w:spacing w:val="-14"/>
        </w:rPr>
        <w:t> 还未在中国定价，以美国价格做参考</w:t>
      </w:r>
      <w:r>
        <w:rPr>
          <w:spacing w:val="-105"/>
        </w:rPr>
        <w:t>）</w:t>
      </w:r>
      <w:r>
        <w:rPr/>
        <w:t>。</w:t>
      </w:r>
    </w:p>
    <w:p>
      <w:pPr>
        <w:pStyle w:val="BodyText"/>
        <w:rPr>
          <w:sz w:val="20"/>
        </w:rPr>
      </w:pPr>
    </w:p>
    <w:p>
      <w:pPr>
        <w:pStyle w:val="BodyText"/>
        <w:spacing w:before="2"/>
        <w:rPr>
          <w:sz w:val="18"/>
        </w:rPr>
      </w:pPr>
    </w:p>
    <w:tbl>
      <w:tblPr>
        <w:tblW w:w="0" w:type="auto"/>
        <w:jc w:val="left"/>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48"/>
        <w:gridCol w:w="2673"/>
        <w:gridCol w:w="3048"/>
        <w:gridCol w:w="1170"/>
      </w:tblGrid>
      <w:tr>
        <w:trPr>
          <w:trHeight w:val="330" w:hRule="atLeast"/>
        </w:trPr>
        <w:tc>
          <w:tcPr>
            <w:tcW w:w="9639" w:type="dxa"/>
            <w:gridSpan w:val="4"/>
            <w:tcBorders>
              <w:top w:val="nil"/>
              <w:left w:val="nil"/>
              <w:right w:val="nil"/>
            </w:tcBorders>
            <w:shd w:val="clear" w:color="auto" w:fill="A11D04"/>
          </w:tcPr>
          <w:p>
            <w:pPr>
              <w:pStyle w:val="TableParagraph"/>
              <w:spacing w:before="30"/>
              <w:ind w:left="120"/>
              <w:rPr>
                <w:b/>
                <w:sz w:val="21"/>
              </w:rPr>
            </w:pPr>
            <w:r>
              <w:rPr>
                <w:b/>
                <w:color w:val="FFFFFF"/>
                <w:sz w:val="21"/>
              </w:rPr>
              <w:t>表 10：Car-T 骨髓瘤药品经济学分析</w:t>
            </w:r>
          </w:p>
        </w:tc>
      </w:tr>
      <w:tr>
        <w:trPr>
          <w:trHeight w:val="345" w:hRule="atLeast"/>
        </w:trPr>
        <w:tc>
          <w:tcPr>
            <w:tcW w:w="2748" w:type="dxa"/>
          </w:tcPr>
          <w:p>
            <w:pPr>
              <w:pStyle w:val="TableParagraph"/>
              <w:spacing w:before="35"/>
              <w:rPr>
                <w:b/>
                <w:sz w:val="22"/>
              </w:rPr>
            </w:pPr>
            <w:r>
              <w:rPr>
                <w:b/>
                <w:sz w:val="22"/>
              </w:rPr>
              <w:t>花费（lifetime）</w:t>
            </w:r>
          </w:p>
        </w:tc>
        <w:tc>
          <w:tcPr>
            <w:tcW w:w="2673" w:type="dxa"/>
          </w:tcPr>
          <w:p>
            <w:pPr>
              <w:pStyle w:val="TableParagraph"/>
              <w:ind w:left="0"/>
              <w:rPr>
                <w:rFonts w:ascii="Times New Roman"/>
                <w:sz w:val="20"/>
              </w:rPr>
            </w:pPr>
          </w:p>
        </w:tc>
        <w:tc>
          <w:tcPr>
            <w:tcW w:w="3048" w:type="dxa"/>
            <w:tcBorders>
              <w:right w:val="single" w:sz="8" w:space="0" w:color="000000"/>
            </w:tcBorders>
          </w:tcPr>
          <w:p>
            <w:pPr>
              <w:pStyle w:val="TableParagraph"/>
              <w:spacing w:before="35"/>
              <w:rPr>
                <w:b/>
                <w:sz w:val="22"/>
              </w:rPr>
            </w:pPr>
            <w:r>
              <w:rPr>
                <w:b/>
                <w:sz w:val="22"/>
              </w:rPr>
              <w:t>药品经济学分析</w:t>
            </w:r>
          </w:p>
        </w:tc>
        <w:tc>
          <w:tcPr>
            <w:tcW w:w="1170" w:type="dxa"/>
            <w:tcBorders>
              <w:left w:val="single" w:sz="8" w:space="0" w:color="000000"/>
            </w:tcBorders>
          </w:tcPr>
          <w:p>
            <w:pPr>
              <w:pStyle w:val="TableParagraph"/>
              <w:ind w:left="0"/>
              <w:rPr>
                <w:rFonts w:ascii="Times New Roman"/>
                <w:sz w:val="20"/>
              </w:rPr>
            </w:pPr>
          </w:p>
        </w:tc>
      </w:tr>
      <w:tr>
        <w:trPr>
          <w:trHeight w:val="330" w:hRule="atLeast"/>
        </w:trPr>
        <w:tc>
          <w:tcPr>
            <w:tcW w:w="2748" w:type="dxa"/>
          </w:tcPr>
          <w:p>
            <w:pPr>
              <w:pStyle w:val="TableParagraph"/>
              <w:spacing w:before="20"/>
              <w:rPr>
                <w:sz w:val="22"/>
              </w:rPr>
            </w:pPr>
            <w:r>
              <w:rPr>
                <w:sz w:val="22"/>
              </w:rPr>
              <w:t>Car-T</w:t>
            </w:r>
          </w:p>
        </w:tc>
        <w:tc>
          <w:tcPr>
            <w:tcW w:w="2673" w:type="dxa"/>
          </w:tcPr>
          <w:p>
            <w:pPr>
              <w:pStyle w:val="TableParagraph"/>
              <w:spacing w:before="20"/>
              <w:rPr>
                <w:sz w:val="22"/>
              </w:rPr>
            </w:pPr>
            <w:r>
              <w:rPr>
                <w:sz w:val="22"/>
              </w:rPr>
              <w:t>625000</w:t>
            </w:r>
          </w:p>
        </w:tc>
        <w:tc>
          <w:tcPr>
            <w:tcW w:w="3048" w:type="dxa"/>
            <w:tcBorders>
              <w:right w:val="single" w:sz="8" w:space="0" w:color="000000"/>
            </w:tcBorders>
          </w:tcPr>
          <w:p>
            <w:pPr>
              <w:pStyle w:val="TableParagraph"/>
              <w:spacing w:before="20"/>
              <w:rPr>
                <w:sz w:val="22"/>
              </w:rPr>
            </w:pPr>
            <w:r>
              <w:rPr>
                <w:sz w:val="22"/>
              </w:rPr>
              <w:t>Car-T 每年生存花费</w:t>
            </w:r>
          </w:p>
        </w:tc>
        <w:tc>
          <w:tcPr>
            <w:tcW w:w="1170" w:type="dxa"/>
            <w:tcBorders>
              <w:left w:val="single" w:sz="8" w:space="0" w:color="000000"/>
            </w:tcBorders>
          </w:tcPr>
          <w:p>
            <w:pPr>
              <w:pStyle w:val="TableParagraph"/>
              <w:spacing w:before="20"/>
              <w:ind w:left="111"/>
              <w:rPr>
                <w:sz w:val="22"/>
              </w:rPr>
            </w:pPr>
            <w:r>
              <w:rPr>
                <w:color w:val="FF0000"/>
                <w:sz w:val="22"/>
              </w:rPr>
              <w:t>82562.75</w:t>
            </w:r>
          </w:p>
        </w:tc>
      </w:tr>
      <w:tr>
        <w:trPr>
          <w:trHeight w:val="330" w:hRule="atLeast"/>
        </w:trPr>
        <w:tc>
          <w:tcPr>
            <w:tcW w:w="2748" w:type="dxa"/>
          </w:tcPr>
          <w:p>
            <w:pPr>
              <w:pStyle w:val="TableParagraph"/>
              <w:spacing w:before="20"/>
              <w:rPr>
                <w:sz w:val="22"/>
              </w:rPr>
            </w:pPr>
            <w:r>
              <w:rPr>
                <w:sz w:val="22"/>
              </w:rPr>
              <w:t>化疗</w:t>
            </w:r>
          </w:p>
        </w:tc>
        <w:tc>
          <w:tcPr>
            <w:tcW w:w="2673" w:type="dxa"/>
          </w:tcPr>
          <w:p>
            <w:pPr>
              <w:pStyle w:val="TableParagraph"/>
              <w:spacing w:before="20"/>
              <w:rPr>
                <w:sz w:val="22"/>
              </w:rPr>
            </w:pPr>
            <w:r>
              <w:rPr>
                <w:sz w:val="22"/>
              </w:rPr>
              <w:t>105000</w:t>
            </w:r>
          </w:p>
        </w:tc>
        <w:tc>
          <w:tcPr>
            <w:tcW w:w="3048" w:type="dxa"/>
            <w:tcBorders>
              <w:right w:val="single" w:sz="8" w:space="0" w:color="000000"/>
            </w:tcBorders>
          </w:tcPr>
          <w:p>
            <w:pPr>
              <w:pStyle w:val="TableParagraph"/>
              <w:spacing w:before="20"/>
              <w:rPr>
                <w:sz w:val="22"/>
              </w:rPr>
            </w:pPr>
            <w:r>
              <w:rPr>
                <w:sz w:val="22"/>
              </w:rPr>
              <w:t>Car-T 每年有质量生存花费</w:t>
            </w:r>
          </w:p>
        </w:tc>
        <w:tc>
          <w:tcPr>
            <w:tcW w:w="1170" w:type="dxa"/>
            <w:tcBorders>
              <w:left w:val="single" w:sz="8" w:space="0" w:color="000000"/>
            </w:tcBorders>
          </w:tcPr>
          <w:p>
            <w:pPr>
              <w:pStyle w:val="TableParagraph"/>
              <w:spacing w:before="20"/>
              <w:ind w:left="111"/>
              <w:rPr>
                <w:sz w:val="22"/>
              </w:rPr>
            </w:pPr>
            <w:r>
              <w:rPr>
                <w:color w:val="FF0000"/>
                <w:sz w:val="22"/>
              </w:rPr>
              <w:t>103135.3</w:t>
            </w:r>
          </w:p>
        </w:tc>
      </w:tr>
      <w:tr>
        <w:trPr>
          <w:trHeight w:val="345" w:hRule="atLeast"/>
        </w:trPr>
        <w:tc>
          <w:tcPr>
            <w:tcW w:w="2748" w:type="dxa"/>
          </w:tcPr>
          <w:p>
            <w:pPr>
              <w:pStyle w:val="TableParagraph"/>
              <w:spacing w:before="35"/>
              <w:rPr>
                <w:sz w:val="22"/>
              </w:rPr>
            </w:pPr>
            <w:r>
              <w:rPr>
                <w:sz w:val="22"/>
              </w:rPr>
              <w:t>VRd</w:t>
            </w:r>
          </w:p>
        </w:tc>
        <w:tc>
          <w:tcPr>
            <w:tcW w:w="2673" w:type="dxa"/>
          </w:tcPr>
          <w:p>
            <w:pPr>
              <w:pStyle w:val="TableParagraph"/>
              <w:spacing w:before="35"/>
              <w:rPr>
                <w:sz w:val="22"/>
              </w:rPr>
            </w:pPr>
            <w:r>
              <w:rPr>
                <w:sz w:val="22"/>
              </w:rPr>
              <w:t>478000</w:t>
            </w:r>
          </w:p>
        </w:tc>
        <w:tc>
          <w:tcPr>
            <w:tcW w:w="3048" w:type="dxa"/>
            <w:tcBorders>
              <w:right w:val="single" w:sz="8" w:space="0" w:color="000000"/>
            </w:tcBorders>
          </w:tcPr>
          <w:p>
            <w:pPr>
              <w:pStyle w:val="TableParagraph"/>
              <w:spacing w:before="35"/>
              <w:rPr>
                <w:sz w:val="22"/>
              </w:rPr>
            </w:pPr>
            <w:r>
              <w:rPr>
                <w:sz w:val="22"/>
              </w:rPr>
              <w:t>化疗每年生存花费</w:t>
            </w:r>
          </w:p>
        </w:tc>
        <w:tc>
          <w:tcPr>
            <w:tcW w:w="1170" w:type="dxa"/>
            <w:tcBorders>
              <w:left w:val="single" w:sz="8" w:space="0" w:color="000000"/>
            </w:tcBorders>
          </w:tcPr>
          <w:p>
            <w:pPr>
              <w:pStyle w:val="TableParagraph"/>
              <w:spacing w:before="35"/>
              <w:ind w:left="111"/>
              <w:rPr>
                <w:sz w:val="22"/>
              </w:rPr>
            </w:pPr>
            <w:r>
              <w:rPr>
                <w:color w:val="FF0000"/>
                <w:sz w:val="22"/>
              </w:rPr>
              <w:t>32507.74</w:t>
            </w:r>
          </w:p>
        </w:tc>
      </w:tr>
      <w:tr>
        <w:trPr>
          <w:trHeight w:val="330" w:hRule="atLeast"/>
        </w:trPr>
        <w:tc>
          <w:tcPr>
            <w:tcW w:w="2748" w:type="dxa"/>
          </w:tcPr>
          <w:p>
            <w:pPr>
              <w:pStyle w:val="TableParagraph"/>
              <w:spacing w:before="20"/>
              <w:rPr>
                <w:b/>
                <w:sz w:val="22"/>
              </w:rPr>
            </w:pPr>
            <w:r>
              <w:rPr>
                <w:b/>
                <w:sz w:val="22"/>
              </w:rPr>
              <w:t>受益（Years）</w:t>
            </w:r>
          </w:p>
        </w:tc>
        <w:tc>
          <w:tcPr>
            <w:tcW w:w="2673" w:type="dxa"/>
          </w:tcPr>
          <w:p>
            <w:pPr>
              <w:pStyle w:val="TableParagraph"/>
              <w:ind w:left="0"/>
              <w:rPr>
                <w:rFonts w:ascii="Times New Roman"/>
                <w:sz w:val="20"/>
              </w:rPr>
            </w:pPr>
          </w:p>
        </w:tc>
        <w:tc>
          <w:tcPr>
            <w:tcW w:w="3048" w:type="dxa"/>
            <w:tcBorders>
              <w:right w:val="single" w:sz="8" w:space="0" w:color="000000"/>
            </w:tcBorders>
          </w:tcPr>
          <w:p>
            <w:pPr>
              <w:pStyle w:val="TableParagraph"/>
              <w:spacing w:before="20"/>
              <w:rPr>
                <w:sz w:val="22"/>
              </w:rPr>
            </w:pPr>
            <w:r>
              <w:rPr>
                <w:sz w:val="22"/>
              </w:rPr>
              <w:t>化疗每年有质量生存花费</w:t>
            </w:r>
          </w:p>
        </w:tc>
        <w:tc>
          <w:tcPr>
            <w:tcW w:w="1170" w:type="dxa"/>
            <w:tcBorders>
              <w:left w:val="single" w:sz="8" w:space="0" w:color="000000"/>
            </w:tcBorders>
          </w:tcPr>
          <w:p>
            <w:pPr>
              <w:pStyle w:val="TableParagraph"/>
              <w:spacing w:before="20"/>
              <w:ind w:left="111"/>
              <w:rPr>
                <w:sz w:val="22"/>
              </w:rPr>
            </w:pPr>
            <w:r>
              <w:rPr>
                <w:color w:val="FF0000"/>
                <w:sz w:val="22"/>
              </w:rPr>
              <w:t>42338.71</w:t>
            </w:r>
          </w:p>
        </w:tc>
      </w:tr>
      <w:tr>
        <w:trPr>
          <w:trHeight w:val="330" w:hRule="atLeast"/>
        </w:trPr>
        <w:tc>
          <w:tcPr>
            <w:tcW w:w="2748" w:type="dxa"/>
          </w:tcPr>
          <w:p>
            <w:pPr>
              <w:pStyle w:val="TableParagraph"/>
              <w:spacing w:before="20"/>
              <w:rPr>
                <w:sz w:val="22"/>
              </w:rPr>
            </w:pPr>
            <w:r>
              <w:rPr>
                <w:sz w:val="22"/>
              </w:rPr>
              <w:t>Car-T 生存期</w:t>
            </w:r>
          </w:p>
        </w:tc>
        <w:tc>
          <w:tcPr>
            <w:tcW w:w="2673" w:type="dxa"/>
          </w:tcPr>
          <w:p>
            <w:pPr>
              <w:pStyle w:val="TableParagraph"/>
              <w:spacing w:before="20"/>
              <w:rPr>
                <w:sz w:val="22"/>
              </w:rPr>
            </w:pPr>
            <w:r>
              <w:rPr>
                <w:sz w:val="22"/>
              </w:rPr>
              <w:t>7.57</w:t>
            </w:r>
          </w:p>
        </w:tc>
        <w:tc>
          <w:tcPr>
            <w:tcW w:w="3048" w:type="dxa"/>
            <w:tcBorders>
              <w:right w:val="single" w:sz="8" w:space="0" w:color="000000"/>
            </w:tcBorders>
          </w:tcPr>
          <w:p>
            <w:pPr>
              <w:pStyle w:val="TableParagraph"/>
              <w:spacing w:before="20"/>
              <w:rPr>
                <w:sz w:val="22"/>
              </w:rPr>
            </w:pPr>
            <w:r>
              <w:rPr>
                <w:sz w:val="22"/>
              </w:rPr>
              <w:t>VRd 每年生存花费</w:t>
            </w:r>
          </w:p>
        </w:tc>
        <w:tc>
          <w:tcPr>
            <w:tcW w:w="1170" w:type="dxa"/>
            <w:tcBorders>
              <w:left w:val="single" w:sz="8" w:space="0" w:color="000000"/>
            </w:tcBorders>
          </w:tcPr>
          <w:p>
            <w:pPr>
              <w:pStyle w:val="TableParagraph"/>
              <w:spacing w:before="20"/>
              <w:ind w:left="111"/>
              <w:rPr>
                <w:sz w:val="22"/>
              </w:rPr>
            </w:pPr>
            <w:r>
              <w:rPr>
                <w:color w:val="FF0000"/>
                <w:sz w:val="22"/>
              </w:rPr>
              <w:t>98353.91</w:t>
            </w:r>
          </w:p>
        </w:tc>
      </w:tr>
      <w:tr>
        <w:trPr>
          <w:trHeight w:val="345" w:hRule="atLeast"/>
        </w:trPr>
        <w:tc>
          <w:tcPr>
            <w:tcW w:w="2748" w:type="dxa"/>
          </w:tcPr>
          <w:p>
            <w:pPr>
              <w:pStyle w:val="TableParagraph"/>
              <w:spacing w:before="35"/>
              <w:rPr>
                <w:sz w:val="22"/>
              </w:rPr>
            </w:pPr>
            <w:r>
              <w:rPr>
                <w:sz w:val="22"/>
              </w:rPr>
              <w:t>Car-T 有质量生存期</w:t>
            </w:r>
          </w:p>
        </w:tc>
        <w:tc>
          <w:tcPr>
            <w:tcW w:w="2673" w:type="dxa"/>
          </w:tcPr>
          <w:p>
            <w:pPr>
              <w:pStyle w:val="TableParagraph"/>
              <w:spacing w:before="35"/>
              <w:rPr>
                <w:sz w:val="22"/>
              </w:rPr>
            </w:pPr>
            <w:r>
              <w:rPr>
                <w:sz w:val="22"/>
              </w:rPr>
              <w:t>6.06</w:t>
            </w:r>
          </w:p>
        </w:tc>
        <w:tc>
          <w:tcPr>
            <w:tcW w:w="3048" w:type="dxa"/>
            <w:tcBorders>
              <w:right w:val="single" w:sz="8" w:space="0" w:color="000000"/>
            </w:tcBorders>
          </w:tcPr>
          <w:p>
            <w:pPr>
              <w:pStyle w:val="TableParagraph"/>
              <w:spacing w:before="35"/>
              <w:rPr>
                <w:sz w:val="22"/>
              </w:rPr>
            </w:pPr>
            <w:r>
              <w:rPr>
                <w:sz w:val="22"/>
              </w:rPr>
              <w:t>VRd 每年有质量生存花费</w:t>
            </w:r>
          </w:p>
        </w:tc>
        <w:tc>
          <w:tcPr>
            <w:tcW w:w="1170" w:type="dxa"/>
            <w:tcBorders>
              <w:left w:val="single" w:sz="8" w:space="0" w:color="000000"/>
            </w:tcBorders>
          </w:tcPr>
          <w:p>
            <w:pPr>
              <w:pStyle w:val="TableParagraph"/>
              <w:spacing w:before="35"/>
              <w:ind w:left="111"/>
              <w:rPr>
                <w:sz w:val="22"/>
              </w:rPr>
            </w:pPr>
            <w:r>
              <w:rPr>
                <w:color w:val="FF0000"/>
                <w:sz w:val="22"/>
              </w:rPr>
              <w:t>127127.7</w:t>
            </w:r>
          </w:p>
        </w:tc>
      </w:tr>
      <w:tr>
        <w:trPr>
          <w:trHeight w:val="330" w:hRule="atLeast"/>
        </w:trPr>
        <w:tc>
          <w:tcPr>
            <w:tcW w:w="2748" w:type="dxa"/>
          </w:tcPr>
          <w:p>
            <w:pPr>
              <w:pStyle w:val="TableParagraph"/>
              <w:spacing w:before="20"/>
              <w:rPr>
                <w:sz w:val="22"/>
              </w:rPr>
            </w:pPr>
            <w:r>
              <w:rPr>
                <w:sz w:val="22"/>
              </w:rPr>
              <w:t>化疗生存期</w:t>
            </w:r>
          </w:p>
        </w:tc>
        <w:tc>
          <w:tcPr>
            <w:tcW w:w="2673" w:type="dxa"/>
          </w:tcPr>
          <w:p>
            <w:pPr>
              <w:pStyle w:val="TableParagraph"/>
              <w:spacing w:before="20"/>
              <w:rPr>
                <w:sz w:val="22"/>
              </w:rPr>
            </w:pPr>
            <w:r>
              <w:rPr>
                <w:sz w:val="22"/>
              </w:rPr>
              <w:t>3.23</w:t>
            </w:r>
          </w:p>
        </w:tc>
        <w:tc>
          <w:tcPr>
            <w:tcW w:w="3048" w:type="dxa"/>
            <w:tcBorders>
              <w:right w:val="single" w:sz="8" w:space="0" w:color="000000"/>
            </w:tcBorders>
          </w:tcPr>
          <w:p>
            <w:pPr>
              <w:pStyle w:val="TableParagraph"/>
              <w:ind w:left="0"/>
              <w:rPr>
                <w:rFonts w:ascii="Times New Roman"/>
                <w:sz w:val="20"/>
              </w:rPr>
            </w:pPr>
          </w:p>
        </w:tc>
        <w:tc>
          <w:tcPr>
            <w:tcW w:w="1170" w:type="dxa"/>
            <w:tcBorders>
              <w:left w:val="single" w:sz="8" w:space="0" w:color="000000"/>
            </w:tcBorders>
          </w:tcPr>
          <w:p>
            <w:pPr>
              <w:pStyle w:val="TableParagraph"/>
              <w:ind w:left="0"/>
              <w:rPr>
                <w:rFonts w:ascii="Times New Roman"/>
                <w:sz w:val="20"/>
              </w:rPr>
            </w:pPr>
          </w:p>
        </w:tc>
      </w:tr>
      <w:tr>
        <w:trPr>
          <w:trHeight w:val="330" w:hRule="atLeast"/>
        </w:trPr>
        <w:tc>
          <w:tcPr>
            <w:tcW w:w="2748" w:type="dxa"/>
          </w:tcPr>
          <w:p>
            <w:pPr>
              <w:pStyle w:val="TableParagraph"/>
              <w:spacing w:before="20"/>
              <w:rPr>
                <w:sz w:val="22"/>
              </w:rPr>
            </w:pPr>
            <w:r>
              <w:rPr>
                <w:sz w:val="22"/>
              </w:rPr>
              <w:t>化疗有质量生存期</w:t>
            </w:r>
          </w:p>
        </w:tc>
        <w:tc>
          <w:tcPr>
            <w:tcW w:w="2673" w:type="dxa"/>
          </w:tcPr>
          <w:p>
            <w:pPr>
              <w:pStyle w:val="TableParagraph"/>
              <w:spacing w:before="20"/>
              <w:rPr>
                <w:sz w:val="22"/>
              </w:rPr>
            </w:pPr>
            <w:r>
              <w:rPr>
                <w:sz w:val="22"/>
              </w:rPr>
              <w:t>2.48</w:t>
            </w:r>
          </w:p>
        </w:tc>
        <w:tc>
          <w:tcPr>
            <w:tcW w:w="3048" w:type="dxa"/>
            <w:tcBorders>
              <w:right w:val="single" w:sz="8" w:space="0" w:color="000000"/>
            </w:tcBorders>
          </w:tcPr>
          <w:p>
            <w:pPr>
              <w:pStyle w:val="TableParagraph"/>
              <w:ind w:left="0"/>
              <w:rPr>
                <w:rFonts w:ascii="Times New Roman"/>
                <w:sz w:val="20"/>
              </w:rPr>
            </w:pPr>
          </w:p>
        </w:tc>
        <w:tc>
          <w:tcPr>
            <w:tcW w:w="1170" w:type="dxa"/>
            <w:tcBorders>
              <w:left w:val="single" w:sz="8" w:space="0" w:color="000000"/>
            </w:tcBorders>
          </w:tcPr>
          <w:p>
            <w:pPr>
              <w:pStyle w:val="TableParagraph"/>
              <w:ind w:left="0"/>
              <w:rPr>
                <w:rFonts w:ascii="Times New Roman"/>
                <w:sz w:val="20"/>
              </w:rPr>
            </w:pPr>
          </w:p>
        </w:tc>
      </w:tr>
      <w:tr>
        <w:trPr>
          <w:trHeight w:val="345" w:hRule="atLeast"/>
        </w:trPr>
        <w:tc>
          <w:tcPr>
            <w:tcW w:w="2748" w:type="dxa"/>
          </w:tcPr>
          <w:p>
            <w:pPr>
              <w:pStyle w:val="TableParagraph"/>
              <w:spacing w:before="35"/>
              <w:rPr>
                <w:sz w:val="22"/>
              </w:rPr>
            </w:pPr>
            <w:r>
              <w:rPr>
                <w:sz w:val="22"/>
              </w:rPr>
              <w:t>VRd 生存期</w:t>
            </w:r>
          </w:p>
        </w:tc>
        <w:tc>
          <w:tcPr>
            <w:tcW w:w="2673" w:type="dxa"/>
          </w:tcPr>
          <w:p>
            <w:pPr>
              <w:pStyle w:val="TableParagraph"/>
              <w:spacing w:before="35"/>
              <w:rPr>
                <w:sz w:val="22"/>
              </w:rPr>
            </w:pPr>
            <w:r>
              <w:rPr>
                <w:sz w:val="22"/>
              </w:rPr>
              <w:t>4.86</w:t>
            </w:r>
          </w:p>
        </w:tc>
        <w:tc>
          <w:tcPr>
            <w:tcW w:w="3048" w:type="dxa"/>
            <w:tcBorders>
              <w:right w:val="single" w:sz="8" w:space="0" w:color="000000"/>
            </w:tcBorders>
          </w:tcPr>
          <w:p>
            <w:pPr>
              <w:pStyle w:val="TableParagraph"/>
              <w:ind w:left="0"/>
              <w:rPr>
                <w:rFonts w:ascii="Times New Roman"/>
                <w:sz w:val="20"/>
              </w:rPr>
            </w:pPr>
          </w:p>
        </w:tc>
        <w:tc>
          <w:tcPr>
            <w:tcW w:w="1170" w:type="dxa"/>
            <w:tcBorders>
              <w:left w:val="single" w:sz="8" w:space="0" w:color="000000"/>
            </w:tcBorders>
          </w:tcPr>
          <w:p>
            <w:pPr>
              <w:pStyle w:val="TableParagraph"/>
              <w:ind w:left="0"/>
              <w:rPr>
                <w:rFonts w:ascii="Times New Roman"/>
                <w:sz w:val="20"/>
              </w:rPr>
            </w:pPr>
          </w:p>
        </w:tc>
      </w:tr>
      <w:tr>
        <w:trPr>
          <w:trHeight w:val="330" w:hRule="atLeast"/>
        </w:trPr>
        <w:tc>
          <w:tcPr>
            <w:tcW w:w="2748" w:type="dxa"/>
          </w:tcPr>
          <w:p>
            <w:pPr>
              <w:pStyle w:val="TableParagraph"/>
              <w:spacing w:before="20"/>
              <w:rPr>
                <w:sz w:val="22"/>
              </w:rPr>
            </w:pPr>
            <w:r>
              <w:rPr>
                <w:sz w:val="22"/>
              </w:rPr>
              <w:t>VRd 有质量生存期</w:t>
            </w:r>
          </w:p>
        </w:tc>
        <w:tc>
          <w:tcPr>
            <w:tcW w:w="2673" w:type="dxa"/>
          </w:tcPr>
          <w:p>
            <w:pPr>
              <w:pStyle w:val="TableParagraph"/>
              <w:spacing w:before="20"/>
              <w:rPr>
                <w:sz w:val="22"/>
              </w:rPr>
            </w:pPr>
            <w:r>
              <w:rPr>
                <w:sz w:val="22"/>
              </w:rPr>
              <w:t>3.76</w:t>
            </w:r>
          </w:p>
        </w:tc>
        <w:tc>
          <w:tcPr>
            <w:tcW w:w="3048" w:type="dxa"/>
            <w:tcBorders>
              <w:right w:val="single" w:sz="8" w:space="0" w:color="000000"/>
            </w:tcBorders>
          </w:tcPr>
          <w:p>
            <w:pPr>
              <w:pStyle w:val="TableParagraph"/>
              <w:ind w:left="0"/>
              <w:rPr>
                <w:rFonts w:ascii="Times New Roman"/>
                <w:sz w:val="20"/>
              </w:rPr>
            </w:pPr>
          </w:p>
        </w:tc>
        <w:tc>
          <w:tcPr>
            <w:tcW w:w="1170" w:type="dxa"/>
            <w:tcBorders>
              <w:left w:val="single" w:sz="8" w:space="0" w:color="000000"/>
            </w:tcBorders>
          </w:tcPr>
          <w:p>
            <w:pPr>
              <w:pStyle w:val="TableParagraph"/>
              <w:ind w:left="0"/>
              <w:rPr>
                <w:rFonts w:ascii="Times New Roman"/>
                <w:sz w:val="20"/>
              </w:rPr>
            </w:pPr>
          </w:p>
        </w:tc>
      </w:tr>
    </w:tbl>
    <w:p>
      <w:pPr>
        <w:spacing w:after="0"/>
        <w:rPr>
          <w:rFonts w:ascii="Times New Roman"/>
          <w:sz w:val="20"/>
        </w:rPr>
        <w:sectPr>
          <w:pgSz w:w="11910" w:h="16850"/>
          <w:pgMar w:header="796" w:footer="1296" w:top="1340" w:bottom="1480" w:left="260" w:right="300"/>
        </w:sectPr>
      </w:pPr>
    </w:p>
    <w:p>
      <w:pPr>
        <w:pStyle w:val="BodyText"/>
        <w:spacing w:before="1"/>
        <w:rPr>
          <w:sz w:val="3"/>
        </w:rPr>
      </w:pPr>
    </w:p>
    <w:p>
      <w:pPr>
        <w:pStyle w:val="BodyText"/>
        <w:spacing w:line="64" w:lineRule="exact"/>
        <w:ind w:left="461"/>
        <w:rPr>
          <w:sz w:val="6"/>
        </w:rPr>
      </w:pPr>
      <w:r>
        <w:rPr>
          <w:position w:val="0"/>
          <w:sz w:val="6"/>
        </w:rPr>
        <w:pict>
          <v:group style="width:498.15pt;height:3.25pt;mso-position-horizontal-relative:char;mso-position-vertical-relative:line" coordorigin="0,0" coordsize="9963,65">
            <v:line style="position:absolute" from="0,10" to="9960,10" stroked="true" strokeweight="1pt" strokecolor="#a6a6a6">
              <v:stroke dashstyle="solid"/>
            </v:line>
            <v:rect style="position:absolute;left:320;top:49;width:9642;height:15" filled="true" fillcolor="#000000" stroked="false">
              <v:fill type="solid"/>
            </v:rect>
          </v:group>
        </w:pict>
      </w:r>
      <w:r>
        <w:rPr>
          <w:position w:val="0"/>
          <w:sz w:val="6"/>
        </w:rPr>
      </w:r>
    </w:p>
    <w:p>
      <w:pPr>
        <w:spacing w:before="61"/>
        <w:ind w:left="896" w:right="0" w:firstLine="0"/>
        <w:jc w:val="left"/>
        <w:rPr>
          <w:b/>
          <w:sz w:val="15"/>
        </w:rPr>
      </w:pPr>
      <w:r>
        <w:rPr>
          <w:b/>
          <w:spacing w:val="4"/>
          <w:sz w:val="15"/>
        </w:rPr>
        <w:t>数据来源： </w:t>
      </w:r>
      <w:r>
        <w:rPr>
          <w:b/>
          <w:sz w:val="15"/>
        </w:rPr>
        <w:t>I</w:t>
      </w:r>
      <w:r>
        <w:rPr>
          <w:b/>
          <w:spacing w:val="-61"/>
          <w:sz w:val="15"/>
        </w:rPr>
        <w:t> </w:t>
      </w:r>
      <w:r>
        <w:rPr>
          <w:b/>
          <w:sz w:val="15"/>
        </w:rPr>
        <w:t>nstitu</w:t>
      </w:r>
      <w:r>
        <w:rPr>
          <w:b/>
          <w:spacing w:val="-61"/>
          <w:sz w:val="15"/>
        </w:rPr>
        <w:t> </w:t>
      </w:r>
      <w:r>
        <w:rPr>
          <w:b/>
          <w:sz w:val="15"/>
        </w:rPr>
        <w:t>te f</w:t>
      </w:r>
      <w:r>
        <w:rPr>
          <w:b/>
          <w:spacing w:val="-61"/>
          <w:sz w:val="15"/>
        </w:rPr>
        <w:t> </w:t>
      </w:r>
      <w:r>
        <w:rPr>
          <w:b/>
          <w:sz w:val="15"/>
        </w:rPr>
        <w:t>or c</w:t>
      </w:r>
      <w:r>
        <w:rPr>
          <w:b/>
          <w:spacing w:val="-61"/>
          <w:sz w:val="15"/>
        </w:rPr>
        <w:t> </w:t>
      </w:r>
      <w:r>
        <w:rPr>
          <w:b/>
          <w:sz w:val="15"/>
        </w:rPr>
        <w:t>linical a</w:t>
      </w:r>
      <w:r>
        <w:rPr>
          <w:b/>
          <w:spacing w:val="-61"/>
          <w:sz w:val="15"/>
        </w:rPr>
        <w:t> </w:t>
      </w:r>
      <w:r>
        <w:rPr>
          <w:b/>
          <w:sz w:val="15"/>
        </w:rPr>
        <w:t>nd e</w:t>
      </w:r>
      <w:r>
        <w:rPr>
          <w:b/>
          <w:spacing w:val="-62"/>
          <w:sz w:val="15"/>
        </w:rPr>
        <w:t> </w:t>
      </w:r>
      <w:r>
        <w:rPr>
          <w:b/>
          <w:sz w:val="15"/>
        </w:rPr>
        <w:t>con</w:t>
      </w:r>
      <w:r>
        <w:rPr>
          <w:b/>
          <w:spacing w:val="-61"/>
          <w:sz w:val="15"/>
        </w:rPr>
        <w:t> </w:t>
      </w:r>
      <w:r>
        <w:rPr>
          <w:b/>
          <w:sz w:val="15"/>
        </w:rPr>
        <w:t>omic r</w:t>
      </w:r>
      <w:r>
        <w:rPr>
          <w:b/>
          <w:spacing w:val="-61"/>
          <w:sz w:val="15"/>
        </w:rPr>
        <w:t> </w:t>
      </w:r>
      <w:r>
        <w:rPr>
          <w:b/>
          <w:sz w:val="15"/>
        </w:rPr>
        <w:t>eview a</w:t>
      </w:r>
      <w:r>
        <w:rPr>
          <w:b/>
          <w:spacing w:val="-61"/>
          <w:sz w:val="15"/>
        </w:rPr>
        <w:t> </w:t>
      </w:r>
      <w:r>
        <w:rPr>
          <w:b/>
          <w:sz w:val="15"/>
        </w:rPr>
        <w:t>nalysis，财通证券研究所财通证券研究所</w:t>
      </w:r>
    </w:p>
    <w:p>
      <w:pPr>
        <w:pStyle w:val="BodyText"/>
        <w:rPr>
          <w:b/>
          <w:sz w:val="20"/>
        </w:rPr>
      </w:pPr>
    </w:p>
    <w:p>
      <w:pPr>
        <w:pStyle w:val="BodyText"/>
        <w:spacing w:before="1"/>
        <w:rPr>
          <w:b/>
        </w:rPr>
      </w:pPr>
    </w:p>
    <w:p>
      <w:pPr>
        <w:pStyle w:val="Heading2"/>
        <w:tabs>
          <w:tab w:pos="10432" w:val="left" w:leader="none"/>
        </w:tabs>
      </w:pPr>
      <w:r>
        <w:rPr/>
        <w:pict>
          <v:group style="position:absolute;margin-left:165.949997pt;margin-top:19.480005pt;width:368.7pt;height:199.05pt;mso-position-horizontal-relative:page;mso-position-vertical-relative:paragraph;z-index:-15684608;mso-wrap-distance-left:0;mso-wrap-distance-right:0" coordorigin="3319,390" coordsize="7374,3981">
            <v:rect style="position:absolute;left:3319;top:4355;width:7374;height:15" filled="true" fillcolor="#a11d04" stroked="false">
              <v:fill type="solid"/>
            </v:rect>
            <v:shape style="position:absolute;left:5216;top:389;width:3560;height:3955" type="#_x0000_t75" stroked="false">
              <v:imagedata r:id="rId41" o:title=""/>
            </v:shape>
            <w10:wrap type="topAndBottom"/>
          </v:group>
        </w:pict>
      </w:r>
      <w:r>
        <w:rPr>
          <w:rFonts w:ascii="Times New Roman" w:eastAsia="Times New Roman"/>
          <w:color w:val="FFFFFF"/>
          <w:shd w:fill="A11D04" w:color="auto" w:val="clear"/>
        </w:rPr>
        <w:t>  </w:t>
      </w:r>
      <w:r>
        <w:rPr>
          <w:color w:val="FFFFFF"/>
          <w:shd w:fill="A11D04" w:color="auto" w:val="clear"/>
        </w:rPr>
        <w:t>图</w:t>
      </w:r>
      <w:r>
        <w:rPr>
          <w:color w:val="FFFFFF"/>
          <w:spacing w:val="-41"/>
          <w:shd w:fill="A11D04" w:color="auto" w:val="clear"/>
        </w:rPr>
        <w:t> </w:t>
      </w:r>
      <w:r>
        <w:rPr>
          <w:color w:val="FFFFFF"/>
          <w:spacing w:val="10"/>
          <w:shd w:fill="A11D04" w:color="auto" w:val="clear"/>
        </w:rPr>
        <w:t>26：</w:t>
      </w:r>
      <w:r>
        <w:rPr>
          <w:color w:val="FFFFFF"/>
          <w:shd w:fill="A11D04" w:color="auto" w:val="clear"/>
        </w:rPr>
        <w:t>各类肿瘤发病率</w:t>
        <w:tab/>
      </w:r>
    </w:p>
    <w:p>
      <w:pPr>
        <w:spacing w:before="16"/>
        <w:ind w:left="3164" w:right="0" w:firstLine="0"/>
        <w:jc w:val="left"/>
        <w:rPr>
          <w:b/>
          <w:sz w:val="15"/>
        </w:rPr>
      </w:pPr>
      <w:r>
        <w:rPr>
          <w:b/>
          <w:spacing w:val="8"/>
          <w:sz w:val="15"/>
        </w:rPr>
        <w:t>数据来源：</w:t>
      </w:r>
      <w:r>
        <w:rPr>
          <w:b/>
          <w:sz w:val="15"/>
        </w:rPr>
        <w:t>BCG r</w:t>
      </w:r>
      <w:r>
        <w:rPr>
          <w:b/>
          <w:spacing w:val="-61"/>
          <w:sz w:val="15"/>
        </w:rPr>
        <w:t> </w:t>
      </w:r>
      <w:r>
        <w:rPr>
          <w:b/>
          <w:sz w:val="15"/>
        </w:rPr>
        <w:t>ep</w:t>
      </w:r>
      <w:r>
        <w:rPr>
          <w:b/>
          <w:spacing w:val="-61"/>
          <w:sz w:val="15"/>
        </w:rPr>
        <w:t> </w:t>
      </w:r>
      <w:r>
        <w:rPr>
          <w:b/>
          <w:sz w:val="15"/>
        </w:rPr>
        <w:t>ort，财通证券研究所</w:t>
      </w:r>
    </w:p>
    <w:p>
      <w:pPr>
        <w:pStyle w:val="BodyText"/>
        <w:rPr>
          <w:b/>
          <w:sz w:val="20"/>
        </w:rPr>
      </w:pPr>
    </w:p>
    <w:p>
      <w:pPr>
        <w:pStyle w:val="BodyText"/>
        <w:spacing w:before="10"/>
        <w:rPr>
          <w:b/>
          <w:sz w:val="29"/>
        </w:rPr>
      </w:pPr>
    </w:p>
    <w:p>
      <w:pPr>
        <w:pStyle w:val="BodyText"/>
        <w:spacing w:line="328" w:lineRule="auto" w:before="71"/>
        <w:ind w:left="3164" w:right="863"/>
        <w:jc w:val="both"/>
      </w:pPr>
      <w:r>
        <w:rPr>
          <w:spacing w:val="-15"/>
        </w:rPr>
        <w:t>我国 </w:t>
      </w:r>
      <w:r>
        <w:rPr/>
        <w:t>2018</w:t>
      </w:r>
      <w:r>
        <w:rPr>
          <w:spacing w:val="-11"/>
        </w:rPr>
        <w:t> 年新增癌症人数为 </w:t>
      </w:r>
      <w:r>
        <w:rPr/>
        <w:t>3</w:t>
      </w:r>
      <w:r>
        <w:rPr>
          <w:spacing w:val="-15"/>
        </w:rPr>
        <w:t>8</w:t>
      </w:r>
      <w:r>
        <w:rPr/>
        <w:t>0</w:t>
      </w:r>
      <w:r>
        <w:rPr>
          <w:spacing w:val="-26"/>
        </w:rPr>
        <w:t> 万人</w:t>
      </w:r>
      <w:r>
        <w:rPr/>
        <w:t>（</w:t>
      </w:r>
      <w:r>
        <w:rPr>
          <w:spacing w:val="-8"/>
        </w:rPr>
        <w:t>血液瘤约占 </w:t>
      </w:r>
      <w:r>
        <w:rPr/>
        <w:t>9.9%</w:t>
      </w:r>
      <w:r>
        <w:rPr>
          <w:spacing w:val="-105"/>
        </w:rPr>
        <w:t>）</w:t>
      </w:r>
      <w:r>
        <w:rPr>
          <w:spacing w:val="-12"/>
        </w:rPr>
        <w:t>，我们假定血液流中 </w:t>
      </w:r>
      <w:r>
        <w:rPr/>
        <w:t>T</w:t>
      </w:r>
      <w:r>
        <w:rPr>
          <w:spacing w:val="-5"/>
        </w:rPr>
        <w:t>细胞异常增值引起约占 </w:t>
      </w:r>
      <w:r>
        <w:rPr/>
        <w:t>30%。其中急性淋巴细胞白血病中适合二线以下疗法的患</w:t>
      </w:r>
      <w:r>
        <w:rPr>
          <w:spacing w:val="-15"/>
        </w:rPr>
        <w:t>者约 </w:t>
      </w:r>
      <w:r>
        <w:rPr/>
        <w:t>20%，</w:t>
      </w:r>
      <w:r>
        <w:rPr>
          <w:spacing w:val="-8"/>
        </w:rPr>
        <w:t>折算不适合 </w:t>
      </w:r>
      <w:r>
        <w:rPr/>
        <w:t>Car-T</w:t>
      </w:r>
      <w:r>
        <w:rPr>
          <w:spacing w:val="-10"/>
        </w:rPr>
        <w:t> 治疗及生产损耗后的预估治疗渗透率 </w:t>
      </w:r>
      <w:r>
        <w:rPr/>
        <w:t>30%；骨髓瘤目前还无法治愈，常用的来那度胺等药物只能延长患者的无进展生存期</w:t>
      </w:r>
      <w:r>
        <w:rPr>
          <w:spacing w:val="-7"/>
        </w:rPr>
        <w:t>（</w:t>
      </w:r>
      <w:r>
        <w:rPr/>
        <w:t>PFS</w:t>
      </w:r>
      <w:r>
        <w:rPr>
          <w:spacing w:val="-105"/>
        </w:rPr>
        <w:t>），</w:t>
      </w:r>
      <w:r>
        <w:rPr>
          <w:spacing w:val="3"/>
        </w:rPr>
        <w:t>国外临床试验显示</w:t>
      </w:r>
      <w:r>
        <w:rPr/>
        <w:t>CAR-T</w:t>
      </w:r>
      <w:r>
        <w:rPr>
          <w:spacing w:val="-12"/>
        </w:rPr>
        <w:t> 疗法对骨髓瘤疗效显著，假定适合</w:t>
      </w:r>
      <w:r>
        <w:rPr/>
        <w:t>Car-T</w:t>
      </w:r>
      <w:r>
        <w:rPr>
          <w:spacing w:val="-11"/>
        </w:rPr>
        <w:t> 患者约占</w:t>
      </w:r>
      <w:r>
        <w:rPr/>
        <w:t>30%， </w:t>
      </w:r>
      <w:r>
        <w:rPr>
          <w:spacing w:val="-1"/>
        </w:rPr>
        <w:t>渗透率为 </w:t>
      </w:r>
      <w:r>
        <w:rPr/>
        <w:t>50%；</w:t>
      </w:r>
      <w:r>
        <w:rPr>
          <w:spacing w:val="-1"/>
        </w:rPr>
        <w:t>非霍奇金淋巴瘤的一线用药是利妥昔单抗+化疗，疗效较好，出</w:t>
      </w:r>
      <w:r>
        <w:rPr>
          <w:spacing w:val="-6"/>
        </w:rPr>
        <w:t>现复发或转移的比例在 </w:t>
      </w:r>
      <w:r>
        <w:rPr/>
        <w:t>40%</w:t>
      </w:r>
      <w:r>
        <w:rPr>
          <w:spacing w:val="-7"/>
        </w:rPr>
        <w:t>左右，并预估 </w:t>
      </w:r>
      <w:r>
        <w:rPr/>
        <w:t>CAR-T</w:t>
      </w:r>
      <w:r>
        <w:rPr>
          <w:spacing w:val="-13"/>
        </w:rPr>
        <w:t> 治疗渗透率为 </w:t>
      </w:r>
      <w:r>
        <w:rPr/>
        <w:t>40%。</w:t>
      </w:r>
    </w:p>
    <w:p>
      <w:pPr>
        <w:pStyle w:val="BodyText"/>
        <w:spacing w:before="5"/>
        <w:rPr>
          <w:sz w:val="15"/>
        </w:rPr>
      </w:pPr>
    </w:p>
    <w:tbl>
      <w:tblPr>
        <w:tblW w:w="0" w:type="auto"/>
        <w:jc w:val="left"/>
        <w:tblInd w:w="2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3"/>
        <w:gridCol w:w="2508"/>
        <w:gridCol w:w="2838"/>
      </w:tblGrid>
      <w:tr>
        <w:trPr>
          <w:trHeight w:val="345" w:hRule="atLeast"/>
        </w:trPr>
        <w:tc>
          <w:tcPr>
            <w:tcW w:w="7899" w:type="dxa"/>
            <w:gridSpan w:val="3"/>
            <w:tcBorders>
              <w:top w:val="nil"/>
              <w:left w:val="nil"/>
              <w:right w:val="nil"/>
            </w:tcBorders>
            <w:shd w:val="clear" w:color="auto" w:fill="A11D04"/>
          </w:tcPr>
          <w:p>
            <w:pPr>
              <w:pStyle w:val="TableParagraph"/>
              <w:spacing w:before="30"/>
              <w:ind w:left="120"/>
              <w:rPr>
                <w:b/>
                <w:sz w:val="21"/>
              </w:rPr>
            </w:pPr>
            <w:r>
              <w:rPr>
                <w:b/>
                <w:color w:val="FFFFFF"/>
                <w:sz w:val="21"/>
              </w:rPr>
              <w:t>表 11：Car-T 中国市场天花板测算</w:t>
            </w:r>
          </w:p>
        </w:tc>
      </w:tr>
      <w:tr>
        <w:trPr>
          <w:trHeight w:val="570" w:hRule="atLeast"/>
        </w:trPr>
        <w:tc>
          <w:tcPr>
            <w:tcW w:w="2553" w:type="dxa"/>
          </w:tcPr>
          <w:p>
            <w:pPr>
              <w:pStyle w:val="TableParagraph"/>
              <w:spacing w:before="140"/>
              <w:rPr>
                <w:sz w:val="22"/>
              </w:rPr>
            </w:pPr>
            <w:r>
              <w:rPr>
                <w:sz w:val="22"/>
              </w:rPr>
              <w:t>疾病类型</w:t>
            </w:r>
          </w:p>
        </w:tc>
        <w:tc>
          <w:tcPr>
            <w:tcW w:w="2508" w:type="dxa"/>
          </w:tcPr>
          <w:p>
            <w:pPr>
              <w:pStyle w:val="TableParagraph"/>
              <w:spacing w:line="272" w:lineRule="exact"/>
              <w:rPr>
                <w:sz w:val="22"/>
              </w:rPr>
            </w:pPr>
            <w:r>
              <w:rPr>
                <w:sz w:val="22"/>
              </w:rPr>
              <w:t>适合 Car-T 患者数（万</w:t>
            </w:r>
          </w:p>
          <w:p>
            <w:pPr>
              <w:pStyle w:val="TableParagraph"/>
              <w:spacing w:line="275" w:lineRule="exact" w:before="3"/>
              <w:rPr>
                <w:sz w:val="22"/>
              </w:rPr>
            </w:pPr>
            <w:r>
              <w:rPr>
                <w:sz w:val="22"/>
              </w:rPr>
              <w:t>人）</w:t>
            </w:r>
          </w:p>
        </w:tc>
        <w:tc>
          <w:tcPr>
            <w:tcW w:w="2838" w:type="dxa"/>
          </w:tcPr>
          <w:p>
            <w:pPr>
              <w:pStyle w:val="TableParagraph"/>
              <w:spacing w:before="140"/>
              <w:rPr>
                <w:sz w:val="22"/>
              </w:rPr>
            </w:pPr>
            <w:r>
              <w:rPr>
                <w:sz w:val="22"/>
              </w:rPr>
              <w:t>渗透率</w:t>
            </w:r>
          </w:p>
        </w:tc>
      </w:tr>
      <w:tr>
        <w:trPr>
          <w:trHeight w:val="330" w:hRule="atLeast"/>
        </w:trPr>
        <w:tc>
          <w:tcPr>
            <w:tcW w:w="2553" w:type="dxa"/>
          </w:tcPr>
          <w:p>
            <w:pPr>
              <w:pStyle w:val="TableParagraph"/>
              <w:spacing w:before="20"/>
              <w:rPr>
                <w:sz w:val="22"/>
              </w:rPr>
            </w:pPr>
            <w:r>
              <w:rPr>
                <w:sz w:val="22"/>
              </w:rPr>
              <w:t>非霍奇金氏淋巴瘤</w:t>
            </w:r>
          </w:p>
        </w:tc>
        <w:tc>
          <w:tcPr>
            <w:tcW w:w="2508" w:type="dxa"/>
          </w:tcPr>
          <w:p>
            <w:pPr>
              <w:pStyle w:val="TableParagraph"/>
              <w:spacing w:before="20"/>
              <w:rPr>
                <w:sz w:val="22"/>
              </w:rPr>
            </w:pPr>
            <w:r>
              <w:rPr>
                <w:sz w:val="22"/>
              </w:rPr>
              <w:t>2.29</w:t>
            </w:r>
          </w:p>
        </w:tc>
        <w:tc>
          <w:tcPr>
            <w:tcW w:w="2838" w:type="dxa"/>
          </w:tcPr>
          <w:p>
            <w:pPr>
              <w:pStyle w:val="TableParagraph"/>
              <w:spacing w:before="20"/>
              <w:rPr>
                <w:sz w:val="22"/>
              </w:rPr>
            </w:pPr>
            <w:r>
              <w:rPr>
                <w:sz w:val="22"/>
              </w:rPr>
              <w:t>30%</w:t>
            </w:r>
          </w:p>
        </w:tc>
      </w:tr>
      <w:tr>
        <w:trPr>
          <w:trHeight w:val="330" w:hRule="atLeast"/>
        </w:trPr>
        <w:tc>
          <w:tcPr>
            <w:tcW w:w="2553" w:type="dxa"/>
          </w:tcPr>
          <w:p>
            <w:pPr>
              <w:pStyle w:val="TableParagraph"/>
              <w:spacing w:before="20"/>
              <w:rPr>
                <w:sz w:val="22"/>
              </w:rPr>
            </w:pPr>
            <w:r>
              <w:rPr>
                <w:sz w:val="22"/>
              </w:rPr>
              <w:t>ALL、AML、CLL、CML</w:t>
            </w:r>
          </w:p>
        </w:tc>
        <w:tc>
          <w:tcPr>
            <w:tcW w:w="2508" w:type="dxa"/>
          </w:tcPr>
          <w:p>
            <w:pPr>
              <w:pStyle w:val="TableParagraph"/>
              <w:spacing w:before="20"/>
              <w:rPr>
                <w:sz w:val="22"/>
              </w:rPr>
            </w:pPr>
            <w:r>
              <w:rPr>
                <w:sz w:val="22"/>
              </w:rPr>
              <w:t>2.51</w:t>
            </w:r>
          </w:p>
        </w:tc>
        <w:tc>
          <w:tcPr>
            <w:tcW w:w="2838" w:type="dxa"/>
          </w:tcPr>
          <w:p>
            <w:pPr>
              <w:pStyle w:val="TableParagraph"/>
              <w:spacing w:before="20"/>
              <w:rPr>
                <w:sz w:val="22"/>
              </w:rPr>
            </w:pPr>
            <w:r>
              <w:rPr>
                <w:sz w:val="22"/>
              </w:rPr>
              <w:t>50%</w:t>
            </w:r>
          </w:p>
        </w:tc>
      </w:tr>
      <w:tr>
        <w:trPr>
          <w:trHeight w:val="345" w:hRule="atLeast"/>
        </w:trPr>
        <w:tc>
          <w:tcPr>
            <w:tcW w:w="2553" w:type="dxa"/>
          </w:tcPr>
          <w:p>
            <w:pPr>
              <w:pStyle w:val="TableParagraph"/>
              <w:spacing w:before="35"/>
              <w:rPr>
                <w:sz w:val="22"/>
              </w:rPr>
            </w:pPr>
            <w:r>
              <w:rPr>
                <w:sz w:val="22"/>
              </w:rPr>
              <w:t>骨髓瘤</w:t>
            </w:r>
          </w:p>
        </w:tc>
        <w:tc>
          <w:tcPr>
            <w:tcW w:w="2508" w:type="dxa"/>
          </w:tcPr>
          <w:p>
            <w:pPr>
              <w:pStyle w:val="TableParagraph"/>
              <w:spacing w:before="35"/>
              <w:rPr>
                <w:sz w:val="22"/>
              </w:rPr>
            </w:pPr>
            <w:r>
              <w:rPr>
                <w:sz w:val="22"/>
              </w:rPr>
              <w:t>1.92</w:t>
            </w:r>
          </w:p>
        </w:tc>
        <w:tc>
          <w:tcPr>
            <w:tcW w:w="2838" w:type="dxa"/>
          </w:tcPr>
          <w:p>
            <w:pPr>
              <w:pStyle w:val="TableParagraph"/>
              <w:spacing w:before="35"/>
              <w:rPr>
                <w:sz w:val="22"/>
              </w:rPr>
            </w:pPr>
            <w:r>
              <w:rPr>
                <w:sz w:val="22"/>
              </w:rPr>
              <w:t>40%</w:t>
            </w:r>
          </w:p>
        </w:tc>
      </w:tr>
      <w:tr>
        <w:trPr>
          <w:trHeight w:val="330" w:hRule="atLeast"/>
        </w:trPr>
        <w:tc>
          <w:tcPr>
            <w:tcW w:w="2553" w:type="dxa"/>
            <w:vMerge w:val="restart"/>
          </w:tcPr>
          <w:p>
            <w:pPr>
              <w:pStyle w:val="TableParagraph"/>
              <w:spacing w:before="6"/>
              <w:ind w:left="0"/>
              <w:rPr>
                <w:sz w:val="28"/>
              </w:rPr>
            </w:pPr>
          </w:p>
          <w:p>
            <w:pPr>
              <w:pStyle w:val="TableParagraph"/>
              <w:rPr>
                <w:sz w:val="22"/>
              </w:rPr>
            </w:pPr>
            <w:r>
              <w:rPr>
                <w:sz w:val="22"/>
              </w:rPr>
              <w:t>中国</w:t>
            </w:r>
          </w:p>
        </w:tc>
        <w:tc>
          <w:tcPr>
            <w:tcW w:w="2508" w:type="dxa"/>
          </w:tcPr>
          <w:p>
            <w:pPr>
              <w:pStyle w:val="TableParagraph"/>
              <w:spacing w:before="20"/>
              <w:rPr>
                <w:sz w:val="22"/>
              </w:rPr>
            </w:pPr>
            <w:r>
              <w:rPr>
                <w:sz w:val="22"/>
              </w:rPr>
              <w:t>估计费用</w:t>
            </w:r>
          </w:p>
        </w:tc>
        <w:tc>
          <w:tcPr>
            <w:tcW w:w="2838" w:type="dxa"/>
          </w:tcPr>
          <w:p>
            <w:pPr>
              <w:pStyle w:val="TableParagraph"/>
              <w:spacing w:before="20"/>
              <w:rPr>
                <w:sz w:val="22"/>
              </w:rPr>
            </w:pPr>
            <w:r>
              <w:rPr>
                <w:sz w:val="22"/>
              </w:rPr>
              <w:t>40 万人民币</w:t>
            </w:r>
          </w:p>
        </w:tc>
      </w:tr>
      <w:tr>
        <w:trPr>
          <w:trHeight w:val="330" w:hRule="atLeast"/>
        </w:trPr>
        <w:tc>
          <w:tcPr>
            <w:tcW w:w="2553" w:type="dxa"/>
            <w:vMerge/>
            <w:tcBorders>
              <w:top w:val="nil"/>
            </w:tcBorders>
          </w:tcPr>
          <w:p>
            <w:pPr>
              <w:rPr>
                <w:sz w:val="2"/>
                <w:szCs w:val="2"/>
              </w:rPr>
            </w:pPr>
          </w:p>
        </w:tc>
        <w:tc>
          <w:tcPr>
            <w:tcW w:w="2508" w:type="dxa"/>
          </w:tcPr>
          <w:p>
            <w:pPr>
              <w:pStyle w:val="TableParagraph"/>
              <w:spacing w:before="20"/>
              <w:rPr>
                <w:sz w:val="22"/>
              </w:rPr>
            </w:pPr>
            <w:r>
              <w:rPr>
                <w:sz w:val="22"/>
              </w:rPr>
              <w:t>每年使用人数（万人）</w:t>
            </w:r>
          </w:p>
        </w:tc>
        <w:tc>
          <w:tcPr>
            <w:tcW w:w="2838" w:type="dxa"/>
          </w:tcPr>
          <w:p>
            <w:pPr>
              <w:pStyle w:val="TableParagraph"/>
              <w:spacing w:before="20"/>
              <w:rPr>
                <w:sz w:val="22"/>
              </w:rPr>
            </w:pPr>
            <w:r>
              <w:rPr>
                <w:sz w:val="22"/>
              </w:rPr>
              <w:t>6.71</w:t>
            </w:r>
          </w:p>
        </w:tc>
      </w:tr>
      <w:tr>
        <w:trPr>
          <w:trHeight w:val="345" w:hRule="atLeast"/>
        </w:trPr>
        <w:tc>
          <w:tcPr>
            <w:tcW w:w="2553" w:type="dxa"/>
            <w:vMerge/>
            <w:tcBorders>
              <w:top w:val="nil"/>
            </w:tcBorders>
          </w:tcPr>
          <w:p>
            <w:pPr>
              <w:rPr>
                <w:sz w:val="2"/>
                <w:szCs w:val="2"/>
              </w:rPr>
            </w:pPr>
          </w:p>
        </w:tc>
        <w:tc>
          <w:tcPr>
            <w:tcW w:w="2508" w:type="dxa"/>
          </w:tcPr>
          <w:p>
            <w:pPr>
              <w:pStyle w:val="TableParagraph"/>
              <w:spacing w:before="35"/>
              <w:rPr>
                <w:sz w:val="22"/>
              </w:rPr>
            </w:pPr>
            <w:r>
              <w:rPr>
                <w:sz w:val="22"/>
              </w:rPr>
              <w:t>市场天花板（亿元）</w:t>
            </w:r>
          </w:p>
        </w:tc>
        <w:tc>
          <w:tcPr>
            <w:tcW w:w="2838" w:type="dxa"/>
          </w:tcPr>
          <w:p>
            <w:pPr>
              <w:pStyle w:val="TableParagraph"/>
              <w:spacing w:before="35"/>
              <w:rPr>
                <w:sz w:val="22"/>
              </w:rPr>
            </w:pPr>
            <w:r>
              <w:rPr>
                <w:color w:val="FF0000"/>
                <w:sz w:val="22"/>
              </w:rPr>
              <w:t>268.512</w:t>
            </w:r>
          </w:p>
        </w:tc>
      </w:tr>
    </w:tbl>
    <w:p>
      <w:pPr>
        <w:spacing w:before="45"/>
        <w:ind w:left="2774" w:right="0" w:firstLine="0"/>
        <w:jc w:val="left"/>
        <w:rPr>
          <w:b/>
          <w:sz w:val="15"/>
        </w:rPr>
      </w:pPr>
      <w:r>
        <w:rPr>
          <w:b/>
          <w:sz w:val="15"/>
        </w:rPr>
        <w:t>数据来源：财通证券研究所</w:t>
      </w:r>
    </w:p>
    <w:p>
      <w:pPr>
        <w:pStyle w:val="BodyText"/>
        <w:rPr>
          <w:b/>
          <w:sz w:val="20"/>
        </w:rPr>
      </w:pPr>
    </w:p>
    <w:p>
      <w:pPr>
        <w:pStyle w:val="BodyText"/>
        <w:spacing w:before="8"/>
        <w:rPr>
          <w:b/>
          <w:sz w:val="28"/>
        </w:rPr>
      </w:pPr>
    </w:p>
    <w:p>
      <w:pPr>
        <w:pStyle w:val="BodyText"/>
        <w:spacing w:line="336" w:lineRule="auto" w:before="71"/>
        <w:ind w:left="3164" w:right="867"/>
      </w:pPr>
      <w:r>
        <w:rPr>
          <w:spacing w:val="-6"/>
        </w:rPr>
        <w:t>另一种定价为初始 </w:t>
      </w:r>
      <w:r>
        <w:rPr/>
        <w:t>100</w:t>
      </w:r>
      <w:r>
        <w:rPr>
          <w:spacing w:val="-11"/>
        </w:rPr>
        <w:t> 万定价，后受竞品影响价格逐年下跌 </w:t>
      </w:r>
      <w:r>
        <w:rPr/>
        <w:t>10%，该种定价模式</w:t>
      </w:r>
      <w:r>
        <w:rPr>
          <w:spacing w:val="-2"/>
        </w:rPr>
        <w:t>下，主要由有资质的医院使用，预计该类医院数量每两年增加 </w:t>
      </w:r>
      <w:r>
        <w:rPr/>
        <w:t>30%、商业化产品</w:t>
      </w:r>
    </w:p>
    <w:p>
      <w:pPr>
        <w:spacing w:after="0" w:line="336" w:lineRule="auto"/>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868"/>
        <w:jc w:val="both"/>
      </w:pPr>
      <w:r>
        <w:rPr>
          <w:spacing w:val="-12"/>
        </w:rPr>
        <w:t>渗透率 </w:t>
      </w:r>
      <w:r>
        <w:rPr/>
        <w:t>50%，</w:t>
      </w:r>
      <w:r>
        <w:rPr>
          <w:spacing w:val="-4"/>
        </w:rPr>
        <w:t>且参照美国医院治疗病人人数情况，平均每家中国医院第 </w:t>
      </w:r>
      <w:r>
        <w:rPr/>
        <w:t>1</w:t>
      </w:r>
      <w:r>
        <w:rPr>
          <w:spacing w:val="-12"/>
        </w:rPr>
        <w:t> 年可治</w:t>
      </w:r>
      <w:r>
        <w:rPr>
          <w:spacing w:val="-14"/>
        </w:rPr>
        <w:t>疗 </w:t>
      </w:r>
      <w:r>
        <w:rPr/>
        <w:t>30</w:t>
      </w:r>
      <w:r>
        <w:rPr>
          <w:spacing w:val="-5"/>
        </w:rPr>
        <w:t> 位病人，之后由于产品降价、医生经验增加等因素逐年增长 </w:t>
      </w:r>
      <w:r>
        <w:rPr/>
        <w:t>25%。在此假</w:t>
      </w:r>
      <w:r>
        <w:rPr>
          <w:spacing w:val="-6"/>
        </w:rPr>
        <w:t>设上我们来推算 </w:t>
      </w:r>
      <w:r>
        <w:rPr/>
        <w:t>Car-T</w:t>
      </w:r>
      <w:r>
        <w:rPr>
          <w:spacing w:val="-24"/>
        </w:rPr>
        <w:t> 获批 </w:t>
      </w:r>
      <w:r>
        <w:rPr/>
        <w:t>6</w:t>
      </w:r>
      <w:r>
        <w:rPr>
          <w:spacing w:val="-7"/>
        </w:rPr>
        <w:t> 年内的中国销售额情况。</w:t>
      </w:r>
    </w:p>
    <w:p>
      <w:pPr>
        <w:pStyle w:val="BodyText"/>
        <w:rPr>
          <w:sz w:val="20"/>
        </w:rPr>
      </w:pPr>
    </w:p>
    <w:p>
      <w:pPr>
        <w:pStyle w:val="BodyText"/>
        <w:spacing w:before="2"/>
        <w:rPr>
          <w:sz w:val="14"/>
        </w:rPr>
      </w:pPr>
    </w:p>
    <w:p>
      <w:pPr>
        <w:pStyle w:val="Heading2"/>
        <w:tabs>
          <w:tab w:pos="10432" w:val="left" w:leader="none"/>
        </w:tabs>
        <w:spacing w:before="78"/>
      </w:pPr>
      <w:r>
        <w:rPr>
          <w:rFonts w:ascii="Times New Roman" w:eastAsia="Times New Roman"/>
          <w:color w:val="FFFFFF"/>
          <w:shd w:fill="A11D04" w:color="auto" w:val="clear"/>
        </w:rPr>
        <w:t>  </w:t>
      </w:r>
      <w:r>
        <w:rPr>
          <w:color w:val="FFFFFF"/>
          <w:shd w:fill="A11D04" w:color="auto" w:val="clear"/>
        </w:rPr>
        <w:t>图</w:t>
      </w:r>
      <w:r>
        <w:rPr>
          <w:color w:val="FFFFFF"/>
          <w:spacing w:val="-40"/>
          <w:shd w:fill="A11D04" w:color="auto" w:val="clear"/>
        </w:rPr>
        <w:t> </w:t>
      </w:r>
      <w:r>
        <w:rPr>
          <w:color w:val="FFFFFF"/>
          <w:spacing w:val="10"/>
          <w:shd w:fill="A11D04" w:color="auto" w:val="clear"/>
        </w:rPr>
        <w:t>27：</w:t>
      </w:r>
      <w:r>
        <w:rPr>
          <w:color w:val="FFFFFF"/>
          <w:shd w:fill="A11D04" w:color="auto" w:val="clear"/>
        </w:rPr>
        <w:t>美国主要</w:t>
      </w:r>
      <w:r>
        <w:rPr>
          <w:color w:val="FFFFFF"/>
          <w:spacing w:val="-52"/>
          <w:shd w:fill="A11D04" w:color="auto" w:val="clear"/>
        </w:rPr>
        <w:t> </w:t>
      </w:r>
      <w:r>
        <w:rPr>
          <w:color w:val="FFFFFF"/>
          <w:shd w:fill="A11D04" w:color="auto" w:val="clear"/>
        </w:rPr>
        <w:t>Car-T</w:t>
      </w:r>
      <w:r>
        <w:rPr>
          <w:color w:val="FFFFFF"/>
          <w:spacing w:val="-66"/>
          <w:shd w:fill="A11D04" w:color="auto" w:val="clear"/>
        </w:rPr>
        <w:t> </w:t>
      </w:r>
      <w:r>
        <w:rPr>
          <w:color w:val="FFFFFF"/>
          <w:shd w:fill="A11D04" w:color="auto" w:val="clear"/>
        </w:rPr>
        <w:t>治疗</w:t>
      </w:r>
      <w:r>
        <w:rPr>
          <w:color w:val="FFFFFF"/>
          <w:spacing w:val="15"/>
          <w:shd w:fill="A11D04" w:color="auto" w:val="clear"/>
        </w:rPr>
        <w:t>医</w:t>
      </w:r>
      <w:r>
        <w:rPr>
          <w:color w:val="FFFFFF"/>
          <w:shd w:fill="A11D04" w:color="auto" w:val="clear"/>
        </w:rPr>
        <w:t>院治疗病人数量</w:t>
        <w:tab/>
      </w:r>
    </w:p>
    <w:p>
      <w:pPr>
        <w:pStyle w:val="BodyText"/>
        <w:spacing w:before="12"/>
        <w:rPr>
          <w:b/>
          <w:sz w:val="19"/>
        </w:rPr>
      </w:pPr>
      <w:r>
        <w:rPr/>
        <w:drawing>
          <wp:anchor distT="0" distB="0" distL="0" distR="0" allowOverlap="1" layoutInCell="1" locked="0" behindDoc="0" simplePos="0" relativeHeight="88">
            <wp:simplePos x="0" y="0"/>
            <wp:positionH relativeFrom="page">
              <wp:posOffset>2931835</wp:posOffset>
            </wp:positionH>
            <wp:positionV relativeFrom="paragraph">
              <wp:posOffset>187428</wp:posOffset>
            </wp:positionV>
            <wp:extent cx="3179505" cy="2391155"/>
            <wp:effectExtent l="0" t="0" r="0" b="0"/>
            <wp:wrapTopAndBottom/>
            <wp:docPr id="49" name="image30.png"/>
            <wp:cNvGraphicFramePr>
              <a:graphicFrameLocks noChangeAspect="1"/>
            </wp:cNvGraphicFramePr>
            <a:graphic>
              <a:graphicData uri="http://schemas.openxmlformats.org/drawingml/2006/picture">
                <pic:pic>
                  <pic:nvPicPr>
                    <pic:cNvPr id="50" name="image30.png"/>
                    <pic:cNvPicPr/>
                  </pic:nvPicPr>
                  <pic:blipFill>
                    <a:blip r:embed="rId42" cstate="print"/>
                    <a:stretch>
                      <a:fillRect/>
                    </a:stretch>
                  </pic:blipFill>
                  <pic:spPr>
                    <a:xfrm>
                      <a:off x="0" y="0"/>
                      <a:ext cx="3179505" cy="2391155"/>
                    </a:xfrm>
                    <a:prstGeom prst="rect">
                      <a:avLst/>
                    </a:prstGeom>
                  </pic:spPr>
                </pic:pic>
              </a:graphicData>
            </a:graphic>
          </wp:anchor>
        </w:drawing>
      </w:r>
    </w:p>
    <w:p>
      <w:pPr>
        <w:pStyle w:val="BodyText"/>
        <w:rPr>
          <w:b/>
          <w:sz w:val="20"/>
        </w:rPr>
      </w:pPr>
    </w:p>
    <w:p>
      <w:pPr>
        <w:pStyle w:val="BodyText"/>
        <w:rPr>
          <w:b/>
          <w:sz w:val="14"/>
        </w:rPr>
      </w:pPr>
      <w:r>
        <w:rPr/>
        <w:pict>
          <v:rect style="position:absolute;margin-left:165.949997pt;margin-top:10.95079pt;width:368.7pt;height:.75pt;mso-position-horizontal-relative:page;mso-position-vertical-relative:paragraph;z-index:-15683072;mso-wrap-distance-left:0;mso-wrap-distance-right:0" filled="true" fillcolor="#a11d04" stroked="false">
            <v:fill type="solid"/>
            <w10:wrap type="topAndBottom"/>
          </v:rect>
        </w:pict>
      </w:r>
    </w:p>
    <w:p>
      <w:pPr>
        <w:spacing w:before="16"/>
        <w:ind w:left="3164" w:right="0" w:firstLine="0"/>
        <w:jc w:val="left"/>
        <w:rPr>
          <w:b/>
          <w:sz w:val="15"/>
        </w:rPr>
      </w:pPr>
      <w:r>
        <w:rPr>
          <w:b/>
          <w:spacing w:val="4"/>
          <w:sz w:val="15"/>
        </w:rPr>
        <w:t>数据来源： </w:t>
      </w:r>
      <w:r>
        <w:rPr>
          <w:b/>
          <w:sz w:val="15"/>
        </w:rPr>
        <w:t>A</w:t>
      </w:r>
      <w:r>
        <w:rPr>
          <w:b/>
          <w:spacing w:val="-61"/>
          <w:sz w:val="15"/>
        </w:rPr>
        <w:t> </w:t>
      </w:r>
      <w:r>
        <w:rPr>
          <w:b/>
          <w:sz w:val="15"/>
        </w:rPr>
        <w:t>SCO</w:t>
      </w:r>
      <w:r>
        <w:rPr>
          <w:b/>
          <w:spacing w:val="-5"/>
          <w:sz w:val="15"/>
        </w:rPr>
        <w:t> 壁报、医院官网等，财通证券研究所</w:t>
      </w:r>
    </w:p>
    <w:p>
      <w:pPr>
        <w:pStyle w:val="BodyText"/>
        <w:spacing w:before="4"/>
        <w:rPr>
          <w:b/>
          <w:sz w:val="28"/>
        </w:rPr>
      </w:pPr>
    </w:p>
    <w:tbl>
      <w:tblPr>
        <w:tblW w:w="0" w:type="auto"/>
        <w:jc w:val="left"/>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52"/>
        <w:gridCol w:w="1562"/>
        <w:gridCol w:w="1412"/>
        <w:gridCol w:w="1276"/>
        <w:gridCol w:w="1141"/>
        <w:gridCol w:w="1351"/>
        <w:gridCol w:w="945"/>
      </w:tblGrid>
      <w:tr>
        <w:trPr>
          <w:trHeight w:val="345" w:hRule="atLeast"/>
        </w:trPr>
        <w:tc>
          <w:tcPr>
            <w:tcW w:w="9639" w:type="dxa"/>
            <w:gridSpan w:val="7"/>
            <w:tcBorders>
              <w:top w:val="nil"/>
              <w:left w:val="nil"/>
              <w:right w:val="nil"/>
            </w:tcBorders>
            <w:shd w:val="clear" w:color="auto" w:fill="A11D04"/>
          </w:tcPr>
          <w:p>
            <w:pPr>
              <w:pStyle w:val="TableParagraph"/>
              <w:spacing w:before="30"/>
              <w:ind w:left="120"/>
              <w:rPr>
                <w:b/>
                <w:sz w:val="21"/>
              </w:rPr>
            </w:pPr>
            <w:r>
              <w:rPr>
                <w:b/>
                <w:color w:val="FFFFFF"/>
                <w:sz w:val="21"/>
              </w:rPr>
              <w:t>表 12：初始定价 100 万元时 Car-T 销售预测</w:t>
            </w:r>
          </w:p>
        </w:tc>
      </w:tr>
      <w:tr>
        <w:trPr>
          <w:trHeight w:val="330" w:hRule="atLeast"/>
        </w:trPr>
        <w:tc>
          <w:tcPr>
            <w:tcW w:w="1952" w:type="dxa"/>
          </w:tcPr>
          <w:p>
            <w:pPr>
              <w:pStyle w:val="TableParagraph"/>
              <w:ind w:left="0"/>
              <w:rPr>
                <w:rFonts w:ascii="Times New Roman"/>
                <w:sz w:val="20"/>
              </w:rPr>
            </w:pPr>
          </w:p>
        </w:tc>
        <w:tc>
          <w:tcPr>
            <w:tcW w:w="1562" w:type="dxa"/>
          </w:tcPr>
          <w:p>
            <w:pPr>
              <w:pStyle w:val="TableParagraph"/>
              <w:spacing w:before="30"/>
              <w:rPr>
                <w:sz w:val="21"/>
              </w:rPr>
            </w:pPr>
            <w:r>
              <w:rPr>
                <w:sz w:val="21"/>
              </w:rPr>
              <w:t>2021</w:t>
            </w:r>
          </w:p>
        </w:tc>
        <w:tc>
          <w:tcPr>
            <w:tcW w:w="1412" w:type="dxa"/>
          </w:tcPr>
          <w:p>
            <w:pPr>
              <w:pStyle w:val="TableParagraph"/>
              <w:spacing w:before="30"/>
              <w:ind w:left="113"/>
              <w:rPr>
                <w:sz w:val="21"/>
              </w:rPr>
            </w:pPr>
            <w:r>
              <w:rPr>
                <w:sz w:val="21"/>
              </w:rPr>
              <w:t>2022</w:t>
            </w:r>
          </w:p>
        </w:tc>
        <w:tc>
          <w:tcPr>
            <w:tcW w:w="1276" w:type="dxa"/>
          </w:tcPr>
          <w:p>
            <w:pPr>
              <w:pStyle w:val="TableParagraph"/>
              <w:spacing w:before="30"/>
              <w:rPr>
                <w:sz w:val="21"/>
              </w:rPr>
            </w:pPr>
            <w:r>
              <w:rPr>
                <w:sz w:val="21"/>
              </w:rPr>
              <w:t>2023</w:t>
            </w:r>
          </w:p>
        </w:tc>
        <w:tc>
          <w:tcPr>
            <w:tcW w:w="1141" w:type="dxa"/>
          </w:tcPr>
          <w:p>
            <w:pPr>
              <w:pStyle w:val="TableParagraph"/>
              <w:spacing w:before="30"/>
              <w:rPr>
                <w:sz w:val="21"/>
              </w:rPr>
            </w:pPr>
            <w:r>
              <w:rPr>
                <w:sz w:val="21"/>
              </w:rPr>
              <w:t>2024</w:t>
            </w:r>
          </w:p>
        </w:tc>
        <w:tc>
          <w:tcPr>
            <w:tcW w:w="1351" w:type="dxa"/>
          </w:tcPr>
          <w:p>
            <w:pPr>
              <w:pStyle w:val="TableParagraph"/>
              <w:spacing w:before="30"/>
              <w:ind w:left="113"/>
              <w:rPr>
                <w:sz w:val="21"/>
              </w:rPr>
            </w:pPr>
            <w:r>
              <w:rPr>
                <w:sz w:val="21"/>
              </w:rPr>
              <w:t>2025</w:t>
            </w:r>
          </w:p>
        </w:tc>
        <w:tc>
          <w:tcPr>
            <w:tcW w:w="945" w:type="dxa"/>
          </w:tcPr>
          <w:p>
            <w:pPr>
              <w:pStyle w:val="TableParagraph"/>
              <w:spacing w:before="30"/>
              <w:ind w:left="113"/>
              <w:rPr>
                <w:sz w:val="21"/>
              </w:rPr>
            </w:pPr>
            <w:r>
              <w:rPr>
                <w:sz w:val="21"/>
              </w:rPr>
              <w:t>2026</w:t>
            </w:r>
          </w:p>
        </w:tc>
      </w:tr>
      <w:tr>
        <w:trPr>
          <w:trHeight w:val="330" w:hRule="atLeast"/>
        </w:trPr>
        <w:tc>
          <w:tcPr>
            <w:tcW w:w="1952" w:type="dxa"/>
          </w:tcPr>
          <w:p>
            <w:pPr>
              <w:pStyle w:val="TableParagraph"/>
              <w:spacing w:before="30"/>
              <w:rPr>
                <w:sz w:val="21"/>
              </w:rPr>
            </w:pPr>
            <w:r>
              <w:rPr>
                <w:sz w:val="21"/>
              </w:rPr>
              <w:t>开展医院数</w:t>
            </w:r>
          </w:p>
        </w:tc>
        <w:tc>
          <w:tcPr>
            <w:tcW w:w="1562" w:type="dxa"/>
          </w:tcPr>
          <w:p>
            <w:pPr>
              <w:pStyle w:val="TableParagraph"/>
              <w:spacing w:before="30"/>
              <w:rPr>
                <w:sz w:val="21"/>
              </w:rPr>
            </w:pPr>
            <w:r>
              <w:rPr>
                <w:sz w:val="21"/>
              </w:rPr>
              <w:t>72</w:t>
            </w:r>
          </w:p>
        </w:tc>
        <w:tc>
          <w:tcPr>
            <w:tcW w:w="1412" w:type="dxa"/>
          </w:tcPr>
          <w:p>
            <w:pPr>
              <w:pStyle w:val="TableParagraph"/>
              <w:spacing w:before="30"/>
              <w:ind w:left="113"/>
              <w:rPr>
                <w:sz w:val="21"/>
              </w:rPr>
            </w:pPr>
            <w:r>
              <w:rPr>
                <w:sz w:val="21"/>
              </w:rPr>
              <w:t>83</w:t>
            </w:r>
          </w:p>
        </w:tc>
        <w:tc>
          <w:tcPr>
            <w:tcW w:w="1276" w:type="dxa"/>
          </w:tcPr>
          <w:p>
            <w:pPr>
              <w:pStyle w:val="TableParagraph"/>
              <w:spacing w:before="30"/>
              <w:rPr>
                <w:sz w:val="21"/>
              </w:rPr>
            </w:pPr>
            <w:r>
              <w:rPr>
                <w:sz w:val="21"/>
              </w:rPr>
              <w:t>94</w:t>
            </w:r>
          </w:p>
        </w:tc>
        <w:tc>
          <w:tcPr>
            <w:tcW w:w="1141" w:type="dxa"/>
          </w:tcPr>
          <w:p>
            <w:pPr>
              <w:pStyle w:val="TableParagraph"/>
              <w:spacing w:before="30"/>
              <w:rPr>
                <w:sz w:val="21"/>
              </w:rPr>
            </w:pPr>
            <w:r>
              <w:rPr>
                <w:sz w:val="21"/>
              </w:rPr>
              <w:t>108</w:t>
            </w:r>
          </w:p>
        </w:tc>
        <w:tc>
          <w:tcPr>
            <w:tcW w:w="1351" w:type="dxa"/>
          </w:tcPr>
          <w:p>
            <w:pPr>
              <w:pStyle w:val="TableParagraph"/>
              <w:spacing w:before="30"/>
              <w:ind w:left="113"/>
              <w:rPr>
                <w:sz w:val="21"/>
              </w:rPr>
            </w:pPr>
            <w:r>
              <w:rPr>
                <w:sz w:val="21"/>
              </w:rPr>
              <w:t>122</w:t>
            </w:r>
          </w:p>
        </w:tc>
        <w:tc>
          <w:tcPr>
            <w:tcW w:w="945" w:type="dxa"/>
          </w:tcPr>
          <w:p>
            <w:pPr>
              <w:pStyle w:val="TableParagraph"/>
              <w:spacing w:before="30"/>
              <w:ind w:left="113"/>
              <w:rPr>
                <w:sz w:val="21"/>
              </w:rPr>
            </w:pPr>
            <w:r>
              <w:rPr>
                <w:sz w:val="21"/>
              </w:rPr>
              <w:t>140</w:t>
            </w:r>
          </w:p>
        </w:tc>
      </w:tr>
      <w:tr>
        <w:trPr>
          <w:trHeight w:val="345" w:hRule="atLeast"/>
        </w:trPr>
        <w:tc>
          <w:tcPr>
            <w:tcW w:w="1952" w:type="dxa"/>
          </w:tcPr>
          <w:p>
            <w:pPr>
              <w:pStyle w:val="TableParagraph"/>
              <w:spacing w:before="30"/>
              <w:rPr>
                <w:sz w:val="21"/>
              </w:rPr>
            </w:pPr>
            <w:r>
              <w:rPr>
                <w:sz w:val="21"/>
              </w:rPr>
              <w:t>价格</w:t>
            </w:r>
          </w:p>
        </w:tc>
        <w:tc>
          <w:tcPr>
            <w:tcW w:w="1562" w:type="dxa"/>
          </w:tcPr>
          <w:p>
            <w:pPr>
              <w:pStyle w:val="TableParagraph"/>
              <w:spacing w:before="30"/>
              <w:rPr>
                <w:sz w:val="21"/>
              </w:rPr>
            </w:pPr>
            <w:r>
              <w:rPr>
                <w:sz w:val="21"/>
              </w:rPr>
              <w:t>100.00</w:t>
            </w:r>
          </w:p>
        </w:tc>
        <w:tc>
          <w:tcPr>
            <w:tcW w:w="1412" w:type="dxa"/>
          </w:tcPr>
          <w:p>
            <w:pPr>
              <w:pStyle w:val="TableParagraph"/>
              <w:spacing w:before="30"/>
              <w:ind w:left="113"/>
              <w:rPr>
                <w:sz w:val="21"/>
              </w:rPr>
            </w:pPr>
            <w:r>
              <w:rPr>
                <w:sz w:val="21"/>
              </w:rPr>
              <w:t>90.00</w:t>
            </w:r>
          </w:p>
        </w:tc>
        <w:tc>
          <w:tcPr>
            <w:tcW w:w="1276" w:type="dxa"/>
          </w:tcPr>
          <w:p>
            <w:pPr>
              <w:pStyle w:val="TableParagraph"/>
              <w:spacing w:before="30"/>
              <w:rPr>
                <w:sz w:val="21"/>
              </w:rPr>
            </w:pPr>
            <w:r>
              <w:rPr>
                <w:sz w:val="21"/>
              </w:rPr>
              <w:t>81.00</w:t>
            </w:r>
          </w:p>
        </w:tc>
        <w:tc>
          <w:tcPr>
            <w:tcW w:w="1141" w:type="dxa"/>
          </w:tcPr>
          <w:p>
            <w:pPr>
              <w:pStyle w:val="TableParagraph"/>
              <w:spacing w:before="30"/>
              <w:rPr>
                <w:sz w:val="21"/>
              </w:rPr>
            </w:pPr>
            <w:r>
              <w:rPr>
                <w:sz w:val="21"/>
              </w:rPr>
              <w:t>72.90</w:t>
            </w:r>
          </w:p>
        </w:tc>
        <w:tc>
          <w:tcPr>
            <w:tcW w:w="1351" w:type="dxa"/>
          </w:tcPr>
          <w:p>
            <w:pPr>
              <w:pStyle w:val="TableParagraph"/>
              <w:spacing w:before="30"/>
              <w:ind w:left="113"/>
              <w:rPr>
                <w:sz w:val="21"/>
              </w:rPr>
            </w:pPr>
            <w:r>
              <w:rPr>
                <w:sz w:val="21"/>
              </w:rPr>
              <w:t>65.61</w:t>
            </w:r>
          </w:p>
        </w:tc>
        <w:tc>
          <w:tcPr>
            <w:tcW w:w="945" w:type="dxa"/>
          </w:tcPr>
          <w:p>
            <w:pPr>
              <w:pStyle w:val="TableParagraph"/>
              <w:spacing w:before="30"/>
              <w:ind w:left="113"/>
              <w:rPr>
                <w:sz w:val="21"/>
              </w:rPr>
            </w:pPr>
            <w:r>
              <w:rPr>
                <w:sz w:val="21"/>
              </w:rPr>
              <w:t>59.05</w:t>
            </w:r>
          </w:p>
        </w:tc>
      </w:tr>
      <w:tr>
        <w:trPr>
          <w:trHeight w:val="330" w:hRule="atLeast"/>
        </w:trPr>
        <w:tc>
          <w:tcPr>
            <w:tcW w:w="1952" w:type="dxa"/>
          </w:tcPr>
          <w:p>
            <w:pPr>
              <w:pStyle w:val="TableParagraph"/>
              <w:spacing w:before="30"/>
              <w:rPr>
                <w:sz w:val="21"/>
              </w:rPr>
            </w:pPr>
            <w:r>
              <w:rPr>
                <w:sz w:val="21"/>
              </w:rPr>
              <w:t>平均治疗病人数</w:t>
            </w:r>
          </w:p>
        </w:tc>
        <w:tc>
          <w:tcPr>
            <w:tcW w:w="1562" w:type="dxa"/>
          </w:tcPr>
          <w:p>
            <w:pPr>
              <w:pStyle w:val="TableParagraph"/>
              <w:spacing w:before="30"/>
              <w:rPr>
                <w:sz w:val="21"/>
              </w:rPr>
            </w:pPr>
            <w:r>
              <w:rPr>
                <w:sz w:val="21"/>
              </w:rPr>
              <w:t>30</w:t>
            </w:r>
          </w:p>
        </w:tc>
        <w:tc>
          <w:tcPr>
            <w:tcW w:w="1412" w:type="dxa"/>
          </w:tcPr>
          <w:p>
            <w:pPr>
              <w:pStyle w:val="TableParagraph"/>
              <w:spacing w:before="30"/>
              <w:ind w:left="113"/>
              <w:rPr>
                <w:sz w:val="21"/>
              </w:rPr>
            </w:pPr>
            <w:r>
              <w:rPr>
                <w:sz w:val="21"/>
              </w:rPr>
              <w:t>38</w:t>
            </w:r>
          </w:p>
        </w:tc>
        <w:tc>
          <w:tcPr>
            <w:tcW w:w="1276" w:type="dxa"/>
          </w:tcPr>
          <w:p>
            <w:pPr>
              <w:pStyle w:val="TableParagraph"/>
              <w:spacing w:before="30"/>
              <w:rPr>
                <w:sz w:val="21"/>
              </w:rPr>
            </w:pPr>
            <w:r>
              <w:rPr>
                <w:sz w:val="21"/>
              </w:rPr>
              <w:t>47</w:t>
            </w:r>
          </w:p>
        </w:tc>
        <w:tc>
          <w:tcPr>
            <w:tcW w:w="1141" w:type="dxa"/>
          </w:tcPr>
          <w:p>
            <w:pPr>
              <w:pStyle w:val="TableParagraph"/>
              <w:spacing w:before="30"/>
              <w:rPr>
                <w:sz w:val="21"/>
              </w:rPr>
            </w:pPr>
            <w:r>
              <w:rPr>
                <w:sz w:val="21"/>
              </w:rPr>
              <w:t>59</w:t>
            </w:r>
          </w:p>
        </w:tc>
        <w:tc>
          <w:tcPr>
            <w:tcW w:w="1351" w:type="dxa"/>
          </w:tcPr>
          <w:p>
            <w:pPr>
              <w:pStyle w:val="TableParagraph"/>
              <w:spacing w:before="30"/>
              <w:ind w:left="113"/>
              <w:rPr>
                <w:sz w:val="21"/>
              </w:rPr>
            </w:pPr>
            <w:r>
              <w:rPr>
                <w:sz w:val="21"/>
              </w:rPr>
              <w:t>73</w:t>
            </w:r>
          </w:p>
        </w:tc>
        <w:tc>
          <w:tcPr>
            <w:tcW w:w="945" w:type="dxa"/>
          </w:tcPr>
          <w:p>
            <w:pPr>
              <w:pStyle w:val="TableParagraph"/>
              <w:spacing w:before="30"/>
              <w:ind w:left="113"/>
              <w:rPr>
                <w:sz w:val="21"/>
              </w:rPr>
            </w:pPr>
            <w:r>
              <w:rPr>
                <w:sz w:val="21"/>
              </w:rPr>
              <w:t>92</w:t>
            </w:r>
          </w:p>
        </w:tc>
      </w:tr>
      <w:tr>
        <w:trPr>
          <w:trHeight w:val="330" w:hRule="atLeast"/>
        </w:trPr>
        <w:tc>
          <w:tcPr>
            <w:tcW w:w="1952" w:type="dxa"/>
          </w:tcPr>
          <w:p>
            <w:pPr>
              <w:pStyle w:val="TableParagraph"/>
              <w:spacing w:before="30"/>
              <w:rPr>
                <w:sz w:val="21"/>
              </w:rPr>
            </w:pPr>
            <w:r>
              <w:rPr>
                <w:sz w:val="21"/>
              </w:rPr>
              <w:t>销售额（亿元）</w:t>
            </w:r>
          </w:p>
        </w:tc>
        <w:tc>
          <w:tcPr>
            <w:tcW w:w="1562" w:type="dxa"/>
          </w:tcPr>
          <w:p>
            <w:pPr>
              <w:pStyle w:val="TableParagraph"/>
              <w:spacing w:before="30"/>
              <w:rPr>
                <w:sz w:val="21"/>
              </w:rPr>
            </w:pPr>
            <w:r>
              <w:rPr>
                <w:sz w:val="21"/>
              </w:rPr>
              <w:t>21.60</w:t>
            </w:r>
          </w:p>
        </w:tc>
        <w:tc>
          <w:tcPr>
            <w:tcW w:w="1412" w:type="dxa"/>
          </w:tcPr>
          <w:p>
            <w:pPr>
              <w:pStyle w:val="TableParagraph"/>
              <w:spacing w:before="30"/>
              <w:ind w:left="113"/>
              <w:rPr>
                <w:sz w:val="21"/>
              </w:rPr>
            </w:pPr>
            <w:r>
              <w:rPr>
                <w:sz w:val="21"/>
              </w:rPr>
              <w:t>27.95</w:t>
            </w:r>
          </w:p>
        </w:tc>
        <w:tc>
          <w:tcPr>
            <w:tcW w:w="1276" w:type="dxa"/>
          </w:tcPr>
          <w:p>
            <w:pPr>
              <w:pStyle w:val="TableParagraph"/>
              <w:spacing w:before="30"/>
              <w:rPr>
                <w:sz w:val="21"/>
              </w:rPr>
            </w:pPr>
            <w:r>
              <w:rPr>
                <w:sz w:val="21"/>
              </w:rPr>
              <w:t>35.54</w:t>
            </w:r>
          </w:p>
        </w:tc>
        <w:tc>
          <w:tcPr>
            <w:tcW w:w="1141" w:type="dxa"/>
          </w:tcPr>
          <w:p>
            <w:pPr>
              <w:pStyle w:val="TableParagraph"/>
              <w:spacing w:before="30"/>
              <w:rPr>
                <w:sz w:val="21"/>
              </w:rPr>
            </w:pPr>
            <w:r>
              <w:rPr>
                <w:sz w:val="21"/>
              </w:rPr>
              <w:t>45.98</w:t>
            </w:r>
          </w:p>
        </w:tc>
        <w:tc>
          <w:tcPr>
            <w:tcW w:w="1351" w:type="dxa"/>
          </w:tcPr>
          <w:p>
            <w:pPr>
              <w:pStyle w:val="TableParagraph"/>
              <w:spacing w:before="30"/>
              <w:ind w:left="113"/>
              <w:rPr>
                <w:sz w:val="21"/>
              </w:rPr>
            </w:pPr>
            <w:r>
              <w:rPr>
                <w:sz w:val="21"/>
              </w:rPr>
              <w:t>58.47</w:t>
            </w:r>
          </w:p>
        </w:tc>
        <w:tc>
          <w:tcPr>
            <w:tcW w:w="945" w:type="dxa"/>
          </w:tcPr>
          <w:p>
            <w:pPr>
              <w:pStyle w:val="TableParagraph"/>
              <w:spacing w:before="30"/>
              <w:ind w:left="113"/>
              <w:rPr>
                <w:sz w:val="21"/>
              </w:rPr>
            </w:pPr>
            <w:r>
              <w:rPr>
                <w:sz w:val="21"/>
              </w:rPr>
              <w:t>75.65</w:t>
            </w:r>
          </w:p>
        </w:tc>
      </w:tr>
    </w:tbl>
    <w:p>
      <w:pPr>
        <w:spacing w:before="60"/>
        <w:ind w:left="896" w:right="0" w:firstLine="0"/>
        <w:jc w:val="left"/>
        <w:rPr>
          <w:b/>
          <w:sz w:val="15"/>
        </w:rPr>
      </w:pPr>
      <w:r>
        <w:rPr>
          <w:b/>
          <w:sz w:val="15"/>
        </w:rPr>
        <w:t>数据来源：财通证券研究所</w:t>
      </w:r>
    </w:p>
    <w:p>
      <w:pPr>
        <w:pStyle w:val="BodyText"/>
        <w:rPr>
          <w:b/>
          <w:sz w:val="20"/>
        </w:rPr>
      </w:pPr>
    </w:p>
    <w:p>
      <w:pPr>
        <w:pStyle w:val="BodyText"/>
        <w:spacing w:before="12"/>
        <w:rPr>
          <w:b/>
        </w:rPr>
      </w:pPr>
    </w:p>
    <w:p>
      <w:pPr>
        <w:pStyle w:val="Heading1"/>
        <w:spacing w:before="66"/>
        <w:jc w:val="both"/>
      </w:pPr>
      <w:bookmarkStart w:name="_TOC_250001" w:id="23"/>
      <w:bookmarkEnd w:id="23"/>
      <w:r>
        <w:rPr/>
        <w:t>8、 相关公司情况介绍</w:t>
      </w:r>
    </w:p>
    <w:p>
      <w:pPr>
        <w:pStyle w:val="BodyText"/>
        <w:spacing w:line="326" w:lineRule="auto" w:before="203"/>
        <w:ind w:left="3164" w:right="862"/>
        <w:jc w:val="both"/>
        <w:rPr>
          <w:b/>
        </w:rPr>
      </w:pPr>
      <w:r>
        <w:rPr>
          <w:spacing w:val="-10"/>
        </w:rPr>
        <w:t>如上，我们认为 </w:t>
      </w:r>
      <w:r>
        <w:rPr/>
        <w:t>Car-T</w:t>
      </w:r>
      <w:r>
        <w:rPr>
          <w:spacing w:val="-10"/>
        </w:rPr>
        <w:t> 虽然遭受一定质疑与挫折，但仍具有光明的前景。特别是</w:t>
      </w:r>
      <w:r>
        <w:rPr>
          <w:spacing w:val="-13"/>
        </w:rPr>
        <w:t>复兴凯特报产后，宣布国内 </w:t>
      </w:r>
      <w:r>
        <w:rPr/>
        <w:t>Car-T</w:t>
      </w:r>
      <w:r>
        <w:rPr>
          <w:spacing w:val="-9"/>
        </w:rPr>
        <w:t> 市场进入了龙头确立的时代，两类企业能跑出</w:t>
      </w:r>
      <w:r>
        <w:rPr>
          <w:spacing w:val="-8"/>
        </w:rPr>
        <w:t>来形成上下游协同效应，确立产业龙头地位：</w:t>
      </w:r>
      <w:r>
        <w:rPr>
          <w:spacing w:val="-3"/>
        </w:rPr>
        <w:t>1</w:t>
      </w:r>
      <w:r>
        <w:rPr/>
        <w:t>、研发生产端具有优势，能获批报产获得先发优势的企业；2、能够通过规模化显著降低成本的企业。同时，由</w:t>
      </w:r>
      <w:r>
        <w:rPr>
          <w:spacing w:val="-23"/>
        </w:rPr>
        <w:t>于 </w:t>
      </w:r>
      <w:r>
        <w:rPr/>
        <w:t>Car-T</w:t>
      </w:r>
      <w:r>
        <w:rPr>
          <w:spacing w:val="-11"/>
        </w:rPr>
        <w:t> 产业生产的复杂性，以及所需原材料、设备的与其他细胞、基因治疗产品具有通用性，可以极大的推动上下游产业的发展。我国生物药产业将成为未来</w:t>
      </w:r>
      <w:r>
        <w:rPr>
          <w:spacing w:val="-15"/>
        </w:rPr>
        <w:t>经济转型的支柱行业，且 </w:t>
      </w:r>
      <w:r>
        <w:rPr/>
        <w:t>Car-T</w:t>
      </w:r>
      <w:r>
        <w:rPr>
          <w:spacing w:val="-11"/>
        </w:rPr>
        <w:t> 市场具有较大潜力，</w:t>
      </w:r>
      <w:r>
        <w:rPr>
          <w:b/>
          <w:spacing w:val="-5"/>
        </w:rPr>
        <w:t>给予行业“增持”评级，建</w:t>
      </w:r>
      <w:r>
        <w:rPr>
          <w:b/>
          <w:spacing w:val="-19"/>
        </w:rPr>
        <w:t>议关注 </w:t>
      </w:r>
      <w:r>
        <w:rPr>
          <w:b/>
        </w:rPr>
        <w:t>CAR-T</w:t>
      </w:r>
      <w:r>
        <w:rPr>
          <w:b/>
          <w:spacing w:val="-12"/>
        </w:rPr>
        <w:t> 领域受益上市标的复星医药、金斯瑞、佐力药业，未上市公司斯丹</w:t>
      </w:r>
    </w:p>
    <w:p>
      <w:pPr>
        <w:spacing w:after="0" w:line="326" w:lineRule="auto"/>
        <w:jc w:val="both"/>
        <w:sectPr>
          <w:pgSz w:w="11910" w:h="16850"/>
          <w:pgMar w:header="796" w:footer="1296" w:top="1340" w:bottom="1480" w:left="260" w:right="300"/>
        </w:sectPr>
      </w:pPr>
    </w:p>
    <w:p>
      <w:pPr>
        <w:pStyle w:val="BodyText"/>
        <w:spacing w:before="1"/>
        <w:rPr>
          <w:b/>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Heading2"/>
        <w:spacing w:before="30"/>
        <w:ind w:left="3164"/>
      </w:pPr>
      <w:r>
        <w:rPr/>
        <w:t>赛、华道生物。</w:t>
      </w:r>
    </w:p>
    <w:p>
      <w:pPr>
        <w:pStyle w:val="BodyText"/>
        <w:rPr>
          <w:b/>
          <w:sz w:val="20"/>
        </w:rPr>
      </w:pPr>
    </w:p>
    <w:p>
      <w:pPr>
        <w:pStyle w:val="BodyText"/>
        <w:rPr>
          <w:b/>
          <w:sz w:val="20"/>
        </w:rPr>
      </w:pPr>
    </w:p>
    <w:p>
      <w:pPr>
        <w:pStyle w:val="BodyText"/>
        <w:spacing w:before="2"/>
        <w:rPr>
          <w:b/>
          <w:sz w:val="15"/>
        </w:rPr>
      </w:pPr>
    </w:p>
    <w:p>
      <w:pPr>
        <w:spacing w:before="0"/>
        <w:ind w:left="3164" w:right="0" w:firstLine="0"/>
        <w:jc w:val="left"/>
        <w:rPr>
          <w:b/>
          <w:sz w:val="21"/>
        </w:rPr>
      </w:pPr>
      <w:r>
        <w:rPr>
          <w:b/>
          <w:sz w:val="21"/>
        </w:rPr>
        <w:t>1、复星医药（600169.SH/2196.HK）——力争成为医药领域的航空母舰</w:t>
      </w:r>
    </w:p>
    <w:p>
      <w:pPr>
        <w:pStyle w:val="BodyText"/>
        <w:spacing w:before="9"/>
        <w:rPr>
          <w:b/>
          <w:sz w:val="25"/>
        </w:rPr>
      </w:pPr>
    </w:p>
    <w:p>
      <w:pPr>
        <w:pStyle w:val="Heading2"/>
        <w:tabs>
          <w:tab w:pos="10583" w:val="left" w:leader="none"/>
        </w:tabs>
        <w:ind w:left="1061"/>
      </w:pPr>
      <w:r>
        <w:rPr/>
        <w:pict>
          <v:group style="position:absolute;margin-left:66.824997pt;margin-top:18.969976pt;width:475.35pt;height:273.150pt;mso-position-horizontal-relative:page;mso-position-vertical-relative:paragraph;z-index:-15682048;mso-wrap-distance-left:0;mso-wrap-distance-right:0" coordorigin="1336,379" coordsize="9507,5463">
            <v:rect style="position:absolute;left:1336;top:5827;width:9507;height:15" filled="true" fillcolor="#a11d04" stroked="false">
              <v:fill type="solid"/>
            </v:rect>
            <v:shape style="position:absolute;left:2237;top:379;width:7681;height:5435" type="#_x0000_t75" stroked="false">
              <v:imagedata r:id="rId43" o:title=""/>
            </v:shape>
            <w10:wrap type="topAndBottom"/>
          </v:group>
        </w:pict>
      </w:r>
      <w:r>
        <w:rPr>
          <w:rFonts w:ascii="Times New Roman" w:eastAsia="Times New Roman"/>
          <w:color w:val="FFFFFF"/>
          <w:shd w:fill="A11D04" w:color="auto" w:val="clear"/>
        </w:rPr>
        <w:t> </w:t>
      </w:r>
      <w:r>
        <w:rPr>
          <w:rFonts w:ascii="Times New Roman" w:eastAsia="Times New Roman"/>
          <w:color w:val="FFFFFF"/>
          <w:spacing w:val="15"/>
          <w:shd w:fill="A11D04" w:color="auto" w:val="clear"/>
        </w:rPr>
        <w:t> </w:t>
      </w:r>
      <w:r>
        <w:rPr>
          <w:color w:val="FFFFFF"/>
          <w:shd w:fill="A11D04" w:color="auto" w:val="clear"/>
        </w:rPr>
        <w:t>图</w:t>
      </w:r>
      <w:r>
        <w:rPr>
          <w:color w:val="FFFFFF"/>
          <w:spacing w:val="-37"/>
          <w:shd w:fill="A11D04" w:color="auto" w:val="clear"/>
        </w:rPr>
        <w:t> </w:t>
      </w:r>
      <w:r>
        <w:rPr>
          <w:color w:val="FFFFFF"/>
          <w:spacing w:val="9"/>
          <w:shd w:fill="A11D04" w:color="auto" w:val="clear"/>
        </w:rPr>
        <w:t>28：</w:t>
      </w:r>
      <w:r>
        <w:rPr>
          <w:color w:val="FFFFFF"/>
          <w:shd w:fill="A11D04" w:color="auto" w:val="clear"/>
        </w:rPr>
        <w:t>复星医药目前部分进入临床</w:t>
      </w:r>
      <w:r>
        <w:rPr>
          <w:color w:val="FFFFFF"/>
          <w:spacing w:val="15"/>
          <w:shd w:fill="A11D04" w:color="auto" w:val="clear"/>
        </w:rPr>
        <w:t>及</w:t>
      </w:r>
      <w:r>
        <w:rPr>
          <w:color w:val="FFFFFF"/>
          <w:shd w:fill="A11D04" w:color="auto" w:val="clear"/>
        </w:rPr>
        <w:t>重要产品管线（截至</w:t>
      </w:r>
      <w:r>
        <w:rPr>
          <w:color w:val="FFFFFF"/>
          <w:spacing w:val="-54"/>
          <w:shd w:fill="A11D04" w:color="auto" w:val="clear"/>
        </w:rPr>
        <w:t> </w:t>
      </w:r>
      <w:r>
        <w:rPr>
          <w:color w:val="FFFFFF"/>
          <w:shd w:fill="A11D04" w:color="auto" w:val="clear"/>
        </w:rPr>
        <w:t>2020</w:t>
      </w:r>
      <w:r>
        <w:rPr>
          <w:color w:val="FFFFFF"/>
          <w:spacing w:val="-64"/>
          <w:shd w:fill="A11D04" w:color="auto" w:val="clear"/>
        </w:rPr>
        <w:t> </w:t>
      </w:r>
      <w:r>
        <w:rPr>
          <w:color w:val="FFFFFF"/>
          <w:shd w:fill="A11D04" w:color="auto" w:val="clear"/>
        </w:rPr>
        <w:t>年</w:t>
      </w:r>
      <w:r>
        <w:rPr>
          <w:color w:val="FFFFFF"/>
          <w:spacing w:val="-50"/>
          <w:shd w:fill="A11D04" w:color="auto" w:val="clear"/>
        </w:rPr>
        <w:t> </w:t>
      </w:r>
      <w:r>
        <w:rPr>
          <w:color w:val="FFFFFF"/>
          <w:shd w:fill="A11D04" w:color="auto" w:val="clear"/>
        </w:rPr>
        <w:t>3</w:t>
      </w:r>
      <w:r>
        <w:rPr>
          <w:color w:val="FFFFFF"/>
          <w:spacing w:val="-50"/>
          <w:shd w:fill="A11D04" w:color="auto" w:val="clear"/>
        </w:rPr>
        <w:t> </w:t>
      </w:r>
      <w:r>
        <w:rPr>
          <w:color w:val="FFFFFF"/>
          <w:shd w:fill="A11D04" w:color="auto" w:val="clear"/>
        </w:rPr>
        <w:t>月</w:t>
      </w:r>
      <w:r>
        <w:rPr>
          <w:color w:val="FFFFFF"/>
          <w:spacing w:val="-65"/>
          <w:shd w:fill="A11D04" w:color="auto" w:val="clear"/>
        </w:rPr>
        <w:t> </w:t>
      </w:r>
      <w:r>
        <w:rPr>
          <w:color w:val="FFFFFF"/>
          <w:shd w:fill="A11D04" w:color="auto" w:val="clear"/>
        </w:rPr>
        <w:t>23</w:t>
      </w:r>
      <w:r>
        <w:rPr>
          <w:color w:val="FFFFFF"/>
          <w:spacing w:val="-50"/>
          <w:shd w:fill="A11D04" w:color="auto" w:val="clear"/>
        </w:rPr>
        <w:t> </w:t>
      </w:r>
      <w:r>
        <w:rPr>
          <w:color w:val="FFFFFF"/>
          <w:shd w:fill="A11D04" w:color="auto" w:val="clear"/>
        </w:rPr>
        <w:t>日）</w:t>
        <w:tab/>
      </w:r>
    </w:p>
    <w:p>
      <w:pPr>
        <w:spacing w:before="16"/>
        <w:ind w:left="1181" w:right="0" w:firstLine="0"/>
        <w:jc w:val="left"/>
        <w:rPr>
          <w:b/>
          <w:sz w:val="15"/>
        </w:rPr>
      </w:pPr>
      <w:r>
        <w:rPr>
          <w:b/>
          <w:spacing w:val="8"/>
          <w:sz w:val="15"/>
        </w:rPr>
        <w:t>数据来源：</w:t>
      </w:r>
      <w:r>
        <w:rPr>
          <w:b/>
          <w:sz w:val="15"/>
        </w:rPr>
        <w:t>Clinica</w:t>
      </w:r>
      <w:r>
        <w:rPr>
          <w:b/>
          <w:spacing w:val="-62"/>
          <w:sz w:val="15"/>
        </w:rPr>
        <w:t> </w:t>
      </w:r>
      <w:r>
        <w:rPr>
          <w:b/>
          <w:sz w:val="15"/>
        </w:rPr>
        <w:t>ltrials、CDE,财通证券研究所</w:t>
      </w:r>
    </w:p>
    <w:p>
      <w:pPr>
        <w:pStyle w:val="BodyText"/>
        <w:rPr>
          <w:b/>
          <w:sz w:val="20"/>
        </w:rPr>
      </w:pPr>
    </w:p>
    <w:p>
      <w:pPr>
        <w:pStyle w:val="BodyText"/>
        <w:spacing w:before="9"/>
        <w:rPr>
          <w:b/>
          <w:sz w:val="17"/>
        </w:rPr>
      </w:pPr>
    </w:p>
    <w:p>
      <w:pPr>
        <w:pStyle w:val="BodyText"/>
        <w:spacing w:line="328" w:lineRule="auto"/>
        <w:ind w:left="3164" w:right="787"/>
      </w:pPr>
      <w:r>
        <w:rPr>
          <w:spacing w:val="-4"/>
        </w:rPr>
        <w:t>复星医药业务领域覆盖医药健康全产业链，业务发展立足中国本土并积极进行全</w:t>
      </w:r>
      <w:r>
        <w:rPr>
          <w:spacing w:val="-8"/>
        </w:rPr>
        <w:t>球化布局。集团在战略上也坚定地走创新、国际化道路。本集团在创新研发上持</w:t>
      </w:r>
      <w:r>
        <w:rPr>
          <w:spacing w:val="-7"/>
        </w:rPr>
        <w:t>续投入，并在早期科研项目上采取多模式布局，包括与科学家成立研发型企业、与国际知名企业成立合资/</w:t>
      </w:r>
      <w:r>
        <w:rPr/>
        <w:t>合作企业等；同时还发起设立主动孵化模式的平台公</w:t>
      </w:r>
      <w:r>
        <w:rPr>
          <w:spacing w:val="-7"/>
        </w:rPr>
        <w:t>司，布局基因治疗等新兴领域。在国际化拓展上，除通过在成熟市场如美国、欧</w:t>
      </w:r>
      <w:r>
        <w:rPr>
          <w:spacing w:val="-10"/>
        </w:rPr>
        <w:t>洲建立子公司，培育运营能力之外，也在非洲、印度等新兴市场通过自建和并购等方式培育并形成市场及生产能力。</w:t>
      </w:r>
    </w:p>
    <w:p>
      <w:pPr>
        <w:pStyle w:val="BodyText"/>
        <w:spacing w:line="326" w:lineRule="auto" w:before="123"/>
        <w:ind w:left="3164" w:right="861"/>
        <w:jc w:val="both"/>
      </w:pPr>
      <w:r>
        <w:rPr>
          <w:spacing w:val="-12"/>
        </w:rPr>
        <w:t>集团通过产品合作、市场权益许可的方式引入多项国内外先进、前沿产品</w:t>
      </w:r>
      <w:r>
        <w:rPr/>
        <w:t>/技术； </w:t>
      </w:r>
      <w:r>
        <w:rPr>
          <w:spacing w:val="-7"/>
        </w:rPr>
        <w:t>与全球领先的 </w:t>
      </w:r>
      <w:r>
        <w:rPr/>
        <w:t>T</w:t>
      </w:r>
      <w:r>
        <w:rPr>
          <w:spacing w:val="-10"/>
        </w:rPr>
        <w:t> 细胞免疫治疗产品研发及制造企业 </w:t>
      </w:r>
      <w:r>
        <w:rPr/>
        <w:t>Kite</w:t>
      </w:r>
      <w:r>
        <w:rPr>
          <w:spacing w:val="-61"/>
        </w:rPr>
        <w:t> </w:t>
      </w:r>
      <w:r>
        <w:rPr/>
        <w:t>Pharma（Gilead</w:t>
      </w:r>
      <w:r>
        <w:rPr>
          <w:spacing w:val="-61"/>
        </w:rPr>
        <w:t> </w:t>
      </w:r>
      <w:r>
        <w:rPr/>
        <w:t>Pharma 成员企业</w:t>
      </w:r>
      <w:r>
        <w:rPr>
          <w:spacing w:val="-31"/>
        </w:rPr>
        <w:t>）</w:t>
      </w:r>
      <w:r>
        <w:rPr>
          <w:spacing w:val="-2"/>
        </w:rPr>
        <w:t>共同打造的免疫治疗产业平台复星凯特首个产品，目前合营公司复星</w:t>
      </w:r>
      <w:r>
        <w:rPr>
          <w:spacing w:val="-4"/>
        </w:rPr>
        <w:t>凯特的益基利仑赛注射液</w:t>
      </w:r>
      <w:r>
        <w:rPr/>
        <w:t>（拟定</w:t>
      </w:r>
      <w:r>
        <w:rPr>
          <w:spacing w:val="-15"/>
        </w:rPr>
        <w:t>）</w:t>
      </w:r>
      <w:r>
        <w:rPr>
          <w:spacing w:val="-1"/>
        </w:rPr>
        <w:t>获得国家药监局药品上市注册审评受理，由于YesCarta</w:t>
      </w:r>
      <w:r>
        <w:rPr/>
        <w:t> 为从海外引进的成熟产品，在海外有大量临床试验，在国内仅需要做</w:t>
      </w:r>
      <w:r>
        <w:rPr>
          <w:spacing w:val="-9"/>
        </w:rPr>
        <w:t>桥接临床试验，整体申报流程较快。本次申报的适应症为成人复发难治性大 </w:t>
      </w:r>
      <w:r>
        <w:rPr/>
        <w:t>B</w:t>
      </w:r>
      <w:r>
        <w:rPr>
          <w:spacing w:val="-23"/>
        </w:rPr>
        <w:t> 细胞淋巴瘤治疗（包括弥漫性大 </w:t>
      </w:r>
      <w:r>
        <w:rPr/>
        <w:t>B</w:t>
      </w:r>
      <w:r>
        <w:rPr>
          <w:spacing w:val="-4"/>
        </w:rPr>
        <w:t> 细胞淋巴瘤</w:t>
      </w:r>
      <w:r>
        <w:rPr/>
        <w:t>（DLBCL）</w:t>
      </w:r>
      <w:r>
        <w:rPr>
          <w:spacing w:val="-2"/>
        </w:rPr>
        <w:t>非特指型、原发性纵隔 </w:t>
      </w:r>
      <w:r>
        <w:rPr/>
        <w:t>B 细胞淋巴瘤</w:t>
      </w:r>
      <w:r>
        <w:rPr>
          <w:spacing w:val="-1"/>
        </w:rPr>
        <w:t>（</w:t>
      </w:r>
      <w:r>
        <w:rPr/>
        <w:t>PMBCL</w:t>
      </w:r>
      <w:r>
        <w:rPr>
          <w:spacing w:val="-105"/>
        </w:rPr>
        <w:t>）</w:t>
      </w:r>
      <w:r>
        <w:rPr>
          <w:spacing w:val="-9"/>
        </w:rPr>
        <w:t>、高级别 </w:t>
      </w:r>
      <w:r>
        <w:rPr/>
        <w:t>B</w:t>
      </w:r>
      <w:r>
        <w:rPr>
          <w:spacing w:val="-10"/>
        </w:rPr>
        <w:t> 细胞淋巴瘤和滤泡淋巴瘤转化的 </w:t>
      </w:r>
      <w:r>
        <w:rPr/>
        <w:t>DLBCL</w:t>
      </w:r>
      <w:r>
        <w:rPr>
          <w:spacing w:val="-105"/>
        </w:rPr>
        <w:t>）。</w:t>
      </w:r>
    </w:p>
    <w:p>
      <w:pPr>
        <w:spacing w:after="0" w:line="326"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before="4"/>
        <w:rPr>
          <w:sz w:val="27"/>
        </w:rPr>
      </w:pPr>
    </w:p>
    <w:p>
      <w:pPr>
        <w:pStyle w:val="Heading2"/>
        <w:spacing w:before="70"/>
        <w:ind w:left="3164"/>
      </w:pPr>
      <w:r>
        <w:rPr/>
        <w:t>2、金斯瑞（1548.HK）——立足于世界舞台的中国传奇</w:t>
      </w:r>
    </w:p>
    <w:p>
      <w:pPr>
        <w:pStyle w:val="BodyText"/>
        <w:spacing w:before="9"/>
        <w:rPr>
          <w:b/>
          <w:sz w:val="17"/>
        </w:rPr>
      </w:pPr>
    </w:p>
    <w:p>
      <w:pPr>
        <w:pStyle w:val="BodyText"/>
        <w:spacing w:line="328" w:lineRule="auto"/>
        <w:ind w:left="3164" w:right="791"/>
      </w:pPr>
      <w:r>
        <w:rPr>
          <w:spacing w:val="-4"/>
        </w:rPr>
        <w:t>金斯瑞是全球最大的分子生物 </w:t>
      </w:r>
      <w:r>
        <w:rPr/>
        <w:t>CRO</w:t>
      </w:r>
      <w:r>
        <w:rPr>
          <w:spacing w:val="-11"/>
        </w:rPr>
        <w:t> 公司之一。公司的产品和服务组合包括基因合</w:t>
      </w:r>
      <w:r>
        <w:rPr>
          <w:spacing w:val="-9"/>
        </w:rPr>
        <w:t>成、寡核苷酸和多肽合成、蛋白生产、蛋白開开发，以及便捷、高通量设备及标</w:t>
      </w:r>
      <w:r>
        <w:rPr>
          <w:spacing w:val="-12"/>
        </w:rPr>
        <w:t>准即售产品。公司 </w:t>
      </w:r>
      <w:r>
        <w:rPr/>
        <w:t>CDMO</w:t>
      </w:r>
      <w:r>
        <w:rPr>
          <w:spacing w:val="-6"/>
        </w:rPr>
        <w:t> 平台为世界各地的制药、生物科技、政府和学术机构提</w:t>
      </w:r>
      <w:r>
        <w:rPr>
          <w:spacing w:val="-8"/>
        </w:rPr>
        <w:t>供端到端的生物制剂开发和发现服务。如公司的 </w:t>
      </w:r>
      <w:r>
        <w:rPr/>
        <w:t>SMAB</w:t>
      </w:r>
      <w:r>
        <w:rPr>
          <w:spacing w:val="-61"/>
        </w:rPr>
        <w:t> </w:t>
      </w:r>
      <w:r>
        <w:rPr/>
        <w:t>(Single-Domain</w:t>
      </w:r>
      <w:r>
        <w:rPr>
          <w:spacing w:val="-61"/>
        </w:rPr>
        <w:t> </w:t>
      </w:r>
      <w:r>
        <w:rPr/>
        <w:t>Antibody Fused to Monoclonal Ab) 双特异性抗体平台由单域抗体融合单克隆抗体构成， SMAB 是天然的呈对称的结构，具有对称结构，工程化程度低，目前已获得了国</w:t>
      </w:r>
      <w:r>
        <w:rPr>
          <w:spacing w:val="-10"/>
        </w:rPr>
        <w:t>内外多家 </w:t>
      </w:r>
      <w:r>
        <w:rPr/>
        <w:t>Biotech</w:t>
      </w:r>
      <w:r>
        <w:rPr>
          <w:spacing w:val="-7"/>
        </w:rPr>
        <w:t> 的关注与合作。</w:t>
      </w:r>
    </w:p>
    <w:p>
      <w:pPr>
        <w:pStyle w:val="BodyText"/>
        <w:spacing w:before="107"/>
        <w:ind w:left="3164"/>
      </w:pPr>
      <w:r>
        <w:rPr/>
        <w:t>公司旗下传奇生物专门为癌症患者提供细胞治疗解决方案。传奇生物与杨森国际</w:t>
      </w:r>
    </w:p>
    <w:p>
      <w:pPr>
        <w:pStyle w:val="BodyText"/>
        <w:spacing w:line="326" w:lineRule="auto" w:before="106"/>
        <w:ind w:left="3164" w:right="864"/>
        <w:jc w:val="both"/>
      </w:pPr>
      <w:r>
        <w:rPr/>
        <w:t>（Janssen-Cilag</w:t>
      </w:r>
      <w:r>
        <w:rPr>
          <w:spacing w:val="-64"/>
        </w:rPr>
        <w:t> </w:t>
      </w:r>
      <w:r>
        <w:rPr/>
        <w:t>International</w:t>
      </w:r>
      <w:r>
        <w:rPr>
          <w:spacing w:val="-64"/>
        </w:rPr>
        <w:t> </w:t>
      </w:r>
      <w:r>
        <w:rPr>
          <w:spacing w:val="-3"/>
        </w:rPr>
        <w:t>N.V.）</w:t>
      </w:r>
      <w:r>
        <w:rPr>
          <w:spacing w:val="-10"/>
        </w:rPr>
        <w:t>联合开发 </w:t>
      </w:r>
      <w:r>
        <w:rPr/>
        <w:t>B</w:t>
      </w:r>
      <w:r>
        <w:rPr>
          <w:spacing w:val="-11"/>
        </w:rPr>
        <w:t> 细胞成熟抗原</w:t>
      </w:r>
      <w:r>
        <w:rPr/>
        <w:t>（BCMA）Car-T </w:t>
      </w:r>
      <w:r>
        <w:rPr>
          <w:spacing w:val="-3"/>
        </w:rPr>
        <w:t>疗法已分别在美国及中国顺利开展临床试验，并于 </w:t>
      </w:r>
      <w:r>
        <w:rPr/>
        <w:t>2019</w:t>
      </w:r>
      <w:r>
        <w:rPr>
          <w:spacing w:val="-31"/>
        </w:rPr>
        <w:t> 年 </w:t>
      </w:r>
      <w:r>
        <w:rPr/>
        <w:t>4</w:t>
      </w:r>
      <w:r>
        <w:rPr>
          <w:spacing w:val="-7"/>
        </w:rPr>
        <w:t> 月获得欧洲药品管</w:t>
      </w:r>
      <w:r>
        <w:rPr>
          <w:spacing w:val="-20"/>
        </w:rPr>
        <w:t>理局 </w:t>
      </w:r>
      <w:r>
        <w:rPr/>
        <w:t>EMA</w:t>
      </w:r>
      <w:r>
        <w:rPr>
          <w:spacing w:val="-13"/>
        </w:rPr>
        <w:t> 优先审评的认定。根据 </w:t>
      </w:r>
      <w:r>
        <w:rPr>
          <w:spacing w:val="-4"/>
        </w:rPr>
        <w:t>2019</w:t>
      </w:r>
      <w:r>
        <w:rPr>
          <w:spacing w:val="-30"/>
        </w:rPr>
        <w:t> 年 </w:t>
      </w:r>
      <w:r>
        <w:rPr>
          <w:spacing w:val="-8"/>
        </w:rPr>
        <w:t>12</w:t>
      </w:r>
      <w:r>
        <w:rPr>
          <w:spacing w:val="-19"/>
        </w:rPr>
        <w:t> 月美国 </w:t>
      </w:r>
      <w:r>
        <w:rPr>
          <w:spacing w:val="-5"/>
        </w:rPr>
        <w:t>ASH</w:t>
      </w:r>
      <w:r>
        <w:rPr>
          <w:spacing w:val="-9"/>
        </w:rPr>
        <w:t> 会议公布结果，传奇生物</w:t>
      </w:r>
      <w:r>
        <w:rPr>
          <w:spacing w:val="3"/>
        </w:rPr>
        <w:t>的靶向</w:t>
      </w:r>
      <w:r>
        <w:rPr/>
        <w:t>BCMA</w:t>
      </w:r>
      <w:r>
        <w:rPr>
          <w:spacing w:val="-60"/>
        </w:rPr>
        <w:t> </w:t>
      </w:r>
      <w:r>
        <w:rPr/>
        <w:t>Car-T</w:t>
      </w:r>
      <w:r>
        <w:rPr>
          <w:spacing w:val="-8"/>
        </w:rPr>
        <w:t> 在美国进行的</w:t>
      </w:r>
      <w:r>
        <w:rPr>
          <w:spacing w:val="2"/>
        </w:rPr>
        <w:t>Ib/II</w:t>
      </w:r>
      <w:r>
        <w:rPr>
          <w:spacing w:val="-7"/>
        </w:rPr>
        <w:t> 期注册临床结果更新至中位观察</w:t>
      </w:r>
      <w:r>
        <w:rPr/>
        <w:t>6</w:t>
      </w:r>
      <w:r>
        <w:rPr>
          <w:spacing w:val="-20"/>
        </w:rPr>
        <w:t> 个月， 客观缓解率达到 </w:t>
      </w:r>
      <w:r>
        <w:rPr/>
        <w:t>100%，</w:t>
      </w:r>
      <w:r>
        <w:rPr>
          <w:spacing w:val="-2"/>
        </w:rPr>
        <w:t>显示疗效在同一靶点的 </w:t>
      </w:r>
      <w:r>
        <w:rPr/>
        <w:t>CAR-T</w:t>
      </w:r>
      <w:r>
        <w:rPr>
          <w:spacing w:val="-4"/>
        </w:rPr>
        <w:t> 疗法中最佳、同时临床剂</w:t>
      </w:r>
      <w:r>
        <w:rPr>
          <w:spacing w:val="-10"/>
        </w:rPr>
        <w:t>量只有竞争对手 </w:t>
      </w:r>
      <w:r>
        <w:rPr/>
        <w:t>Bluebird</w:t>
      </w:r>
      <w:r>
        <w:rPr>
          <w:spacing w:val="-23"/>
        </w:rPr>
        <w:t> 的约 </w:t>
      </w:r>
      <w:r>
        <w:rPr>
          <w:spacing w:val="-4"/>
        </w:rPr>
        <w:t>1/10</w:t>
      </w:r>
      <w:r>
        <w:rPr/>
        <w:t>。目前美国临床二期已入组完成，同时三期</w:t>
      </w:r>
      <w:r>
        <w:rPr>
          <w:spacing w:val="-9"/>
        </w:rPr>
        <w:t>研究也已启动，预计 </w:t>
      </w:r>
      <w:r>
        <w:rPr/>
        <w:t>2020</w:t>
      </w:r>
      <w:r>
        <w:rPr>
          <w:spacing w:val="-12"/>
        </w:rPr>
        <w:t> 年下半年提交美国上市申报。该疗法获得美国 FDA</w:t>
      </w:r>
      <w:r>
        <w:rPr>
          <w:spacing w:val="-6"/>
        </w:rPr>
        <w:t>“突</w:t>
      </w:r>
      <w:r>
        <w:rPr>
          <w:spacing w:val="-8"/>
        </w:rPr>
        <w:t>破性疗法”认证，意味着在公司提交上市申请后有望于 </w:t>
      </w:r>
      <w:r>
        <w:rPr/>
        <w:t>3-6</w:t>
      </w:r>
      <w:r>
        <w:rPr>
          <w:spacing w:val="-8"/>
        </w:rPr>
        <w:t> 个月内获批。</w:t>
      </w:r>
    </w:p>
    <w:p>
      <w:pPr>
        <w:pStyle w:val="BodyText"/>
        <w:spacing w:before="4"/>
        <w:rPr>
          <w:sz w:val="22"/>
        </w:rPr>
      </w:pPr>
    </w:p>
    <w:tbl>
      <w:tblPr>
        <w:tblW w:w="0" w:type="auto"/>
        <w:jc w:val="left"/>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93"/>
        <w:gridCol w:w="4340"/>
        <w:gridCol w:w="2598"/>
      </w:tblGrid>
      <w:tr>
        <w:trPr>
          <w:trHeight w:val="345" w:hRule="atLeast"/>
        </w:trPr>
        <w:tc>
          <w:tcPr>
            <w:tcW w:w="9731" w:type="dxa"/>
            <w:gridSpan w:val="3"/>
            <w:tcBorders>
              <w:top w:val="nil"/>
              <w:left w:val="nil"/>
              <w:right w:val="nil"/>
            </w:tcBorders>
            <w:shd w:val="clear" w:color="auto" w:fill="A11D04"/>
          </w:tcPr>
          <w:p>
            <w:pPr>
              <w:pStyle w:val="TableParagraph"/>
              <w:spacing w:before="30"/>
              <w:ind w:left="120"/>
              <w:rPr>
                <w:b/>
                <w:sz w:val="21"/>
              </w:rPr>
            </w:pPr>
            <w:r>
              <w:rPr>
                <w:b/>
                <w:color w:val="FFFFFF"/>
                <w:sz w:val="21"/>
              </w:rPr>
              <w:t>表 13：南京传奇生物 Car-T 部分产品临床情况（截至 2020 年 3 月 23 日）</w:t>
            </w:r>
          </w:p>
        </w:tc>
      </w:tr>
      <w:tr>
        <w:trPr>
          <w:trHeight w:val="330" w:hRule="atLeast"/>
        </w:trPr>
        <w:tc>
          <w:tcPr>
            <w:tcW w:w="2793" w:type="dxa"/>
            <w:tcBorders>
              <w:right w:val="single" w:sz="8" w:space="0" w:color="000000"/>
            </w:tcBorders>
            <w:shd w:val="clear" w:color="auto" w:fill="C00000"/>
          </w:tcPr>
          <w:p>
            <w:pPr>
              <w:pStyle w:val="TableParagraph"/>
              <w:spacing w:before="20"/>
              <w:rPr>
                <w:sz w:val="22"/>
              </w:rPr>
            </w:pPr>
            <w:r>
              <w:rPr>
                <w:color w:val="FFFFFF"/>
                <w:sz w:val="22"/>
              </w:rPr>
              <w:t>产品名</w:t>
            </w:r>
          </w:p>
        </w:tc>
        <w:tc>
          <w:tcPr>
            <w:tcW w:w="4340" w:type="dxa"/>
            <w:tcBorders>
              <w:left w:val="single" w:sz="8" w:space="0" w:color="000000"/>
            </w:tcBorders>
            <w:shd w:val="clear" w:color="auto" w:fill="C00000"/>
          </w:tcPr>
          <w:p>
            <w:pPr>
              <w:pStyle w:val="TableParagraph"/>
              <w:spacing w:before="20"/>
              <w:ind w:left="125"/>
              <w:rPr>
                <w:sz w:val="22"/>
              </w:rPr>
            </w:pPr>
            <w:r>
              <w:rPr>
                <w:color w:val="FFFFFF"/>
                <w:sz w:val="22"/>
              </w:rPr>
              <w:t>适应症</w:t>
            </w:r>
          </w:p>
        </w:tc>
        <w:tc>
          <w:tcPr>
            <w:tcW w:w="2598" w:type="dxa"/>
            <w:shd w:val="clear" w:color="auto" w:fill="C00000"/>
          </w:tcPr>
          <w:p>
            <w:pPr>
              <w:pStyle w:val="TableParagraph"/>
              <w:spacing w:before="20"/>
              <w:rPr>
                <w:sz w:val="22"/>
              </w:rPr>
            </w:pPr>
            <w:r>
              <w:rPr>
                <w:color w:val="FFFFFF"/>
                <w:sz w:val="22"/>
              </w:rPr>
              <w:t>临床阶段</w:t>
            </w:r>
          </w:p>
        </w:tc>
      </w:tr>
      <w:tr>
        <w:trPr>
          <w:trHeight w:val="330" w:hRule="atLeast"/>
        </w:trPr>
        <w:tc>
          <w:tcPr>
            <w:tcW w:w="2793" w:type="dxa"/>
            <w:tcBorders>
              <w:right w:val="single" w:sz="8" w:space="0" w:color="000000"/>
            </w:tcBorders>
          </w:tcPr>
          <w:p>
            <w:pPr>
              <w:pStyle w:val="TableParagraph"/>
              <w:spacing w:before="20"/>
              <w:rPr>
                <w:sz w:val="22"/>
              </w:rPr>
            </w:pPr>
            <w:r>
              <w:rPr>
                <w:sz w:val="22"/>
              </w:rPr>
              <w:t>LCAR-B38M CAR-T</w:t>
            </w:r>
          </w:p>
        </w:tc>
        <w:tc>
          <w:tcPr>
            <w:tcW w:w="4340" w:type="dxa"/>
            <w:tcBorders>
              <w:left w:val="single" w:sz="8" w:space="0" w:color="000000"/>
            </w:tcBorders>
          </w:tcPr>
          <w:p>
            <w:pPr>
              <w:pStyle w:val="TableParagraph"/>
              <w:spacing w:before="20"/>
              <w:ind w:left="125"/>
              <w:rPr>
                <w:sz w:val="22"/>
              </w:rPr>
            </w:pPr>
            <w:r>
              <w:rPr>
                <w:sz w:val="22"/>
              </w:rPr>
              <w:t>多发性骨髓瘤</w:t>
            </w:r>
          </w:p>
        </w:tc>
        <w:tc>
          <w:tcPr>
            <w:tcW w:w="2598" w:type="dxa"/>
          </w:tcPr>
          <w:p>
            <w:pPr>
              <w:pStyle w:val="TableParagraph"/>
              <w:spacing w:before="20"/>
              <w:rPr>
                <w:sz w:val="22"/>
              </w:rPr>
            </w:pPr>
            <w:r>
              <w:rPr>
                <w:sz w:val="22"/>
              </w:rPr>
              <w:t>Phase 2</w:t>
            </w:r>
          </w:p>
        </w:tc>
      </w:tr>
      <w:tr>
        <w:trPr>
          <w:trHeight w:val="345" w:hRule="atLeast"/>
        </w:trPr>
        <w:tc>
          <w:tcPr>
            <w:tcW w:w="2793" w:type="dxa"/>
            <w:tcBorders>
              <w:right w:val="single" w:sz="8" w:space="0" w:color="000000"/>
            </w:tcBorders>
          </w:tcPr>
          <w:p>
            <w:pPr>
              <w:pStyle w:val="TableParagraph"/>
              <w:spacing w:before="35"/>
              <w:rPr>
                <w:sz w:val="22"/>
              </w:rPr>
            </w:pPr>
            <w:r>
              <w:rPr>
                <w:sz w:val="22"/>
              </w:rPr>
              <w:t>LCAR-B39M CAR-T</w:t>
            </w:r>
          </w:p>
        </w:tc>
        <w:tc>
          <w:tcPr>
            <w:tcW w:w="4340" w:type="dxa"/>
            <w:tcBorders>
              <w:left w:val="single" w:sz="8" w:space="0" w:color="000000"/>
            </w:tcBorders>
          </w:tcPr>
          <w:p>
            <w:pPr>
              <w:pStyle w:val="TableParagraph"/>
              <w:spacing w:before="35"/>
              <w:ind w:left="125"/>
              <w:rPr>
                <w:sz w:val="22"/>
              </w:rPr>
            </w:pPr>
            <w:r>
              <w:rPr>
                <w:sz w:val="22"/>
              </w:rPr>
              <w:t>复发/难治多发性骨髓瘤</w:t>
            </w:r>
          </w:p>
        </w:tc>
        <w:tc>
          <w:tcPr>
            <w:tcW w:w="2598" w:type="dxa"/>
          </w:tcPr>
          <w:p>
            <w:pPr>
              <w:pStyle w:val="TableParagraph"/>
              <w:spacing w:before="35"/>
              <w:rPr>
                <w:sz w:val="22"/>
              </w:rPr>
            </w:pPr>
            <w:r>
              <w:rPr>
                <w:sz w:val="22"/>
              </w:rPr>
              <w:t>Phase 1/2</w:t>
            </w:r>
          </w:p>
        </w:tc>
      </w:tr>
      <w:tr>
        <w:trPr>
          <w:trHeight w:val="330" w:hRule="atLeast"/>
        </w:trPr>
        <w:tc>
          <w:tcPr>
            <w:tcW w:w="2793" w:type="dxa"/>
            <w:tcBorders>
              <w:right w:val="single" w:sz="8" w:space="0" w:color="000000"/>
            </w:tcBorders>
          </w:tcPr>
          <w:p>
            <w:pPr>
              <w:pStyle w:val="TableParagraph"/>
              <w:spacing w:before="20"/>
              <w:rPr>
                <w:sz w:val="22"/>
              </w:rPr>
            </w:pPr>
            <w:r>
              <w:rPr>
                <w:sz w:val="22"/>
              </w:rPr>
              <w:t>CAR-T2C CAR-T</w:t>
            </w:r>
          </w:p>
        </w:tc>
        <w:tc>
          <w:tcPr>
            <w:tcW w:w="4340" w:type="dxa"/>
            <w:tcBorders>
              <w:left w:val="single" w:sz="8" w:space="0" w:color="000000"/>
            </w:tcBorders>
          </w:tcPr>
          <w:p>
            <w:pPr>
              <w:pStyle w:val="TableParagraph"/>
              <w:spacing w:before="20"/>
              <w:ind w:left="125"/>
              <w:rPr>
                <w:sz w:val="22"/>
              </w:rPr>
            </w:pPr>
            <w:r>
              <w:rPr>
                <w:sz w:val="22"/>
              </w:rPr>
              <w:t>CD4+ T-cell 淋巴瘤</w:t>
            </w:r>
          </w:p>
        </w:tc>
        <w:tc>
          <w:tcPr>
            <w:tcW w:w="2598" w:type="dxa"/>
          </w:tcPr>
          <w:p>
            <w:pPr>
              <w:pStyle w:val="TableParagraph"/>
              <w:spacing w:before="20"/>
              <w:rPr>
                <w:sz w:val="22"/>
              </w:rPr>
            </w:pPr>
            <w:r>
              <w:rPr>
                <w:sz w:val="22"/>
              </w:rPr>
              <w:t>Phase 1</w:t>
            </w:r>
          </w:p>
        </w:tc>
      </w:tr>
      <w:tr>
        <w:trPr>
          <w:trHeight w:val="330" w:hRule="atLeast"/>
        </w:trPr>
        <w:tc>
          <w:tcPr>
            <w:tcW w:w="2793" w:type="dxa"/>
            <w:vMerge w:val="restart"/>
            <w:tcBorders>
              <w:right w:val="single" w:sz="8" w:space="0" w:color="000000"/>
            </w:tcBorders>
          </w:tcPr>
          <w:p>
            <w:pPr>
              <w:pStyle w:val="TableParagraph"/>
              <w:spacing w:line="242" w:lineRule="auto" w:before="65"/>
              <w:ind w:right="70"/>
              <w:rPr>
                <w:sz w:val="22"/>
              </w:rPr>
            </w:pPr>
            <w:r>
              <w:rPr>
                <w:spacing w:val="-3"/>
                <w:sz w:val="22"/>
              </w:rPr>
              <w:t>Dual</w:t>
            </w:r>
            <w:r>
              <w:rPr>
                <w:spacing w:val="-45"/>
                <w:sz w:val="22"/>
              </w:rPr>
              <w:t> </w:t>
            </w:r>
            <w:r>
              <w:rPr>
                <w:sz w:val="22"/>
              </w:rPr>
              <w:t>Specificity</w:t>
            </w:r>
            <w:r>
              <w:rPr>
                <w:spacing w:val="-45"/>
                <w:sz w:val="22"/>
              </w:rPr>
              <w:t> </w:t>
            </w:r>
            <w:r>
              <w:rPr>
                <w:spacing w:val="-3"/>
                <w:sz w:val="22"/>
              </w:rPr>
              <w:t>CD19</w:t>
            </w:r>
            <w:r>
              <w:rPr>
                <w:spacing w:val="-45"/>
                <w:sz w:val="22"/>
              </w:rPr>
              <w:t> </w:t>
            </w:r>
            <w:r>
              <w:rPr>
                <w:spacing w:val="-6"/>
                <w:sz w:val="22"/>
              </w:rPr>
              <w:t>and </w:t>
            </w:r>
            <w:r>
              <w:rPr>
                <w:spacing w:val="5"/>
                <w:sz w:val="22"/>
              </w:rPr>
              <w:t>CD22 </w:t>
            </w:r>
            <w:r>
              <w:rPr>
                <w:spacing w:val="6"/>
                <w:sz w:val="22"/>
              </w:rPr>
              <w:t>CAR-T</w:t>
            </w:r>
            <w:r>
              <w:rPr>
                <w:spacing w:val="-71"/>
                <w:sz w:val="22"/>
              </w:rPr>
              <w:t> </w:t>
            </w:r>
            <w:r>
              <w:rPr>
                <w:spacing w:val="5"/>
                <w:sz w:val="22"/>
              </w:rPr>
              <w:t>Cell</w:t>
            </w:r>
          </w:p>
        </w:tc>
        <w:tc>
          <w:tcPr>
            <w:tcW w:w="4340" w:type="dxa"/>
            <w:tcBorders>
              <w:left w:val="single" w:sz="8" w:space="0" w:color="000000"/>
            </w:tcBorders>
          </w:tcPr>
          <w:p>
            <w:pPr>
              <w:pStyle w:val="TableParagraph"/>
              <w:spacing w:before="20"/>
              <w:ind w:left="125"/>
              <w:rPr>
                <w:sz w:val="22"/>
              </w:rPr>
            </w:pPr>
            <w:r>
              <w:rPr>
                <w:sz w:val="22"/>
              </w:rPr>
              <w:t>复发/难治 B 细胞 ALL</w:t>
            </w:r>
          </w:p>
        </w:tc>
        <w:tc>
          <w:tcPr>
            <w:tcW w:w="2598" w:type="dxa"/>
          </w:tcPr>
          <w:p>
            <w:pPr>
              <w:pStyle w:val="TableParagraph"/>
              <w:spacing w:before="20"/>
              <w:rPr>
                <w:sz w:val="22"/>
              </w:rPr>
            </w:pPr>
            <w:r>
              <w:rPr>
                <w:sz w:val="22"/>
              </w:rPr>
              <w:t>Phase 1</w:t>
            </w:r>
          </w:p>
        </w:tc>
      </w:tr>
      <w:tr>
        <w:trPr>
          <w:trHeight w:val="345" w:hRule="atLeast"/>
        </w:trPr>
        <w:tc>
          <w:tcPr>
            <w:tcW w:w="2793" w:type="dxa"/>
            <w:vMerge/>
            <w:tcBorders>
              <w:top w:val="nil"/>
              <w:right w:val="single" w:sz="8" w:space="0" w:color="000000"/>
            </w:tcBorders>
          </w:tcPr>
          <w:p>
            <w:pPr>
              <w:rPr>
                <w:sz w:val="2"/>
                <w:szCs w:val="2"/>
              </w:rPr>
            </w:pPr>
          </w:p>
        </w:tc>
        <w:tc>
          <w:tcPr>
            <w:tcW w:w="4340" w:type="dxa"/>
            <w:tcBorders>
              <w:left w:val="single" w:sz="8" w:space="0" w:color="000000"/>
            </w:tcBorders>
          </w:tcPr>
          <w:p>
            <w:pPr>
              <w:pStyle w:val="TableParagraph"/>
              <w:spacing w:before="35"/>
              <w:ind w:left="125"/>
              <w:rPr>
                <w:sz w:val="22"/>
              </w:rPr>
            </w:pPr>
            <w:r>
              <w:rPr>
                <w:sz w:val="22"/>
              </w:rPr>
              <w:t>B 细胞淋巴瘤。 弥漫性大 B 细胞淋巴瘤</w:t>
            </w:r>
          </w:p>
        </w:tc>
        <w:tc>
          <w:tcPr>
            <w:tcW w:w="2598" w:type="dxa"/>
          </w:tcPr>
          <w:p>
            <w:pPr>
              <w:pStyle w:val="TableParagraph"/>
              <w:spacing w:before="35"/>
              <w:rPr>
                <w:sz w:val="22"/>
              </w:rPr>
            </w:pPr>
            <w:r>
              <w:rPr>
                <w:sz w:val="22"/>
              </w:rPr>
              <w:t>Phase 1</w:t>
            </w:r>
          </w:p>
        </w:tc>
      </w:tr>
      <w:tr>
        <w:trPr>
          <w:trHeight w:val="555" w:hRule="atLeast"/>
        </w:trPr>
        <w:tc>
          <w:tcPr>
            <w:tcW w:w="2793" w:type="dxa"/>
            <w:tcBorders>
              <w:right w:val="single" w:sz="8" w:space="0" w:color="000000"/>
            </w:tcBorders>
          </w:tcPr>
          <w:p>
            <w:pPr>
              <w:pStyle w:val="TableParagraph"/>
              <w:spacing w:before="140"/>
              <w:ind w:left="217"/>
              <w:rPr>
                <w:sz w:val="22"/>
              </w:rPr>
            </w:pPr>
            <w:r>
              <w:rPr>
                <w:sz w:val="22"/>
              </w:rPr>
              <w:t>LCAR-C182A</w:t>
            </w:r>
          </w:p>
        </w:tc>
        <w:tc>
          <w:tcPr>
            <w:tcW w:w="4340" w:type="dxa"/>
            <w:tcBorders>
              <w:left w:val="single" w:sz="8" w:space="0" w:color="000000"/>
            </w:tcBorders>
          </w:tcPr>
          <w:p>
            <w:pPr>
              <w:pStyle w:val="TableParagraph"/>
              <w:spacing w:line="272" w:lineRule="exact"/>
              <w:ind w:left="125"/>
              <w:rPr>
                <w:sz w:val="22"/>
              </w:rPr>
            </w:pPr>
            <w:r>
              <w:rPr>
                <w:sz w:val="22"/>
              </w:rPr>
              <w:t>胃癌</w:t>
            </w:r>
          </w:p>
          <w:p>
            <w:pPr>
              <w:pStyle w:val="TableParagraph"/>
              <w:spacing w:line="260" w:lineRule="exact" w:before="3"/>
              <w:ind w:left="125"/>
              <w:rPr>
                <w:sz w:val="22"/>
              </w:rPr>
            </w:pPr>
            <w:r>
              <w:rPr>
                <w:sz w:val="22"/>
              </w:rPr>
              <w:t>胰腺导管腺癌</w:t>
            </w:r>
          </w:p>
        </w:tc>
        <w:tc>
          <w:tcPr>
            <w:tcW w:w="2598" w:type="dxa"/>
          </w:tcPr>
          <w:p>
            <w:pPr>
              <w:pStyle w:val="TableParagraph"/>
              <w:spacing w:before="140"/>
              <w:rPr>
                <w:sz w:val="22"/>
              </w:rPr>
            </w:pPr>
            <w:r>
              <w:rPr>
                <w:spacing w:val="5"/>
                <w:sz w:val="22"/>
              </w:rPr>
              <w:t>Early </w:t>
            </w:r>
            <w:r>
              <w:rPr>
                <w:spacing w:val="2"/>
                <w:sz w:val="22"/>
              </w:rPr>
              <w:t>Phase</w:t>
            </w:r>
            <w:r>
              <w:rPr>
                <w:spacing w:val="-57"/>
                <w:sz w:val="22"/>
              </w:rPr>
              <w:t> </w:t>
            </w:r>
            <w:r>
              <w:rPr>
                <w:sz w:val="22"/>
              </w:rPr>
              <w:t>1</w:t>
            </w:r>
          </w:p>
        </w:tc>
      </w:tr>
    </w:tbl>
    <w:p>
      <w:pPr>
        <w:spacing w:before="60"/>
        <w:ind w:left="896" w:right="0" w:firstLine="0"/>
        <w:jc w:val="left"/>
        <w:rPr>
          <w:b/>
          <w:sz w:val="15"/>
        </w:rPr>
      </w:pPr>
      <w:r>
        <w:rPr>
          <w:b/>
          <w:sz w:val="15"/>
        </w:rPr>
        <w:t>数据来源：财通证券研究所</w:t>
      </w:r>
    </w:p>
    <w:p>
      <w:pPr>
        <w:pStyle w:val="BodyText"/>
        <w:rPr>
          <w:b/>
          <w:sz w:val="20"/>
        </w:rPr>
      </w:pPr>
    </w:p>
    <w:p>
      <w:pPr>
        <w:pStyle w:val="BodyText"/>
        <w:spacing w:before="9"/>
        <w:rPr>
          <w:b/>
          <w:sz w:val="17"/>
        </w:rPr>
      </w:pPr>
    </w:p>
    <w:p>
      <w:pPr>
        <w:pStyle w:val="Heading2"/>
        <w:spacing w:before="0"/>
        <w:ind w:left="3164"/>
        <w:jc w:val="both"/>
      </w:pPr>
      <w:r>
        <w:rPr/>
        <w:t>3、佐力药业（300181.SZ）-参股公司科济生物 Car-T 技术硕果颇丰</w:t>
      </w:r>
    </w:p>
    <w:p>
      <w:pPr>
        <w:pStyle w:val="BodyText"/>
        <w:spacing w:before="7"/>
        <w:rPr>
          <w:b/>
          <w:sz w:val="16"/>
        </w:rPr>
      </w:pPr>
    </w:p>
    <w:p>
      <w:pPr>
        <w:pStyle w:val="BodyText"/>
        <w:spacing w:line="328" w:lineRule="auto"/>
        <w:ind w:left="3164" w:right="865"/>
        <w:jc w:val="both"/>
      </w:pPr>
      <w:r>
        <w:rPr>
          <w:spacing w:val="-6"/>
        </w:rPr>
        <w:t>参股公司科济生物 </w:t>
      </w:r>
      <w:r>
        <w:rPr/>
        <w:t>7.85%的股权。科济生物医药专注开展新型肿瘤免疫治疗的探</w:t>
      </w:r>
      <w:r>
        <w:rPr>
          <w:spacing w:val="-6"/>
        </w:rPr>
        <w:t>索与开发，成立于 </w:t>
      </w:r>
      <w:r>
        <w:rPr/>
        <w:t>2014</w:t>
      </w:r>
      <w:r>
        <w:rPr>
          <w:spacing w:val="-31"/>
        </w:rPr>
        <w:t> 年 </w:t>
      </w:r>
      <w:r>
        <w:rPr/>
        <w:t>10</w:t>
      </w:r>
      <w:r>
        <w:rPr>
          <w:spacing w:val="-31"/>
        </w:rPr>
        <w:t> 月 </w:t>
      </w:r>
      <w:r>
        <w:rPr/>
        <w:t>30</w:t>
      </w:r>
      <w:r>
        <w:rPr>
          <w:spacing w:val="-7"/>
        </w:rPr>
        <w:t> 日，已开发出针对多种恶性实体肿瘤的嵌合抗原受体（CAR-T）</w:t>
      </w:r>
      <w:r>
        <w:rPr>
          <w:spacing w:val="-3"/>
        </w:rPr>
        <w:t>细胞治疗。科济生物医药拥有一整套人源化抗体及全人抗体</w:t>
      </w:r>
      <w:r>
        <w:rPr>
          <w:spacing w:val="-9"/>
        </w:rPr>
        <w:t>筛选平台。从杂交瘤平台和噬菌体文库筛选得到的抗体通过进一步的优化来提高</w:t>
      </w:r>
      <w:r>
        <w:rPr>
          <w:spacing w:val="-11"/>
        </w:rPr>
        <w:t>特性，如：抗体安全性、理化性质、功能特性及效力。秉承“科学创造，济世救</w:t>
      </w:r>
      <w:r>
        <w:rPr>
          <w:spacing w:val="-17"/>
        </w:rPr>
        <w:t>人”的理念，科技生物具有针对多种肿瘤靶点如 </w:t>
      </w:r>
      <w:r>
        <w:rPr/>
        <w:t>GPC3</w:t>
      </w:r>
      <w:r>
        <w:rPr>
          <w:spacing w:val="-90"/>
        </w:rPr>
        <w:t>、</w:t>
      </w:r>
      <w:r>
        <w:rPr/>
        <w:t>CD19</w:t>
      </w:r>
      <w:r>
        <w:rPr>
          <w:spacing w:val="-90"/>
        </w:rPr>
        <w:t>、</w:t>
      </w:r>
      <w:r>
        <w:rPr/>
        <w:t>BCMA</w:t>
      </w:r>
      <w:r>
        <w:rPr>
          <w:spacing w:val="-91"/>
        </w:rPr>
        <w:t>、</w:t>
      </w:r>
      <w:r>
        <w:rPr/>
        <w:t>CLAUDIN18.2、</w:t>
      </w:r>
    </w:p>
    <w:p>
      <w:pPr>
        <w:spacing w:after="0" w:line="328"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28" w:lineRule="auto" w:before="30"/>
        <w:ind w:left="3164" w:right="868"/>
        <w:jc w:val="both"/>
      </w:pPr>
      <w:r>
        <w:rPr/>
        <w:t>EGFR/EGFRVIII</w:t>
      </w:r>
      <w:r>
        <w:rPr>
          <w:spacing w:val="-40"/>
        </w:rPr>
        <w:t> 等 </w:t>
      </w:r>
      <w:r>
        <w:rPr/>
        <w:t>11</w:t>
      </w:r>
      <w:r>
        <w:rPr>
          <w:spacing w:val="-36"/>
        </w:rPr>
        <w:t> 款 </w:t>
      </w:r>
      <w:r>
        <w:rPr/>
        <w:t>CAR-T</w:t>
      </w:r>
      <w:r>
        <w:rPr>
          <w:spacing w:val="-16"/>
        </w:rPr>
        <w:t> 细胞治疗产品，目前已经进入临床试验的有 </w:t>
      </w:r>
      <w:r>
        <w:rPr/>
        <w:t>5</w:t>
      </w:r>
      <w:r>
        <w:rPr>
          <w:spacing w:val="-20"/>
        </w:rPr>
        <w:t> 项。2019</w:t>
      </w:r>
      <w:r>
        <w:rPr>
          <w:spacing w:val="-7"/>
        </w:rPr>
        <w:t> 年，科济生物取得诸多进展：</w:t>
      </w:r>
      <w:r>
        <w:rPr/>
        <w:t>1）FDA</w:t>
      </w:r>
      <w:r>
        <w:rPr>
          <w:spacing w:val="-15"/>
        </w:rPr>
        <w:t> 授予其在研 </w:t>
      </w:r>
      <w:r>
        <w:rPr/>
        <w:t>CAR-T</w:t>
      </w:r>
      <w:r>
        <w:rPr>
          <w:spacing w:val="-16"/>
        </w:rPr>
        <w:t> 细胞产品 </w:t>
      </w:r>
      <w:r>
        <w:rPr/>
        <w:t>CT053</w:t>
      </w:r>
      <w:r>
        <w:rPr>
          <w:spacing w:val="-23"/>
        </w:rPr>
        <w:t> 再生医学先进疗法（RMAT）资格，用于治疗复发/难治多发性骨髓瘤；2）ASH</w:t>
      </w:r>
      <w:r>
        <w:rPr>
          <w:spacing w:val="-17"/>
        </w:rPr>
        <w:t> 年会</w:t>
      </w:r>
      <w:r>
        <w:rPr>
          <w:spacing w:val="-27"/>
        </w:rPr>
        <w:t>展示 </w:t>
      </w:r>
      <w:r>
        <w:rPr/>
        <w:t>CT053</w:t>
      </w:r>
      <w:r>
        <w:rPr>
          <w:spacing w:val="-10"/>
        </w:rPr>
        <w:t> 治疗复发</w:t>
      </w:r>
      <w:r>
        <w:rPr/>
        <w:t>/</w:t>
      </w:r>
      <w:r>
        <w:rPr>
          <w:spacing w:val="-2"/>
        </w:rPr>
        <w:t>难治多发性骨髓瘤的临床研究结果，总缓解率</w:t>
      </w:r>
      <w:r>
        <w:rPr>
          <w:spacing w:val="-7"/>
        </w:rPr>
        <w:t>（ORR）</w:t>
      </w:r>
      <w:r>
        <w:rPr/>
        <w:t>达到87.5%</w:t>
      </w:r>
      <w:r>
        <w:rPr>
          <w:spacing w:val="5"/>
        </w:rPr>
        <w:t> </w:t>
      </w:r>
      <w:r>
        <w:rPr/>
        <w:t>(21/24)，完全缓解（CR/sCR）</w:t>
      </w:r>
      <w:r>
        <w:rPr>
          <w:spacing w:val="1"/>
        </w:rPr>
        <w:t>的比例为 </w:t>
      </w:r>
      <w:r>
        <w:rPr/>
        <w:t>79.2%</w:t>
      </w:r>
      <w:r>
        <w:rPr>
          <w:spacing w:val="6"/>
        </w:rPr>
        <w:t> </w:t>
      </w:r>
      <w:r>
        <w:rPr>
          <w:spacing w:val="2"/>
        </w:rPr>
        <w:t>(19/24</w:t>
      </w:r>
      <w:r>
        <w:rPr/>
        <w:t>)。中位无进展生</w:t>
      </w:r>
      <w:r>
        <w:rPr>
          <w:spacing w:val="-12"/>
        </w:rPr>
        <w:t>存期为 </w:t>
      </w:r>
      <w:r>
        <w:rPr/>
        <w:t>16.6</w:t>
      </w:r>
      <w:r>
        <w:rPr>
          <w:spacing w:val="-12"/>
        </w:rPr>
        <w:t> 个月 </w:t>
      </w:r>
      <w:r>
        <w:rPr/>
        <w:t>(95%</w:t>
      </w:r>
      <w:r>
        <w:rPr>
          <w:spacing w:val="-31"/>
        </w:rPr>
        <w:t> </w:t>
      </w:r>
      <w:r>
        <w:rPr/>
        <w:t>CI</w:t>
      </w:r>
      <w:r>
        <w:rPr>
          <w:spacing w:val="-31"/>
        </w:rPr>
        <w:t> </w:t>
      </w:r>
      <w:r>
        <w:rPr/>
        <w:t>10.1-18.8)；3）EMA）</w:t>
      </w:r>
      <w:r>
        <w:rPr>
          <w:spacing w:val="-12"/>
        </w:rPr>
        <w:t>将公司 </w:t>
      </w:r>
      <w:r>
        <w:rPr>
          <w:spacing w:val="-3"/>
        </w:rPr>
        <w:t>CAR-T</w:t>
      </w:r>
      <w:r>
        <w:rPr>
          <w:spacing w:val="-24"/>
        </w:rPr>
        <w:t> 产品 </w:t>
      </w:r>
      <w:r>
        <w:rPr>
          <w:spacing w:val="-3"/>
        </w:rPr>
        <w:t>CT053</w:t>
      </w:r>
      <w:r>
        <w:rPr>
          <w:spacing w:val="-16"/>
        </w:rPr>
        <w:t> 纳入</w:t>
      </w:r>
      <w:r>
        <w:rPr>
          <w:spacing w:val="-22"/>
        </w:rPr>
        <w:t>优先药物 </w:t>
      </w:r>
      <w:r>
        <w:rPr/>
        <w:t>PRIME</w:t>
      </w:r>
      <w:r>
        <w:rPr>
          <w:spacing w:val="-16"/>
        </w:rPr>
        <w:t> 计划</w:t>
      </w:r>
      <w:r>
        <w:rPr/>
        <w:t>；4）</w:t>
      </w:r>
      <w:r>
        <w:rPr>
          <w:spacing w:val="-7"/>
        </w:rPr>
        <w:t>多发性骨髓瘤的全人 </w:t>
      </w:r>
      <w:r>
        <w:rPr/>
        <w:t>BCMA</w:t>
      </w:r>
      <w:r>
        <w:rPr>
          <w:spacing w:val="-61"/>
        </w:rPr>
        <w:t> </w:t>
      </w:r>
      <w:r>
        <w:rPr/>
        <w:t>CAR-T</w:t>
      </w:r>
      <w:r>
        <w:rPr>
          <w:spacing w:val="-31"/>
        </w:rPr>
        <w:t> 获 </w:t>
      </w:r>
      <w:r>
        <w:rPr>
          <w:spacing w:val="-5"/>
        </w:rPr>
        <w:t>FDA</w:t>
      </w:r>
      <w:r>
        <w:rPr>
          <w:spacing w:val="-8"/>
        </w:rPr>
        <w:t> 孤儿药资格认定与临床许可；5）GPC3</w:t>
      </w:r>
      <w:r>
        <w:rPr>
          <w:spacing w:val="-24"/>
        </w:rPr>
        <w:t> 靶向 </w:t>
      </w:r>
      <w:r>
        <w:rPr>
          <w:spacing w:val="-3"/>
        </w:rPr>
        <w:t>CAR-T</w:t>
      </w:r>
      <w:r>
        <w:rPr>
          <w:spacing w:val="-13"/>
        </w:rPr>
        <w:t> 细胞用于治疗 </w:t>
      </w:r>
      <w:r>
        <w:rPr>
          <w:spacing w:val="-4"/>
        </w:rPr>
        <w:t>GPC3</w:t>
      </w:r>
      <w:r>
        <w:rPr>
          <w:spacing w:val="-13"/>
        </w:rPr>
        <w:t> 阳性实体瘤的 </w:t>
      </w:r>
      <w:r>
        <w:rPr>
          <w:spacing w:val="-4"/>
        </w:rPr>
        <w:t>NMPA</w:t>
      </w:r>
      <w:r>
        <w:rPr>
          <w:spacing w:val="-16"/>
        </w:rPr>
        <w:t> 临床试验许可。</w:t>
      </w:r>
    </w:p>
    <w:p>
      <w:pPr>
        <w:pStyle w:val="BodyText"/>
        <w:spacing w:before="6"/>
        <w:rPr>
          <w:sz w:val="17"/>
        </w:rPr>
      </w:pPr>
    </w:p>
    <w:p>
      <w:pPr>
        <w:pStyle w:val="Heading2"/>
        <w:tabs>
          <w:tab w:pos="10432" w:val="left" w:leader="none"/>
        </w:tabs>
      </w:pPr>
      <w:r>
        <w:rPr/>
        <w:drawing>
          <wp:anchor distT="0" distB="0" distL="0" distR="0" allowOverlap="1" layoutInCell="1" locked="0" behindDoc="0" simplePos="0" relativeHeight="94">
            <wp:simplePos x="0" y="0"/>
            <wp:positionH relativeFrom="page">
              <wp:posOffset>2327976</wp:posOffset>
            </wp:positionH>
            <wp:positionV relativeFrom="paragraph">
              <wp:posOffset>240284</wp:posOffset>
            </wp:positionV>
            <wp:extent cx="4344329" cy="2522981"/>
            <wp:effectExtent l="0" t="0" r="0" b="0"/>
            <wp:wrapTopAndBottom/>
            <wp:docPr id="51" name="image32.png"/>
            <wp:cNvGraphicFramePr>
              <a:graphicFrameLocks noChangeAspect="1"/>
            </wp:cNvGraphicFramePr>
            <a:graphic>
              <a:graphicData uri="http://schemas.openxmlformats.org/drawingml/2006/picture">
                <pic:pic>
                  <pic:nvPicPr>
                    <pic:cNvPr id="52" name="image32.png"/>
                    <pic:cNvPicPr/>
                  </pic:nvPicPr>
                  <pic:blipFill>
                    <a:blip r:embed="rId44" cstate="print"/>
                    <a:stretch>
                      <a:fillRect/>
                    </a:stretch>
                  </pic:blipFill>
                  <pic:spPr>
                    <a:xfrm>
                      <a:off x="0" y="0"/>
                      <a:ext cx="4344329" cy="2522981"/>
                    </a:xfrm>
                    <a:prstGeom prst="rect">
                      <a:avLst/>
                    </a:prstGeom>
                  </pic:spPr>
                </pic:pic>
              </a:graphicData>
            </a:graphic>
          </wp:anchor>
        </w:drawing>
      </w:r>
      <w:r>
        <w:rPr>
          <w:rFonts w:ascii="Times New Roman" w:eastAsia="Times New Roman"/>
          <w:color w:val="FFFFFF"/>
          <w:shd w:fill="A11D04" w:color="auto" w:val="clear"/>
        </w:rPr>
        <w:t>  </w:t>
      </w:r>
      <w:r>
        <w:rPr>
          <w:color w:val="FFFFFF"/>
          <w:shd w:fill="A11D04" w:color="auto" w:val="clear"/>
        </w:rPr>
        <w:t>图</w:t>
      </w:r>
      <w:r>
        <w:rPr>
          <w:color w:val="FFFFFF"/>
          <w:spacing w:val="-41"/>
          <w:shd w:fill="A11D04" w:color="auto" w:val="clear"/>
        </w:rPr>
        <w:t> </w:t>
      </w:r>
      <w:r>
        <w:rPr>
          <w:color w:val="FFFFFF"/>
          <w:spacing w:val="10"/>
          <w:shd w:fill="A11D04" w:color="auto" w:val="clear"/>
        </w:rPr>
        <w:t>29：</w:t>
      </w:r>
      <w:r>
        <w:rPr>
          <w:color w:val="FFFFFF"/>
          <w:shd w:fill="A11D04" w:color="auto" w:val="clear"/>
        </w:rPr>
        <w:t>科济生物临床管线</w:t>
        <w:tab/>
      </w:r>
    </w:p>
    <w:p>
      <w:pPr>
        <w:pStyle w:val="BodyText"/>
        <w:spacing w:line="20" w:lineRule="exact"/>
        <w:ind w:left="3059"/>
        <w:rPr>
          <w:sz w:val="2"/>
        </w:rPr>
      </w:pPr>
      <w:r>
        <w:rPr>
          <w:sz w:val="2"/>
        </w:rPr>
        <w:pict>
          <v:group style="width:368.7pt;height:.75pt;mso-position-horizontal-relative:char;mso-position-vertical-relative:line" coordorigin="0,0" coordsize="7374,15">
            <v:rect style="position:absolute;left:0;top:0;width:7374;height:15" filled="true" fillcolor="#a11d04" stroked="false">
              <v:fill type="solid"/>
            </v:rect>
          </v:group>
        </w:pict>
      </w:r>
      <w:r>
        <w:rPr>
          <w:sz w:val="2"/>
        </w:rPr>
      </w:r>
    </w:p>
    <w:p>
      <w:pPr>
        <w:spacing w:before="59"/>
        <w:ind w:left="3164" w:right="0" w:firstLine="0"/>
        <w:jc w:val="left"/>
        <w:rPr>
          <w:b/>
          <w:sz w:val="15"/>
        </w:rPr>
      </w:pPr>
      <w:r>
        <w:rPr>
          <w:b/>
          <w:sz w:val="15"/>
        </w:rPr>
        <w:t>数据来源：公司官网，财通证券研究所</w:t>
      </w:r>
    </w:p>
    <w:p>
      <w:pPr>
        <w:pStyle w:val="BodyText"/>
        <w:rPr>
          <w:b/>
          <w:sz w:val="20"/>
        </w:rPr>
      </w:pPr>
    </w:p>
    <w:p>
      <w:pPr>
        <w:pStyle w:val="BodyText"/>
        <w:spacing w:before="10"/>
        <w:rPr>
          <w:b/>
          <w:sz w:val="29"/>
        </w:rPr>
      </w:pPr>
    </w:p>
    <w:p>
      <w:pPr>
        <w:pStyle w:val="Heading2"/>
        <w:spacing w:before="71"/>
        <w:ind w:left="3164"/>
        <w:jc w:val="both"/>
      </w:pPr>
      <w:r>
        <w:rPr/>
        <w:t>4、斯丹赛-Car-T 技术已走在行业前沿</w:t>
      </w:r>
    </w:p>
    <w:p>
      <w:pPr>
        <w:pStyle w:val="BodyText"/>
        <w:spacing w:before="6"/>
        <w:rPr>
          <w:b/>
          <w:sz w:val="16"/>
        </w:rPr>
      </w:pPr>
    </w:p>
    <w:p>
      <w:pPr>
        <w:pStyle w:val="BodyText"/>
        <w:spacing w:line="328" w:lineRule="auto"/>
        <w:ind w:left="3164" w:right="861"/>
        <w:jc w:val="both"/>
      </w:pPr>
      <w:r>
        <w:rPr>
          <w:spacing w:val="-3"/>
        </w:rPr>
        <w:t>上海斯丹赛生物技术有限公司创立于 </w:t>
      </w:r>
      <w:r>
        <w:rPr/>
        <w:t>2009</w:t>
      </w:r>
      <w:r>
        <w:rPr>
          <w:spacing w:val="-31"/>
        </w:rPr>
        <w:t> 年 </w:t>
      </w:r>
      <w:r>
        <w:rPr/>
        <w:t>8</w:t>
      </w:r>
      <w:r>
        <w:rPr>
          <w:spacing w:val="-11"/>
        </w:rPr>
        <w:t> 月，主要从事前沿的 </w:t>
      </w:r>
      <w:r>
        <w:rPr/>
        <w:t>CAR-T</w:t>
      </w:r>
      <w:r>
        <w:rPr>
          <w:spacing w:val="-16"/>
        </w:rPr>
        <w:t> 技术和基因编辑技术的研究和应用。斯丹赛是一个全球化的细胞治疗公司，总部和生</w:t>
      </w:r>
      <w:r>
        <w:rPr>
          <w:spacing w:val="-15"/>
        </w:rPr>
        <w:t>产基地设在中国上海，同时，公司在美国马里兰也设立研发中心。目前公司已经</w:t>
      </w:r>
      <w:r>
        <w:rPr>
          <w:spacing w:val="-14"/>
        </w:rPr>
        <w:t>完成多轮融资，分别由软银中国、火山石、高特佳、鼎晖创投等知名投资机构投</w:t>
      </w:r>
      <w:r>
        <w:rPr>
          <w:spacing w:val="-18"/>
        </w:rPr>
        <w:t>资，融资总额超过 </w:t>
      </w:r>
      <w:r>
        <w:rPr/>
        <w:t>3</w:t>
      </w:r>
      <w:r>
        <w:rPr>
          <w:spacing w:val="-8"/>
        </w:rPr>
        <w:t> 亿元人民币。</w:t>
      </w:r>
    </w:p>
    <w:p>
      <w:pPr>
        <w:pStyle w:val="BodyText"/>
        <w:spacing w:line="326" w:lineRule="auto" w:before="124"/>
        <w:ind w:left="3164" w:right="760"/>
      </w:pPr>
      <w:r>
        <w:rPr>
          <w:spacing w:val="-8"/>
        </w:rPr>
        <w:t>在血液瘤临床研究方面，斯丹赛的 </w:t>
      </w:r>
      <w:r>
        <w:rPr>
          <w:spacing w:val="-5"/>
        </w:rPr>
        <w:t>ICTCAR003（</w:t>
      </w:r>
      <w:r>
        <w:rPr/>
        <w:t>白血病</w:t>
      </w:r>
      <w:r>
        <w:rPr>
          <w:spacing w:val="-45"/>
        </w:rPr>
        <w:t>）</w:t>
      </w:r>
      <w:r>
        <w:rPr>
          <w:spacing w:val="-22"/>
        </w:rPr>
        <w:t>和 </w:t>
      </w:r>
      <w:r>
        <w:rPr>
          <w:spacing w:val="-5"/>
        </w:rPr>
        <w:t>ICTCAR014（</w:t>
      </w:r>
      <w:r>
        <w:rPr/>
        <w:t>淋巴瘤） </w:t>
      </w:r>
      <w:r>
        <w:rPr>
          <w:spacing w:val="-6"/>
        </w:rPr>
        <w:t>产品分别已获得了中国 </w:t>
      </w:r>
      <w:r>
        <w:rPr/>
        <w:t>CDE</w:t>
      </w:r>
      <w:r>
        <w:rPr>
          <w:spacing w:val="-25"/>
        </w:rPr>
        <w:t> 和美国 </w:t>
      </w:r>
      <w:r>
        <w:rPr>
          <w:spacing w:val="-5"/>
        </w:rPr>
        <w:t>FDA</w:t>
      </w:r>
      <w:r>
        <w:rPr>
          <w:spacing w:val="-14"/>
        </w:rPr>
        <w:t> 的药物临床批件；在实体瘤临床研究方面， </w:t>
      </w:r>
      <w:r>
        <w:rPr>
          <w:spacing w:val="-19"/>
        </w:rPr>
        <w:t>公司完成了对 </w:t>
      </w:r>
      <w:r>
        <w:rPr/>
        <w:t>6</w:t>
      </w:r>
      <w:r>
        <w:rPr>
          <w:spacing w:val="-11"/>
        </w:rPr>
        <w:t> 例晚期转移的甲状腺癌、结直肠癌、前列腺癌受试者的评估并观</w:t>
      </w:r>
      <w:r>
        <w:rPr>
          <w:spacing w:val="-23"/>
        </w:rPr>
        <w:t>察到 </w:t>
      </w:r>
      <w:r>
        <w:rPr/>
        <w:t>4</w:t>
      </w:r>
      <w:r>
        <w:rPr>
          <w:spacing w:val="-7"/>
        </w:rPr>
        <w:t> 例受试者达到了部分缓解，</w:t>
      </w:r>
      <w:r>
        <w:rPr/>
        <w:t>1</w:t>
      </w:r>
      <w:r>
        <w:rPr>
          <w:spacing w:val="-10"/>
        </w:rPr>
        <w:t> 例接近完全缓解，客观缓解率达 </w:t>
      </w:r>
      <w:r>
        <w:rPr/>
        <w:t>83%，在全</w:t>
      </w:r>
      <w:r>
        <w:rPr>
          <w:spacing w:val="-23"/>
        </w:rPr>
        <w:t>球 </w:t>
      </w:r>
      <w:r>
        <w:rPr/>
        <w:t>CAR-T</w:t>
      </w:r>
      <w:r>
        <w:rPr>
          <w:spacing w:val="-11"/>
        </w:rPr>
        <w:t> 企业披露的临床研究数据中遥遥领先。目前也正在与 </w:t>
      </w:r>
      <w:r>
        <w:rPr>
          <w:spacing w:val="-5"/>
        </w:rPr>
        <w:t>FDA</w:t>
      </w:r>
      <w:r>
        <w:rPr>
          <w:spacing w:val="-12"/>
        </w:rPr>
        <w:t> 进行沟通，即</w:t>
      </w:r>
      <w:r>
        <w:rPr>
          <w:spacing w:val="-21"/>
        </w:rPr>
        <w:t>将进行 </w:t>
      </w:r>
      <w:r>
        <w:rPr/>
        <w:t>IND</w:t>
      </w:r>
      <w:r>
        <w:rPr>
          <w:spacing w:val="-11"/>
        </w:rPr>
        <w:t> 申报。公司申请了 </w:t>
      </w:r>
      <w:r>
        <w:rPr/>
        <w:t>150</w:t>
      </w:r>
      <w:r>
        <w:rPr>
          <w:spacing w:val="-11"/>
        </w:rPr>
        <w:t> 余项国际专利，且超过 </w:t>
      </w:r>
      <w:r>
        <w:rPr/>
        <w:t>20</w:t>
      </w:r>
      <w:r>
        <w:rPr>
          <w:spacing w:val="-7"/>
        </w:rPr>
        <w:t> 项专利已经获得了</w:t>
      </w:r>
    </w:p>
    <w:p>
      <w:pPr>
        <w:spacing w:after="0" w:line="326" w:lineRule="auto"/>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36" w:lineRule="auto" w:before="30"/>
        <w:ind w:left="3164" w:right="868"/>
      </w:pPr>
      <w:r>
        <w:rPr>
          <w:spacing w:val="-9"/>
        </w:rPr>
        <w:t>包括美国、欧盟、中国、日本等国家和地区的授权，目前在 </w:t>
      </w:r>
      <w:r>
        <w:rPr/>
        <w:t>CAR-T</w:t>
      </w:r>
      <w:r>
        <w:rPr>
          <w:spacing w:val="-8"/>
        </w:rPr>
        <w:t> 细胞治疗领域</w:t>
      </w:r>
      <w:r>
        <w:rPr>
          <w:spacing w:val="-11"/>
        </w:rPr>
        <w:t>中已走在行业前沿。公司计划于 </w:t>
      </w:r>
      <w:r>
        <w:rPr/>
        <w:t>2021</w:t>
      </w:r>
      <w:r>
        <w:rPr>
          <w:spacing w:val="-7"/>
        </w:rPr>
        <w:t> 年在美国纳斯达克上市。</w:t>
      </w:r>
    </w:p>
    <w:p>
      <w:pPr>
        <w:pStyle w:val="BodyText"/>
        <w:rPr>
          <w:sz w:val="20"/>
        </w:rPr>
      </w:pPr>
    </w:p>
    <w:p>
      <w:pPr>
        <w:pStyle w:val="BodyText"/>
        <w:spacing w:before="7"/>
        <w:rPr>
          <w:sz w:val="19"/>
        </w:rPr>
      </w:pPr>
    </w:p>
    <w:p>
      <w:pPr>
        <w:pStyle w:val="Heading2"/>
        <w:tabs>
          <w:tab w:pos="10432" w:val="left" w:leader="none"/>
        </w:tabs>
        <w:spacing w:before="1"/>
      </w:pPr>
      <w:r>
        <w:rPr/>
        <w:pict>
          <v:group style="position:absolute;margin-left:165.949997pt;margin-top:15.080005pt;width:368.7pt;height:224.45pt;mso-position-horizontal-relative:page;mso-position-vertical-relative:paragraph;z-index:-15678976;mso-wrap-distance-left:0;mso-wrap-distance-right:0" coordorigin="3319,302" coordsize="7374,4489">
            <v:rect style="position:absolute;left:3319;top:4775;width:7374;height:15" filled="true" fillcolor="#a11d04" stroked="false">
              <v:fill type="solid"/>
            </v:rect>
            <v:shape style="position:absolute;left:3562;top:301;width:6875;height:4436" type="#_x0000_t75" stroked="false">
              <v:imagedata r:id="rId45" o:title=""/>
            </v:shape>
            <w10:wrap type="topAndBottom"/>
          </v:group>
        </w:pict>
      </w:r>
      <w:r>
        <w:rPr>
          <w:rFonts w:ascii="Times New Roman" w:eastAsia="Times New Roman"/>
          <w:color w:val="FFFFFF"/>
          <w:shd w:fill="A11D04" w:color="auto" w:val="clear"/>
        </w:rPr>
        <w:t>  </w:t>
      </w:r>
      <w:r>
        <w:rPr>
          <w:color w:val="FFFFFF"/>
          <w:shd w:fill="A11D04" w:color="auto" w:val="clear"/>
        </w:rPr>
        <w:t>图</w:t>
      </w:r>
      <w:r>
        <w:rPr>
          <w:color w:val="FFFFFF"/>
          <w:spacing w:val="-36"/>
          <w:shd w:fill="A11D04" w:color="auto" w:val="clear"/>
        </w:rPr>
        <w:t> </w:t>
      </w:r>
      <w:r>
        <w:rPr>
          <w:color w:val="FFFFFF"/>
          <w:spacing w:val="10"/>
          <w:shd w:fill="A11D04" w:color="auto" w:val="clear"/>
        </w:rPr>
        <w:t>30：</w:t>
      </w:r>
      <w:r>
        <w:rPr>
          <w:color w:val="FFFFFF"/>
          <w:shd w:fill="A11D04" w:color="auto" w:val="clear"/>
        </w:rPr>
        <w:t>斯丹</w:t>
      </w:r>
      <w:r>
        <w:rPr>
          <w:color w:val="FFFFFF"/>
          <w:spacing w:val="45"/>
          <w:shd w:fill="A11D04" w:color="auto" w:val="clear"/>
        </w:rPr>
        <w:t>赛</w:t>
      </w:r>
      <w:r>
        <w:rPr>
          <w:color w:val="FFFFFF"/>
          <w:spacing w:val="2"/>
          <w:shd w:fill="A11D04" w:color="auto" w:val="clear"/>
        </w:rPr>
        <w:t>Car-T</w:t>
      </w:r>
      <w:r>
        <w:rPr>
          <w:color w:val="FFFFFF"/>
          <w:spacing w:val="-65"/>
          <w:shd w:fill="A11D04" w:color="auto" w:val="clear"/>
        </w:rPr>
        <w:t> </w:t>
      </w:r>
      <w:r>
        <w:rPr>
          <w:color w:val="FFFFFF"/>
          <w:shd w:fill="A11D04" w:color="auto" w:val="clear"/>
        </w:rPr>
        <w:t>管线</w:t>
        <w:tab/>
      </w:r>
    </w:p>
    <w:p>
      <w:pPr>
        <w:spacing w:before="31"/>
        <w:ind w:left="3164" w:right="0" w:firstLine="0"/>
        <w:jc w:val="left"/>
        <w:rPr>
          <w:b/>
          <w:sz w:val="15"/>
        </w:rPr>
      </w:pPr>
      <w:r>
        <w:rPr>
          <w:b/>
          <w:sz w:val="15"/>
        </w:rPr>
        <w:t>数据来源：公司官网，财通证券研究所</w:t>
      </w:r>
    </w:p>
    <w:p>
      <w:pPr>
        <w:pStyle w:val="BodyText"/>
        <w:rPr>
          <w:b/>
          <w:sz w:val="20"/>
        </w:rPr>
      </w:pPr>
    </w:p>
    <w:p>
      <w:pPr>
        <w:pStyle w:val="BodyText"/>
        <w:spacing w:before="8"/>
        <w:rPr>
          <w:b/>
          <w:sz w:val="28"/>
        </w:rPr>
      </w:pPr>
    </w:p>
    <w:p>
      <w:pPr>
        <w:pStyle w:val="Heading2"/>
        <w:spacing w:before="71"/>
        <w:ind w:left="3164"/>
        <w:jc w:val="both"/>
      </w:pPr>
      <w:r>
        <w:rPr/>
        <w:t>5、华道生物——让 Car-T 飞入寻常百姓家</w:t>
      </w:r>
    </w:p>
    <w:p>
      <w:pPr>
        <w:pStyle w:val="BodyText"/>
        <w:spacing w:before="8"/>
        <w:rPr>
          <w:b/>
          <w:sz w:val="17"/>
        </w:rPr>
      </w:pPr>
    </w:p>
    <w:p>
      <w:pPr>
        <w:pStyle w:val="BodyText"/>
        <w:spacing w:line="326" w:lineRule="auto"/>
        <w:ind w:left="3164" w:right="864"/>
        <w:jc w:val="both"/>
      </w:pPr>
      <w:r>
        <w:rPr/>
        <w:t>华道生物是位于上海浦东张江高科技园区的一家专业从事细胞免疫治疗的高科</w:t>
      </w:r>
      <w:r>
        <w:rPr>
          <w:spacing w:val="-8"/>
        </w:rPr>
        <w:t>技生物医药公司。公司的 </w:t>
      </w:r>
      <w:r>
        <w:rPr/>
        <w:t>CAR-T</w:t>
      </w:r>
      <w:r>
        <w:rPr>
          <w:spacing w:val="-9"/>
        </w:rPr>
        <w:t> 细胞制品生产全产业链生产体系，涵盖工程菌发酵、质粒纯化、病毒包装、病毒纯化、</w:t>
      </w:r>
      <w:r>
        <w:rPr/>
        <w:t>T</w:t>
      </w:r>
      <w:r>
        <w:rPr>
          <w:spacing w:val="-9"/>
        </w:rPr>
        <w:t> 细胞获得、</w:t>
      </w:r>
      <w:r>
        <w:rPr/>
        <w:t>T</w:t>
      </w:r>
      <w:r>
        <w:rPr>
          <w:spacing w:val="-15"/>
        </w:rPr>
        <w:t> 细胞转染和 </w:t>
      </w:r>
      <w:r>
        <w:rPr/>
        <w:t>T</w:t>
      </w:r>
      <w:r>
        <w:rPr>
          <w:spacing w:val="-9"/>
        </w:rPr>
        <w:t> 细胞扩增收</w:t>
      </w:r>
      <w:r>
        <w:rPr>
          <w:spacing w:val="-12"/>
        </w:rPr>
        <w:t>获冷冻等全部相关工艺，并严格按照现行 </w:t>
      </w:r>
      <w:r>
        <w:rPr/>
        <w:t>GMP</w:t>
      </w:r>
      <w:r>
        <w:rPr>
          <w:spacing w:val="-8"/>
        </w:rPr>
        <w:t> 设计及管理。</w:t>
      </w:r>
    </w:p>
    <w:p>
      <w:pPr>
        <w:pStyle w:val="BodyText"/>
        <w:spacing w:line="326" w:lineRule="auto" w:before="128"/>
        <w:ind w:left="3164" w:right="864"/>
        <w:jc w:val="both"/>
      </w:pPr>
      <w:r>
        <w:rPr>
          <w:spacing w:val="-1"/>
        </w:rPr>
        <w:t>华道生物具有在全球独创性与自主知识产权的 </w:t>
      </w:r>
      <w:r>
        <w:rPr/>
        <w:t>CAR-T 细胞制备生产全产业链生</w:t>
      </w:r>
      <w:r>
        <w:rPr>
          <w:spacing w:val="-6"/>
        </w:rPr>
        <w:t>产体系。该体系由全自动全封闭细胞生产设备、相关配套耗材、智能化液氮冷链</w:t>
      </w:r>
      <w:r>
        <w:rPr>
          <w:spacing w:val="-10"/>
        </w:rPr>
        <w:t>转运设备、智能化细胞药物液氮存储设备和 </w:t>
      </w:r>
      <w:r>
        <w:rPr/>
        <w:t>GMP</w:t>
      </w:r>
      <w:r>
        <w:rPr>
          <w:spacing w:val="-9"/>
        </w:rPr>
        <w:t> 标准生产管理系统组成，智能高</w:t>
      </w:r>
      <w:r>
        <w:rPr>
          <w:spacing w:val="-12"/>
        </w:rPr>
        <w:t>效，并具有显著的成本优势，有望将 </w:t>
      </w:r>
      <w:r>
        <w:rPr/>
        <w:t>Car-T</w:t>
      </w:r>
      <w:r>
        <w:rPr>
          <w:spacing w:val="-12"/>
        </w:rPr>
        <w:t> 治疗价格降低到 </w:t>
      </w:r>
      <w:r>
        <w:rPr/>
        <w:t>20</w:t>
      </w:r>
      <w:r>
        <w:rPr>
          <w:spacing w:val="-9"/>
        </w:rPr>
        <w:t> 万元以内。</w:t>
      </w:r>
    </w:p>
    <w:p>
      <w:pPr>
        <w:spacing w:after="0" w:line="326"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Heading2"/>
        <w:tabs>
          <w:tab w:pos="10493" w:val="left" w:leader="none"/>
        </w:tabs>
        <w:spacing w:before="60"/>
      </w:pPr>
      <w:r>
        <w:rPr/>
        <w:pict>
          <v:group style="position:absolute;margin-left:165.949997pt;margin-top:18.995609pt;width:371.75pt;height:208.5pt;mso-position-horizontal-relative:page;mso-position-vertical-relative:paragraph;z-index:-15677952;mso-wrap-distance-left:0;mso-wrap-distance-right:0" coordorigin="3319,380" coordsize="7435,4170">
            <v:rect style="position:absolute;left:3319;top:4534;width:7435;height:15" filled="true" fillcolor="#a11d04" stroked="false">
              <v:fill type="solid"/>
            </v:rect>
            <v:shape style="position:absolute;left:3510;top:379;width:7121;height:4097" type="#_x0000_t75" stroked="false">
              <v:imagedata r:id="rId46" o:title=""/>
            </v:shape>
            <w10:wrap type="topAndBottom"/>
          </v:group>
        </w:pict>
      </w:r>
      <w:r>
        <w:rPr>
          <w:rFonts w:ascii="Times New Roman" w:eastAsia="Times New Roman"/>
          <w:color w:val="FFFFFF"/>
          <w:shd w:fill="A11D04" w:color="auto" w:val="clear"/>
        </w:rPr>
        <w:t>  </w:t>
      </w:r>
      <w:r>
        <w:rPr>
          <w:color w:val="FFFFFF"/>
          <w:shd w:fill="A11D04" w:color="auto" w:val="clear"/>
        </w:rPr>
        <w:t>图</w:t>
      </w:r>
      <w:r>
        <w:rPr>
          <w:color w:val="FFFFFF"/>
          <w:spacing w:val="-37"/>
          <w:shd w:fill="A11D04" w:color="auto" w:val="clear"/>
        </w:rPr>
        <w:t> </w:t>
      </w:r>
      <w:r>
        <w:rPr>
          <w:color w:val="FFFFFF"/>
          <w:spacing w:val="10"/>
          <w:shd w:fill="A11D04" w:color="auto" w:val="clear"/>
        </w:rPr>
        <w:t>31：</w:t>
      </w:r>
      <w:r>
        <w:rPr>
          <w:color w:val="FFFFFF"/>
          <w:shd w:fill="A11D04" w:color="auto" w:val="clear"/>
        </w:rPr>
        <w:t>华道生物</w:t>
      </w:r>
      <w:r>
        <w:rPr>
          <w:color w:val="FFFFFF"/>
          <w:spacing w:val="-50"/>
          <w:shd w:fill="A11D04" w:color="auto" w:val="clear"/>
        </w:rPr>
        <w:t> </w:t>
      </w:r>
      <w:r>
        <w:rPr>
          <w:color w:val="FFFFFF"/>
          <w:shd w:fill="A11D04" w:color="auto" w:val="clear"/>
        </w:rPr>
        <w:t>Car-T</w:t>
      </w:r>
      <w:r>
        <w:rPr>
          <w:color w:val="FFFFFF"/>
          <w:spacing w:val="-65"/>
          <w:shd w:fill="A11D04" w:color="auto" w:val="clear"/>
        </w:rPr>
        <w:t> </w:t>
      </w:r>
      <w:r>
        <w:rPr>
          <w:color w:val="FFFFFF"/>
          <w:shd w:fill="A11D04" w:color="auto" w:val="clear"/>
        </w:rPr>
        <w:t>管线</w:t>
        <w:tab/>
      </w:r>
    </w:p>
    <w:p>
      <w:pPr>
        <w:spacing w:before="31"/>
        <w:ind w:left="3164" w:right="0" w:firstLine="0"/>
        <w:jc w:val="left"/>
        <w:rPr>
          <w:b/>
          <w:sz w:val="15"/>
        </w:rPr>
      </w:pPr>
      <w:r>
        <w:rPr>
          <w:b/>
          <w:sz w:val="15"/>
        </w:rPr>
        <w:t>数据来源：公司官网，财通证券研究所</w:t>
      </w:r>
    </w:p>
    <w:p>
      <w:pPr>
        <w:pStyle w:val="BodyText"/>
        <w:rPr>
          <w:b/>
          <w:sz w:val="20"/>
        </w:rPr>
      </w:pPr>
    </w:p>
    <w:p>
      <w:pPr>
        <w:pStyle w:val="BodyText"/>
        <w:rPr>
          <w:b/>
          <w:sz w:val="20"/>
        </w:rPr>
      </w:pPr>
    </w:p>
    <w:p>
      <w:pPr>
        <w:pStyle w:val="BodyText"/>
        <w:rPr>
          <w:b/>
          <w:sz w:val="23"/>
        </w:rPr>
      </w:pPr>
    </w:p>
    <w:p>
      <w:pPr>
        <w:pStyle w:val="Heading1"/>
        <w:spacing w:before="66"/>
      </w:pPr>
      <w:bookmarkStart w:name="_TOC_250000" w:id="24"/>
      <w:bookmarkEnd w:id="24"/>
      <w:r>
        <w:rPr/>
        <w:t>9、 风险提示</w:t>
      </w:r>
    </w:p>
    <w:p>
      <w:pPr>
        <w:pStyle w:val="Heading2"/>
        <w:spacing w:line="321" w:lineRule="auto" w:before="203"/>
        <w:ind w:left="3164" w:right="883"/>
        <w:jc w:val="both"/>
      </w:pPr>
      <w:r>
        <w:rPr>
          <w:spacing w:val="2"/>
        </w:rPr>
        <w:t>研发不达预期</w:t>
      </w:r>
      <w:r>
        <w:rPr/>
        <w:t>（如实体瘤领域</w:t>
      </w:r>
      <w:r>
        <w:rPr>
          <w:spacing w:val="-105"/>
        </w:rPr>
        <w:t>）</w:t>
      </w:r>
      <w:r>
        <w:rPr/>
        <w:t>、竞争产品的冲击（</w:t>
      </w:r>
      <w:r>
        <w:rPr>
          <w:spacing w:val="-10"/>
        </w:rPr>
        <w:t>如 </w:t>
      </w:r>
      <w:r>
        <w:rPr/>
        <w:t>Tafasitamab、双特异性</w:t>
      </w:r>
      <w:r>
        <w:rPr>
          <w:spacing w:val="15"/>
        </w:rPr>
        <w:t>抗体、</w:t>
      </w:r>
      <w:r>
        <w:rPr/>
        <w:t>TCR-T</w:t>
      </w:r>
      <w:r>
        <w:rPr>
          <w:spacing w:val="-25"/>
        </w:rPr>
        <w:t> 等</w:t>
      </w:r>
      <w:r>
        <w:rPr>
          <w:spacing w:val="-105"/>
        </w:rPr>
        <w:t>）</w:t>
      </w:r>
      <w:r>
        <w:rPr/>
        <w:t>、产业成本下降不及预期、保险支付及商业化不及预期。</w:t>
      </w:r>
    </w:p>
    <w:p>
      <w:pPr>
        <w:pStyle w:val="BodyText"/>
        <w:rPr>
          <w:b/>
          <w:sz w:val="20"/>
        </w:rPr>
      </w:pPr>
    </w:p>
    <w:p>
      <w:pPr>
        <w:pStyle w:val="BodyText"/>
        <w:rPr>
          <w:b/>
          <w:sz w:val="20"/>
        </w:rPr>
      </w:pPr>
    </w:p>
    <w:p>
      <w:pPr>
        <w:pStyle w:val="BodyText"/>
        <w:spacing w:before="8"/>
        <w:rPr>
          <w:b/>
          <w:sz w:val="25"/>
        </w:rPr>
      </w:pPr>
    </w:p>
    <w:p>
      <w:pPr>
        <w:spacing w:line="321" w:lineRule="auto" w:before="0"/>
        <w:ind w:left="3164" w:right="886" w:firstLine="0"/>
        <w:jc w:val="both"/>
        <w:rPr>
          <w:b/>
          <w:sz w:val="21"/>
        </w:rPr>
      </w:pPr>
      <w:r>
        <w:rPr>
          <w:b/>
          <w:spacing w:val="-6"/>
          <w:sz w:val="21"/>
        </w:rPr>
        <w:t>在此，特别鸣谢浙江康霖生物 </w:t>
      </w:r>
      <w:r>
        <w:rPr>
          <w:b/>
          <w:sz w:val="21"/>
        </w:rPr>
        <w:t>CEO</w:t>
      </w:r>
      <w:r>
        <w:rPr>
          <w:b/>
          <w:spacing w:val="-4"/>
          <w:sz w:val="21"/>
        </w:rPr>
        <w:t>、希望之城教授吴昊泉博士，生物制药小编谢</w:t>
      </w:r>
      <w:r>
        <w:rPr>
          <w:b/>
          <w:sz w:val="21"/>
        </w:rPr>
        <w:t>轶谦博士等主编，斯丹赛吴昭博士对本报告的专家意见。</w:t>
      </w:r>
    </w:p>
    <w:p>
      <w:pPr>
        <w:pStyle w:val="BodyText"/>
        <w:rPr>
          <w:b/>
          <w:sz w:val="20"/>
        </w:rPr>
      </w:pPr>
    </w:p>
    <w:p>
      <w:pPr>
        <w:pStyle w:val="BodyText"/>
        <w:spacing w:before="12"/>
        <w:rPr>
          <w:b/>
          <w:sz w:val="27"/>
        </w:rPr>
      </w:pPr>
    </w:p>
    <w:p>
      <w:pPr>
        <w:pStyle w:val="Heading2"/>
        <w:spacing w:before="0"/>
        <w:ind w:left="3164"/>
      </w:pPr>
      <w:r>
        <w:rPr/>
        <w:t>参考文献</w:t>
      </w:r>
    </w:p>
    <w:p>
      <w:pPr>
        <w:pStyle w:val="BodyText"/>
        <w:spacing w:before="9"/>
        <w:rPr>
          <w:b/>
          <w:sz w:val="17"/>
        </w:rPr>
      </w:pPr>
    </w:p>
    <w:p>
      <w:pPr>
        <w:pStyle w:val="BodyText"/>
        <w:spacing w:line="321" w:lineRule="auto"/>
        <w:ind w:left="3164" w:right="866"/>
        <w:jc w:val="both"/>
      </w:pPr>
      <w:r>
        <w:rPr>
          <w:spacing w:val="-16"/>
        </w:rPr>
        <w:t>“生物制药小编公众号”--《基因工程 </w:t>
      </w:r>
      <w:r>
        <w:rPr/>
        <w:t>T</w:t>
      </w:r>
      <w:r>
        <w:rPr>
          <w:spacing w:val="-15"/>
        </w:rPr>
        <w:t> 细胞治疗癌症的临床研究》</w:t>
      </w:r>
      <w:r>
        <w:rPr>
          <w:spacing w:val="-30"/>
        </w:rPr>
        <w:t>、《寒冬已至， CAR-T</w:t>
      </w:r>
      <w:r>
        <w:rPr>
          <w:spacing w:val="-21"/>
        </w:rPr>
        <w:t> 疗法要凉？先别急！》、《嵌合抗原受体的组成与设计》</w:t>
      </w:r>
    </w:p>
    <w:p>
      <w:pPr>
        <w:pStyle w:val="BodyText"/>
        <w:spacing w:line="328" w:lineRule="auto" w:before="135"/>
        <w:ind w:left="3164" w:right="888"/>
        <w:jc w:val="both"/>
      </w:pPr>
      <w:r>
        <w:rPr/>
        <w:t>Zhao</w:t>
      </w:r>
      <w:r>
        <w:rPr>
          <w:spacing w:val="-15"/>
        </w:rPr>
        <w:t> </w:t>
      </w:r>
      <w:r>
        <w:rPr/>
        <w:t>L,</w:t>
      </w:r>
      <w:r>
        <w:rPr>
          <w:spacing w:val="-14"/>
        </w:rPr>
        <w:t> </w:t>
      </w:r>
      <w:r>
        <w:rPr/>
        <w:t>Cao</w:t>
      </w:r>
      <w:r>
        <w:rPr>
          <w:spacing w:val="-15"/>
        </w:rPr>
        <w:t> </w:t>
      </w:r>
      <w:r>
        <w:rPr/>
        <w:t>YJ.Engineered</w:t>
      </w:r>
      <w:r>
        <w:rPr>
          <w:spacing w:val="-14"/>
        </w:rPr>
        <w:t> </w:t>
      </w:r>
      <w:r>
        <w:rPr/>
        <w:t>T</w:t>
      </w:r>
      <w:r>
        <w:rPr>
          <w:spacing w:val="-14"/>
        </w:rPr>
        <w:t> </w:t>
      </w:r>
      <w:r>
        <w:rPr/>
        <w:t>Cell</w:t>
      </w:r>
      <w:r>
        <w:rPr>
          <w:spacing w:val="-15"/>
        </w:rPr>
        <w:t> </w:t>
      </w:r>
      <w:r>
        <w:rPr/>
        <w:t>Therapy</w:t>
      </w:r>
      <w:r>
        <w:rPr>
          <w:spacing w:val="-9"/>
        </w:rPr>
        <w:t> </w:t>
      </w:r>
      <w:r>
        <w:rPr/>
        <w:t>for</w:t>
      </w:r>
      <w:r>
        <w:rPr>
          <w:spacing w:val="-15"/>
        </w:rPr>
        <w:t> </w:t>
      </w:r>
      <w:r>
        <w:rPr/>
        <w:t>Cancer</w:t>
      </w:r>
      <w:r>
        <w:rPr>
          <w:spacing w:val="-14"/>
        </w:rPr>
        <w:t> </w:t>
      </w:r>
      <w:r>
        <w:rPr/>
        <w:t>in</w:t>
      </w:r>
      <w:r>
        <w:rPr>
          <w:spacing w:val="-14"/>
        </w:rPr>
        <w:t> </w:t>
      </w:r>
      <w:r>
        <w:rPr/>
        <w:t>the</w:t>
      </w:r>
      <w:r>
        <w:rPr>
          <w:spacing w:val="-15"/>
        </w:rPr>
        <w:t> </w:t>
      </w:r>
      <w:r>
        <w:rPr>
          <w:spacing w:val="-2"/>
        </w:rPr>
        <w:t>Clinic.Front </w:t>
      </w:r>
      <w:r>
        <w:rPr/>
        <w:t>Immunol.</w:t>
      </w:r>
      <w:r>
        <w:rPr>
          <w:spacing w:val="-47"/>
        </w:rPr>
        <w:t> </w:t>
      </w:r>
      <w:r>
        <w:rPr/>
        <w:t>2019</w:t>
      </w:r>
      <w:r>
        <w:rPr>
          <w:spacing w:val="-47"/>
        </w:rPr>
        <w:t> </w:t>
      </w:r>
      <w:r>
        <w:rPr/>
        <w:t>Oct</w:t>
      </w:r>
      <w:r>
        <w:rPr>
          <w:spacing w:val="-47"/>
        </w:rPr>
        <w:t> </w:t>
      </w:r>
      <w:r>
        <w:rPr/>
        <w:t>11;10:2250.</w:t>
      </w:r>
      <w:r>
        <w:rPr>
          <w:spacing w:val="-47"/>
        </w:rPr>
        <w:t> </w:t>
      </w:r>
      <w:r>
        <w:rPr/>
        <w:t>doi:</w:t>
      </w:r>
      <w:r>
        <w:rPr>
          <w:spacing w:val="-47"/>
        </w:rPr>
        <w:t> </w:t>
      </w:r>
      <w:r>
        <w:rPr/>
        <w:t>10.3389/fimmu.2019.02250.</w:t>
      </w:r>
      <w:r>
        <w:rPr>
          <w:spacing w:val="-47"/>
        </w:rPr>
        <w:t> </w:t>
      </w:r>
      <w:r>
        <w:rPr/>
        <w:t>eCollection 2019.</w:t>
      </w:r>
    </w:p>
    <w:p>
      <w:pPr>
        <w:pStyle w:val="BodyText"/>
        <w:spacing w:line="328" w:lineRule="auto" w:before="110"/>
        <w:ind w:left="3164" w:right="875"/>
        <w:jc w:val="both"/>
      </w:pPr>
      <w:r>
        <w:rPr/>
        <w:t>Mumtaz YaseenBalkhiPH.D.Chapter 2-Components and Design of Chimeric Antigen Receptors.Basics of Chimeric Antigen Receptor (CAR) Immunotherapy.2020, Pages 13-24</w:t>
      </w:r>
    </w:p>
    <w:p>
      <w:pPr>
        <w:pStyle w:val="BodyText"/>
        <w:spacing w:line="321" w:lineRule="auto" w:before="125"/>
        <w:ind w:left="3164" w:right="872"/>
        <w:jc w:val="both"/>
      </w:pPr>
      <w:r>
        <w:rPr/>
        <w:t>Leick MB, Maus MV.CAR-T cells beyond CD19, UnCAR-Ted territory.Am J Hematol. 2019 May;94(S1):S34-S41.</w:t>
      </w:r>
    </w:p>
    <w:p>
      <w:pPr>
        <w:spacing w:after="0" w:line="321" w:lineRule="auto"/>
        <w:jc w:val="both"/>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pStyle w:val="BodyText"/>
        <w:spacing w:line="336" w:lineRule="auto" w:before="30"/>
        <w:ind w:left="3164" w:right="909"/>
      </w:pPr>
      <w:r>
        <w:rPr/>
        <w:t>The</w:t>
      </w:r>
      <w:r>
        <w:rPr>
          <w:spacing w:val="-47"/>
        </w:rPr>
        <w:t> </w:t>
      </w:r>
      <w:r>
        <w:rPr/>
        <w:t>long</w:t>
      </w:r>
      <w:r>
        <w:rPr>
          <w:spacing w:val="-46"/>
        </w:rPr>
        <w:t> </w:t>
      </w:r>
      <w:r>
        <w:rPr/>
        <w:t>road</w:t>
      </w:r>
      <w:r>
        <w:rPr>
          <w:spacing w:val="-46"/>
        </w:rPr>
        <w:t> </w:t>
      </w:r>
      <w:r>
        <w:rPr/>
        <w:t>to</w:t>
      </w:r>
      <w:r>
        <w:rPr>
          <w:spacing w:val="-46"/>
        </w:rPr>
        <w:t> </w:t>
      </w:r>
      <w:r>
        <w:rPr/>
        <w:t>affordability:</w:t>
      </w:r>
      <w:r>
        <w:rPr>
          <w:spacing w:val="-33"/>
        </w:rPr>
        <w:t> </w:t>
      </w:r>
      <w:r>
        <w:rPr/>
        <w:t>a</w:t>
      </w:r>
      <w:r>
        <w:rPr>
          <w:spacing w:val="-46"/>
        </w:rPr>
        <w:t> </w:t>
      </w:r>
      <w:r>
        <w:rPr/>
        <w:t>cost</w:t>
      </w:r>
      <w:r>
        <w:rPr>
          <w:spacing w:val="-46"/>
        </w:rPr>
        <w:t> </w:t>
      </w:r>
      <w:r>
        <w:rPr>
          <w:spacing w:val="7"/>
        </w:rPr>
        <w:t>of</w:t>
      </w:r>
      <w:r>
        <w:rPr>
          <w:spacing w:val="-46"/>
        </w:rPr>
        <w:t> </w:t>
      </w:r>
      <w:r>
        <w:rPr/>
        <w:t>goods</w:t>
      </w:r>
      <w:r>
        <w:rPr>
          <w:spacing w:val="-46"/>
        </w:rPr>
        <w:t> </w:t>
      </w:r>
      <w:r>
        <w:rPr/>
        <w:t>analysis</w:t>
      </w:r>
      <w:r>
        <w:rPr>
          <w:spacing w:val="-33"/>
        </w:rPr>
        <w:t> </w:t>
      </w:r>
      <w:r>
        <w:rPr/>
        <w:t>for</w:t>
      </w:r>
      <w:r>
        <w:rPr>
          <w:spacing w:val="-46"/>
        </w:rPr>
        <w:t> </w:t>
      </w:r>
      <w:r>
        <w:rPr/>
        <w:t>an</w:t>
      </w:r>
      <w:r>
        <w:rPr>
          <w:spacing w:val="-46"/>
        </w:rPr>
        <w:t> </w:t>
      </w:r>
      <w:r>
        <w:rPr/>
        <w:t>autologous CAR-T process</w:t>
      </w:r>
    </w:p>
    <w:p>
      <w:pPr>
        <w:pStyle w:val="BodyText"/>
        <w:spacing w:line="333" w:lineRule="auto" w:before="102"/>
        <w:ind w:left="3164" w:right="761"/>
      </w:pPr>
      <w:r>
        <w:rPr/>
        <w:t>Ayyappan,</w:t>
      </w:r>
      <w:r>
        <w:rPr>
          <w:spacing w:val="-15"/>
        </w:rPr>
        <w:t> </w:t>
      </w:r>
      <w:r>
        <w:rPr/>
        <w:t>S.,</w:t>
      </w:r>
      <w:r>
        <w:rPr>
          <w:spacing w:val="-15"/>
        </w:rPr>
        <w:t> </w:t>
      </w:r>
      <w:r>
        <w:rPr/>
        <w:t>&amp;</w:t>
      </w:r>
      <w:r>
        <w:rPr>
          <w:spacing w:val="-14"/>
        </w:rPr>
        <w:t> </w:t>
      </w:r>
      <w:r>
        <w:rPr/>
        <w:t>Maddocks,</w:t>
      </w:r>
      <w:r>
        <w:rPr>
          <w:spacing w:val="-15"/>
        </w:rPr>
        <w:t> </w:t>
      </w:r>
      <w:r>
        <w:rPr/>
        <w:t>K.</w:t>
      </w:r>
      <w:r>
        <w:rPr>
          <w:spacing w:val="-14"/>
        </w:rPr>
        <w:t> </w:t>
      </w:r>
      <w:r>
        <w:rPr/>
        <w:t>(2019).</w:t>
      </w:r>
      <w:r>
        <w:rPr>
          <w:spacing w:val="-15"/>
        </w:rPr>
        <w:t> </w:t>
      </w:r>
      <w:r>
        <w:rPr/>
        <w:t>Novel</w:t>
      </w:r>
      <w:r>
        <w:rPr>
          <w:spacing w:val="-14"/>
        </w:rPr>
        <w:t> </w:t>
      </w:r>
      <w:r>
        <w:rPr/>
        <w:t>and</w:t>
      </w:r>
      <w:r>
        <w:rPr>
          <w:spacing w:val="-15"/>
        </w:rPr>
        <w:t> </w:t>
      </w:r>
      <w:r>
        <w:rPr/>
        <w:t>emerging</w:t>
      </w:r>
      <w:r>
        <w:rPr>
          <w:spacing w:val="-14"/>
        </w:rPr>
        <w:t> </w:t>
      </w:r>
      <w:r>
        <w:rPr/>
        <w:t>therapies</w:t>
      </w:r>
      <w:r>
        <w:rPr>
          <w:spacing w:val="-15"/>
        </w:rPr>
        <w:t> </w:t>
      </w:r>
      <w:r>
        <w:rPr/>
        <w:t>for</w:t>
      </w:r>
      <w:r>
        <w:rPr>
          <w:spacing w:val="-15"/>
        </w:rPr>
        <w:t> </w:t>
      </w:r>
      <w:r>
        <w:rPr>
          <w:spacing w:val="-16"/>
        </w:rPr>
        <w:t>B </w:t>
      </w:r>
      <w:r>
        <w:rPr/>
        <w:t>cell lymphoma. Journal of hematology &amp; oncology, 12(1), 82.</w:t>
      </w:r>
    </w:p>
    <w:p>
      <w:pPr>
        <w:pStyle w:val="BodyText"/>
        <w:spacing w:line="336" w:lineRule="auto" w:before="108"/>
        <w:ind w:left="3164" w:right="873"/>
      </w:pPr>
      <w:r>
        <w:rPr/>
        <w:t>Siegel</w:t>
      </w:r>
      <w:r>
        <w:rPr>
          <w:spacing w:val="-31"/>
        </w:rPr>
        <w:t> </w:t>
      </w:r>
      <w:r>
        <w:rPr/>
        <w:t>RL,</w:t>
      </w:r>
      <w:r>
        <w:rPr>
          <w:spacing w:val="-31"/>
        </w:rPr>
        <w:t> </w:t>
      </w:r>
      <w:r>
        <w:rPr/>
        <w:t>Miller</w:t>
      </w:r>
      <w:r>
        <w:rPr>
          <w:spacing w:val="-31"/>
        </w:rPr>
        <w:t> </w:t>
      </w:r>
      <w:r>
        <w:rPr/>
        <w:t>KD,</w:t>
      </w:r>
      <w:r>
        <w:rPr>
          <w:spacing w:val="-31"/>
        </w:rPr>
        <w:t> </w:t>
      </w:r>
      <w:r>
        <w:rPr/>
        <w:t>Jemal</w:t>
      </w:r>
      <w:r>
        <w:rPr>
          <w:spacing w:val="-31"/>
        </w:rPr>
        <w:t> </w:t>
      </w:r>
      <w:r>
        <w:rPr/>
        <w:t>A.</w:t>
      </w:r>
      <w:r>
        <w:rPr>
          <w:spacing w:val="-31"/>
        </w:rPr>
        <w:t> </w:t>
      </w:r>
      <w:r>
        <w:rPr/>
        <w:t>Cancer</w:t>
      </w:r>
      <w:r>
        <w:rPr>
          <w:spacing w:val="-31"/>
        </w:rPr>
        <w:t> </w:t>
      </w:r>
      <w:r>
        <w:rPr/>
        <w:t>Statistics,</w:t>
      </w:r>
      <w:r>
        <w:rPr>
          <w:spacing w:val="-31"/>
        </w:rPr>
        <w:t> </w:t>
      </w:r>
      <w:r>
        <w:rPr/>
        <w:t>2017.</w:t>
      </w:r>
      <w:r>
        <w:rPr>
          <w:spacing w:val="-31"/>
        </w:rPr>
        <w:t> </w:t>
      </w:r>
      <w:r>
        <w:rPr/>
        <w:t>CA</w:t>
      </w:r>
      <w:r>
        <w:rPr>
          <w:spacing w:val="-31"/>
        </w:rPr>
        <w:t> </w:t>
      </w:r>
      <w:r>
        <w:rPr/>
        <w:t>Cancer</w:t>
      </w:r>
      <w:r>
        <w:rPr>
          <w:spacing w:val="-31"/>
        </w:rPr>
        <w:t> </w:t>
      </w:r>
      <w:r>
        <w:rPr/>
        <w:t>J</w:t>
      </w:r>
      <w:r>
        <w:rPr>
          <w:spacing w:val="-31"/>
        </w:rPr>
        <w:t> </w:t>
      </w:r>
      <w:r>
        <w:rPr/>
        <w:t>Clin. 2017;67:7</w:t>
      </w:r>
      <w:r>
        <w:rPr>
          <w:rFonts w:ascii="Arial" w:hAnsi="Arial"/>
        </w:rPr>
        <w:t>–</w:t>
      </w:r>
      <w:r>
        <w:rPr/>
        <w:t>30.</w:t>
      </w:r>
    </w:p>
    <w:p>
      <w:pPr>
        <w:pStyle w:val="BodyText"/>
        <w:spacing w:before="103"/>
        <w:ind w:left="3164"/>
      </w:pPr>
      <w:r>
        <w:rPr/>
        <w:t>Chen W, Zheng R, Baade PD, Zhang S, Zeng H, Bray F, Jemal A, Yu XQ,</w:t>
      </w:r>
      <w:r>
        <w:rPr>
          <w:spacing w:val="-45"/>
        </w:rPr>
        <w:t> </w:t>
      </w:r>
      <w:r>
        <w:rPr/>
        <w:t>He</w:t>
      </w:r>
    </w:p>
    <w:p>
      <w:pPr>
        <w:pStyle w:val="BodyText"/>
        <w:spacing w:before="105"/>
        <w:ind w:left="3164"/>
      </w:pPr>
      <w:r>
        <w:rPr/>
        <w:t>J. Cancer statistics in China, 2015. CA Cancer J Clin.</w:t>
      </w:r>
      <w:r>
        <w:rPr>
          <w:spacing w:val="-49"/>
        </w:rPr>
        <w:t> </w:t>
      </w:r>
      <w:r>
        <w:rPr/>
        <w:t>2016;66:115</w:t>
      </w:r>
      <w:r>
        <w:rPr>
          <w:rFonts w:ascii="Arial" w:hAnsi="Arial"/>
        </w:rPr>
        <w:t>–</w:t>
      </w:r>
      <w:r>
        <w:rPr/>
        <w:t>32.</w:t>
      </w:r>
    </w:p>
    <w:p>
      <w:pPr>
        <w:pStyle w:val="BodyText"/>
        <w:spacing w:before="7"/>
        <w:rPr>
          <w:sz w:val="16"/>
        </w:rPr>
      </w:pPr>
    </w:p>
    <w:p>
      <w:pPr>
        <w:pStyle w:val="BodyText"/>
        <w:spacing w:line="336" w:lineRule="auto"/>
        <w:ind w:left="3164"/>
      </w:pPr>
      <w:r>
        <w:rPr/>
        <w:t>Parkin DM. Global cancer statistics in the year 2000. Lancet Oncol. 2001;2:533</w:t>
      </w:r>
      <w:r>
        <w:rPr>
          <w:rFonts w:ascii="Arial" w:hAnsi="Arial"/>
        </w:rPr>
        <w:t>–</w:t>
      </w:r>
      <w:r>
        <w:rPr/>
        <w:t>43.</w:t>
      </w:r>
    </w:p>
    <w:p>
      <w:pPr>
        <w:pStyle w:val="BodyText"/>
        <w:spacing w:line="333" w:lineRule="auto" w:before="103"/>
        <w:ind w:left="3164" w:right="816"/>
      </w:pPr>
      <w:r>
        <w:rPr/>
        <w:t>The Gene Ontology Consortium. The Gene Ontology Resource: 20 years and still GOing strong. Nucleic Acids Res. 47, D330</w:t>
      </w:r>
      <w:r>
        <w:rPr>
          <w:rFonts w:ascii="Arial" w:hAnsi="Arial"/>
        </w:rPr>
        <w:t>–</w:t>
      </w:r>
      <w:r>
        <w:rPr/>
        <w:t>D338 (2019).</w:t>
      </w:r>
    </w:p>
    <w:p>
      <w:pPr>
        <w:pStyle w:val="BodyText"/>
        <w:spacing w:line="336" w:lineRule="auto" w:before="107"/>
        <w:ind w:left="3164" w:right="761"/>
      </w:pPr>
      <w:r>
        <w:rPr/>
        <w:t>Teaching an old dog new tricks: next-generation CAR T cells. British Journal of Cancer volume 120, pages26</w:t>
      </w:r>
      <w:r>
        <w:rPr>
          <w:rFonts w:ascii="Arial" w:hAnsi="Arial"/>
        </w:rPr>
        <w:t>–</w:t>
      </w:r>
      <w:r>
        <w:rPr/>
        <w:t>37(2019)</w:t>
      </w:r>
    </w:p>
    <w:p>
      <w:pPr>
        <w:spacing w:after="0" w:line="336" w:lineRule="auto"/>
        <w:sectPr>
          <w:pgSz w:w="11910" w:h="16850"/>
          <w:pgMar w:header="796" w:footer="1296" w:top="1340" w:bottom="1480" w:left="260" w:right="300"/>
        </w:sectPr>
      </w:pPr>
    </w:p>
    <w:p>
      <w:pPr>
        <w:pStyle w:val="BodyText"/>
        <w:spacing w:before="1"/>
        <w:rPr>
          <w:sz w:val="3"/>
        </w:rPr>
      </w:pPr>
    </w:p>
    <w:p>
      <w:pPr>
        <w:pStyle w:val="BodyText"/>
        <w:spacing w:line="20" w:lineRule="exact"/>
        <w:ind w:left="461"/>
        <w:rPr>
          <w:sz w:val="2"/>
        </w:rPr>
      </w:pPr>
      <w:r>
        <w:rPr>
          <w:sz w:val="2"/>
        </w:rPr>
        <w:pict>
          <v:group style="width:498pt;height:1pt;mso-position-horizontal-relative:char;mso-position-vertical-relative:line" coordorigin="0,0" coordsize="9960,20">
            <v:line style="position:absolute" from="0,10" to="9960,10" stroked="true" strokeweight="1pt" strokecolor="#a6a6a6">
              <v:stroke dashstyle="solid"/>
            </v:line>
          </v:group>
        </w:pict>
      </w:r>
      <w:r>
        <w:rPr>
          <w:sz w:val="2"/>
        </w:rPr>
      </w:r>
    </w:p>
    <w:p>
      <w:pPr>
        <w:spacing w:line="436" w:lineRule="auto" w:before="30"/>
        <w:ind w:left="1091" w:right="9310" w:firstLine="0"/>
        <w:jc w:val="left"/>
        <w:rPr>
          <w:b/>
          <w:sz w:val="18"/>
        </w:rPr>
      </w:pPr>
      <w:r>
        <w:rPr>
          <w:b/>
          <w:sz w:val="18"/>
        </w:rPr>
        <w:t>信息披露分析师承诺</w:t>
      </w:r>
    </w:p>
    <w:p>
      <w:pPr>
        <w:spacing w:line="169" w:lineRule="exact" w:before="0"/>
        <w:ind w:left="1091" w:right="0" w:firstLine="0"/>
        <w:jc w:val="left"/>
        <w:rPr>
          <w:sz w:val="18"/>
        </w:rPr>
      </w:pPr>
      <w:r>
        <w:rPr>
          <w:sz w:val="18"/>
        </w:rPr>
        <w:t>作者具有中国证券业协会授予的证券投资咨询执业资格，并注册为证券分析师，具备专业胜任能力，保证报告所采用的</w:t>
      </w:r>
    </w:p>
    <w:p>
      <w:pPr>
        <w:spacing w:line="249" w:lineRule="auto" w:before="0"/>
        <w:ind w:left="1091" w:right="821" w:firstLine="0"/>
        <w:jc w:val="left"/>
        <w:rPr>
          <w:sz w:val="18"/>
        </w:rPr>
      </w:pPr>
      <w:r>
        <w:rPr>
          <w:spacing w:val="-1"/>
          <w:sz w:val="18"/>
        </w:rPr>
        <w:t>数据均来自合规渠道，分析逻辑基于作者的职业理解。本报告清晰地反映了作者的研究观点，力求独立、客观和公正， 结论不受任何第三方的授意或影响，作者也不会因本报告中的具体推荐意见或观点而直接或间接收到任何形式的补偿。</w:t>
      </w:r>
    </w:p>
    <w:p>
      <w:pPr>
        <w:spacing w:before="103"/>
        <w:ind w:left="1091" w:right="0" w:firstLine="0"/>
        <w:jc w:val="left"/>
        <w:rPr>
          <w:b/>
          <w:sz w:val="18"/>
        </w:rPr>
      </w:pPr>
      <w:r>
        <w:rPr>
          <w:b/>
          <w:spacing w:val="15"/>
          <w:w w:val="95"/>
          <w:sz w:val="18"/>
        </w:rPr>
        <w:t>资质声明</w:t>
      </w:r>
    </w:p>
    <w:p>
      <w:pPr>
        <w:spacing w:line="340" w:lineRule="atLeast" w:before="20"/>
        <w:ind w:left="1091" w:right="3596" w:firstLine="0"/>
        <w:jc w:val="left"/>
        <w:rPr>
          <w:b/>
          <w:sz w:val="18"/>
        </w:rPr>
      </w:pPr>
      <w:r>
        <w:rPr>
          <w:spacing w:val="-1"/>
          <w:sz w:val="18"/>
        </w:rPr>
        <w:t>财通证券股份有限公司具备中国证券监督管理委员会许可的证券投资咨询业务资格。</w:t>
      </w:r>
      <w:r>
        <w:rPr>
          <w:b/>
          <w:spacing w:val="15"/>
          <w:sz w:val="18"/>
        </w:rPr>
        <w:t>公司评级</w:t>
      </w:r>
    </w:p>
    <w:p>
      <w:pPr>
        <w:spacing w:before="16"/>
        <w:ind w:left="1091" w:right="0" w:firstLine="0"/>
        <w:jc w:val="left"/>
        <w:rPr>
          <w:sz w:val="18"/>
        </w:rPr>
      </w:pPr>
      <w:r>
        <w:rPr>
          <w:sz w:val="18"/>
        </w:rPr>
        <w:t>买入：我们预计未来 6 个月内，个股相对大盘涨幅在 15%以上；</w:t>
      </w:r>
    </w:p>
    <w:p>
      <w:pPr>
        <w:spacing w:line="242" w:lineRule="auto" w:before="9"/>
        <w:ind w:left="1091" w:right="4581" w:firstLine="0"/>
        <w:jc w:val="left"/>
        <w:rPr>
          <w:sz w:val="18"/>
        </w:rPr>
      </w:pPr>
      <w:r>
        <w:rPr>
          <w:spacing w:val="-5"/>
          <w:sz w:val="18"/>
        </w:rPr>
        <w:t>增持：我们预计未来 </w:t>
      </w:r>
      <w:r>
        <w:rPr>
          <w:sz w:val="18"/>
        </w:rPr>
        <w:t>6</w:t>
      </w:r>
      <w:r>
        <w:rPr>
          <w:spacing w:val="-10"/>
          <w:sz w:val="18"/>
        </w:rPr>
        <w:t> 个月内，个股相对大盘涨幅介于 </w:t>
      </w:r>
      <w:r>
        <w:rPr>
          <w:sz w:val="18"/>
        </w:rPr>
        <w:t>5%</w:t>
      </w:r>
      <w:r>
        <w:rPr>
          <w:spacing w:val="-23"/>
          <w:sz w:val="18"/>
        </w:rPr>
        <w:t>与 </w:t>
      </w:r>
      <w:r>
        <w:rPr>
          <w:sz w:val="18"/>
        </w:rPr>
        <w:t>15%之间； </w:t>
      </w:r>
      <w:r>
        <w:rPr>
          <w:spacing w:val="-5"/>
          <w:sz w:val="18"/>
        </w:rPr>
        <w:t>中性：我们预计未来 </w:t>
      </w:r>
      <w:r>
        <w:rPr>
          <w:sz w:val="18"/>
        </w:rPr>
        <w:t>6</w:t>
      </w:r>
      <w:r>
        <w:rPr>
          <w:spacing w:val="-7"/>
          <w:sz w:val="18"/>
        </w:rPr>
        <w:t> 个月内，个股相对大盘涨幅介于</w:t>
      </w:r>
      <w:r>
        <w:rPr>
          <w:sz w:val="18"/>
        </w:rPr>
        <w:t>-5%</w:t>
      </w:r>
      <w:r>
        <w:rPr>
          <w:spacing w:val="-23"/>
          <w:sz w:val="18"/>
        </w:rPr>
        <w:t>与 </w:t>
      </w:r>
      <w:r>
        <w:rPr>
          <w:sz w:val="18"/>
        </w:rPr>
        <w:t>5%之间； </w:t>
      </w:r>
      <w:r>
        <w:rPr>
          <w:spacing w:val="-5"/>
          <w:sz w:val="18"/>
        </w:rPr>
        <w:t>减持：我们预计未来 </w:t>
      </w:r>
      <w:r>
        <w:rPr>
          <w:sz w:val="18"/>
        </w:rPr>
        <w:t>6</w:t>
      </w:r>
      <w:r>
        <w:rPr>
          <w:spacing w:val="-7"/>
          <w:sz w:val="18"/>
        </w:rPr>
        <w:t> 个月内，个股相对大盘涨幅介于</w:t>
      </w:r>
      <w:r>
        <w:rPr>
          <w:sz w:val="18"/>
        </w:rPr>
        <w:t>-5%与-15%</w:t>
      </w:r>
      <w:r>
        <w:rPr>
          <w:spacing w:val="-6"/>
          <w:sz w:val="18"/>
        </w:rPr>
        <w:t>之间；</w:t>
      </w:r>
    </w:p>
    <w:p>
      <w:pPr>
        <w:spacing w:line="222" w:lineRule="exact" w:before="0"/>
        <w:ind w:left="1091" w:right="0" w:firstLine="0"/>
        <w:jc w:val="left"/>
        <w:rPr>
          <w:sz w:val="18"/>
        </w:rPr>
      </w:pPr>
      <w:r>
        <w:rPr>
          <w:sz w:val="18"/>
        </w:rPr>
        <w:t>卖出：我们预计未来 6 个月内，个股相对大盘涨幅低于-15%。</w:t>
      </w:r>
    </w:p>
    <w:p>
      <w:pPr>
        <w:spacing w:line="228" w:lineRule="exact" w:before="130"/>
        <w:ind w:left="1091" w:right="0" w:firstLine="0"/>
        <w:jc w:val="left"/>
        <w:rPr>
          <w:b/>
          <w:sz w:val="18"/>
        </w:rPr>
      </w:pPr>
      <w:r>
        <w:rPr>
          <w:b/>
          <w:sz w:val="18"/>
        </w:rPr>
        <w:t>行业评级</w:t>
      </w:r>
    </w:p>
    <w:p>
      <w:pPr>
        <w:spacing w:line="228" w:lineRule="exact" w:before="0"/>
        <w:ind w:left="1091" w:right="0" w:firstLine="0"/>
        <w:jc w:val="left"/>
        <w:rPr>
          <w:sz w:val="18"/>
        </w:rPr>
      </w:pPr>
      <w:r>
        <w:rPr>
          <w:sz w:val="18"/>
        </w:rPr>
        <w:t>增持：我们预计未来 6 个月内，行业整体回报高于市场整体水平 5%以上；</w:t>
      </w:r>
    </w:p>
    <w:p>
      <w:pPr>
        <w:spacing w:line="235" w:lineRule="auto" w:before="13"/>
        <w:ind w:left="1091" w:right="3994" w:firstLine="0"/>
        <w:jc w:val="left"/>
        <w:rPr>
          <w:sz w:val="18"/>
        </w:rPr>
      </w:pPr>
      <w:r>
        <w:rPr>
          <w:spacing w:val="-5"/>
          <w:sz w:val="18"/>
        </w:rPr>
        <w:t>中性：我们预计未来 </w:t>
      </w:r>
      <w:r>
        <w:rPr>
          <w:sz w:val="18"/>
        </w:rPr>
        <w:t>6</w:t>
      </w:r>
      <w:r>
        <w:rPr>
          <w:spacing w:val="-7"/>
          <w:sz w:val="18"/>
        </w:rPr>
        <w:t> 个月内，行业整体回报介于市场整体水平</w:t>
      </w:r>
      <w:r>
        <w:rPr>
          <w:sz w:val="18"/>
        </w:rPr>
        <w:t>-5%</w:t>
      </w:r>
      <w:r>
        <w:rPr>
          <w:spacing w:val="-23"/>
          <w:sz w:val="18"/>
        </w:rPr>
        <w:t>与 </w:t>
      </w:r>
      <w:r>
        <w:rPr>
          <w:sz w:val="18"/>
        </w:rPr>
        <w:t>5%</w:t>
      </w:r>
      <w:r>
        <w:rPr>
          <w:spacing w:val="-5"/>
          <w:sz w:val="18"/>
        </w:rPr>
        <w:t>之间； 减持：我们预计未来 </w:t>
      </w:r>
      <w:r>
        <w:rPr>
          <w:sz w:val="18"/>
        </w:rPr>
        <w:t>6</w:t>
      </w:r>
      <w:r>
        <w:rPr>
          <w:spacing w:val="-7"/>
          <w:sz w:val="18"/>
        </w:rPr>
        <w:t> 个月内，行业整体回报低于市场整体水平</w:t>
      </w:r>
      <w:r>
        <w:rPr>
          <w:sz w:val="18"/>
        </w:rPr>
        <w:t>-5%以下。</w:t>
      </w:r>
    </w:p>
    <w:p>
      <w:pPr>
        <w:spacing w:before="130"/>
        <w:ind w:left="1091" w:right="0" w:firstLine="0"/>
        <w:jc w:val="left"/>
        <w:rPr>
          <w:b/>
          <w:sz w:val="18"/>
        </w:rPr>
      </w:pPr>
      <w:r>
        <w:rPr>
          <w:b/>
          <w:sz w:val="18"/>
        </w:rPr>
        <w:t>免责声明</w:t>
      </w:r>
    </w:p>
    <w:p>
      <w:pPr>
        <w:spacing w:before="130"/>
        <w:ind w:left="1091" w:right="0" w:firstLine="0"/>
        <w:jc w:val="left"/>
        <w:rPr>
          <w:sz w:val="18"/>
        </w:rPr>
      </w:pPr>
      <w:r>
        <w:rPr>
          <w:sz w:val="18"/>
        </w:rPr>
        <w:t>本报告仅供财通证券股份有限公司的客户使用。本公司不会因接收人收到本报告而视其为本公司的当然客户。</w:t>
      </w:r>
    </w:p>
    <w:p>
      <w:pPr>
        <w:spacing w:line="249" w:lineRule="auto" w:before="114"/>
        <w:ind w:left="1091" w:right="896" w:firstLine="0"/>
        <w:jc w:val="left"/>
        <w:rPr>
          <w:sz w:val="18"/>
        </w:rPr>
      </w:pPr>
      <w:r>
        <w:rPr>
          <w:sz w:val="18"/>
        </w:rPr>
        <w:t>本报告的信息来源于已公开的资料，本公司不保证该等信息的准确性、完整性。本报告所载的资料、工具、意见及推测只提供给客户作参考之用，并非作为或被视为出售或购买证券或其他投资标的邀请或向他人作出邀请。</w:t>
      </w:r>
    </w:p>
    <w:p>
      <w:pPr>
        <w:spacing w:line="249" w:lineRule="auto" w:before="106"/>
        <w:ind w:left="1091" w:right="896" w:firstLine="0"/>
        <w:jc w:val="left"/>
        <w:rPr>
          <w:sz w:val="18"/>
        </w:rPr>
      </w:pPr>
      <w:r>
        <w:rPr>
          <w:sz w:val="18"/>
        </w:rPr>
        <w:t>本报告所载的资料、意见及推测仅反映本公司于发布本报告当日的判断，本报告所指的证券或投资标的价格、价值及投资收入可能会波动。在不同时期，本公司可发出与本报告所载资料、意见及推测不一致的报告。</w:t>
      </w:r>
    </w:p>
    <w:p>
      <w:pPr>
        <w:spacing w:line="244" w:lineRule="auto" w:before="106"/>
        <w:ind w:left="1091" w:right="821" w:firstLine="0"/>
        <w:jc w:val="left"/>
        <w:rPr>
          <w:sz w:val="18"/>
        </w:rPr>
      </w:pPr>
      <w:r>
        <w:rPr>
          <w:sz w:val="18"/>
        </w:rPr>
        <w:t>本公司通过信息隔离墙对可能存在利益冲突的业务部门或关联机构之间的信息流动进行控制。因此，客户应注意，在法律许可的情况下，本公司及其所属关联机构可能会持有报告中提到的公司所发行的证券或期权并进行证券或期权交易， 也可能为这些公司提供或者争取提供投资银行、财务顾问或者金融产品等相关服务。在法律许可的情况下，本公司的员工可能担任本报告所提到的公司的董事。</w:t>
      </w:r>
    </w:p>
    <w:p>
      <w:pPr>
        <w:spacing w:line="242" w:lineRule="auto" w:before="125"/>
        <w:ind w:left="1091" w:right="885" w:firstLine="0"/>
        <w:jc w:val="both"/>
        <w:rPr>
          <w:sz w:val="18"/>
        </w:rPr>
      </w:pPr>
      <w:r>
        <w:rPr>
          <w:sz w:val="18"/>
        </w:rPr>
        <w:t>本报告中所指的投资及服务可能不适合个别客户，不构成客户私人咨询建议。在任何情况下，本报告中的信息或所表述的意见均不构成对任何人的投资建议。在任何情况下，本公司不对任何人使用本报告中的任何内容所引致的任何损失负任何责任。</w:t>
      </w:r>
    </w:p>
    <w:p>
      <w:pPr>
        <w:spacing w:line="249" w:lineRule="auto" w:before="112"/>
        <w:ind w:left="1091" w:right="896" w:firstLine="0"/>
        <w:jc w:val="left"/>
        <w:rPr>
          <w:sz w:val="18"/>
        </w:rPr>
      </w:pPr>
      <w:r>
        <w:rPr>
          <w:sz w:val="18"/>
        </w:rPr>
        <w:t>本报告仅作为客户作出投资决策和公司投资顾问为客户提供投资建议的参考。客户应当独立作出投资决策，而基于本报告作出任何投资决定或就本报告要求任何解释前应咨询所在证券机构投资顾问和服务人员的意见；</w:t>
      </w:r>
    </w:p>
    <w:p>
      <w:pPr>
        <w:spacing w:line="249" w:lineRule="auto" w:before="106"/>
        <w:ind w:left="1091" w:right="896" w:firstLine="0"/>
        <w:jc w:val="left"/>
        <w:rPr>
          <w:sz w:val="18"/>
        </w:rPr>
      </w:pPr>
      <w:r>
        <w:rPr>
          <w:sz w:val="18"/>
        </w:rPr>
        <w:t>本报告的版权归本公司所有，未经书面许可，任何机构和个人不得以任何形式翻版、复制、发表或引用，或再次分发给任何其他人，或以任何侵犯本公司版权的其他方式使用。</w:t>
      </w:r>
    </w:p>
    <w:sectPr>
      <w:pgSz w:w="11910" w:h="16850"/>
      <w:pgMar w:header="796" w:footer="1296" w:top="1340" w:bottom="1480" w:left="26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仿宋">
    <w:altName w:val="仿宋"/>
    <w:charset w:val="86"/>
    <w:family w:val="modern"/>
    <w:pitch w:val="fixed"/>
  </w:font>
  <w:font w:name="楷体">
    <w:altName w:val="楷体"/>
    <w:charset w:val="86"/>
    <w:family w:val="modern"/>
    <w:pitch w:val="fixed"/>
  </w:font>
  <w:font w:name="Calibri">
    <w:altName w:val="Calibri"/>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7171456" from="36.349998pt,763.950012pt" to="534.349998pt,763.950012pt" stroked="true" strokeweight="1pt" strokecolor="#a6a6a6">
          <v:stroke dashstyle="solid"/>
          <w10:wrap type="none"/>
        </v:line>
      </w:pict>
    </w:r>
    <w:r>
      <w:rPr/>
      <w:pict>
        <v:shape style="position:absolute;margin-left:54.575001pt;margin-top:765.215637pt;width:221.15pt;height:11pt;mso-position-horizontal-relative:page;mso-position-vertical-relative:page;z-index:-17170944" type="#_x0000_t202" filled="false" stroked="false">
          <v:textbox inset="0,0,0,0">
            <w:txbxContent>
              <w:p>
                <w:pPr>
                  <w:spacing w:line="220" w:lineRule="exact" w:before="0"/>
                  <w:ind w:left="20" w:right="0" w:firstLine="0"/>
                  <w:jc w:val="left"/>
                  <w:rPr>
                    <w:b/>
                    <w:sz w:val="18"/>
                  </w:rPr>
                </w:pPr>
                <w:r>
                  <w:rPr>
                    <w:b/>
                    <w:color w:val="A11D04"/>
                    <w:w w:val="95"/>
                    <w:sz w:val="18"/>
                  </w:rPr>
                  <w:t>谨请参阅尾页重要声明及财通证券股票和行业评级标准</w:t>
                </w:r>
              </w:p>
            </w:txbxContent>
          </v:textbox>
          <w10:wrap type="none"/>
        </v:shape>
      </w:pict>
    </w:r>
    <w:r>
      <w:rPr/>
      <w:pict>
        <v:shape style="position:absolute;margin-left:515.150024pt;margin-top:765.215637pt;width:15pt;height:11pt;mso-position-horizontal-relative:page;mso-position-vertical-relative:page;z-index:-1717043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7167360" from="36.349998pt,763.950012pt" to="534.349998pt,763.950012pt" stroked="true" strokeweight="1pt" strokecolor="#a6a6a6">
          <v:stroke dashstyle="solid"/>
          <w10:wrap type="none"/>
        </v:line>
      </w:pict>
    </w:r>
    <w:r>
      <w:rPr/>
      <w:pict>
        <v:shape style="position:absolute;margin-left:54.575001pt;margin-top:765.215637pt;width:221.15pt;height:11pt;mso-position-horizontal-relative:page;mso-position-vertical-relative:page;z-index:-17166848" type="#_x0000_t202" filled="false" stroked="false">
          <v:textbox inset="0,0,0,0">
            <w:txbxContent>
              <w:p>
                <w:pPr>
                  <w:spacing w:line="220" w:lineRule="exact" w:before="0"/>
                  <w:ind w:left="20" w:right="0" w:firstLine="0"/>
                  <w:jc w:val="left"/>
                  <w:rPr>
                    <w:b/>
                    <w:sz w:val="18"/>
                  </w:rPr>
                </w:pPr>
                <w:r>
                  <w:rPr>
                    <w:b/>
                    <w:color w:val="A11D04"/>
                    <w:w w:val="95"/>
                    <w:sz w:val="18"/>
                  </w:rPr>
                  <w:t>谨请参阅尾页重要声明及财通证券股票和行业评级标准</w:t>
                </w:r>
              </w:p>
            </w:txbxContent>
          </v:textbox>
          <w10:wrap type="none"/>
        </v:shape>
      </w:pict>
    </w:r>
    <w:r>
      <w:rPr/>
      <w:pict>
        <v:shape style="position:absolute;margin-left:515.150024pt;margin-top:765.215637pt;width:15pt;height:11pt;mso-position-horizontal-relative:page;mso-position-vertical-relative:page;z-index:-17166336"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24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7163776" from="36.349998pt,763.950012pt" to="534.349998pt,763.950012pt" stroked="true" strokeweight="1pt" strokecolor="#a6a6a6">
          <v:stroke dashstyle="solid"/>
          <w10:wrap type="none"/>
        </v:line>
      </w:pict>
    </w:r>
    <w:r>
      <w:rPr/>
      <w:pict>
        <v:shape style="position:absolute;margin-left:54.575001pt;margin-top:765.215637pt;width:221.15pt;height:11pt;mso-position-horizontal-relative:page;mso-position-vertical-relative:page;z-index:-17163264" type="#_x0000_t202" filled="false" stroked="false">
          <v:textbox inset="0,0,0,0">
            <w:txbxContent>
              <w:p>
                <w:pPr>
                  <w:spacing w:line="220" w:lineRule="exact" w:before="0"/>
                  <w:ind w:left="20" w:right="0" w:firstLine="0"/>
                  <w:jc w:val="left"/>
                  <w:rPr>
                    <w:b/>
                    <w:sz w:val="18"/>
                  </w:rPr>
                </w:pPr>
                <w:r>
                  <w:rPr>
                    <w:b/>
                    <w:color w:val="A11D04"/>
                    <w:w w:val="95"/>
                    <w:sz w:val="18"/>
                  </w:rPr>
                  <w:t>谨请参阅尾页重要声明及财通证券股票和行业评级标准</w:t>
                </w:r>
              </w:p>
            </w:txbxContent>
          </v:textbox>
          <w10:wrap type="none"/>
        </v:shape>
      </w:pict>
    </w:r>
    <w:r>
      <w:rPr/>
      <w:pict>
        <v:shape style="position:absolute;margin-left:515.150024pt;margin-top:765.215637pt;width:15pt;height:11pt;mso-position-horizontal-relative:page;mso-position-vertical-relative:page;z-index:-17162752" type="#_x0000_t202" filled="false" stroked="false">
          <v:textbox inset="0,0,0,0">
            <w:txbxContent>
              <w:p>
                <w:pPr>
                  <w:spacing w:line="220" w:lineRule="exact" w:before="0"/>
                  <w:ind w:left="60" w:right="0" w:firstLine="0"/>
                  <w:jc w:val="left"/>
                  <w:rPr>
                    <w:sz w:val="18"/>
                  </w:rPr>
                </w:pPr>
                <w:r>
                  <w:rPr/>
                  <w:fldChar w:fldCharType="begin"/>
                </w:r>
                <w:r>
                  <w:rPr>
                    <w:sz w:val="18"/>
                  </w:rPr>
                  <w:instrText> PAGE </w:instrText>
                </w:r>
                <w:r>
                  <w:rPr/>
                  <w:fldChar w:fldCharType="separate"/>
                </w:r>
                <w:r>
                  <w:rPr/>
                  <w:t>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142976">
          <wp:simplePos x="0" y="0"/>
          <wp:positionH relativeFrom="page">
            <wp:posOffset>499886</wp:posOffset>
          </wp:positionH>
          <wp:positionV relativeFrom="page">
            <wp:posOffset>505364</wp:posOffset>
          </wp:positionV>
          <wp:extent cx="1398965" cy="350438"/>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 cstate="print"/>
                  <a:stretch>
                    <a:fillRect/>
                  </a:stretch>
                </pic:blipFill>
                <pic:spPr>
                  <a:xfrm>
                    <a:off x="0" y="0"/>
                    <a:ext cx="1398965" cy="350438"/>
                  </a:xfrm>
                  <a:prstGeom prst="rect">
                    <a:avLst/>
                  </a:prstGeom>
                </pic:spPr>
              </pic:pic>
            </a:graphicData>
          </a:graphic>
        </wp:anchor>
      </w:drawing>
    </w:r>
    <w:r>
      <w:rPr/>
      <w:pict>
        <v:shape style="position:absolute;margin-left:310.5pt;margin-top:50.499962pt;width:222.75pt;height:17.1pt;mso-position-horizontal-relative:page;mso-position-vertical-relative:page;z-index:-17172992" coordorigin="6210,1010" coordsize="4455,342" path="m8011,1010l6210,1010,6210,1351,8011,1351,8011,1010xm10665,1012l8046,1012,8046,1352,10665,1352,10665,1012xe" filled="true" fillcolor="#a11d04" stroked="false">
          <v:path arrowok="t"/>
          <v:fill type="solid"/>
          <w10:wrap type="none"/>
        </v:shape>
      </w:pict>
    </w:r>
    <w:r>
      <w:rPr/>
      <w:pict>
        <v:shape style="position:absolute;margin-left:317.399994pt;margin-top:50.987499pt;width:77.1pt;height:14pt;mso-position-horizontal-relative:page;mso-position-vertical-relative:page;z-index:-17172480" type="#_x0000_t202" filled="false" stroked="false">
          <v:textbox inset="0,0,0,0">
            <w:txbxContent>
              <w:p>
                <w:pPr>
                  <w:spacing w:line="280" w:lineRule="exact" w:before="0"/>
                  <w:ind w:left="20" w:right="0" w:firstLine="0"/>
                  <w:jc w:val="left"/>
                  <w:rPr>
                    <w:b/>
                    <w:sz w:val="24"/>
                  </w:rPr>
                </w:pPr>
                <w:r>
                  <w:rPr>
                    <w:b/>
                    <w:color w:val="FFFFFF"/>
                    <w:sz w:val="24"/>
                  </w:rPr>
                  <w:t>行业专题报告</w:t>
                </w:r>
              </w:p>
            </w:txbxContent>
          </v:textbox>
          <w10:wrap type="none"/>
        </v:shape>
      </w:pict>
    </w:r>
    <w:r>
      <w:rPr/>
      <w:pict>
        <v:shape style="position:absolute;margin-left:428.519989pt;margin-top:50.987499pt;width:78.650pt;height:14pt;mso-position-horizontal-relative:page;mso-position-vertical-relative:page;z-index:-17171968" type="#_x0000_t202" filled="false" stroked="false">
          <v:textbox inset="0,0,0,0">
            <w:txbxContent>
              <w:p>
                <w:pPr>
                  <w:spacing w:line="280" w:lineRule="exact" w:before="0"/>
                  <w:ind w:left="20" w:right="0" w:firstLine="0"/>
                  <w:jc w:val="left"/>
                  <w:rPr>
                    <w:b/>
                    <w:sz w:val="24"/>
                  </w:rPr>
                </w:pPr>
                <w:r>
                  <w:rPr>
                    <w:b/>
                    <w:color w:val="FFFFFF"/>
                    <w:sz w:val="24"/>
                  </w:rPr>
                  <w:t>证券研究报告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146560">
          <wp:simplePos x="0" y="0"/>
          <wp:positionH relativeFrom="page">
            <wp:posOffset>499886</wp:posOffset>
          </wp:positionH>
          <wp:positionV relativeFrom="page">
            <wp:posOffset>505364</wp:posOffset>
          </wp:positionV>
          <wp:extent cx="1398965" cy="350438"/>
          <wp:effectExtent l="0" t="0" r="0" b="0"/>
          <wp:wrapNone/>
          <wp:docPr id="33" name="image2.png"/>
          <wp:cNvGraphicFramePr>
            <a:graphicFrameLocks noChangeAspect="1"/>
          </wp:cNvGraphicFramePr>
          <a:graphic>
            <a:graphicData uri="http://schemas.openxmlformats.org/drawingml/2006/picture">
              <pic:pic>
                <pic:nvPicPr>
                  <pic:cNvPr id="34" name="image2.png"/>
                  <pic:cNvPicPr/>
                </pic:nvPicPr>
                <pic:blipFill>
                  <a:blip r:embed="rId1" cstate="print"/>
                  <a:stretch>
                    <a:fillRect/>
                  </a:stretch>
                </pic:blipFill>
                <pic:spPr>
                  <a:xfrm>
                    <a:off x="0" y="0"/>
                    <a:ext cx="1398965" cy="350438"/>
                  </a:xfrm>
                  <a:prstGeom prst="rect">
                    <a:avLst/>
                  </a:prstGeom>
                </pic:spPr>
              </pic:pic>
            </a:graphicData>
          </a:graphic>
        </wp:anchor>
      </w:drawing>
    </w:r>
    <w:r>
      <w:rPr/>
      <w:pict>
        <v:shape style="position:absolute;margin-left:310.5pt;margin-top:50.499962pt;width:222.75pt;height:17.1pt;mso-position-horizontal-relative:page;mso-position-vertical-relative:page;z-index:-17169408" coordorigin="6210,1010" coordsize="4455,342" path="m8011,1010l6210,1010,6210,1351,8011,1351,8011,1010xm10665,1012l8046,1012,8046,1352,10665,1352,10665,1012xe" filled="true" fillcolor="#a11d04" stroked="false">
          <v:path arrowok="t"/>
          <v:fill type="solid"/>
          <w10:wrap type="none"/>
        </v:shape>
      </w:pict>
    </w:r>
    <w:r>
      <w:rPr/>
      <w:pict>
        <v:line style="position:absolute;mso-position-horizontal-relative:page;mso-position-vertical-relative:page;z-index:-17168896" from="36.549999pt,70.099998pt" to="534.549999pt,70.099998pt" stroked="true" strokeweight="1pt" strokecolor="#a6a6a6">
          <v:stroke dashstyle="solid"/>
          <w10:wrap type="none"/>
        </v:line>
      </w:pict>
    </w:r>
    <w:r>
      <w:rPr/>
      <w:pict>
        <v:shape style="position:absolute;margin-left:317.399994pt;margin-top:50.987499pt;width:77.1pt;height:14pt;mso-position-horizontal-relative:page;mso-position-vertical-relative:page;z-index:-17168384" type="#_x0000_t202" filled="false" stroked="false">
          <v:textbox inset="0,0,0,0">
            <w:txbxContent>
              <w:p>
                <w:pPr>
                  <w:spacing w:line="280" w:lineRule="exact" w:before="0"/>
                  <w:ind w:left="20" w:right="0" w:firstLine="0"/>
                  <w:jc w:val="left"/>
                  <w:rPr>
                    <w:b/>
                    <w:sz w:val="24"/>
                  </w:rPr>
                </w:pPr>
                <w:r>
                  <w:rPr>
                    <w:b/>
                    <w:color w:val="FFFFFF"/>
                    <w:sz w:val="24"/>
                  </w:rPr>
                  <w:t>行业专题报告</w:t>
                </w:r>
              </w:p>
            </w:txbxContent>
          </v:textbox>
          <w10:wrap type="none"/>
        </v:shape>
      </w:pict>
    </w:r>
    <w:r>
      <w:rPr/>
      <w:pict>
        <v:shape style="position:absolute;margin-left:428.519989pt;margin-top:50.987499pt;width:78.650pt;height:14pt;mso-position-horizontal-relative:page;mso-position-vertical-relative:page;z-index:-17167872" type="#_x0000_t202" filled="false" stroked="false">
          <v:textbox inset="0,0,0,0">
            <w:txbxContent>
              <w:p>
                <w:pPr>
                  <w:spacing w:line="280" w:lineRule="exact" w:before="0"/>
                  <w:ind w:left="20" w:right="0" w:firstLine="0"/>
                  <w:jc w:val="left"/>
                  <w:rPr>
                    <w:b/>
                    <w:sz w:val="24"/>
                  </w:rPr>
                </w:pPr>
                <w:r>
                  <w:rPr>
                    <w:b/>
                    <w:color w:val="FFFFFF"/>
                    <w:sz w:val="24"/>
                  </w:rPr>
                  <w:t>证券研究报告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150656">
          <wp:simplePos x="0" y="0"/>
          <wp:positionH relativeFrom="page">
            <wp:posOffset>499886</wp:posOffset>
          </wp:positionH>
          <wp:positionV relativeFrom="page">
            <wp:posOffset>505364</wp:posOffset>
          </wp:positionV>
          <wp:extent cx="1398965" cy="350438"/>
          <wp:effectExtent l="0" t="0" r="0" b="0"/>
          <wp:wrapNone/>
          <wp:docPr id="43" name="image2.png"/>
          <wp:cNvGraphicFramePr>
            <a:graphicFrameLocks noChangeAspect="1"/>
          </wp:cNvGraphicFramePr>
          <a:graphic>
            <a:graphicData uri="http://schemas.openxmlformats.org/drawingml/2006/picture">
              <pic:pic>
                <pic:nvPicPr>
                  <pic:cNvPr id="44" name="image2.png"/>
                  <pic:cNvPicPr/>
                </pic:nvPicPr>
                <pic:blipFill>
                  <a:blip r:embed="rId1" cstate="print"/>
                  <a:stretch>
                    <a:fillRect/>
                  </a:stretch>
                </pic:blipFill>
                <pic:spPr>
                  <a:xfrm>
                    <a:off x="0" y="0"/>
                    <a:ext cx="1398965" cy="350438"/>
                  </a:xfrm>
                  <a:prstGeom prst="rect">
                    <a:avLst/>
                  </a:prstGeom>
                </pic:spPr>
              </pic:pic>
            </a:graphicData>
          </a:graphic>
        </wp:anchor>
      </w:drawing>
    </w:r>
    <w:r>
      <w:rPr/>
      <w:pict>
        <v:shape style="position:absolute;margin-left:310.5pt;margin-top:50.499962pt;width:222.75pt;height:17.1pt;mso-position-horizontal-relative:page;mso-position-vertical-relative:page;z-index:-17165312" coordorigin="6210,1010" coordsize="4455,342" path="m8011,1010l6210,1010,6210,1351,8011,1351,8011,1010xm10665,1012l8046,1012,8046,1352,10665,1352,10665,1012xe" filled="true" fillcolor="#a11d04" stroked="false">
          <v:path arrowok="t"/>
          <v:fill type="solid"/>
          <w10:wrap type="none"/>
        </v:shape>
      </w:pict>
    </w:r>
    <w:r>
      <w:rPr/>
      <w:pict>
        <v:shape style="position:absolute;margin-left:317.399994pt;margin-top:50.987499pt;width:77.1pt;height:14pt;mso-position-horizontal-relative:page;mso-position-vertical-relative:page;z-index:-17164800" type="#_x0000_t202" filled="false" stroked="false">
          <v:textbox inset="0,0,0,0">
            <w:txbxContent>
              <w:p>
                <w:pPr>
                  <w:spacing w:line="280" w:lineRule="exact" w:before="0"/>
                  <w:ind w:left="20" w:right="0" w:firstLine="0"/>
                  <w:jc w:val="left"/>
                  <w:rPr>
                    <w:b/>
                    <w:sz w:val="24"/>
                  </w:rPr>
                </w:pPr>
                <w:r>
                  <w:rPr>
                    <w:b/>
                    <w:color w:val="FFFFFF"/>
                    <w:sz w:val="24"/>
                  </w:rPr>
                  <w:t>行业专题报告</w:t>
                </w:r>
              </w:p>
            </w:txbxContent>
          </v:textbox>
          <w10:wrap type="none"/>
        </v:shape>
      </w:pict>
    </w:r>
    <w:r>
      <w:rPr/>
      <w:pict>
        <v:shape style="position:absolute;margin-left:428.519989pt;margin-top:50.987499pt;width:78.650pt;height:14pt;mso-position-horizontal-relative:page;mso-position-vertical-relative:page;z-index:-17164288" type="#_x0000_t202" filled="false" stroked="false">
          <v:textbox inset="0,0,0,0">
            <w:txbxContent>
              <w:p>
                <w:pPr>
                  <w:spacing w:line="280" w:lineRule="exact" w:before="0"/>
                  <w:ind w:left="20" w:right="0" w:firstLine="0"/>
                  <w:jc w:val="left"/>
                  <w:rPr>
                    <w:b/>
                    <w:sz w:val="24"/>
                  </w:rPr>
                </w:pPr>
                <w:r>
                  <w:rPr>
                    <w:b/>
                    <w:color w:val="FFFFFF"/>
                    <w:sz w:val="24"/>
                  </w:rPr>
                  <w:t>证券研究报告</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7"/>
      <w:numFmt w:val="decimal"/>
      <w:lvlText w:val="%1"/>
      <w:lvlJc w:val="left"/>
      <w:pPr>
        <w:ind w:left="5327" w:hanging="481"/>
        <w:jc w:val="left"/>
      </w:pPr>
      <w:rPr>
        <w:rFonts w:hint="default"/>
        <w:lang w:val="en-US" w:eastAsia="zh-CN" w:bidi="ar-SA"/>
      </w:rPr>
    </w:lvl>
    <w:lvl w:ilvl="1">
      <w:start w:val="1"/>
      <w:numFmt w:val="decimal"/>
      <w:lvlText w:val="%1.%2"/>
      <w:lvlJc w:val="left"/>
      <w:pPr>
        <w:ind w:left="5327" w:hanging="481"/>
        <w:jc w:val="left"/>
      </w:pPr>
      <w:rPr>
        <w:rFonts w:hint="default" w:ascii="楷体" w:hAnsi="楷体" w:eastAsia="楷体" w:cs="楷体"/>
        <w:b/>
        <w:bCs/>
        <w:w w:val="99"/>
        <w:sz w:val="21"/>
        <w:szCs w:val="21"/>
        <w:lang w:val="en-US" w:eastAsia="zh-CN" w:bidi="ar-SA"/>
      </w:rPr>
    </w:lvl>
    <w:lvl w:ilvl="2">
      <w:start w:val="0"/>
      <w:numFmt w:val="bullet"/>
      <w:lvlText w:val="•"/>
      <w:lvlJc w:val="left"/>
      <w:pPr>
        <w:ind w:left="6526" w:hanging="481"/>
      </w:pPr>
      <w:rPr>
        <w:rFonts w:hint="default"/>
        <w:lang w:val="en-US" w:eastAsia="zh-CN" w:bidi="ar-SA"/>
      </w:rPr>
    </w:lvl>
    <w:lvl w:ilvl="3">
      <w:start w:val="0"/>
      <w:numFmt w:val="bullet"/>
      <w:lvlText w:val="•"/>
      <w:lvlJc w:val="left"/>
      <w:pPr>
        <w:ind w:left="7129" w:hanging="481"/>
      </w:pPr>
      <w:rPr>
        <w:rFonts w:hint="default"/>
        <w:lang w:val="en-US" w:eastAsia="zh-CN" w:bidi="ar-SA"/>
      </w:rPr>
    </w:lvl>
    <w:lvl w:ilvl="4">
      <w:start w:val="0"/>
      <w:numFmt w:val="bullet"/>
      <w:lvlText w:val="•"/>
      <w:lvlJc w:val="left"/>
      <w:pPr>
        <w:ind w:left="7732" w:hanging="481"/>
      </w:pPr>
      <w:rPr>
        <w:rFonts w:hint="default"/>
        <w:lang w:val="en-US" w:eastAsia="zh-CN" w:bidi="ar-SA"/>
      </w:rPr>
    </w:lvl>
    <w:lvl w:ilvl="5">
      <w:start w:val="0"/>
      <w:numFmt w:val="bullet"/>
      <w:lvlText w:val="•"/>
      <w:lvlJc w:val="left"/>
      <w:pPr>
        <w:ind w:left="8335" w:hanging="481"/>
      </w:pPr>
      <w:rPr>
        <w:rFonts w:hint="default"/>
        <w:lang w:val="en-US" w:eastAsia="zh-CN" w:bidi="ar-SA"/>
      </w:rPr>
    </w:lvl>
    <w:lvl w:ilvl="6">
      <w:start w:val="0"/>
      <w:numFmt w:val="bullet"/>
      <w:lvlText w:val="•"/>
      <w:lvlJc w:val="left"/>
      <w:pPr>
        <w:ind w:left="8938" w:hanging="481"/>
      </w:pPr>
      <w:rPr>
        <w:rFonts w:hint="default"/>
        <w:lang w:val="en-US" w:eastAsia="zh-CN" w:bidi="ar-SA"/>
      </w:rPr>
    </w:lvl>
    <w:lvl w:ilvl="7">
      <w:start w:val="0"/>
      <w:numFmt w:val="bullet"/>
      <w:lvlText w:val="•"/>
      <w:lvlJc w:val="left"/>
      <w:pPr>
        <w:ind w:left="9541" w:hanging="481"/>
      </w:pPr>
      <w:rPr>
        <w:rFonts w:hint="default"/>
        <w:lang w:val="en-US" w:eastAsia="zh-CN" w:bidi="ar-SA"/>
      </w:rPr>
    </w:lvl>
    <w:lvl w:ilvl="8">
      <w:start w:val="0"/>
      <w:numFmt w:val="bullet"/>
      <w:lvlText w:val="•"/>
      <w:lvlJc w:val="left"/>
      <w:pPr>
        <w:ind w:left="10144" w:hanging="481"/>
      </w:pPr>
      <w:rPr>
        <w:rFonts w:hint="default"/>
        <w:lang w:val="en-US" w:eastAsia="zh-CN" w:bidi="ar-SA"/>
      </w:rPr>
    </w:lvl>
  </w:abstractNum>
  <w:abstractNum w:abstractNumId="10">
    <w:multiLevelType w:val="hybridMultilevel"/>
    <w:lvl w:ilvl="0">
      <w:start w:val="6"/>
      <w:numFmt w:val="decimal"/>
      <w:lvlText w:val="%1"/>
      <w:lvlJc w:val="left"/>
      <w:pPr>
        <w:ind w:left="3645" w:hanging="481"/>
        <w:jc w:val="left"/>
      </w:pPr>
      <w:rPr>
        <w:rFonts w:hint="default"/>
        <w:lang w:val="en-US" w:eastAsia="zh-CN" w:bidi="ar-SA"/>
      </w:rPr>
    </w:lvl>
    <w:lvl w:ilvl="1">
      <w:start w:val="1"/>
      <w:numFmt w:val="decimal"/>
      <w:lvlText w:val="%1.%2"/>
      <w:lvlJc w:val="left"/>
      <w:pPr>
        <w:ind w:left="3645" w:hanging="481"/>
        <w:jc w:val="left"/>
      </w:pPr>
      <w:rPr>
        <w:rFonts w:hint="default" w:ascii="楷体" w:hAnsi="楷体" w:eastAsia="楷体" w:cs="楷体"/>
        <w:b/>
        <w:bCs/>
        <w:w w:val="99"/>
        <w:sz w:val="21"/>
        <w:szCs w:val="21"/>
        <w:lang w:val="en-US" w:eastAsia="zh-CN" w:bidi="ar-SA"/>
      </w:rPr>
    </w:lvl>
    <w:lvl w:ilvl="2">
      <w:start w:val="0"/>
      <w:numFmt w:val="bullet"/>
      <w:lvlText w:val="•"/>
      <w:lvlJc w:val="left"/>
      <w:pPr>
        <w:ind w:left="5182" w:hanging="481"/>
      </w:pPr>
      <w:rPr>
        <w:rFonts w:hint="default"/>
        <w:lang w:val="en-US" w:eastAsia="zh-CN" w:bidi="ar-SA"/>
      </w:rPr>
    </w:lvl>
    <w:lvl w:ilvl="3">
      <w:start w:val="0"/>
      <w:numFmt w:val="bullet"/>
      <w:lvlText w:val="•"/>
      <w:lvlJc w:val="left"/>
      <w:pPr>
        <w:ind w:left="5953" w:hanging="481"/>
      </w:pPr>
      <w:rPr>
        <w:rFonts w:hint="default"/>
        <w:lang w:val="en-US" w:eastAsia="zh-CN" w:bidi="ar-SA"/>
      </w:rPr>
    </w:lvl>
    <w:lvl w:ilvl="4">
      <w:start w:val="0"/>
      <w:numFmt w:val="bullet"/>
      <w:lvlText w:val="•"/>
      <w:lvlJc w:val="left"/>
      <w:pPr>
        <w:ind w:left="6724" w:hanging="481"/>
      </w:pPr>
      <w:rPr>
        <w:rFonts w:hint="default"/>
        <w:lang w:val="en-US" w:eastAsia="zh-CN" w:bidi="ar-SA"/>
      </w:rPr>
    </w:lvl>
    <w:lvl w:ilvl="5">
      <w:start w:val="0"/>
      <w:numFmt w:val="bullet"/>
      <w:lvlText w:val="•"/>
      <w:lvlJc w:val="left"/>
      <w:pPr>
        <w:ind w:left="7495" w:hanging="481"/>
      </w:pPr>
      <w:rPr>
        <w:rFonts w:hint="default"/>
        <w:lang w:val="en-US" w:eastAsia="zh-CN" w:bidi="ar-SA"/>
      </w:rPr>
    </w:lvl>
    <w:lvl w:ilvl="6">
      <w:start w:val="0"/>
      <w:numFmt w:val="bullet"/>
      <w:lvlText w:val="•"/>
      <w:lvlJc w:val="left"/>
      <w:pPr>
        <w:ind w:left="8266" w:hanging="481"/>
      </w:pPr>
      <w:rPr>
        <w:rFonts w:hint="default"/>
        <w:lang w:val="en-US" w:eastAsia="zh-CN" w:bidi="ar-SA"/>
      </w:rPr>
    </w:lvl>
    <w:lvl w:ilvl="7">
      <w:start w:val="0"/>
      <w:numFmt w:val="bullet"/>
      <w:lvlText w:val="•"/>
      <w:lvlJc w:val="left"/>
      <w:pPr>
        <w:ind w:left="9037" w:hanging="481"/>
      </w:pPr>
      <w:rPr>
        <w:rFonts w:hint="default"/>
        <w:lang w:val="en-US" w:eastAsia="zh-CN" w:bidi="ar-SA"/>
      </w:rPr>
    </w:lvl>
    <w:lvl w:ilvl="8">
      <w:start w:val="0"/>
      <w:numFmt w:val="bullet"/>
      <w:lvlText w:val="•"/>
      <w:lvlJc w:val="left"/>
      <w:pPr>
        <w:ind w:left="9808" w:hanging="481"/>
      </w:pPr>
      <w:rPr>
        <w:rFonts w:hint="default"/>
        <w:lang w:val="en-US" w:eastAsia="zh-CN" w:bidi="ar-SA"/>
      </w:rPr>
    </w:lvl>
  </w:abstractNum>
  <w:abstractNum w:abstractNumId="9">
    <w:multiLevelType w:val="hybridMultilevel"/>
    <w:lvl w:ilvl="0">
      <w:start w:val="0"/>
      <w:numFmt w:val="bullet"/>
      <w:lvlText w:val="-"/>
      <w:lvlJc w:val="left"/>
      <w:pPr>
        <w:ind w:left="0" w:hanging="180"/>
      </w:pPr>
      <w:rPr>
        <w:rFonts w:hint="default" w:ascii="楷体" w:hAnsi="楷体" w:eastAsia="楷体" w:cs="楷体"/>
        <w:w w:val="100"/>
        <w:sz w:val="18"/>
        <w:szCs w:val="18"/>
        <w:lang w:val="en-US" w:eastAsia="zh-CN" w:bidi="ar-SA"/>
      </w:rPr>
    </w:lvl>
    <w:lvl w:ilvl="1">
      <w:start w:val="0"/>
      <w:numFmt w:val="bullet"/>
      <w:lvlText w:val="•"/>
      <w:lvlJc w:val="left"/>
      <w:pPr>
        <w:ind w:left="207" w:hanging="180"/>
      </w:pPr>
      <w:rPr>
        <w:rFonts w:hint="default"/>
        <w:lang w:val="en-US" w:eastAsia="zh-CN" w:bidi="ar-SA"/>
      </w:rPr>
    </w:lvl>
    <w:lvl w:ilvl="2">
      <w:start w:val="0"/>
      <w:numFmt w:val="bullet"/>
      <w:lvlText w:val="•"/>
      <w:lvlJc w:val="left"/>
      <w:pPr>
        <w:ind w:left="415" w:hanging="180"/>
      </w:pPr>
      <w:rPr>
        <w:rFonts w:hint="default"/>
        <w:lang w:val="en-US" w:eastAsia="zh-CN" w:bidi="ar-SA"/>
      </w:rPr>
    </w:lvl>
    <w:lvl w:ilvl="3">
      <w:start w:val="0"/>
      <w:numFmt w:val="bullet"/>
      <w:lvlText w:val="•"/>
      <w:lvlJc w:val="left"/>
      <w:pPr>
        <w:ind w:left="623" w:hanging="180"/>
      </w:pPr>
      <w:rPr>
        <w:rFonts w:hint="default"/>
        <w:lang w:val="en-US" w:eastAsia="zh-CN" w:bidi="ar-SA"/>
      </w:rPr>
    </w:lvl>
    <w:lvl w:ilvl="4">
      <w:start w:val="0"/>
      <w:numFmt w:val="bullet"/>
      <w:lvlText w:val="•"/>
      <w:lvlJc w:val="left"/>
      <w:pPr>
        <w:ind w:left="830" w:hanging="180"/>
      </w:pPr>
      <w:rPr>
        <w:rFonts w:hint="default"/>
        <w:lang w:val="en-US" w:eastAsia="zh-CN" w:bidi="ar-SA"/>
      </w:rPr>
    </w:lvl>
    <w:lvl w:ilvl="5">
      <w:start w:val="0"/>
      <w:numFmt w:val="bullet"/>
      <w:lvlText w:val="•"/>
      <w:lvlJc w:val="left"/>
      <w:pPr>
        <w:ind w:left="1038" w:hanging="180"/>
      </w:pPr>
      <w:rPr>
        <w:rFonts w:hint="default"/>
        <w:lang w:val="en-US" w:eastAsia="zh-CN" w:bidi="ar-SA"/>
      </w:rPr>
    </w:lvl>
    <w:lvl w:ilvl="6">
      <w:start w:val="0"/>
      <w:numFmt w:val="bullet"/>
      <w:lvlText w:val="•"/>
      <w:lvlJc w:val="left"/>
      <w:pPr>
        <w:ind w:left="1246" w:hanging="180"/>
      </w:pPr>
      <w:rPr>
        <w:rFonts w:hint="default"/>
        <w:lang w:val="en-US" w:eastAsia="zh-CN" w:bidi="ar-SA"/>
      </w:rPr>
    </w:lvl>
    <w:lvl w:ilvl="7">
      <w:start w:val="0"/>
      <w:numFmt w:val="bullet"/>
      <w:lvlText w:val="•"/>
      <w:lvlJc w:val="left"/>
      <w:pPr>
        <w:ind w:left="1453" w:hanging="180"/>
      </w:pPr>
      <w:rPr>
        <w:rFonts w:hint="default"/>
        <w:lang w:val="en-US" w:eastAsia="zh-CN" w:bidi="ar-SA"/>
      </w:rPr>
    </w:lvl>
    <w:lvl w:ilvl="8">
      <w:start w:val="0"/>
      <w:numFmt w:val="bullet"/>
      <w:lvlText w:val="•"/>
      <w:lvlJc w:val="left"/>
      <w:pPr>
        <w:ind w:left="1661" w:hanging="180"/>
      </w:pPr>
      <w:rPr>
        <w:rFonts w:hint="default"/>
        <w:lang w:val="en-US" w:eastAsia="zh-CN" w:bidi="ar-SA"/>
      </w:rPr>
    </w:lvl>
  </w:abstractNum>
  <w:abstractNum w:abstractNumId="8">
    <w:multiLevelType w:val="hybridMultilevel"/>
    <w:lvl w:ilvl="0">
      <w:start w:val="0"/>
      <w:numFmt w:val="bullet"/>
      <w:lvlText w:val="-"/>
      <w:lvlJc w:val="left"/>
      <w:pPr>
        <w:ind w:left="201" w:hanging="181"/>
      </w:pPr>
      <w:rPr>
        <w:rFonts w:hint="default" w:ascii="楷体" w:hAnsi="楷体" w:eastAsia="楷体" w:cs="楷体"/>
        <w:w w:val="100"/>
        <w:sz w:val="18"/>
        <w:szCs w:val="18"/>
        <w:lang w:val="en-US" w:eastAsia="zh-CN" w:bidi="ar-SA"/>
      </w:rPr>
    </w:lvl>
    <w:lvl w:ilvl="1">
      <w:start w:val="0"/>
      <w:numFmt w:val="bullet"/>
      <w:lvlText w:val="-"/>
      <w:lvlJc w:val="left"/>
      <w:pPr>
        <w:ind w:left="982" w:hanging="180"/>
      </w:pPr>
      <w:rPr>
        <w:rFonts w:hint="default" w:ascii="楷体" w:hAnsi="楷体" w:eastAsia="楷体" w:cs="楷体"/>
        <w:w w:val="100"/>
        <w:sz w:val="18"/>
        <w:szCs w:val="18"/>
        <w:lang w:val="en-US" w:eastAsia="zh-CN" w:bidi="ar-SA"/>
      </w:rPr>
    </w:lvl>
    <w:lvl w:ilvl="2">
      <w:start w:val="0"/>
      <w:numFmt w:val="bullet"/>
      <w:lvlText w:val="•"/>
      <w:lvlJc w:val="left"/>
      <w:pPr>
        <w:ind w:left="810" w:hanging="180"/>
      </w:pPr>
      <w:rPr>
        <w:rFonts w:hint="default"/>
        <w:lang w:val="en-US" w:eastAsia="zh-CN" w:bidi="ar-SA"/>
      </w:rPr>
    </w:lvl>
    <w:lvl w:ilvl="3">
      <w:start w:val="0"/>
      <w:numFmt w:val="bullet"/>
      <w:lvlText w:val="•"/>
      <w:lvlJc w:val="left"/>
      <w:pPr>
        <w:ind w:left="640" w:hanging="180"/>
      </w:pPr>
      <w:rPr>
        <w:rFonts w:hint="default"/>
        <w:lang w:val="en-US" w:eastAsia="zh-CN" w:bidi="ar-SA"/>
      </w:rPr>
    </w:lvl>
    <w:lvl w:ilvl="4">
      <w:start w:val="0"/>
      <w:numFmt w:val="bullet"/>
      <w:lvlText w:val="•"/>
      <w:lvlJc w:val="left"/>
      <w:pPr>
        <w:ind w:left="470" w:hanging="180"/>
      </w:pPr>
      <w:rPr>
        <w:rFonts w:hint="default"/>
        <w:lang w:val="en-US" w:eastAsia="zh-CN" w:bidi="ar-SA"/>
      </w:rPr>
    </w:lvl>
    <w:lvl w:ilvl="5">
      <w:start w:val="0"/>
      <w:numFmt w:val="bullet"/>
      <w:lvlText w:val="•"/>
      <w:lvlJc w:val="left"/>
      <w:pPr>
        <w:ind w:left="300" w:hanging="180"/>
      </w:pPr>
      <w:rPr>
        <w:rFonts w:hint="default"/>
        <w:lang w:val="en-US" w:eastAsia="zh-CN" w:bidi="ar-SA"/>
      </w:rPr>
    </w:lvl>
    <w:lvl w:ilvl="6">
      <w:start w:val="0"/>
      <w:numFmt w:val="bullet"/>
      <w:lvlText w:val="•"/>
      <w:lvlJc w:val="left"/>
      <w:pPr>
        <w:ind w:left="130" w:hanging="180"/>
      </w:pPr>
      <w:rPr>
        <w:rFonts w:hint="default"/>
        <w:lang w:val="en-US" w:eastAsia="zh-CN" w:bidi="ar-SA"/>
      </w:rPr>
    </w:lvl>
    <w:lvl w:ilvl="7">
      <w:start w:val="0"/>
      <w:numFmt w:val="bullet"/>
      <w:lvlText w:val="•"/>
      <w:lvlJc w:val="left"/>
      <w:pPr>
        <w:ind w:left="-40" w:hanging="180"/>
      </w:pPr>
      <w:rPr>
        <w:rFonts w:hint="default"/>
        <w:lang w:val="en-US" w:eastAsia="zh-CN" w:bidi="ar-SA"/>
      </w:rPr>
    </w:lvl>
    <w:lvl w:ilvl="8">
      <w:start w:val="0"/>
      <w:numFmt w:val="bullet"/>
      <w:lvlText w:val="•"/>
      <w:lvlJc w:val="left"/>
      <w:pPr>
        <w:ind w:left="-210" w:hanging="180"/>
      </w:pPr>
      <w:rPr>
        <w:rFonts w:hint="default"/>
        <w:lang w:val="en-US" w:eastAsia="zh-CN" w:bidi="ar-SA"/>
      </w:rPr>
    </w:lvl>
  </w:abstractNum>
  <w:abstractNum w:abstractNumId="7">
    <w:multiLevelType w:val="hybridMultilevel"/>
    <w:lvl w:ilvl="0">
      <w:start w:val="0"/>
      <w:numFmt w:val="bullet"/>
      <w:lvlText w:val="-"/>
      <w:lvlJc w:val="left"/>
      <w:pPr>
        <w:ind w:left="185" w:hanging="151"/>
      </w:pPr>
      <w:rPr>
        <w:rFonts w:hint="default" w:ascii="楷体" w:hAnsi="楷体" w:eastAsia="楷体" w:cs="楷体"/>
        <w:b/>
        <w:bCs/>
        <w:w w:val="99"/>
        <w:sz w:val="15"/>
        <w:szCs w:val="15"/>
        <w:lang w:val="en-US" w:eastAsia="zh-CN" w:bidi="ar-SA"/>
      </w:rPr>
    </w:lvl>
    <w:lvl w:ilvl="1">
      <w:start w:val="0"/>
      <w:numFmt w:val="bullet"/>
      <w:lvlText w:val="•"/>
      <w:lvlJc w:val="left"/>
      <w:pPr>
        <w:ind w:left="601" w:hanging="151"/>
      </w:pPr>
      <w:rPr>
        <w:rFonts w:hint="default"/>
        <w:lang w:val="en-US" w:eastAsia="zh-CN" w:bidi="ar-SA"/>
      </w:rPr>
    </w:lvl>
    <w:lvl w:ilvl="2">
      <w:start w:val="0"/>
      <w:numFmt w:val="bullet"/>
      <w:lvlText w:val="•"/>
      <w:lvlJc w:val="left"/>
      <w:pPr>
        <w:ind w:left="1022" w:hanging="151"/>
      </w:pPr>
      <w:rPr>
        <w:rFonts w:hint="default"/>
        <w:lang w:val="en-US" w:eastAsia="zh-CN" w:bidi="ar-SA"/>
      </w:rPr>
    </w:lvl>
    <w:lvl w:ilvl="3">
      <w:start w:val="0"/>
      <w:numFmt w:val="bullet"/>
      <w:lvlText w:val="•"/>
      <w:lvlJc w:val="left"/>
      <w:pPr>
        <w:ind w:left="1443" w:hanging="151"/>
      </w:pPr>
      <w:rPr>
        <w:rFonts w:hint="default"/>
        <w:lang w:val="en-US" w:eastAsia="zh-CN" w:bidi="ar-SA"/>
      </w:rPr>
    </w:lvl>
    <w:lvl w:ilvl="4">
      <w:start w:val="0"/>
      <w:numFmt w:val="bullet"/>
      <w:lvlText w:val="•"/>
      <w:lvlJc w:val="left"/>
      <w:pPr>
        <w:ind w:left="1864" w:hanging="151"/>
      </w:pPr>
      <w:rPr>
        <w:rFonts w:hint="default"/>
        <w:lang w:val="en-US" w:eastAsia="zh-CN" w:bidi="ar-SA"/>
      </w:rPr>
    </w:lvl>
    <w:lvl w:ilvl="5">
      <w:start w:val="0"/>
      <w:numFmt w:val="bullet"/>
      <w:lvlText w:val="•"/>
      <w:lvlJc w:val="left"/>
      <w:pPr>
        <w:ind w:left="2285" w:hanging="151"/>
      </w:pPr>
      <w:rPr>
        <w:rFonts w:hint="default"/>
        <w:lang w:val="en-US" w:eastAsia="zh-CN" w:bidi="ar-SA"/>
      </w:rPr>
    </w:lvl>
    <w:lvl w:ilvl="6">
      <w:start w:val="0"/>
      <w:numFmt w:val="bullet"/>
      <w:lvlText w:val="•"/>
      <w:lvlJc w:val="left"/>
      <w:pPr>
        <w:ind w:left="2707" w:hanging="151"/>
      </w:pPr>
      <w:rPr>
        <w:rFonts w:hint="default"/>
        <w:lang w:val="en-US" w:eastAsia="zh-CN" w:bidi="ar-SA"/>
      </w:rPr>
    </w:lvl>
    <w:lvl w:ilvl="7">
      <w:start w:val="0"/>
      <w:numFmt w:val="bullet"/>
      <w:lvlText w:val="•"/>
      <w:lvlJc w:val="left"/>
      <w:pPr>
        <w:ind w:left="3128" w:hanging="151"/>
      </w:pPr>
      <w:rPr>
        <w:rFonts w:hint="default"/>
        <w:lang w:val="en-US" w:eastAsia="zh-CN" w:bidi="ar-SA"/>
      </w:rPr>
    </w:lvl>
    <w:lvl w:ilvl="8">
      <w:start w:val="0"/>
      <w:numFmt w:val="bullet"/>
      <w:lvlText w:val="•"/>
      <w:lvlJc w:val="left"/>
      <w:pPr>
        <w:ind w:left="3549" w:hanging="151"/>
      </w:pPr>
      <w:rPr>
        <w:rFonts w:hint="default"/>
        <w:lang w:val="en-US" w:eastAsia="zh-CN" w:bidi="ar-SA"/>
      </w:rPr>
    </w:lvl>
  </w:abstractNum>
  <w:abstractNum w:abstractNumId="6">
    <w:multiLevelType w:val="hybridMultilevel"/>
    <w:lvl w:ilvl="0">
      <w:start w:val="3"/>
      <w:numFmt w:val="decimal"/>
      <w:lvlText w:val="%1"/>
      <w:lvlJc w:val="left"/>
      <w:pPr>
        <w:ind w:left="3645" w:hanging="481"/>
        <w:jc w:val="left"/>
      </w:pPr>
      <w:rPr>
        <w:rFonts w:hint="default"/>
        <w:lang w:val="en-US" w:eastAsia="zh-CN" w:bidi="ar-SA"/>
      </w:rPr>
    </w:lvl>
    <w:lvl w:ilvl="1">
      <w:start w:val="1"/>
      <w:numFmt w:val="decimal"/>
      <w:lvlText w:val="%1.%2"/>
      <w:lvlJc w:val="left"/>
      <w:pPr>
        <w:ind w:left="3645" w:hanging="481"/>
        <w:jc w:val="left"/>
      </w:pPr>
      <w:rPr>
        <w:rFonts w:hint="default" w:ascii="楷体" w:hAnsi="楷体" w:eastAsia="楷体" w:cs="楷体"/>
        <w:b/>
        <w:bCs/>
        <w:w w:val="99"/>
        <w:sz w:val="21"/>
        <w:szCs w:val="21"/>
        <w:lang w:val="en-US" w:eastAsia="zh-CN" w:bidi="ar-SA"/>
      </w:rPr>
    </w:lvl>
    <w:lvl w:ilvl="2">
      <w:start w:val="1"/>
      <w:numFmt w:val="decimal"/>
      <w:lvlText w:val="%1.%2.%3"/>
      <w:lvlJc w:val="left"/>
      <w:pPr>
        <w:ind w:left="3855" w:hanging="691"/>
        <w:jc w:val="left"/>
      </w:pPr>
      <w:rPr>
        <w:rFonts w:hint="default" w:ascii="楷体" w:hAnsi="楷体" w:eastAsia="楷体" w:cs="楷体"/>
        <w:b/>
        <w:bCs/>
        <w:w w:val="99"/>
        <w:sz w:val="21"/>
        <w:szCs w:val="21"/>
        <w:lang w:val="en-US" w:eastAsia="zh-CN" w:bidi="ar-SA"/>
      </w:rPr>
    </w:lvl>
    <w:lvl w:ilvl="3">
      <w:start w:val="0"/>
      <w:numFmt w:val="bullet"/>
      <w:lvlText w:val="•"/>
      <w:lvlJc w:val="left"/>
      <w:pPr>
        <w:ind w:left="5524" w:hanging="691"/>
      </w:pPr>
      <w:rPr>
        <w:rFonts w:hint="default"/>
        <w:lang w:val="en-US" w:eastAsia="zh-CN" w:bidi="ar-SA"/>
      </w:rPr>
    </w:lvl>
    <w:lvl w:ilvl="4">
      <w:start w:val="0"/>
      <w:numFmt w:val="bullet"/>
      <w:lvlText w:val="•"/>
      <w:lvlJc w:val="left"/>
      <w:pPr>
        <w:ind w:left="6356" w:hanging="691"/>
      </w:pPr>
      <w:rPr>
        <w:rFonts w:hint="default"/>
        <w:lang w:val="en-US" w:eastAsia="zh-CN" w:bidi="ar-SA"/>
      </w:rPr>
    </w:lvl>
    <w:lvl w:ilvl="5">
      <w:start w:val="0"/>
      <w:numFmt w:val="bullet"/>
      <w:lvlText w:val="•"/>
      <w:lvlJc w:val="left"/>
      <w:pPr>
        <w:ind w:left="7188" w:hanging="691"/>
      </w:pPr>
      <w:rPr>
        <w:rFonts w:hint="default"/>
        <w:lang w:val="en-US" w:eastAsia="zh-CN" w:bidi="ar-SA"/>
      </w:rPr>
    </w:lvl>
    <w:lvl w:ilvl="6">
      <w:start w:val="0"/>
      <w:numFmt w:val="bullet"/>
      <w:lvlText w:val="•"/>
      <w:lvlJc w:val="left"/>
      <w:pPr>
        <w:ind w:left="8021" w:hanging="691"/>
      </w:pPr>
      <w:rPr>
        <w:rFonts w:hint="default"/>
        <w:lang w:val="en-US" w:eastAsia="zh-CN" w:bidi="ar-SA"/>
      </w:rPr>
    </w:lvl>
    <w:lvl w:ilvl="7">
      <w:start w:val="0"/>
      <w:numFmt w:val="bullet"/>
      <w:lvlText w:val="•"/>
      <w:lvlJc w:val="left"/>
      <w:pPr>
        <w:ind w:left="8853" w:hanging="691"/>
      </w:pPr>
      <w:rPr>
        <w:rFonts w:hint="default"/>
        <w:lang w:val="en-US" w:eastAsia="zh-CN" w:bidi="ar-SA"/>
      </w:rPr>
    </w:lvl>
    <w:lvl w:ilvl="8">
      <w:start w:val="0"/>
      <w:numFmt w:val="bullet"/>
      <w:lvlText w:val="•"/>
      <w:lvlJc w:val="left"/>
      <w:pPr>
        <w:ind w:left="9685" w:hanging="691"/>
      </w:pPr>
      <w:rPr>
        <w:rFonts w:hint="default"/>
        <w:lang w:val="en-US" w:eastAsia="zh-CN" w:bidi="ar-SA"/>
      </w:rPr>
    </w:lvl>
  </w:abstractNum>
  <w:abstractNum w:abstractNumId="5">
    <w:multiLevelType w:val="hybridMultilevel"/>
    <w:lvl w:ilvl="0">
      <w:start w:val="2"/>
      <w:numFmt w:val="decimal"/>
      <w:lvlText w:val="%1"/>
      <w:lvlJc w:val="left"/>
      <w:pPr>
        <w:ind w:left="3164" w:hanging="166"/>
        <w:jc w:val="left"/>
      </w:pPr>
      <w:rPr>
        <w:rFonts w:hint="default" w:ascii="楷体" w:hAnsi="楷体" w:eastAsia="楷体" w:cs="楷体"/>
        <w:w w:val="100"/>
        <w:sz w:val="21"/>
        <w:szCs w:val="21"/>
        <w:lang w:val="en-US" w:eastAsia="zh-CN" w:bidi="ar-SA"/>
      </w:rPr>
    </w:lvl>
    <w:lvl w:ilvl="1">
      <w:start w:val="1"/>
      <w:numFmt w:val="decimal"/>
      <w:lvlText w:val="%1.%2"/>
      <w:lvlJc w:val="left"/>
      <w:pPr>
        <w:ind w:left="3645" w:hanging="481"/>
        <w:jc w:val="left"/>
      </w:pPr>
      <w:rPr>
        <w:rFonts w:hint="default" w:ascii="楷体" w:hAnsi="楷体" w:eastAsia="楷体" w:cs="楷体"/>
        <w:b/>
        <w:bCs/>
        <w:w w:val="99"/>
        <w:sz w:val="21"/>
        <w:szCs w:val="21"/>
        <w:lang w:val="en-US" w:eastAsia="zh-CN" w:bidi="ar-SA"/>
      </w:rPr>
    </w:lvl>
    <w:lvl w:ilvl="2">
      <w:start w:val="0"/>
      <w:numFmt w:val="bullet"/>
      <w:lvlText w:val="•"/>
      <w:lvlJc w:val="left"/>
      <w:pPr>
        <w:ind w:left="4496" w:hanging="481"/>
      </w:pPr>
      <w:rPr>
        <w:rFonts w:hint="default"/>
        <w:lang w:val="en-US" w:eastAsia="zh-CN" w:bidi="ar-SA"/>
      </w:rPr>
    </w:lvl>
    <w:lvl w:ilvl="3">
      <w:start w:val="0"/>
      <w:numFmt w:val="bullet"/>
      <w:lvlText w:val="•"/>
      <w:lvlJc w:val="left"/>
      <w:pPr>
        <w:ind w:left="5353" w:hanging="481"/>
      </w:pPr>
      <w:rPr>
        <w:rFonts w:hint="default"/>
        <w:lang w:val="en-US" w:eastAsia="zh-CN" w:bidi="ar-SA"/>
      </w:rPr>
    </w:lvl>
    <w:lvl w:ilvl="4">
      <w:start w:val="0"/>
      <w:numFmt w:val="bullet"/>
      <w:lvlText w:val="•"/>
      <w:lvlJc w:val="left"/>
      <w:pPr>
        <w:ind w:left="6210" w:hanging="481"/>
      </w:pPr>
      <w:rPr>
        <w:rFonts w:hint="default"/>
        <w:lang w:val="en-US" w:eastAsia="zh-CN" w:bidi="ar-SA"/>
      </w:rPr>
    </w:lvl>
    <w:lvl w:ilvl="5">
      <w:start w:val="0"/>
      <w:numFmt w:val="bullet"/>
      <w:lvlText w:val="•"/>
      <w:lvlJc w:val="left"/>
      <w:pPr>
        <w:ind w:left="7066" w:hanging="481"/>
      </w:pPr>
      <w:rPr>
        <w:rFonts w:hint="default"/>
        <w:lang w:val="en-US" w:eastAsia="zh-CN" w:bidi="ar-SA"/>
      </w:rPr>
    </w:lvl>
    <w:lvl w:ilvl="6">
      <w:start w:val="0"/>
      <w:numFmt w:val="bullet"/>
      <w:lvlText w:val="•"/>
      <w:lvlJc w:val="left"/>
      <w:pPr>
        <w:ind w:left="7923" w:hanging="481"/>
      </w:pPr>
      <w:rPr>
        <w:rFonts w:hint="default"/>
        <w:lang w:val="en-US" w:eastAsia="zh-CN" w:bidi="ar-SA"/>
      </w:rPr>
    </w:lvl>
    <w:lvl w:ilvl="7">
      <w:start w:val="0"/>
      <w:numFmt w:val="bullet"/>
      <w:lvlText w:val="•"/>
      <w:lvlJc w:val="left"/>
      <w:pPr>
        <w:ind w:left="8780" w:hanging="481"/>
      </w:pPr>
      <w:rPr>
        <w:rFonts w:hint="default"/>
        <w:lang w:val="en-US" w:eastAsia="zh-CN" w:bidi="ar-SA"/>
      </w:rPr>
    </w:lvl>
    <w:lvl w:ilvl="8">
      <w:start w:val="0"/>
      <w:numFmt w:val="bullet"/>
      <w:lvlText w:val="•"/>
      <w:lvlJc w:val="left"/>
      <w:pPr>
        <w:ind w:left="9636" w:hanging="481"/>
      </w:pPr>
      <w:rPr>
        <w:rFonts w:hint="default"/>
        <w:lang w:val="en-US" w:eastAsia="zh-CN" w:bidi="ar-SA"/>
      </w:rPr>
    </w:lvl>
  </w:abstractNum>
  <w:abstractNum w:abstractNumId="4">
    <w:multiLevelType w:val="hybridMultilevel"/>
    <w:lvl w:ilvl="0">
      <w:start w:val="7"/>
      <w:numFmt w:val="decimal"/>
      <w:lvlText w:val="%1"/>
      <w:lvlJc w:val="left"/>
      <w:pPr>
        <w:ind w:left="3524" w:hanging="421"/>
        <w:jc w:val="left"/>
      </w:pPr>
      <w:rPr>
        <w:rFonts w:hint="default"/>
        <w:lang w:val="en-US" w:eastAsia="zh-CN" w:bidi="ar-SA"/>
      </w:rPr>
    </w:lvl>
    <w:lvl w:ilvl="1">
      <w:start w:val="1"/>
      <w:numFmt w:val="decimal"/>
      <w:lvlText w:val="%1.%2"/>
      <w:lvlJc w:val="left"/>
      <w:pPr>
        <w:ind w:left="3524" w:hanging="421"/>
        <w:jc w:val="left"/>
      </w:pPr>
      <w:rPr>
        <w:rFonts w:hint="default" w:ascii="楷体" w:hAnsi="楷体" w:eastAsia="楷体" w:cs="楷体"/>
        <w:w w:val="100"/>
        <w:sz w:val="21"/>
        <w:szCs w:val="21"/>
        <w:lang w:val="en-US" w:eastAsia="zh-CN" w:bidi="ar-SA"/>
      </w:rPr>
    </w:lvl>
    <w:lvl w:ilvl="2">
      <w:start w:val="0"/>
      <w:numFmt w:val="bullet"/>
      <w:lvlText w:val="•"/>
      <w:lvlJc w:val="left"/>
      <w:pPr>
        <w:ind w:left="5086" w:hanging="421"/>
      </w:pPr>
      <w:rPr>
        <w:rFonts w:hint="default"/>
        <w:lang w:val="en-US" w:eastAsia="zh-CN" w:bidi="ar-SA"/>
      </w:rPr>
    </w:lvl>
    <w:lvl w:ilvl="3">
      <w:start w:val="0"/>
      <w:numFmt w:val="bullet"/>
      <w:lvlText w:val="•"/>
      <w:lvlJc w:val="left"/>
      <w:pPr>
        <w:ind w:left="5869" w:hanging="421"/>
      </w:pPr>
      <w:rPr>
        <w:rFonts w:hint="default"/>
        <w:lang w:val="en-US" w:eastAsia="zh-CN" w:bidi="ar-SA"/>
      </w:rPr>
    </w:lvl>
    <w:lvl w:ilvl="4">
      <w:start w:val="0"/>
      <w:numFmt w:val="bullet"/>
      <w:lvlText w:val="•"/>
      <w:lvlJc w:val="left"/>
      <w:pPr>
        <w:ind w:left="6652" w:hanging="421"/>
      </w:pPr>
      <w:rPr>
        <w:rFonts w:hint="default"/>
        <w:lang w:val="en-US" w:eastAsia="zh-CN" w:bidi="ar-SA"/>
      </w:rPr>
    </w:lvl>
    <w:lvl w:ilvl="5">
      <w:start w:val="0"/>
      <w:numFmt w:val="bullet"/>
      <w:lvlText w:val="•"/>
      <w:lvlJc w:val="left"/>
      <w:pPr>
        <w:ind w:left="7435" w:hanging="421"/>
      </w:pPr>
      <w:rPr>
        <w:rFonts w:hint="default"/>
        <w:lang w:val="en-US" w:eastAsia="zh-CN" w:bidi="ar-SA"/>
      </w:rPr>
    </w:lvl>
    <w:lvl w:ilvl="6">
      <w:start w:val="0"/>
      <w:numFmt w:val="bullet"/>
      <w:lvlText w:val="•"/>
      <w:lvlJc w:val="left"/>
      <w:pPr>
        <w:ind w:left="8218" w:hanging="421"/>
      </w:pPr>
      <w:rPr>
        <w:rFonts w:hint="default"/>
        <w:lang w:val="en-US" w:eastAsia="zh-CN" w:bidi="ar-SA"/>
      </w:rPr>
    </w:lvl>
    <w:lvl w:ilvl="7">
      <w:start w:val="0"/>
      <w:numFmt w:val="bullet"/>
      <w:lvlText w:val="•"/>
      <w:lvlJc w:val="left"/>
      <w:pPr>
        <w:ind w:left="9001" w:hanging="421"/>
      </w:pPr>
      <w:rPr>
        <w:rFonts w:hint="default"/>
        <w:lang w:val="en-US" w:eastAsia="zh-CN" w:bidi="ar-SA"/>
      </w:rPr>
    </w:lvl>
    <w:lvl w:ilvl="8">
      <w:start w:val="0"/>
      <w:numFmt w:val="bullet"/>
      <w:lvlText w:val="•"/>
      <w:lvlJc w:val="left"/>
      <w:pPr>
        <w:ind w:left="9784" w:hanging="421"/>
      </w:pPr>
      <w:rPr>
        <w:rFonts w:hint="default"/>
        <w:lang w:val="en-US" w:eastAsia="zh-CN" w:bidi="ar-SA"/>
      </w:rPr>
    </w:lvl>
  </w:abstractNum>
  <w:abstractNum w:abstractNumId="3">
    <w:multiLevelType w:val="hybridMultilevel"/>
    <w:lvl w:ilvl="0">
      <w:start w:val="6"/>
      <w:numFmt w:val="decimal"/>
      <w:lvlText w:val="%1"/>
      <w:lvlJc w:val="left"/>
      <w:pPr>
        <w:ind w:left="3945" w:hanging="421"/>
        <w:jc w:val="left"/>
      </w:pPr>
      <w:rPr>
        <w:rFonts w:hint="default"/>
        <w:lang w:val="en-US" w:eastAsia="zh-CN" w:bidi="ar-SA"/>
      </w:rPr>
    </w:lvl>
    <w:lvl w:ilvl="1">
      <w:start w:val="1"/>
      <w:numFmt w:val="decimal"/>
      <w:lvlText w:val="%1.%2"/>
      <w:lvlJc w:val="left"/>
      <w:pPr>
        <w:ind w:left="3945" w:hanging="421"/>
        <w:jc w:val="left"/>
      </w:pPr>
      <w:rPr>
        <w:rFonts w:hint="default" w:ascii="楷体" w:hAnsi="楷体" w:eastAsia="楷体" w:cs="楷体"/>
        <w:w w:val="100"/>
        <w:sz w:val="21"/>
        <w:szCs w:val="21"/>
        <w:lang w:val="en-US" w:eastAsia="zh-CN" w:bidi="ar-SA"/>
      </w:rPr>
    </w:lvl>
    <w:lvl w:ilvl="2">
      <w:start w:val="0"/>
      <w:numFmt w:val="bullet"/>
      <w:lvlText w:val="•"/>
      <w:lvlJc w:val="left"/>
      <w:pPr>
        <w:ind w:left="5422" w:hanging="421"/>
      </w:pPr>
      <w:rPr>
        <w:rFonts w:hint="default"/>
        <w:lang w:val="en-US" w:eastAsia="zh-CN" w:bidi="ar-SA"/>
      </w:rPr>
    </w:lvl>
    <w:lvl w:ilvl="3">
      <w:start w:val="0"/>
      <w:numFmt w:val="bullet"/>
      <w:lvlText w:val="•"/>
      <w:lvlJc w:val="left"/>
      <w:pPr>
        <w:ind w:left="6163" w:hanging="421"/>
      </w:pPr>
      <w:rPr>
        <w:rFonts w:hint="default"/>
        <w:lang w:val="en-US" w:eastAsia="zh-CN" w:bidi="ar-SA"/>
      </w:rPr>
    </w:lvl>
    <w:lvl w:ilvl="4">
      <w:start w:val="0"/>
      <w:numFmt w:val="bullet"/>
      <w:lvlText w:val="•"/>
      <w:lvlJc w:val="left"/>
      <w:pPr>
        <w:ind w:left="6904" w:hanging="421"/>
      </w:pPr>
      <w:rPr>
        <w:rFonts w:hint="default"/>
        <w:lang w:val="en-US" w:eastAsia="zh-CN" w:bidi="ar-SA"/>
      </w:rPr>
    </w:lvl>
    <w:lvl w:ilvl="5">
      <w:start w:val="0"/>
      <w:numFmt w:val="bullet"/>
      <w:lvlText w:val="•"/>
      <w:lvlJc w:val="left"/>
      <w:pPr>
        <w:ind w:left="7645" w:hanging="421"/>
      </w:pPr>
      <w:rPr>
        <w:rFonts w:hint="default"/>
        <w:lang w:val="en-US" w:eastAsia="zh-CN" w:bidi="ar-SA"/>
      </w:rPr>
    </w:lvl>
    <w:lvl w:ilvl="6">
      <w:start w:val="0"/>
      <w:numFmt w:val="bullet"/>
      <w:lvlText w:val="•"/>
      <w:lvlJc w:val="left"/>
      <w:pPr>
        <w:ind w:left="8386" w:hanging="421"/>
      </w:pPr>
      <w:rPr>
        <w:rFonts w:hint="default"/>
        <w:lang w:val="en-US" w:eastAsia="zh-CN" w:bidi="ar-SA"/>
      </w:rPr>
    </w:lvl>
    <w:lvl w:ilvl="7">
      <w:start w:val="0"/>
      <w:numFmt w:val="bullet"/>
      <w:lvlText w:val="•"/>
      <w:lvlJc w:val="left"/>
      <w:pPr>
        <w:ind w:left="9127" w:hanging="421"/>
      </w:pPr>
      <w:rPr>
        <w:rFonts w:hint="default"/>
        <w:lang w:val="en-US" w:eastAsia="zh-CN" w:bidi="ar-SA"/>
      </w:rPr>
    </w:lvl>
    <w:lvl w:ilvl="8">
      <w:start w:val="0"/>
      <w:numFmt w:val="bullet"/>
      <w:lvlText w:val="•"/>
      <w:lvlJc w:val="left"/>
      <w:pPr>
        <w:ind w:left="9868" w:hanging="421"/>
      </w:pPr>
      <w:rPr>
        <w:rFonts w:hint="default"/>
        <w:lang w:val="en-US" w:eastAsia="zh-CN" w:bidi="ar-SA"/>
      </w:rPr>
    </w:lvl>
  </w:abstractNum>
  <w:abstractNum w:abstractNumId="2">
    <w:multiLevelType w:val="hybridMultilevel"/>
    <w:lvl w:ilvl="0">
      <w:start w:val="3"/>
      <w:numFmt w:val="decimal"/>
      <w:lvlText w:val="%1"/>
      <w:lvlJc w:val="left"/>
      <w:pPr>
        <w:ind w:left="3945" w:hanging="421"/>
        <w:jc w:val="left"/>
      </w:pPr>
      <w:rPr>
        <w:rFonts w:hint="default"/>
        <w:lang w:val="en-US" w:eastAsia="zh-CN" w:bidi="ar-SA"/>
      </w:rPr>
    </w:lvl>
    <w:lvl w:ilvl="1">
      <w:start w:val="1"/>
      <w:numFmt w:val="decimal"/>
      <w:lvlText w:val="%1.%2"/>
      <w:lvlJc w:val="left"/>
      <w:pPr>
        <w:ind w:left="3945" w:hanging="421"/>
        <w:jc w:val="left"/>
      </w:pPr>
      <w:rPr>
        <w:rFonts w:hint="default" w:ascii="楷体" w:hAnsi="楷体" w:eastAsia="楷体" w:cs="楷体"/>
        <w:w w:val="100"/>
        <w:sz w:val="21"/>
        <w:szCs w:val="21"/>
        <w:lang w:val="en-US" w:eastAsia="zh-CN" w:bidi="ar-SA"/>
      </w:rPr>
    </w:lvl>
    <w:lvl w:ilvl="2">
      <w:start w:val="1"/>
      <w:numFmt w:val="decimal"/>
      <w:lvlText w:val="%1.%2.%3"/>
      <w:lvlJc w:val="left"/>
      <w:pPr>
        <w:ind w:left="4516" w:hanging="631"/>
        <w:jc w:val="left"/>
      </w:pPr>
      <w:rPr>
        <w:rFonts w:hint="default" w:ascii="楷体" w:hAnsi="楷体" w:eastAsia="楷体" w:cs="楷体"/>
        <w:w w:val="100"/>
        <w:sz w:val="21"/>
        <w:szCs w:val="21"/>
        <w:lang w:val="en-US" w:eastAsia="zh-CN" w:bidi="ar-SA"/>
      </w:rPr>
    </w:lvl>
    <w:lvl w:ilvl="3">
      <w:start w:val="0"/>
      <w:numFmt w:val="bullet"/>
      <w:lvlText w:val="•"/>
      <w:lvlJc w:val="left"/>
      <w:pPr>
        <w:ind w:left="6037" w:hanging="631"/>
      </w:pPr>
      <w:rPr>
        <w:rFonts w:hint="default"/>
        <w:lang w:val="en-US" w:eastAsia="zh-CN" w:bidi="ar-SA"/>
      </w:rPr>
    </w:lvl>
    <w:lvl w:ilvl="4">
      <w:start w:val="0"/>
      <w:numFmt w:val="bullet"/>
      <w:lvlText w:val="•"/>
      <w:lvlJc w:val="left"/>
      <w:pPr>
        <w:ind w:left="6796" w:hanging="631"/>
      </w:pPr>
      <w:rPr>
        <w:rFonts w:hint="default"/>
        <w:lang w:val="en-US" w:eastAsia="zh-CN" w:bidi="ar-SA"/>
      </w:rPr>
    </w:lvl>
    <w:lvl w:ilvl="5">
      <w:start w:val="0"/>
      <w:numFmt w:val="bullet"/>
      <w:lvlText w:val="•"/>
      <w:lvlJc w:val="left"/>
      <w:pPr>
        <w:ind w:left="7555" w:hanging="631"/>
      </w:pPr>
      <w:rPr>
        <w:rFonts w:hint="default"/>
        <w:lang w:val="en-US" w:eastAsia="zh-CN" w:bidi="ar-SA"/>
      </w:rPr>
    </w:lvl>
    <w:lvl w:ilvl="6">
      <w:start w:val="0"/>
      <w:numFmt w:val="bullet"/>
      <w:lvlText w:val="•"/>
      <w:lvlJc w:val="left"/>
      <w:pPr>
        <w:ind w:left="8314" w:hanging="631"/>
      </w:pPr>
      <w:rPr>
        <w:rFonts w:hint="default"/>
        <w:lang w:val="en-US" w:eastAsia="zh-CN" w:bidi="ar-SA"/>
      </w:rPr>
    </w:lvl>
    <w:lvl w:ilvl="7">
      <w:start w:val="0"/>
      <w:numFmt w:val="bullet"/>
      <w:lvlText w:val="•"/>
      <w:lvlJc w:val="left"/>
      <w:pPr>
        <w:ind w:left="9073" w:hanging="631"/>
      </w:pPr>
      <w:rPr>
        <w:rFonts w:hint="default"/>
        <w:lang w:val="en-US" w:eastAsia="zh-CN" w:bidi="ar-SA"/>
      </w:rPr>
    </w:lvl>
    <w:lvl w:ilvl="8">
      <w:start w:val="0"/>
      <w:numFmt w:val="bullet"/>
      <w:lvlText w:val="•"/>
      <w:lvlJc w:val="left"/>
      <w:pPr>
        <w:ind w:left="9832" w:hanging="631"/>
      </w:pPr>
      <w:rPr>
        <w:rFonts w:hint="default"/>
        <w:lang w:val="en-US" w:eastAsia="zh-CN" w:bidi="ar-SA"/>
      </w:rPr>
    </w:lvl>
  </w:abstractNum>
  <w:abstractNum w:abstractNumId="1">
    <w:multiLevelType w:val="hybridMultilevel"/>
    <w:lvl w:ilvl="0">
      <w:start w:val="2"/>
      <w:numFmt w:val="decimal"/>
      <w:lvlText w:val="%1"/>
      <w:lvlJc w:val="left"/>
      <w:pPr>
        <w:ind w:left="3945" w:hanging="421"/>
        <w:jc w:val="left"/>
      </w:pPr>
      <w:rPr>
        <w:rFonts w:hint="default"/>
        <w:lang w:val="en-US" w:eastAsia="zh-CN" w:bidi="ar-SA"/>
      </w:rPr>
    </w:lvl>
    <w:lvl w:ilvl="1">
      <w:start w:val="1"/>
      <w:numFmt w:val="decimal"/>
      <w:lvlText w:val="%1.%2"/>
      <w:lvlJc w:val="left"/>
      <w:pPr>
        <w:ind w:left="3945" w:hanging="421"/>
        <w:jc w:val="left"/>
      </w:pPr>
      <w:rPr>
        <w:rFonts w:hint="default" w:ascii="楷体" w:hAnsi="楷体" w:eastAsia="楷体" w:cs="楷体"/>
        <w:w w:val="100"/>
        <w:sz w:val="21"/>
        <w:szCs w:val="21"/>
        <w:lang w:val="en-US" w:eastAsia="zh-CN" w:bidi="ar-SA"/>
      </w:rPr>
    </w:lvl>
    <w:lvl w:ilvl="2">
      <w:start w:val="0"/>
      <w:numFmt w:val="bullet"/>
      <w:lvlText w:val="•"/>
      <w:lvlJc w:val="left"/>
      <w:pPr>
        <w:ind w:left="5422" w:hanging="421"/>
      </w:pPr>
      <w:rPr>
        <w:rFonts w:hint="default"/>
        <w:lang w:val="en-US" w:eastAsia="zh-CN" w:bidi="ar-SA"/>
      </w:rPr>
    </w:lvl>
    <w:lvl w:ilvl="3">
      <w:start w:val="0"/>
      <w:numFmt w:val="bullet"/>
      <w:lvlText w:val="•"/>
      <w:lvlJc w:val="left"/>
      <w:pPr>
        <w:ind w:left="6163" w:hanging="421"/>
      </w:pPr>
      <w:rPr>
        <w:rFonts w:hint="default"/>
        <w:lang w:val="en-US" w:eastAsia="zh-CN" w:bidi="ar-SA"/>
      </w:rPr>
    </w:lvl>
    <w:lvl w:ilvl="4">
      <w:start w:val="0"/>
      <w:numFmt w:val="bullet"/>
      <w:lvlText w:val="•"/>
      <w:lvlJc w:val="left"/>
      <w:pPr>
        <w:ind w:left="6904" w:hanging="421"/>
      </w:pPr>
      <w:rPr>
        <w:rFonts w:hint="default"/>
        <w:lang w:val="en-US" w:eastAsia="zh-CN" w:bidi="ar-SA"/>
      </w:rPr>
    </w:lvl>
    <w:lvl w:ilvl="5">
      <w:start w:val="0"/>
      <w:numFmt w:val="bullet"/>
      <w:lvlText w:val="•"/>
      <w:lvlJc w:val="left"/>
      <w:pPr>
        <w:ind w:left="7645" w:hanging="421"/>
      </w:pPr>
      <w:rPr>
        <w:rFonts w:hint="default"/>
        <w:lang w:val="en-US" w:eastAsia="zh-CN" w:bidi="ar-SA"/>
      </w:rPr>
    </w:lvl>
    <w:lvl w:ilvl="6">
      <w:start w:val="0"/>
      <w:numFmt w:val="bullet"/>
      <w:lvlText w:val="•"/>
      <w:lvlJc w:val="left"/>
      <w:pPr>
        <w:ind w:left="8386" w:hanging="421"/>
      </w:pPr>
      <w:rPr>
        <w:rFonts w:hint="default"/>
        <w:lang w:val="en-US" w:eastAsia="zh-CN" w:bidi="ar-SA"/>
      </w:rPr>
    </w:lvl>
    <w:lvl w:ilvl="7">
      <w:start w:val="0"/>
      <w:numFmt w:val="bullet"/>
      <w:lvlText w:val="•"/>
      <w:lvlJc w:val="left"/>
      <w:pPr>
        <w:ind w:left="9127" w:hanging="421"/>
      </w:pPr>
      <w:rPr>
        <w:rFonts w:hint="default"/>
        <w:lang w:val="en-US" w:eastAsia="zh-CN" w:bidi="ar-SA"/>
      </w:rPr>
    </w:lvl>
    <w:lvl w:ilvl="8">
      <w:start w:val="0"/>
      <w:numFmt w:val="bullet"/>
      <w:lvlText w:val="•"/>
      <w:lvlJc w:val="left"/>
      <w:pPr>
        <w:ind w:left="9868" w:hanging="421"/>
      </w:pPr>
      <w:rPr>
        <w:rFonts w:hint="default"/>
        <w:lang w:val="en-US" w:eastAsia="zh-CN" w:bidi="ar-SA"/>
      </w:rPr>
    </w:lvl>
  </w:abstractNum>
  <w:abstractNum w:abstractNumId="0">
    <w:multiLevelType w:val="hybridMultilevel"/>
    <w:lvl w:ilvl="0">
      <w:start w:val="0"/>
      <w:numFmt w:val="bullet"/>
      <w:lvlText w:val=""/>
      <w:lvlJc w:val="left"/>
      <w:pPr>
        <w:ind w:left="538" w:hanging="331"/>
      </w:pPr>
      <w:rPr>
        <w:rFonts w:hint="default"/>
        <w:w w:val="100"/>
        <w:lang w:val="en-US" w:eastAsia="zh-CN" w:bidi="ar-SA"/>
      </w:rPr>
    </w:lvl>
    <w:lvl w:ilvl="1">
      <w:start w:val="0"/>
      <w:numFmt w:val="bullet"/>
      <w:lvlText w:val="•"/>
      <w:lvlJc w:val="left"/>
      <w:pPr>
        <w:ind w:left="1170" w:hanging="331"/>
      </w:pPr>
      <w:rPr>
        <w:rFonts w:hint="default"/>
        <w:lang w:val="en-US" w:eastAsia="zh-CN" w:bidi="ar-SA"/>
      </w:rPr>
    </w:lvl>
    <w:lvl w:ilvl="2">
      <w:start w:val="0"/>
      <w:numFmt w:val="bullet"/>
      <w:lvlText w:val="•"/>
      <w:lvlJc w:val="left"/>
      <w:pPr>
        <w:ind w:left="1801" w:hanging="331"/>
      </w:pPr>
      <w:rPr>
        <w:rFonts w:hint="default"/>
        <w:lang w:val="en-US" w:eastAsia="zh-CN" w:bidi="ar-SA"/>
      </w:rPr>
    </w:lvl>
    <w:lvl w:ilvl="3">
      <w:start w:val="0"/>
      <w:numFmt w:val="bullet"/>
      <w:lvlText w:val="•"/>
      <w:lvlJc w:val="left"/>
      <w:pPr>
        <w:ind w:left="2432" w:hanging="331"/>
      </w:pPr>
      <w:rPr>
        <w:rFonts w:hint="default"/>
        <w:lang w:val="en-US" w:eastAsia="zh-CN" w:bidi="ar-SA"/>
      </w:rPr>
    </w:lvl>
    <w:lvl w:ilvl="4">
      <w:start w:val="0"/>
      <w:numFmt w:val="bullet"/>
      <w:lvlText w:val="•"/>
      <w:lvlJc w:val="left"/>
      <w:pPr>
        <w:ind w:left="3062" w:hanging="331"/>
      </w:pPr>
      <w:rPr>
        <w:rFonts w:hint="default"/>
        <w:lang w:val="en-US" w:eastAsia="zh-CN" w:bidi="ar-SA"/>
      </w:rPr>
    </w:lvl>
    <w:lvl w:ilvl="5">
      <w:start w:val="0"/>
      <w:numFmt w:val="bullet"/>
      <w:lvlText w:val="•"/>
      <w:lvlJc w:val="left"/>
      <w:pPr>
        <w:ind w:left="3693" w:hanging="331"/>
      </w:pPr>
      <w:rPr>
        <w:rFonts w:hint="default"/>
        <w:lang w:val="en-US" w:eastAsia="zh-CN" w:bidi="ar-SA"/>
      </w:rPr>
    </w:lvl>
    <w:lvl w:ilvl="6">
      <w:start w:val="0"/>
      <w:numFmt w:val="bullet"/>
      <w:lvlText w:val="•"/>
      <w:lvlJc w:val="left"/>
      <w:pPr>
        <w:ind w:left="4324" w:hanging="331"/>
      </w:pPr>
      <w:rPr>
        <w:rFonts w:hint="default"/>
        <w:lang w:val="en-US" w:eastAsia="zh-CN" w:bidi="ar-SA"/>
      </w:rPr>
    </w:lvl>
    <w:lvl w:ilvl="7">
      <w:start w:val="0"/>
      <w:numFmt w:val="bullet"/>
      <w:lvlText w:val="•"/>
      <w:lvlJc w:val="left"/>
      <w:pPr>
        <w:ind w:left="4954" w:hanging="331"/>
      </w:pPr>
      <w:rPr>
        <w:rFonts w:hint="default"/>
        <w:lang w:val="en-US" w:eastAsia="zh-CN" w:bidi="ar-SA"/>
      </w:rPr>
    </w:lvl>
    <w:lvl w:ilvl="8">
      <w:start w:val="0"/>
      <w:numFmt w:val="bullet"/>
      <w:lvlText w:val="•"/>
      <w:lvlJc w:val="left"/>
      <w:pPr>
        <w:ind w:left="5585" w:hanging="331"/>
      </w:pPr>
      <w:rPr>
        <w:rFonts w:hint="default"/>
        <w:lang w:val="en-US" w:eastAsia="zh-CN"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楷体" w:hAnsi="楷体" w:eastAsia="楷体" w:cs="楷体"/>
      <w:lang w:val="en-US" w:eastAsia="zh-CN" w:bidi="ar-SA"/>
    </w:rPr>
  </w:style>
  <w:style w:styleId="TOC1" w:type="paragraph">
    <w:name w:val="TOC 1"/>
    <w:basedOn w:val="Normal"/>
    <w:uiPriority w:val="1"/>
    <w:qFormat/>
    <w:pPr>
      <w:spacing w:before="497"/>
      <w:ind w:left="3164"/>
    </w:pPr>
    <w:rPr>
      <w:rFonts w:ascii="楷体" w:hAnsi="楷体" w:eastAsia="楷体" w:cs="楷体"/>
      <w:b/>
      <w:bCs/>
      <w:sz w:val="30"/>
      <w:szCs w:val="30"/>
      <w:lang w:val="en-US" w:eastAsia="zh-CN" w:bidi="ar-SA"/>
    </w:rPr>
  </w:style>
  <w:style w:styleId="TOC2" w:type="paragraph">
    <w:name w:val="TOC 2"/>
    <w:basedOn w:val="Normal"/>
    <w:uiPriority w:val="1"/>
    <w:qFormat/>
    <w:pPr>
      <w:spacing w:before="1"/>
      <w:ind w:left="3164"/>
    </w:pPr>
    <w:rPr>
      <w:rFonts w:ascii="楷体" w:hAnsi="楷体" w:eastAsia="楷体" w:cs="楷体"/>
      <w:b/>
      <w:bCs/>
      <w:sz w:val="21"/>
      <w:szCs w:val="21"/>
      <w:lang w:val="en-US" w:eastAsia="zh-CN" w:bidi="ar-SA"/>
    </w:rPr>
  </w:style>
  <w:style w:styleId="TOC3" w:type="paragraph">
    <w:name w:val="TOC 3"/>
    <w:basedOn w:val="Normal"/>
    <w:uiPriority w:val="1"/>
    <w:qFormat/>
    <w:pPr>
      <w:spacing w:before="1"/>
      <w:ind w:left="3224"/>
    </w:pPr>
    <w:rPr>
      <w:rFonts w:ascii="楷体" w:hAnsi="楷体" w:eastAsia="楷体" w:cs="楷体"/>
      <w:b/>
      <w:bCs/>
      <w:sz w:val="21"/>
      <w:szCs w:val="21"/>
      <w:lang w:val="en-US" w:eastAsia="zh-CN" w:bidi="ar-SA"/>
    </w:rPr>
  </w:style>
  <w:style w:styleId="TOC4" w:type="paragraph">
    <w:name w:val="TOC 4"/>
    <w:basedOn w:val="Normal"/>
    <w:uiPriority w:val="1"/>
    <w:qFormat/>
    <w:pPr>
      <w:spacing w:before="1"/>
      <w:ind w:left="3945" w:hanging="421"/>
    </w:pPr>
    <w:rPr>
      <w:rFonts w:ascii="楷体" w:hAnsi="楷体" w:eastAsia="楷体" w:cs="楷体"/>
      <w:sz w:val="21"/>
      <w:szCs w:val="21"/>
      <w:lang w:val="en-US" w:eastAsia="zh-CN" w:bidi="ar-SA"/>
    </w:rPr>
  </w:style>
  <w:style w:styleId="TOC5" w:type="paragraph">
    <w:name w:val="TOC 5"/>
    <w:basedOn w:val="Normal"/>
    <w:uiPriority w:val="1"/>
    <w:qFormat/>
    <w:pPr>
      <w:spacing w:before="2"/>
      <w:ind w:left="4516" w:hanging="631"/>
    </w:pPr>
    <w:rPr>
      <w:rFonts w:ascii="楷体" w:hAnsi="楷体" w:eastAsia="楷体" w:cs="楷体"/>
      <w:sz w:val="21"/>
      <w:szCs w:val="21"/>
      <w:lang w:val="en-US" w:eastAsia="zh-CN" w:bidi="ar-SA"/>
    </w:rPr>
  </w:style>
  <w:style w:styleId="BodyText" w:type="paragraph">
    <w:name w:val="Body Text"/>
    <w:basedOn w:val="Normal"/>
    <w:uiPriority w:val="1"/>
    <w:qFormat/>
    <w:pPr/>
    <w:rPr>
      <w:rFonts w:ascii="楷体" w:hAnsi="楷体" w:eastAsia="楷体" w:cs="楷体"/>
      <w:sz w:val="21"/>
      <w:szCs w:val="21"/>
      <w:lang w:val="en-US" w:eastAsia="zh-CN" w:bidi="ar-SA"/>
    </w:rPr>
  </w:style>
  <w:style w:styleId="Heading1" w:type="paragraph">
    <w:name w:val="Heading 1"/>
    <w:basedOn w:val="Normal"/>
    <w:uiPriority w:val="1"/>
    <w:qFormat/>
    <w:pPr>
      <w:ind w:left="3254"/>
      <w:outlineLvl w:val="1"/>
    </w:pPr>
    <w:rPr>
      <w:rFonts w:ascii="楷体" w:hAnsi="楷体" w:eastAsia="楷体" w:cs="楷体"/>
      <w:b/>
      <w:bCs/>
      <w:sz w:val="24"/>
      <w:szCs w:val="24"/>
      <w:lang w:val="en-US" w:eastAsia="zh-CN" w:bidi="ar-SA"/>
    </w:rPr>
  </w:style>
  <w:style w:styleId="Heading2" w:type="paragraph">
    <w:name w:val="Heading 2"/>
    <w:basedOn w:val="Normal"/>
    <w:uiPriority w:val="1"/>
    <w:qFormat/>
    <w:pPr>
      <w:spacing w:before="77"/>
      <w:ind w:left="3059"/>
      <w:outlineLvl w:val="2"/>
    </w:pPr>
    <w:rPr>
      <w:rFonts w:ascii="楷体" w:hAnsi="楷体" w:eastAsia="楷体" w:cs="楷体"/>
      <w:b/>
      <w:bCs/>
      <w:sz w:val="21"/>
      <w:szCs w:val="21"/>
      <w:lang w:val="en-US" w:eastAsia="zh-CN" w:bidi="ar-SA"/>
    </w:rPr>
  </w:style>
  <w:style w:styleId="Title" w:type="paragraph">
    <w:name w:val="Title"/>
    <w:basedOn w:val="Normal"/>
    <w:uiPriority w:val="1"/>
    <w:qFormat/>
    <w:pPr>
      <w:spacing w:line="495" w:lineRule="exact"/>
      <w:ind w:left="1227" w:right="990"/>
      <w:jc w:val="center"/>
    </w:pPr>
    <w:rPr>
      <w:rFonts w:ascii="楷体" w:hAnsi="楷体" w:eastAsia="楷体" w:cs="楷体"/>
      <w:b/>
      <w:bCs/>
      <w:sz w:val="43"/>
      <w:szCs w:val="43"/>
      <w:lang w:val="en-US" w:eastAsia="zh-CN" w:bidi="ar-SA"/>
    </w:rPr>
  </w:style>
  <w:style w:styleId="ListParagraph" w:type="paragraph">
    <w:name w:val="List Paragraph"/>
    <w:basedOn w:val="Normal"/>
    <w:uiPriority w:val="1"/>
    <w:qFormat/>
    <w:pPr>
      <w:ind w:left="3645" w:hanging="481"/>
    </w:pPr>
    <w:rPr>
      <w:rFonts w:ascii="楷体" w:hAnsi="楷体" w:eastAsia="楷体" w:cs="楷体"/>
      <w:lang w:val="en-US" w:eastAsia="zh-CN" w:bidi="ar-SA"/>
    </w:rPr>
  </w:style>
  <w:style w:styleId="TableParagraph" w:type="paragraph">
    <w:name w:val="Table Paragraph"/>
    <w:basedOn w:val="Normal"/>
    <w:uiPriority w:val="1"/>
    <w:qFormat/>
    <w:pPr>
      <w:ind w:left="112"/>
    </w:pPr>
    <w:rPr>
      <w:rFonts w:ascii="楷体" w:hAnsi="楷体" w:eastAsia="楷体" w:cs="楷体"/>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yanbaoke.com/" TargetMode="External"/><Relationship Id="rId7" Type="http://schemas.openxmlformats.org/officeDocument/2006/relationships/hyperlink" Target="mailto:zhangwenlu@ctsec.com" TargetMode="External"/><Relationship Id="rId8" Type="http://schemas.openxmlformats.org/officeDocument/2006/relationships/hyperlink" Target="mailto:huating@ctsec.com"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2020-09-05T03:27:49Z</dcterms:created>
  <dcterms:modified xsi:type="dcterms:W3CDTF">2020-09-05T03:27:49Z</dcterms:modified>
</cp:coreProperties>
</file>