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ascii="Songti SC" w:hAnsi="Songti SC" w:eastAsia="Songti SC" w:cs="宋体"/>
          <w:sz w:val="20"/>
          <w:szCs w:val="20"/>
        </w:rPr>
        <w:t>全球胰腺癌的介绍和概述</w:t>
      </w:r>
    </w:p>
    <w:p>
      <w:pPr>
        <w:keepNext w:val="0"/>
        <w:keepLines w:val="0"/>
        <w:pageBreakBefore w:val="0"/>
        <w:widowControl/>
        <w:kinsoku/>
        <w:wordWrap/>
        <w:overflowPunct/>
        <w:topLinePunct w:val="0"/>
        <w:autoSpaceDE/>
        <w:autoSpaceDN/>
        <w:bidi w:val="0"/>
        <w:adjustRightInd/>
        <w:snapToGrid/>
        <w:spacing w:line="360" w:lineRule="atLeast"/>
        <w:textAlignment w:val="auto"/>
        <w:rPr>
          <w:rFonts w:hint="eastAsia" w:ascii="Songti SC" w:hAnsi="Songti SC" w:eastAsia="Songti SC" w:cs="宋体"/>
          <w:sz w:val="20"/>
          <w:szCs w:val="20"/>
        </w:rPr>
      </w:pPr>
      <w:bookmarkStart w:id="2" w:name="_GoBack"/>
      <w:bookmarkEnd w:id="2"/>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r>
        <w:rPr>
          <w:rFonts w:ascii="Songti SC" w:hAnsi="Songti SC" w:eastAsia="Songti SC" w:cs="宋体"/>
          <w:sz w:val="20"/>
          <w:szCs w:val="20"/>
        </w:rPr>
        <w:t>胰腺癌是肿瘤学领域的一个强大对手，需要在全球范围内对其流行率和重要性进行更仔细的检查。胰腺癌通常是一种相对罕见但致命的癌症。其发病率因地区而异，但总体而言，胰腺癌的发病率相对较低。</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eastAsia" w:ascii="Songti SC" w:hAnsi="Songti SC" w:eastAsia="Songti SC" w:cs="宋体"/>
          <w:sz w:val="20"/>
          <w:szCs w:val="20"/>
          <w:lang w:val="zh-CN"/>
        </w:rPr>
      </w:pPr>
      <w:r>
        <w:rPr>
          <w:rFonts w:hint="eastAsia" w:ascii="Songti SC" w:hAnsi="Songti SC" w:eastAsia="Songti SC" w:cs="宋体"/>
          <w:sz w:val="20"/>
          <w:szCs w:val="20"/>
        </w:rPr>
        <w:t>但</w:t>
      </w:r>
      <w:r>
        <w:rPr>
          <w:rFonts w:ascii="Songti SC" w:hAnsi="Songti SC" w:eastAsia="Songti SC" w:cs="宋体"/>
          <w:sz w:val="20"/>
          <w:szCs w:val="20"/>
        </w:rPr>
        <w:t>尽管发病率不高，胰腺癌的死亡率却相对较高。</w:t>
      </w:r>
      <w:r>
        <w:rPr>
          <w:rFonts w:hint="eastAsia" w:ascii="Songti SC" w:hAnsi="Songti SC" w:eastAsia="Songti SC" w:cs="宋体"/>
          <w:sz w:val="20"/>
          <w:szCs w:val="20"/>
        </w:rPr>
        <w:t>根据</w:t>
      </w:r>
      <w:r>
        <w:rPr>
          <w:rFonts w:ascii="Songti SC" w:hAnsi="Songti SC" w:eastAsia="Songti SC" w:cs="宋体"/>
          <w:sz w:val="20"/>
          <w:szCs w:val="20"/>
        </w:rPr>
        <w:t xml:space="preserve">Cancer Journal for Clinicians </w:t>
      </w:r>
      <w:r>
        <w:rPr>
          <w:rFonts w:hint="eastAsia" w:ascii="Songti SC" w:hAnsi="Songti SC" w:eastAsia="Songti SC" w:cs="宋体"/>
          <w:sz w:val="20"/>
          <w:szCs w:val="20"/>
        </w:rPr>
        <w:t>，胰腺癌发病率位于</w:t>
      </w:r>
      <w:r>
        <w:rPr>
          <w:rFonts w:ascii="Songti SC" w:hAnsi="Songti SC" w:eastAsia="Songti SC" w:cs="宋体"/>
          <w:sz w:val="20"/>
          <w:szCs w:val="20"/>
        </w:rPr>
        <w:t>36</w:t>
      </w:r>
      <w:r>
        <w:rPr>
          <w:rFonts w:hint="eastAsia" w:ascii="Songti SC" w:hAnsi="Songti SC" w:eastAsia="Songti SC" w:cs="宋体"/>
          <w:sz w:val="20"/>
          <w:szCs w:val="20"/>
        </w:rPr>
        <w:t>种癌症中的第</w:t>
      </w:r>
      <w:r>
        <w:rPr>
          <w:rFonts w:ascii="Songti SC" w:hAnsi="Songti SC" w:eastAsia="Songti SC" w:cs="宋体"/>
          <w:sz w:val="20"/>
          <w:szCs w:val="20"/>
        </w:rPr>
        <w:t>14</w:t>
      </w:r>
      <w:r>
        <w:rPr>
          <w:rFonts w:hint="eastAsia" w:ascii="Songti SC" w:hAnsi="Songti SC" w:eastAsia="Songti SC" w:cs="宋体"/>
          <w:sz w:val="20"/>
          <w:szCs w:val="20"/>
        </w:rPr>
        <w:t>位，但其死亡率却高居第</w:t>
      </w:r>
      <w:r>
        <w:rPr>
          <w:rFonts w:ascii="Songti SC" w:hAnsi="Songti SC" w:eastAsia="Songti SC" w:cs="宋体"/>
          <w:sz w:val="20"/>
          <w:szCs w:val="20"/>
        </w:rPr>
        <w:t>7</w:t>
      </w:r>
      <w:r>
        <w:rPr>
          <w:rFonts w:hint="eastAsia" w:ascii="Songti SC" w:hAnsi="Songti SC" w:eastAsia="Songti SC" w:cs="宋体"/>
          <w:sz w:val="20"/>
          <w:szCs w:val="20"/>
        </w:rPr>
        <w:t>。</w:t>
      </w:r>
      <w:r>
        <w:rPr>
          <w:rFonts w:ascii="Songti SC" w:hAnsi="Songti SC" w:eastAsia="Songti SC" w:cs="宋体"/>
          <w:sz w:val="20"/>
          <w:szCs w:val="20"/>
        </w:rPr>
        <w:t>这主要是因为该癌症通常在早期</w:t>
      </w:r>
      <w:r>
        <w:rPr>
          <w:rFonts w:hint="eastAsia" w:ascii="Songti SC" w:hAnsi="Songti SC" w:eastAsia="Songti SC" w:cs="宋体"/>
          <w:sz w:val="20"/>
          <w:szCs w:val="20"/>
        </w:rPr>
        <w:t>因为症状不明显、不典型而</w:t>
      </w:r>
      <w:r>
        <w:rPr>
          <w:rFonts w:ascii="Songti SC" w:hAnsi="Songti SC" w:eastAsia="Songti SC" w:cs="宋体"/>
          <w:sz w:val="20"/>
          <w:szCs w:val="20"/>
        </w:rPr>
        <w:t>难以被检测到</w:t>
      </w:r>
      <w:r>
        <w:rPr>
          <w:rFonts w:hint="eastAsia" w:ascii="Songti SC" w:hAnsi="Songti SC" w:eastAsia="Songti SC" w:cs="宋体"/>
          <w:sz w:val="20"/>
          <w:szCs w:val="20"/>
        </w:rPr>
        <w:t>。</w:t>
      </w:r>
      <w:r>
        <w:rPr>
          <w:rFonts w:ascii="Songti SC" w:hAnsi="Songti SC" w:eastAsia="Songti SC" w:cs="宋体"/>
          <w:sz w:val="20"/>
          <w:szCs w:val="20"/>
        </w:rPr>
        <w:t>早期胰腺癌的就诊和诊断率都很低，直到症状突然加重，患者才大多被诊断，而这时已经错过了手术时机。由于症状严重，绝大多数患者都会接受包括姑息性治疗在内的不同程度的治疗，治疗率可达85%，但是，正因为晚期发现，患者一般状况差，导致最终化疗率不足50%。</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eastAsia" w:ascii="Songti SC" w:hAnsi="Songti SC" w:eastAsia="Songti SC"/>
          <w:sz w:val="20"/>
          <w:szCs w:val="20"/>
        </w:rPr>
      </w:pPr>
      <w:r>
        <w:rPr>
          <w:rFonts w:hint="eastAsia" w:ascii="Songti SC" w:hAnsi="Songti SC" w:eastAsia="Songti SC" w:cs="宋体"/>
          <w:sz w:val="20"/>
          <w:szCs w:val="20"/>
          <w:highlight w:val="yellow"/>
          <w:lang w:val="en-US"/>
        </w:rPr>
        <w:t>一、</w:t>
      </w:r>
      <w:r>
        <w:rPr>
          <w:rFonts w:ascii="Songti SC" w:hAnsi="Songti SC" w:eastAsia="Songti SC" w:cs="宋体"/>
          <w:sz w:val="20"/>
          <w:szCs w:val="20"/>
          <w:highlight w:val="yellow"/>
        </w:rPr>
        <w:t>历史趋势和当前统计数据</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r>
        <w:rPr>
          <w:rFonts w:ascii="Songti SC" w:hAnsi="Songti SC" w:eastAsia="Songti SC" w:cs="宋体"/>
          <w:sz w:val="20"/>
          <w:szCs w:val="20"/>
        </w:rPr>
        <w:t>来自世卫组织的全球数据强调了胰腺癌日益升级的挑战，导致</w:t>
      </w:r>
      <w:r>
        <w:rPr>
          <w:rFonts w:ascii="Songti SC" w:hAnsi="Songti SC" w:eastAsia="Songti SC" w:cs="宋体"/>
          <w:color w:val="4472C4" w:themeColor="accent1"/>
          <w:sz w:val="20"/>
          <w:szCs w:val="20"/>
          <w14:textFill>
            <w14:solidFill>
              <w14:schemeClr w14:val="accent1"/>
            </w14:solidFill>
          </w14:textFill>
        </w:rPr>
        <w:t>202</w:t>
      </w:r>
      <w:r>
        <w:rPr>
          <w:rFonts w:hint="eastAsia" w:ascii="Songti SC" w:hAnsi="Songti SC" w:eastAsia="Songti SC" w:cs="宋体"/>
          <w:color w:val="4472C4" w:themeColor="accent1"/>
          <w:sz w:val="20"/>
          <w:szCs w:val="20"/>
          <w:lang w:val="en-US"/>
          <w14:textFill>
            <w14:solidFill>
              <w14:schemeClr w14:val="accent1"/>
            </w14:solidFill>
          </w14:textFill>
        </w:rPr>
        <w:t>0</w:t>
      </w:r>
      <w:r>
        <w:rPr>
          <w:rFonts w:ascii="Songti SC" w:hAnsi="Songti SC" w:eastAsia="Songti SC" w:cs="宋体"/>
          <w:color w:val="4472C4" w:themeColor="accent1"/>
          <w:sz w:val="20"/>
          <w:szCs w:val="20"/>
          <w14:textFill>
            <w14:solidFill>
              <w14:schemeClr w14:val="accent1"/>
            </w14:solidFill>
          </w14:textFill>
        </w:rPr>
        <w:t>年估计有495,773人死亡。在过去的30年里，该发病率飙升了50%以上</w:t>
      </w:r>
      <w:r>
        <w:rPr>
          <w:rFonts w:ascii="Songti SC" w:hAnsi="Songti SC" w:eastAsia="Songti SC" w:cs="宋体"/>
          <w:sz w:val="20"/>
          <w:szCs w:val="20"/>
        </w:rPr>
        <w:t>，突出表明它已成为一个重要的公共卫生问题。</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cs="宋体"/>
          <w:sz w:val="20"/>
          <w:szCs w:val="20"/>
        </w:rPr>
        <w:t>在欧洲，据《柳叶刀》报道，胰腺癌每年导致10.4万人死亡，使其成为癌症相关死亡的第七大最常见原因。死亡率与发病率的比为94.9%，强调了这种疾病对整个非洲大陆的严重影响。</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r>
        <w:rPr>
          <w:rFonts w:ascii="Songti SC" w:hAnsi="Songti SC" w:eastAsia="Songti SC" w:cs="宋体"/>
          <w:sz w:val="20"/>
          <w:szCs w:val="20"/>
        </w:rPr>
        <w:t>美国国立卫生研究院显示，胰腺癌约占美国所有癌症的3%，</w:t>
      </w:r>
      <w:r>
        <w:rPr>
          <w:rFonts w:ascii="Songti SC" w:hAnsi="Songti SC" w:eastAsia="Songti SC" w:cs="宋体"/>
          <w:color w:val="4472C4" w:themeColor="accent1"/>
          <w:sz w:val="20"/>
          <w:szCs w:val="20"/>
          <w14:textFill>
            <w14:solidFill>
              <w14:schemeClr w14:val="accent1"/>
            </w14:solidFill>
          </w14:textFill>
        </w:rPr>
        <w:t>2021年估计有60,430例新发病例和48,220人死亡</w:t>
      </w:r>
      <w:r>
        <w:rPr>
          <w:rFonts w:ascii="Songti SC" w:hAnsi="Songti SC" w:eastAsia="Songti SC" w:cs="宋体"/>
          <w:sz w:val="20"/>
          <w:szCs w:val="20"/>
        </w:rPr>
        <w:t>。值得注意的是，</w:t>
      </w:r>
      <w:r>
        <w:rPr>
          <w:rFonts w:hint="eastAsia" w:ascii="Songti SC" w:hAnsi="Songti SC" w:eastAsia="Songti SC" w:cs="宋体"/>
          <w:sz w:val="20"/>
          <w:szCs w:val="20"/>
          <w:lang w:val="en-US"/>
        </w:rPr>
        <w:t>5</w:t>
      </w:r>
      <w:r>
        <w:rPr>
          <w:rFonts w:ascii="Songti SC" w:hAnsi="Songti SC" w:eastAsia="Songti SC" w:cs="宋体"/>
          <w:sz w:val="20"/>
          <w:szCs w:val="20"/>
        </w:rPr>
        <w:t>年生存率徘徊</w:t>
      </w:r>
      <w:r>
        <w:rPr>
          <w:rFonts w:hint="eastAsia" w:ascii="Songti SC" w:hAnsi="Songti SC" w:eastAsia="Songti SC" w:cs="宋体"/>
          <w:sz w:val="20"/>
          <w:szCs w:val="20"/>
          <w:lang w:val="en-US"/>
        </w:rPr>
        <w:t>在</w:t>
      </w:r>
      <w:r>
        <w:rPr>
          <w:rFonts w:ascii="Songti SC" w:hAnsi="Songti SC" w:eastAsia="Songti SC" w:cs="宋体"/>
          <w:sz w:val="20"/>
          <w:szCs w:val="20"/>
        </w:rPr>
        <w:t>10%左右，这强调了在早期发现和治疗方式方面的进步的紧迫性。</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r>
        <w:rPr>
          <w:rFonts w:ascii="Songti SC" w:hAnsi="Songti SC" w:eastAsia="Songti SC" w:cs="宋体"/>
          <w:sz w:val="20"/>
          <w:szCs w:val="20"/>
        </w:rPr>
        <w:t>在日本，胰腺癌的患病率正在上升，该疾病是癌症相关死亡的第五大原因。每10万人的年龄标准化发病率稳步上升，达到了一个令人担忧的水平，需要提高认识和采取研究行动。</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r>
        <w:rPr>
          <w:rFonts w:ascii="Songti SC" w:hAnsi="Songti SC" w:eastAsia="Songti SC" w:cs="宋体"/>
          <w:sz w:val="20"/>
          <w:szCs w:val="20"/>
        </w:rPr>
        <w:t>据中国疾病预防控制中心（中国CDC）报道，中国面临着日益严重的胰腺癌负担。快速的城市化和生活方式的改变导致了发病率的上升，迫使卫生保健当局应对这种恶性肿瘤带来的多方面挑战。</w:t>
      </w:r>
      <w:r>
        <w:rPr>
          <w:rFonts w:hint="eastAsia" w:ascii="Songti SC" w:hAnsi="Songti SC" w:eastAsia="Songti SC" w:cs="宋体"/>
          <w:sz w:val="20"/>
          <w:szCs w:val="20"/>
        </w:rPr>
        <w:t>中国胰腺癌患病人数由</w:t>
      </w:r>
      <w:r>
        <w:rPr>
          <w:rFonts w:ascii="Songti SC" w:hAnsi="Songti SC" w:eastAsia="Songti SC" w:cs="宋体"/>
          <w:sz w:val="20"/>
          <w:szCs w:val="20"/>
        </w:rPr>
        <w:t xml:space="preserve"> 2016</w:t>
      </w:r>
      <w:r>
        <w:rPr>
          <w:rFonts w:hint="eastAsia" w:ascii="Songti SC" w:hAnsi="Songti SC" w:eastAsia="Songti SC" w:cs="宋体"/>
          <w:sz w:val="20"/>
          <w:szCs w:val="20"/>
        </w:rPr>
        <w:t>年的</w:t>
      </w:r>
      <w:r>
        <w:rPr>
          <w:rFonts w:ascii="Songti SC" w:hAnsi="Songti SC" w:eastAsia="Songti SC" w:cs="宋体"/>
          <w:sz w:val="20"/>
          <w:szCs w:val="20"/>
        </w:rPr>
        <w:t xml:space="preserve"> 9.8</w:t>
      </w:r>
      <w:r>
        <w:rPr>
          <w:rFonts w:hint="eastAsia" w:ascii="Songti SC" w:hAnsi="Songti SC" w:eastAsia="Songti SC" w:cs="宋体"/>
          <w:sz w:val="20"/>
          <w:szCs w:val="20"/>
        </w:rPr>
        <w:t>万人增至</w:t>
      </w:r>
      <w:r>
        <w:rPr>
          <w:rFonts w:ascii="Songti SC" w:hAnsi="Songti SC" w:eastAsia="Songti SC" w:cs="宋体"/>
          <w:sz w:val="20"/>
          <w:szCs w:val="20"/>
        </w:rPr>
        <w:t xml:space="preserve"> 2022</w:t>
      </w:r>
      <w:r>
        <w:rPr>
          <w:rFonts w:hint="eastAsia" w:ascii="Songti SC" w:hAnsi="Songti SC" w:eastAsia="Songti SC" w:cs="宋体"/>
          <w:sz w:val="20"/>
          <w:szCs w:val="20"/>
        </w:rPr>
        <w:t>年的</w:t>
      </w:r>
      <w:r>
        <w:rPr>
          <w:rFonts w:ascii="Songti SC" w:hAnsi="Songti SC" w:eastAsia="Songti SC" w:cs="宋体"/>
          <w:sz w:val="20"/>
          <w:szCs w:val="20"/>
        </w:rPr>
        <w:t>11.9</w:t>
      </w:r>
      <w:r>
        <w:rPr>
          <w:rFonts w:hint="eastAsia" w:ascii="Songti SC" w:hAnsi="Songti SC" w:eastAsia="Songti SC" w:cs="宋体"/>
          <w:sz w:val="20"/>
          <w:szCs w:val="20"/>
        </w:rPr>
        <w:t>万人，复合年增长率为</w:t>
      </w:r>
      <w:r>
        <w:rPr>
          <w:rFonts w:ascii="Songti SC" w:hAnsi="Songti SC" w:eastAsia="Songti SC" w:cs="宋体"/>
          <w:sz w:val="20"/>
          <w:szCs w:val="20"/>
        </w:rPr>
        <w:t>3.3%</w:t>
      </w:r>
      <w:r>
        <w:rPr>
          <w:rFonts w:hint="eastAsia" w:ascii="Songti SC" w:hAnsi="Songti SC" w:eastAsia="Songti SC" w:cs="宋体"/>
          <w:sz w:val="20"/>
          <w:szCs w:val="20"/>
        </w:rPr>
        <w:t>。预计于</w:t>
      </w:r>
      <w:r>
        <w:rPr>
          <w:rFonts w:ascii="Songti SC" w:hAnsi="Songti SC" w:eastAsia="Songti SC" w:cs="宋体"/>
          <w:sz w:val="20"/>
          <w:szCs w:val="20"/>
        </w:rPr>
        <w:t>2024</w:t>
      </w:r>
      <w:r>
        <w:rPr>
          <w:rFonts w:hint="eastAsia" w:ascii="Songti SC" w:hAnsi="Songti SC" w:eastAsia="Songti SC" w:cs="宋体"/>
          <w:sz w:val="20"/>
          <w:szCs w:val="20"/>
        </w:rPr>
        <w:t>年将增加至</w:t>
      </w:r>
      <w:r>
        <w:rPr>
          <w:rFonts w:ascii="Songti SC" w:hAnsi="Songti SC" w:eastAsia="Songti SC" w:cs="宋体"/>
          <w:sz w:val="20"/>
          <w:szCs w:val="20"/>
        </w:rPr>
        <w:t>12.7</w:t>
      </w:r>
      <w:r>
        <w:rPr>
          <w:rFonts w:hint="eastAsia" w:ascii="Songti SC" w:hAnsi="Songti SC" w:eastAsia="Songti SC" w:cs="宋体"/>
          <w:sz w:val="20"/>
          <w:szCs w:val="20"/>
        </w:rPr>
        <w:t>万人，并进一步增加至</w:t>
      </w:r>
      <w:r>
        <w:rPr>
          <w:rFonts w:ascii="Songti SC" w:hAnsi="Songti SC" w:eastAsia="Songti SC" w:cs="宋体"/>
          <w:sz w:val="20"/>
          <w:szCs w:val="20"/>
        </w:rPr>
        <w:t>2030</w:t>
      </w:r>
      <w:r>
        <w:rPr>
          <w:rFonts w:hint="eastAsia" w:ascii="Songti SC" w:hAnsi="Songti SC" w:eastAsia="Songti SC" w:cs="宋体"/>
          <w:sz w:val="20"/>
          <w:szCs w:val="20"/>
        </w:rPr>
        <w:t>年的</w:t>
      </w:r>
      <w:r>
        <w:rPr>
          <w:rFonts w:ascii="Songti SC" w:hAnsi="Songti SC" w:eastAsia="Songti SC" w:cs="宋体"/>
          <w:sz w:val="20"/>
          <w:szCs w:val="20"/>
        </w:rPr>
        <w:t>15.2</w:t>
      </w:r>
      <w:r>
        <w:rPr>
          <w:rFonts w:hint="eastAsia" w:ascii="Songti SC" w:hAnsi="Songti SC" w:eastAsia="Songti SC" w:cs="宋体"/>
          <w:sz w:val="20"/>
          <w:szCs w:val="20"/>
        </w:rPr>
        <w:t>万人，</w:t>
      </w:r>
      <w:r>
        <w:rPr>
          <w:rFonts w:ascii="Songti SC" w:hAnsi="Songti SC" w:eastAsia="Songti SC" w:cs="宋体"/>
          <w:sz w:val="20"/>
          <w:szCs w:val="20"/>
        </w:rPr>
        <w:t>2024</w:t>
      </w:r>
      <w:r>
        <w:rPr>
          <w:rFonts w:hint="eastAsia" w:ascii="Songti SC" w:hAnsi="Songti SC" w:eastAsia="Songti SC" w:cs="宋体"/>
          <w:sz w:val="20"/>
          <w:szCs w:val="20"/>
        </w:rPr>
        <w:t>年至</w:t>
      </w:r>
      <w:r>
        <w:rPr>
          <w:rFonts w:ascii="Songti SC" w:hAnsi="Songti SC" w:eastAsia="Songti SC" w:cs="宋体"/>
          <w:sz w:val="20"/>
          <w:szCs w:val="20"/>
        </w:rPr>
        <w:t>2030</w:t>
      </w:r>
      <w:r>
        <w:rPr>
          <w:rFonts w:hint="eastAsia" w:ascii="Songti SC" w:hAnsi="Songti SC" w:eastAsia="Songti SC" w:cs="宋体"/>
          <w:sz w:val="20"/>
          <w:szCs w:val="20"/>
        </w:rPr>
        <w:t>年的复合年增长率为</w:t>
      </w:r>
      <w:r>
        <w:rPr>
          <w:rFonts w:ascii="Songti SC" w:hAnsi="Songti SC" w:eastAsia="Songti SC" w:cs="宋体"/>
          <w:sz w:val="20"/>
          <w:szCs w:val="20"/>
        </w:rPr>
        <w:t>3.0%</w:t>
      </w:r>
      <w:r>
        <w:rPr>
          <w:rFonts w:hint="eastAsia" w:ascii="Songti SC" w:hAnsi="Songti SC" w:eastAsia="Songti SC" w:cs="宋体"/>
          <w:sz w:val="20"/>
          <w:szCs w:val="20"/>
        </w:rPr>
        <w:t>。</w:t>
      </w:r>
      <w:r>
        <w:rPr>
          <w:rFonts w:ascii="Songti SC" w:hAnsi="Songti SC" w:eastAsia="Songti SC" w:cs="宋体"/>
          <w:sz w:val="20"/>
          <w:szCs w:val="20"/>
        </w:rPr>
        <w:t>2022</w:t>
      </w:r>
      <w:r>
        <w:rPr>
          <w:rFonts w:hint="eastAsia" w:ascii="Songti SC" w:hAnsi="Songti SC" w:eastAsia="Songti SC" w:cs="宋体"/>
          <w:sz w:val="20"/>
          <w:szCs w:val="20"/>
        </w:rPr>
        <w:t>年，全球胰腺癌发病人数达到约</w:t>
      </w:r>
      <w:r>
        <w:rPr>
          <w:rFonts w:ascii="Songti SC" w:hAnsi="Songti SC" w:eastAsia="Songti SC" w:cs="宋体"/>
          <w:sz w:val="20"/>
          <w:szCs w:val="20"/>
        </w:rPr>
        <w:t>51.2</w:t>
      </w:r>
      <w:r>
        <w:rPr>
          <w:rFonts w:hint="eastAsia" w:ascii="Songti SC" w:hAnsi="Songti SC" w:eastAsia="Songti SC" w:cs="宋体"/>
          <w:sz w:val="20"/>
          <w:szCs w:val="20"/>
        </w:rPr>
        <w:t>万人，预计于</w:t>
      </w:r>
      <w:r>
        <w:rPr>
          <w:rFonts w:ascii="Songti SC" w:hAnsi="Songti SC" w:eastAsia="Songti SC" w:cs="宋体"/>
          <w:sz w:val="20"/>
          <w:szCs w:val="20"/>
        </w:rPr>
        <w:t>2024</w:t>
      </w:r>
      <w:r>
        <w:rPr>
          <w:rFonts w:hint="eastAsia" w:ascii="Songti SC" w:hAnsi="Songti SC" w:eastAsia="Songti SC" w:cs="宋体"/>
          <w:sz w:val="20"/>
          <w:szCs w:val="20"/>
        </w:rPr>
        <w:t>年有望增长至</w:t>
      </w:r>
      <w:r>
        <w:rPr>
          <w:rFonts w:ascii="Songti SC" w:hAnsi="Songti SC" w:eastAsia="Songti SC" w:cs="宋体"/>
          <w:sz w:val="20"/>
          <w:szCs w:val="20"/>
        </w:rPr>
        <w:t>54.2</w:t>
      </w:r>
      <w:r>
        <w:rPr>
          <w:rFonts w:hint="eastAsia" w:ascii="Songti SC" w:hAnsi="Songti SC" w:eastAsia="Songti SC" w:cs="宋体"/>
          <w:sz w:val="20"/>
          <w:szCs w:val="20"/>
        </w:rPr>
        <w:t>万人，并进一步增至</w:t>
      </w:r>
      <w:r>
        <w:rPr>
          <w:rFonts w:ascii="Songti SC" w:hAnsi="Songti SC" w:eastAsia="Songti SC" w:cs="宋体"/>
          <w:sz w:val="20"/>
          <w:szCs w:val="20"/>
        </w:rPr>
        <w:t>2030</w:t>
      </w:r>
      <w:r>
        <w:rPr>
          <w:rFonts w:hint="eastAsia" w:ascii="Songti SC" w:hAnsi="Songti SC" w:eastAsia="Songti SC" w:cs="宋体"/>
          <w:sz w:val="20"/>
          <w:szCs w:val="20"/>
        </w:rPr>
        <w:t>年的</w:t>
      </w:r>
      <w:r>
        <w:rPr>
          <w:rFonts w:ascii="Songti SC" w:hAnsi="Songti SC" w:eastAsia="Songti SC" w:cs="宋体"/>
          <w:sz w:val="20"/>
          <w:szCs w:val="20"/>
        </w:rPr>
        <w:t>63.9</w:t>
      </w:r>
      <w:r>
        <w:rPr>
          <w:rFonts w:hint="eastAsia" w:ascii="Songti SC" w:hAnsi="Songti SC" w:eastAsia="Songti SC" w:cs="宋体"/>
          <w:sz w:val="20"/>
          <w:szCs w:val="20"/>
        </w:rPr>
        <w:t>万人。（数据来源：《胰腺癌诊疗指南（</w:t>
      </w:r>
      <w:r>
        <w:rPr>
          <w:rFonts w:ascii="Songti SC" w:hAnsi="Songti SC" w:eastAsia="Songti SC" w:cs="宋体"/>
          <w:sz w:val="20"/>
          <w:szCs w:val="20"/>
        </w:rPr>
        <w:t>2022</w:t>
      </w:r>
      <w:r>
        <w:rPr>
          <w:rFonts w:hint="eastAsia" w:ascii="Songti SC" w:hAnsi="Songti SC" w:eastAsia="Songti SC" w:cs="宋体"/>
          <w:sz w:val="20"/>
          <w:szCs w:val="20"/>
        </w:rPr>
        <w:t>年版）》，弗若斯特沙利文，西南证券整理）</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eastAsia" w:ascii="Songti SC" w:hAnsi="Songti SC" w:eastAsia="Songti SC"/>
          <w:sz w:val="20"/>
          <w:szCs w:val="20"/>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olor w:val="ED7D31" w:themeColor="accent2"/>
          <w:sz w:val="20"/>
          <w:szCs w:val="20"/>
          <w:u w:val="single"/>
          <w14:textFill>
            <w14:solidFill>
              <w14:schemeClr w14:val="accent2"/>
            </w14:solidFill>
          </w14:textFill>
        </w:rPr>
      </w:pPr>
      <w:r>
        <w:rPr>
          <w:rFonts w:ascii="Songti SC" w:hAnsi="Songti SC" w:eastAsia="Songti SC" w:cs="宋体"/>
          <w:color w:val="ED7D31" w:themeColor="accent2"/>
          <w:sz w:val="20"/>
          <w:szCs w:val="20"/>
          <w:u w:val="single"/>
          <w14:textFill>
            <w14:solidFill>
              <w14:schemeClr w14:val="accent2"/>
            </w14:solidFill>
          </w14:textFill>
        </w:rPr>
        <w:t>折线图：胰腺癌的患病率（占确诊人口的百分比）</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cs="宋体"/>
          <w:sz w:val="20"/>
          <w:szCs w:val="20"/>
        </w:rPr>
        <w:t>该图直观地描绘了多年来胰腺癌发病率的上升趋势。x轴表示年份，y轴表示确诊人口的百分比，该图表强调了全球胰腺癌病例的相关上升。此外，它还描述了欧洲、美国、日本和中国的具体趋势，提供了这种可怕疾病的演变景观的视觉叙述。</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eastAsia" w:ascii="Songti SC" w:hAnsi="Songti SC" w:eastAsia="Songti SC"/>
          <w:sz w:val="20"/>
          <w:szCs w:val="20"/>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eastAsia" w:ascii="Songti SC" w:hAnsi="Songti SC" w:eastAsia="Songti SC"/>
          <w:sz w:val="20"/>
          <w:szCs w:val="20"/>
        </w:rPr>
      </w:pPr>
      <w:r>
        <w:rPr>
          <w:rFonts w:hint="eastAsia" w:ascii="Songti SC" w:hAnsi="Songti SC" w:eastAsia="Songti SC" w:cs="宋体"/>
          <w:sz w:val="20"/>
          <w:szCs w:val="20"/>
          <w:highlight w:val="yellow"/>
        </w:rPr>
        <w:t>二、</w:t>
      </w:r>
      <w:r>
        <w:rPr>
          <w:rFonts w:ascii="Songti SC" w:hAnsi="Songti SC" w:eastAsia="Songti SC" w:cs="宋体"/>
          <w:sz w:val="20"/>
          <w:szCs w:val="20"/>
          <w:highlight w:val="yellow"/>
        </w:rPr>
        <w:t>胰腺癌的治疗前景和患者的发展趋势</w:t>
      </w:r>
    </w:p>
    <w:p>
      <w:pPr>
        <w:pStyle w:val="8"/>
        <w:keepNext w:val="0"/>
        <w:keepLines w:val="0"/>
        <w:pageBreakBefore w:val="0"/>
        <w:widowControl/>
        <w:numPr>
          <w:ilvl w:val="0"/>
          <w:numId w:val="1"/>
        </w:numPr>
        <w:kinsoku/>
        <w:wordWrap/>
        <w:overflowPunct/>
        <w:topLinePunct w:val="0"/>
        <w:autoSpaceDE/>
        <w:autoSpaceDN/>
        <w:bidi w:val="0"/>
        <w:adjustRightInd/>
        <w:snapToGrid/>
        <w:spacing w:line="360" w:lineRule="atLeast"/>
        <w:ind w:left="0"/>
        <w:textAlignment w:val="auto"/>
        <w:rPr>
          <w:rFonts w:ascii="Songti SC" w:hAnsi="Songti SC" w:eastAsia="Songti SC" w:cs="宋体"/>
          <w:sz w:val="20"/>
          <w:szCs w:val="20"/>
        </w:rPr>
      </w:pPr>
      <w:r>
        <w:rPr>
          <w:rFonts w:hint="eastAsia" w:ascii="Songti SC" w:hAnsi="Songti SC" w:eastAsia="Songti SC" w:cs="宋体"/>
          <w:sz w:val="20"/>
          <w:szCs w:val="20"/>
        </w:rPr>
        <w:t>治疗前景</w:t>
      </w:r>
    </w:p>
    <w:p>
      <w:pPr>
        <w:keepNext w:val="0"/>
        <w:keepLines w:val="0"/>
        <w:pageBreakBefore w:val="0"/>
        <w:widowControl/>
        <w:kinsoku/>
        <w:wordWrap/>
        <w:overflowPunct/>
        <w:topLinePunct w:val="0"/>
        <w:autoSpaceDE/>
        <w:autoSpaceDN/>
        <w:bidi w:val="0"/>
        <w:adjustRightInd/>
        <w:snapToGrid/>
        <w:spacing w:line="360" w:lineRule="atLeast"/>
        <w:textAlignment w:val="auto"/>
        <w:rPr>
          <w:rFonts w:hint="eastAsia" w:ascii="Songti SC" w:hAnsi="Songti SC" w:eastAsia="Songti SC"/>
          <w:sz w:val="20"/>
          <w:szCs w:val="20"/>
        </w:rPr>
      </w:pPr>
      <w:r>
        <w:rPr>
          <w:rFonts w:ascii="Songti SC" w:hAnsi="Songti SC" w:eastAsia="Songti SC" w:cs="宋体"/>
          <w:sz w:val="20"/>
          <w:szCs w:val="20"/>
        </w:rPr>
        <w:t>胰腺癌的治疗是一个复杂和多方面的过程，涉及不同的阶段和方式</w:t>
      </w:r>
      <w:r>
        <w:rPr>
          <w:rFonts w:hint="eastAsia" w:ascii="Songti SC" w:hAnsi="Songti SC" w:eastAsia="Songti SC" w:cs="宋体"/>
          <w:sz w:val="20"/>
          <w:szCs w:val="20"/>
        </w:rPr>
        <w:t>，</w:t>
      </w:r>
      <w:r>
        <w:rPr>
          <w:rFonts w:ascii="Songti SC" w:hAnsi="Songti SC" w:eastAsia="Songti SC" w:cs="宋体"/>
          <w:sz w:val="20"/>
          <w:szCs w:val="20"/>
        </w:rPr>
        <w:t>可以被描绘成关键阶段：</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cs="宋体"/>
          <w:sz w:val="20"/>
          <w:szCs w:val="20"/>
        </w:rPr>
        <w:t>1.诊断和分期：</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r>
        <w:rPr>
          <w:rFonts w:ascii="Songti SC" w:hAnsi="Songti SC" w:eastAsia="Songti SC" w:cs="宋体"/>
          <w:sz w:val="20"/>
          <w:szCs w:val="20"/>
        </w:rPr>
        <w:t>早期诊断仍然是一个挑战，往往是由于缺乏特定的症状。症状不典型，位于深处难以察觉，缺乏有效筛查方法，症状与其他疾病相似，以及癌症生长迅速，使得在症状出现时已经晚期。这些因素使早期胰腺癌难以及时发现和诊断。影像学研究、活检和血液测试有助于诊断。分期决定了疾病的程度，指导随后的治疗决定。</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r>
        <w:rPr>
          <w:sz w:val="20"/>
          <w:szCs w:val="20"/>
        </w:rPr>
        <w:drawing>
          <wp:inline distT="0" distB="0" distL="114300" distR="114300">
            <wp:extent cx="5940425" cy="2099945"/>
            <wp:effectExtent l="0" t="0" r="317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940425" cy="209994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r>
        <w:rPr>
          <w:rFonts w:ascii="Songti SC" w:hAnsi="Songti SC" w:eastAsia="Songti SC" w:cs="宋体"/>
          <w:sz w:val="20"/>
          <w:szCs w:val="20"/>
        </w:rPr>
        <w:t>胰腺癌常见的分期系统，主要是根据美国癌症协会（American Joint Committee on Cancer，简称AJCC）的TNM分期系统。</w:t>
      </w:r>
    </w:p>
    <w:tbl>
      <w:tblPr>
        <w:tblStyle w:val="4"/>
        <w:tblW w:w="7755"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autofit"/>
        <w:tblCellMar>
          <w:top w:w="15" w:type="dxa"/>
          <w:left w:w="15" w:type="dxa"/>
          <w:bottom w:w="15" w:type="dxa"/>
          <w:right w:w="15" w:type="dxa"/>
        </w:tblCellMar>
      </w:tblPr>
      <w:tblGrid>
        <w:gridCol w:w="45"/>
        <w:gridCol w:w="3139"/>
        <w:gridCol w:w="1225"/>
        <w:gridCol w:w="1326"/>
        <w:gridCol w:w="523"/>
        <w:gridCol w:w="1497"/>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gridBefore w:val="1"/>
          <w:gridAfter w:val="2"/>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kern w:val="2"/>
                <w:sz w:val="20"/>
                <w:szCs w:val="20"/>
                <w14:ligatures w14:val="standardContextual"/>
              </w:rPr>
            </w:pPr>
            <w:r>
              <w:rPr>
                <w:rFonts w:ascii="Songti SC" w:hAnsi="Songti SC" w:eastAsia="Songti SC" w:cs="宋体"/>
                <w:kern w:val="2"/>
                <w:sz w:val="20"/>
                <w:szCs w:val="20"/>
                <w14:ligatures w14:val="standardContextual"/>
              </w:rPr>
              <w:t>分期</w:t>
            </w:r>
          </w:p>
        </w:tc>
        <w:tc>
          <w:tcPr>
            <w:tcW w:w="0" w:type="auto"/>
            <w:gridSpan w:val="2"/>
            <w:tcBorders>
              <w:top w:val="single" w:color="D9D9E3" w:sz="6" w:space="0"/>
              <w:left w:val="single" w:color="D9D9E3" w:sz="6" w:space="0"/>
              <w:bottom w:val="single" w:color="D9D9E3" w:sz="6" w:space="0"/>
              <w:right w:val="single" w:color="D9D9E3" w:sz="6"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kern w:val="2"/>
                <w:sz w:val="20"/>
                <w:szCs w:val="20"/>
                <w14:ligatures w14:val="standardContextual"/>
              </w:rPr>
            </w:pPr>
            <w:r>
              <w:rPr>
                <w:rFonts w:ascii="Songti SC" w:hAnsi="Songti SC" w:eastAsia="Songti SC" w:cs="宋体"/>
                <w:kern w:val="2"/>
                <w:sz w:val="20"/>
                <w:szCs w:val="20"/>
                <w14:ligatures w14:val="standardContextual"/>
              </w:rPr>
              <w:t>描述</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gridBefore w:val="1"/>
          <w:gridAfter w:val="2"/>
          <w:tblCellSpacing w:w="15" w:type="dxa"/>
          <w:jc w:val="center"/>
        </w:trPr>
        <w:tc>
          <w:tcPr>
            <w:tcW w:w="0" w:type="auto"/>
            <w:tcBorders>
              <w:top w:val="single" w:color="D9D9E3" w:sz="2"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kern w:val="2"/>
                <w:sz w:val="20"/>
                <w:szCs w:val="20"/>
                <w14:ligatures w14:val="standardContextual"/>
              </w:rPr>
            </w:pPr>
            <w:r>
              <w:rPr>
                <w:rFonts w:ascii="Songti SC" w:hAnsi="Songti SC" w:eastAsia="Songti SC" w:cs="宋体"/>
                <w:kern w:val="2"/>
                <w:sz w:val="20"/>
                <w:szCs w:val="20"/>
                <w14:ligatures w14:val="standardContextual"/>
              </w:rPr>
              <w:t>0期</w:t>
            </w:r>
          </w:p>
        </w:tc>
        <w:tc>
          <w:tcPr>
            <w:tcW w:w="0" w:type="auto"/>
            <w:gridSpan w:val="2"/>
            <w:tcBorders>
              <w:top w:val="single" w:color="D9D9E3" w:sz="2" w:space="0"/>
              <w:left w:val="single" w:color="D9D9E3" w:sz="6" w:space="0"/>
              <w:bottom w:val="single" w:color="D9D9E3" w:sz="6" w:space="0"/>
              <w:right w:val="single" w:color="D9D9E3" w:sz="6"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kern w:val="2"/>
                <w:sz w:val="20"/>
                <w:szCs w:val="20"/>
                <w14:ligatures w14:val="standardContextual"/>
              </w:rPr>
            </w:pPr>
            <w:r>
              <w:rPr>
                <w:rFonts w:ascii="Songti SC" w:hAnsi="Songti SC" w:eastAsia="Songti SC" w:cs="宋体"/>
                <w:kern w:val="2"/>
                <w:sz w:val="20"/>
                <w:szCs w:val="20"/>
                <w14:ligatures w14:val="standardContextual"/>
              </w:rPr>
              <w:t>原位癌，没有侵犯胰腺以外的结构</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gridBefore w:val="1"/>
          <w:gridAfter w:val="2"/>
          <w:tblCellSpacing w:w="15" w:type="dxa"/>
          <w:jc w:val="center"/>
        </w:trPr>
        <w:tc>
          <w:tcPr>
            <w:tcW w:w="0" w:type="auto"/>
            <w:tcBorders>
              <w:top w:val="single" w:color="D9D9E3" w:sz="2"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kern w:val="2"/>
                <w:sz w:val="20"/>
                <w:szCs w:val="20"/>
                <w14:ligatures w14:val="standardContextual"/>
              </w:rPr>
            </w:pPr>
            <w:r>
              <w:rPr>
                <w:rFonts w:ascii="Songti SC" w:hAnsi="Songti SC" w:eastAsia="Songti SC" w:cs="宋体"/>
                <w:kern w:val="2"/>
                <w:sz w:val="20"/>
                <w:szCs w:val="20"/>
                <w14:ligatures w14:val="standardContextual"/>
              </w:rPr>
              <w:t>I期</w:t>
            </w:r>
          </w:p>
        </w:tc>
        <w:tc>
          <w:tcPr>
            <w:tcW w:w="0" w:type="auto"/>
            <w:gridSpan w:val="2"/>
            <w:tcBorders>
              <w:top w:val="single" w:color="D9D9E3" w:sz="2" w:space="0"/>
              <w:left w:val="single" w:color="D9D9E3" w:sz="6" w:space="0"/>
              <w:bottom w:val="single" w:color="D9D9E3" w:sz="6" w:space="0"/>
              <w:right w:val="single" w:color="D9D9E3" w:sz="6"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kern w:val="2"/>
                <w:sz w:val="20"/>
                <w:szCs w:val="20"/>
                <w14:ligatures w14:val="standardContextual"/>
              </w:rPr>
            </w:pPr>
            <w:r>
              <w:rPr>
                <w:rFonts w:ascii="Songti SC" w:hAnsi="Songti SC" w:eastAsia="Songti SC" w:cs="宋体"/>
                <w:kern w:val="2"/>
                <w:sz w:val="20"/>
                <w:szCs w:val="20"/>
                <w14:ligatures w14:val="standardContextual"/>
              </w:rPr>
              <w:t>肿瘤仅限于胰腺，没有扩散到邻近组织或淋巴结</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gridBefore w:val="1"/>
          <w:gridAfter w:val="2"/>
          <w:tblCellSpacing w:w="15" w:type="dxa"/>
          <w:jc w:val="center"/>
        </w:trPr>
        <w:tc>
          <w:tcPr>
            <w:tcW w:w="0" w:type="auto"/>
            <w:tcBorders>
              <w:top w:val="single" w:color="D9D9E3" w:sz="2"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kern w:val="2"/>
                <w:sz w:val="20"/>
                <w:szCs w:val="20"/>
                <w14:ligatures w14:val="standardContextual"/>
              </w:rPr>
            </w:pPr>
            <w:r>
              <w:rPr>
                <w:rFonts w:ascii="Songti SC" w:hAnsi="Songti SC" w:eastAsia="Songti SC" w:cs="宋体"/>
                <w:kern w:val="2"/>
                <w:sz w:val="20"/>
                <w:szCs w:val="20"/>
                <w14:ligatures w14:val="standardContextual"/>
              </w:rPr>
              <w:t>II期</w:t>
            </w:r>
          </w:p>
        </w:tc>
        <w:tc>
          <w:tcPr>
            <w:tcW w:w="0" w:type="auto"/>
            <w:gridSpan w:val="2"/>
            <w:tcBorders>
              <w:top w:val="single" w:color="D9D9E3" w:sz="2" w:space="0"/>
              <w:left w:val="single" w:color="D9D9E3" w:sz="6" w:space="0"/>
              <w:bottom w:val="single" w:color="D9D9E3" w:sz="6" w:space="0"/>
              <w:right w:val="single" w:color="D9D9E3" w:sz="6"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kern w:val="2"/>
                <w:sz w:val="20"/>
                <w:szCs w:val="20"/>
                <w14:ligatures w14:val="standardContextual"/>
              </w:rPr>
            </w:pPr>
            <w:r>
              <w:rPr>
                <w:rFonts w:ascii="Songti SC" w:hAnsi="Songti SC" w:eastAsia="Songti SC" w:cs="宋体"/>
                <w:kern w:val="2"/>
                <w:sz w:val="20"/>
                <w:szCs w:val="20"/>
                <w14:ligatures w14:val="standardContextual"/>
              </w:rPr>
              <w:t>肿瘤扩散到附近组织，但仍局限于胰腺区域</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gridBefore w:val="1"/>
          <w:gridAfter w:val="2"/>
          <w:tblCellSpacing w:w="15" w:type="dxa"/>
          <w:jc w:val="center"/>
        </w:trPr>
        <w:tc>
          <w:tcPr>
            <w:tcW w:w="0" w:type="auto"/>
            <w:tcBorders>
              <w:top w:val="single" w:color="D9D9E3" w:sz="2"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kern w:val="2"/>
                <w:sz w:val="20"/>
                <w:szCs w:val="20"/>
                <w14:ligatures w14:val="standardContextual"/>
              </w:rPr>
            </w:pPr>
            <w:r>
              <w:rPr>
                <w:rFonts w:ascii="Songti SC" w:hAnsi="Songti SC" w:eastAsia="Songti SC" w:cs="宋体"/>
                <w:kern w:val="2"/>
                <w:sz w:val="20"/>
                <w:szCs w:val="20"/>
                <w14:ligatures w14:val="standardContextual"/>
              </w:rPr>
              <w:t>III期</w:t>
            </w:r>
          </w:p>
        </w:tc>
        <w:tc>
          <w:tcPr>
            <w:tcW w:w="0" w:type="auto"/>
            <w:gridSpan w:val="2"/>
            <w:tcBorders>
              <w:top w:val="single" w:color="D9D9E3" w:sz="2" w:space="0"/>
              <w:left w:val="single" w:color="D9D9E3" w:sz="6" w:space="0"/>
              <w:bottom w:val="single" w:color="D9D9E3" w:sz="6" w:space="0"/>
              <w:right w:val="single" w:color="D9D9E3" w:sz="6"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kern w:val="2"/>
                <w:sz w:val="20"/>
                <w:szCs w:val="20"/>
                <w14:ligatures w14:val="standardContextual"/>
              </w:rPr>
            </w:pPr>
            <w:r>
              <w:rPr>
                <w:rFonts w:ascii="Songti SC" w:hAnsi="Songti SC" w:eastAsia="Songti SC" w:cs="宋体"/>
                <w:kern w:val="2"/>
                <w:sz w:val="20"/>
                <w:szCs w:val="20"/>
                <w14:ligatures w14:val="standardContextual"/>
              </w:rPr>
              <w:t>肿瘤侵犯邻近大血管或淋巴结，但尚未扩散到远处结构</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gridBefore w:val="1"/>
          <w:gridAfter w:val="2"/>
          <w:tblCellSpacing w:w="15" w:type="dxa"/>
          <w:jc w:val="center"/>
        </w:trPr>
        <w:tc>
          <w:tcPr>
            <w:tcW w:w="0" w:type="auto"/>
            <w:tcBorders>
              <w:top w:val="single" w:color="D9D9E3" w:sz="2" w:space="0"/>
              <w:left w:val="single" w:color="D9D9E3" w:sz="6" w:space="0"/>
              <w:bottom w:val="single" w:color="D9D9E3" w:sz="2"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kern w:val="2"/>
                <w:sz w:val="20"/>
                <w:szCs w:val="20"/>
                <w14:ligatures w14:val="standardContextual"/>
              </w:rPr>
            </w:pPr>
            <w:r>
              <w:rPr>
                <w:rFonts w:ascii="Songti SC" w:hAnsi="Songti SC" w:eastAsia="Songti SC" w:cs="宋体"/>
                <w:kern w:val="2"/>
                <w:sz w:val="20"/>
                <w:szCs w:val="20"/>
                <w14:ligatures w14:val="standardContextual"/>
              </w:rPr>
              <w:t>IV期</w:t>
            </w:r>
          </w:p>
        </w:tc>
        <w:tc>
          <w:tcPr>
            <w:tcW w:w="0" w:type="auto"/>
            <w:gridSpan w:val="2"/>
            <w:tcBorders>
              <w:top w:val="single" w:color="D9D9E3" w:sz="2" w:space="0"/>
              <w:left w:val="single" w:color="D9D9E3" w:sz="6" w:space="0"/>
              <w:bottom w:val="single" w:color="D9D9E3" w:sz="2" w:space="0"/>
              <w:right w:val="single" w:color="D9D9E3" w:sz="6"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kern w:val="2"/>
                <w:sz w:val="20"/>
                <w:szCs w:val="20"/>
                <w14:ligatures w14:val="standardContextual"/>
              </w:rPr>
            </w:pPr>
            <w:r>
              <w:rPr>
                <w:rFonts w:ascii="Songti SC" w:hAnsi="Songti SC" w:eastAsia="Songti SC" w:cs="宋体"/>
                <w:kern w:val="2"/>
                <w:sz w:val="20"/>
                <w:szCs w:val="20"/>
                <w14:ligatures w14:val="standardContextual"/>
              </w:rPr>
              <w:t>肿瘤扩散到远处器官，如肝脏、肺部等，属于晚期</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gridBefore w:val="1"/>
          <w:gridAfter w:val="2"/>
          <w:tblCellSpacing w:w="15" w:type="dxa"/>
          <w:jc w:val="center"/>
        </w:trPr>
        <w:tc>
          <w:tcPr>
            <w:tcW w:w="0" w:type="auto"/>
            <w:tcBorders>
              <w:top w:val="single" w:color="D9D9E3" w:sz="2"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kern w:val="2"/>
                <w:sz w:val="20"/>
                <w:szCs w:val="20"/>
                <w14:ligatures w14:val="standardContextual"/>
              </w:rPr>
            </w:pPr>
          </w:p>
        </w:tc>
        <w:tc>
          <w:tcPr>
            <w:tcW w:w="0" w:type="auto"/>
            <w:gridSpan w:val="2"/>
            <w:tcBorders>
              <w:top w:val="single" w:color="D9D9E3" w:sz="2" w:space="0"/>
              <w:left w:val="single" w:color="D9D9E3" w:sz="6" w:space="0"/>
              <w:bottom w:val="single" w:color="D9D9E3" w:sz="6" w:space="0"/>
              <w:right w:val="single" w:color="D9D9E3" w:sz="6"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kern w:val="2"/>
                <w:sz w:val="20"/>
                <w:szCs w:val="20"/>
                <w14:ligatures w14:val="standardContextu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5" w:hRule="atLeast"/>
        </w:trPr>
        <w:tc>
          <w:tcPr>
            <w:tcW w:w="5000" w:type="pct"/>
            <w:gridSpan w:val="6"/>
            <w:tcBorders>
              <w:top w:val="single" w:color="000000" w:sz="4" w:space="0"/>
              <w:left w:val="single" w:color="000000" w:sz="4" w:space="0"/>
              <w:bottom w:val="single" w:color="000000" w:sz="4" w:space="0"/>
              <w:right w:val="single" w:color="000000" w:sz="4" w:space="0"/>
            </w:tcBorders>
            <w:shd w:val="clear" w:color="auto" w:fill="C20B19"/>
            <w:vAlign w:val="center"/>
          </w:tcPr>
          <w:p>
            <w:pPr>
              <w:keepNext w:val="0"/>
              <w:keepLines w:val="0"/>
              <w:widowControl/>
              <w:suppressLineNumbers w:val="0"/>
              <w:jc w:val="center"/>
              <w:textAlignment w:val="center"/>
              <w:rPr>
                <w:rFonts w:ascii="Arial" w:hAnsi="Arial" w:cs="Arial"/>
                <w:i w:val="0"/>
                <w:iCs w:val="0"/>
                <w:color w:val="000000"/>
                <w:sz w:val="20"/>
                <w:szCs w:val="20"/>
                <w:u w:val="none"/>
              </w:rPr>
            </w:pPr>
            <w:r>
              <w:rPr>
                <w:rStyle w:val="16"/>
                <w:sz w:val="20"/>
                <w:szCs w:val="20"/>
                <w:lang w:val="en-US" w:eastAsia="zh-CN" w:bidi="ar"/>
              </w:rPr>
              <w:t>胰腺癌TNM分期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50" w:hRule="atLeast"/>
        </w:trPr>
        <w:tc>
          <w:tcPr>
            <w:tcW w:w="1070" w:type="pct"/>
            <w:gridSpan w:val="2"/>
            <w:vMerge w:val="restart"/>
            <w:tcBorders>
              <w:top w:val="single" w:color="000000" w:sz="4" w:space="0"/>
              <w:left w:val="single" w:color="000000" w:sz="4" w:space="0"/>
              <w:bottom w:val="single" w:color="000000" w:sz="4" w:space="0"/>
              <w:right w:val="single" w:color="000000" w:sz="4" w:space="0"/>
              <w:tl2br w:val="single" w:color="000000" w:sz="4" w:space="0"/>
            </w:tcBorders>
            <w:shd w:val="clear" w:color="auto" w:fill="EDEBE0"/>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Style w:val="17"/>
                <w:sz w:val="20"/>
                <w:szCs w:val="20"/>
                <w:lang w:val="en-US" w:eastAsia="zh-CN" w:bidi="ar"/>
              </w:rPr>
              <w:t xml:space="preserve">          转移情况</w:t>
            </w:r>
            <w:r>
              <w:rPr>
                <w:rStyle w:val="17"/>
                <w:sz w:val="20"/>
                <w:szCs w:val="20"/>
                <w:lang w:val="en-US" w:eastAsia="zh-CN" w:bidi="ar"/>
              </w:rPr>
              <w:br w:type="textWrapping"/>
            </w:r>
            <w:r>
              <w:rPr>
                <w:rStyle w:val="18"/>
                <w:rFonts w:eastAsia="宋体"/>
                <w:sz w:val="20"/>
                <w:szCs w:val="20"/>
                <w:lang w:val="en-US" w:eastAsia="zh-CN" w:bidi="ar"/>
              </w:rPr>
              <w:br w:type="textWrapping"/>
            </w:r>
            <w:r>
              <w:rPr>
                <w:rStyle w:val="17"/>
                <w:sz w:val="20"/>
                <w:szCs w:val="20"/>
                <w:lang w:val="en-US" w:eastAsia="zh-CN" w:bidi="ar"/>
              </w:rPr>
              <w:t>原发肿瘤T</w:t>
            </w:r>
          </w:p>
        </w:tc>
        <w:tc>
          <w:tcPr>
            <w:tcW w:w="2882" w:type="pct"/>
            <w:gridSpan w:val="3"/>
            <w:tcBorders>
              <w:top w:val="single" w:color="000000" w:sz="4" w:space="0"/>
              <w:left w:val="single" w:color="000000" w:sz="4" w:space="0"/>
              <w:bottom w:val="single" w:color="000000" w:sz="4" w:space="0"/>
              <w:right w:val="single" w:color="000000" w:sz="4" w:space="0"/>
            </w:tcBorders>
            <w:shd w:val="clear" w:color="auto" w:fill="EDECE1"/>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Style w:val="17"/>
                <w:sz w:val="20"/>
                <w:szCs w:val="20"/>
                <w:lang w:val="en-US" w:eastAsia="zh-CN" w:bidi="ar"/>
              </w:rPr>
              <w:t>MO</w:t>
            </w:r>
            <w:r>
              <w:rPr>
                <w:rStyle w:val="17"/>
                <w:sz w:val="20"/>
                <w:szCs w:val="20"/>
                <w:lang w:val="en-US" w:eastAsia="zh-CN" w:bidi="ar"/>
              </w:rPr>
              <w:br w:type="textWrapping"/>
            </w:r>
            <w:r>
              <w:rPr>
                <w:rStyle w:val="17"/>
                <w:sz w:val="20"/>
                <w:szCs w:val="20"/>
                <w:lang w:val="en-US" w:eastAsia="zh-CN" w:bidi="ar"/>
              </w:rPr>
              <w:t>(没有远处转移)</w:t>
            </w:r>
          </w:p>
        </w:tc>
        <w:tc>
          <w:tcPr>
            <w:tcW w:w="1046" w:type="pct"/>
            <w:vMerge w:val="restart"/>
            <w:tcBorders>
              <w:top w:val="single" w:color="000000" w:sz="4" w:space="0"/>
              <w:left w:val="single" w:color="000000" w:sz="4" w:space="0"/>
              <w:bottom w:val="single" w:color="000000" w:sz="4" w:space="0"/>
              <w:right w:val="single" w:color="000000" w:sz="4" w:space="0"/>
            </w:tcBorders>
            <w:shd w:val="clear" w:color="auto" w:fill="EDEBE0"/>
            <w:vAlign w:val="top"/>
          </w:tcPr>
          <w:p>
            <w:pPr>
              <w:keepNext w:val="0"/>
              <w:keepLines w:val="0"/>
              <w:widowControl/>
              <w:suppressLineNumbers w:val="0"/>
              <w:jc w:val="center"/>
              <w:textAlignment w:val="top"/>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br w:type="textWrapping"/>
            </w:r>
            <w:r>
              <w:rPr>
                <w:rFonts w:ascii="宋体" w:hAnsi="宋体" w:eastAsia="宋体" w:cs="宋体"/>
                <w:b/>
                <w:bCs/>
                <w:i w:val="0"/>
                <w:iCs w:val="0"/>
                <w:color w:val="000000"/>
                <w:kern w:val="0"/>
                <w:sz w:val="20"/>
                <w:szCs w:val="20"/>
                <w:u w:val="none"/>
                <w:lang w:val="en-US" w:eastAsia="zh-CN" w:bidi="ar"/>
              </w:rPr>
              <w:t>M1</w:t>
            </w:r>
            <w:r>
              <w:rPr>
                <w:rFonts w:ascii="宋体" w:hAnsi="宋体" w:eastAsia="宋体" w:cs="宋体"/>
                <w:b/>
                <w:bCs/>
                <w:i w:val="0"/>
                <w:iCs w:val="0"/>
                <w:color w:val="000000"/>
                <w:kern w:val="0"/>
                <w:sz w:val="20"/>
                <w:szCs w:val="20"/>
                <w:u w:val="none"/>
                <w:lang w:val="en-US" w:eastAsia="zh-CN" w:bidi="ar"/>
              </w:rPr>
              <w:br w:type="textWrapping"/>
            </w:r>
            <w:r>
              <w:rPr>
                <w:rFonts w:ascii="宋体" w:hAnsi="宋体" w:eastAsia="宋体" w:cs="宋体"/>
                <w:b/>
                <w:bCs/>
                <w:i w:val="0"/>
                <w:iCs w:val="0"/>
                <w:color w:val="000000"/>
                <w:kern w:val="0"/>
                <w:sz w:val="20"/>
                <w:szCs w:val="20"/>
                <w:u w:val="none"/>
                <w:lang w:val="en-US" w:eastAsia="zh-CN" w:bidi="ar"/>
              </w:rPr>
              <w:t>(有肝</w:t>
            </w:r>
            <w:r>
              <w:rPr>
                <w:rFonts w:ascii="宋体" w:hAnsi="宋体" w:eastAsia="宋体" w:cs="宋体"/>
                <w:b/>
                <w:bCs/>
                <w:i w:val="0"/>
                <w:iCs w:val="0"/>
                <w:color w:val="0058A5"/>
                <w:kern w:val="0"/>
                <w:sz w:val="20"/>
                <w:szCs w:val="20"/>
                <w:u w:val="none"/>
                <w:lang w:val="en-US" w:eastAsia="zh-CN" w:bidi="ar"/>
              </w:rPr>
              <w:t>、腹膜、肺</w:t>
            </w:r>
            <w:r>
              <w:rPr>
                <w:rFonts w:ascii="宋体" w:hAnsi="宋体" w:eastAsia="宋体" w:cs="宋体"/>
                <w:b/>
                <w:bCs/>
                <w:i w:val="0"/>
                <w:iCs w:val="0"/>
                <w:color w:val="000000"/>
                <w:kern w:val="0"/>
                <w:sz w:val="20"/>
                <w:szCs w:val="20"/>
                <w:u w:val="none"/>
                <w:lang w:val="en-US" w:eastAsia="zh-CN" w:bidi="ar"/>
              </w:rPr>
              <w:t>等</w:t>
            </w:r>
            <w:r>
              <w:rPr>
                <w:rFonts w:ascii="宋体" w:hAnsi="宋体" w:eastAsia="宋体" w:cs="宋体"/>
                <w:b/>
                <w:bCs/>
                <w:i w:val="0"/>
                <w:iCs w:val="0"/>
                <w:color w:val="000000"/>
                <w:kern w:val="0"/>
                <w:sz w:val="20"/>
                <w:szCs w:val="20"/>
                <w:u w:val="none"/>
                <w:lang w:val="en-US" w:eastAsia="zh-CN" w:bidi="ar"/>
              </w:rPr>
              <w:br w:type="textWrapping"/>
            </w:r>
            <w:r>
              <w:rPr>
                <w:rFonts w:ascii="宋体" w:hAnsi="宋体" w:eastAsia="宋体" w:cs="宋体"/>
                <w:b/>
                <w:bCs/>
                <w:i w:val="0"/>
                <w:iCs w:val="0"/>
                <w:color w:val="000000"/>
                <w:kern w:val="0"/>
                <w:sz w:val="20"/>
                <w:szCs w:val="20"/>
                <w:u w:val="none"/>
                <w:lang w:val="en-US" w:eastAsia="zh-CN" w:bidi="ar"/>
              </w:rPr>
              <w:t>远处转移，包括远处</w:t>
            </w:r>
            <w:r>
              <w:rPr>
                <w:rFonts w:ascii="宋体" w:hAnsi="宋体" w:eastAsia="宋体" w:cs="宋体"/>
                <w:b/>
                <w:bCs/>
                <w:i w:val="0"/>
                <w:iCs w:val="0"/>
                <w:color w:val="000000"/>
                <w:kern w:val="0"/>
                <w:sz w:val="20"/>
                <w:szCs w:val="20"/>
                <w:u w:val="none"/>
                <w:lang w:val="en-US" w:eastAsia="zh-CN" w:bidi="ar"/>
              </w:rPr>
              <w:br w:type="textWrapping"/>
            </w:r>
            <w:r>
              <w:rPr>
                <w:rFonts w:ascii="宋体" w:hAnsi="宋体" w:eastAsia="宋体" w:cs="宋体"/>
                <w:b/>
                <w:bCs/>
                <w:i w:val="0"/>
                <w:iCs w:val="0"/>
                <w:color w:val="000000"/>
                <w:kern w:val="0"/>
                <w:sz w:val="20"/>
                <w:szCs w:val="20"/>
                <w:u w:val="none"/>
                <w:lang w:val="en-US" w:eastAsia="zh-CN" w:bidi="ar"/>
              </w:rPr>
              <w:t>淋巴结转移)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0" w:hRule="atLeast"/>
        </w:trPr>
        <w:tc>
          <w:tcPr>
            <w:tcW w:w="1070" w:type="pct"/>
            <w:gridSpan w:val="2"/>
            <w:vMerge w:val="continue"/>
            <w:tcBorders>
              <w:top w:val="single" w:color="000000" w:sz="4" w:space="0"/>
              <w:left w:val="single" w:color="000000" w:sz="4" w:space="0"/>
              <w:bottom w:val="single" w:color="000000" w:sz="4" w:space="0"/>
              <w:right w:val="single" w:color="000000" w:sz="4" w:space="0"/>
              <w:tl2br w:val="single" w:color="000000" w:sz="4" w:space="0"/>
            </w:tcBorders>
            <w:shd w:val="clear" w:color="auto" w:fill="EDEBE0"/>
            <w:vAlign w:val="center"/>
          </w:tcPr>
          <w:p>
            <w:pPr>
              <w:jc w:val="left"/>
              <w:rPr>
                <w:rFonts w:hint="default" w:ascii="Arial" w:hAnsi="Arial" w:cs="Arial"/>
                <w:i w:val="0"/>
                <w:iCs w:val="0"/>
                <w:color w:val="000000"/>
                <w:sz w:val="20"/>
                <w:szCs w:val="20"/>
                <w:u w:val="none"/>
              </w:rPr>
            </w:pPr>
          </w:p>
        </w:tc>
        <w:tc>
          <w:tcPr>
            <w:tcW w:w="877" w:type="pct"/>
            <w:tcBorders>
              <w:top w:val="single" w:color="000000" w:sz="4" w:space="0"/>
              <w:left w:val="single" w:color="000000" w:sz="4" w:space="0"/>
              <w:bottom w:val="single" w:color="000000" w:sz="4" w:space="0"/>
              <w:right w:val="single" w:color="000000" w:sz="4" w:space="0"/>
            </w:tcBorders>
            <w:shd w:val="clear" w:color="auto" w:fill="EDEBE0"/>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Style w:val="17"/>
                <w:sz w:val="20"/>
                <w:szCs w:val="20"/>
                <w:lang w:val="en-US" w:eastAsia="zh-CN" w:bidi="ar"/>
              </w:rPr>
              <w:t>NO</w:t>
            </w:r>
            <w:r>
              <w:rPr>
                <w:rStyle w:val="17"/>
                <w:sz w:val="20"/>
                <w:szCs w:val="20"/>
                <w:lang w:val="en-US" w:eastAsia="zh-CN" w:bidi="ar"/>
              </w:rPr>
              <w:br w:type="textWrapping"/>
            </w:r>
            <w:r>
              <w:rPr>
                <w:rStyle w:val="17"/>
                <w:sz w:val="20"/>
                <w:szCs w:val="20"/>
                <w:lang w:val="en-US" w:eastAsia="zh-CN" w:bidi="ar"/>
              </w:rPr>
              <w:t>(无淋巴结转移)</w:t>
            </w:r>
          </w:p>
        </w:tc>
        <w:tc>
          <w:tcPr>
            <w:tcW w:w="944" w:type="pct"/>
            <w:tcBorders>
              <w:top w:val="single" w:color="000000" w:sz="4" w:space="0"/>
              <w:left w:val="single" w:color="000000" w:sz="4" w:space="0"/>
              <w:bottom w:val="single" w:color="000000" w:sz="4" w:space="0"/>
              <w:right w:val="single" w:color="000000" w:sz="4" w:space="0"/>
            </w:tcBorders>
            <w:shd w:val="clear" w:color="auto" w:fill="EDECE0"/>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Style w:val="17"/>
                <w:sz w:val="20"/>
                <w:szCs w:val="20"/>
                <w:lang w:val="en-US" w:eastAsia="zh-CN" w:bidi="ar"/>
              </w:rPr>
              <w:t xml:space="preserve">        N1</w:t>
            </w:r>
            <w:r>
              <w:rPr>
                <w:rStyle w:val="17"/>
                <w:sz w:val="20"/>
                <w:szCs w:val="20"/>
                <w:lang w:val="en-US" w:eastAsia="zh-CN" w:bidi="ar"/>
              </w:rPr>
              <w:br w:type="textWrapping"/>
            </w:r>
            <w:r>
              <w:rPr>
                <w:rStyle w:val="17"/>
                <w:sz w:val="20"/>
                <w:szCs w:val="20"/>
                <w:lang w:val="en-US" w:eastAsia="zh-CN" w:bidi="ar"/>
              </w:rPr>
              <w:t>(扩散到1-3个附近淋</w:t>
            </w:r>
            <w:r>
              <w:rPr>
                <w:rStyle w:val="17"/>
                <w:sz w:val="20"/>
                <w:szCs w:val="20"/>
                <w:lang w:val="en-US" w:eastAsia="zh-CN" w:bidi="ar"/>
              </w:rPr>
              <w:br w:type="textWrapping"/>
            </w:r>
            <w:r>
              <w:rPr>
                <w:rStyle w:val="17"/>
                <w:sz w:val="20"/>
                <w:szCs w:val="20"/>
                <w:lang w:val="en-US" w:eastAsia="zh-CN" w:bidi="ar"/>
              </w:rPr>
              <w:t>巴结)</w:t>
            </w:r>
          </w:p>
        </w:tc>
        <w:tc>
          <w:tcPr>
            <w:tcW w:w="1059" w:type="pct"/>
            <w:tcBorders>
              <w:top w:val="single" w:color="000000" w:sz="4" w:space="0"/>
              <w:left w:val="single" w:color="000000" w:sz="4" w:space="0"/>
              <w:bottom w:val="single" w:color="000000" w:sz="4" w:space="0"/>
              <w:right w:val="single" w:color="000000" w:sz="4" w:space="0"/>
            </w:tcBorders>
            <w:shd w:val="clear" w:color="auto" w:fill="EDEBE0"/>
            <w:vAlign w:val="center"/>
          </w:tcPr>
          <w:p>
            <w:pPr>
              <w:keepNext w:val="0"/>
              <w:keepLines w:val="0"/>
              <w:widowControl/>
              <w:suppressLineNumbers w:val="0"/>
              <w:jc w:val="right"/>
              <w:textAlignment w:val="center"/>
              <w:rPr>
                <w:rFonts w:hint="default" w:ascii="Arial" w:hAnsi="Arial" w:cs="Arial"/>
                <w:i w:val="0"/>
                <w:iCs w:val="0"/>
                <w:color w:val="000000"/>
                <w:sz w:val="20"/>
                <w:szCs w:val="20"/>
                <w:u w:val="none"/>
              </w:rPr>
            </w:pPr>
            <w:r>
              <w:rPr>
                <w:rStyle w:val="17"/>
                <w:sz w:val="20"/>
                <w:szCs w:val="20"/>
                <w:lang w:val="en-US" w:eastAsia="zh-CN" w:bidi="ar"/>
              </w:rPr>
              <w:t>N2</w:t>
            </w:r>
            <w:r>
              <w:rPr>
                <w:rStyle w:val="17"/>
                <w:sz w:val="20"/>
                <w:szCs w:val="20"/>
                <w:lang w:val="en-US" w:eastAsia="zh-CN" w:bidi="ar"/>
              </w:rPr>
              <w:br w:type="textWrapping"/>
            </w:r>
            <w:r>
              <w:rPr>
                <w:rFonts w:ascii="宋体" w:hAnsi="宋体" w:eastAsia="宋体" w:cs="宋体"/>
                <w:b/>
                <w:bCs/>
                <w:i w:val="0"/>
                <w:iCs w:val="0"/>
                <w:color w:val="000000"/>
                <w:kern w:val="0"/>
                <w:sz w:val="20"/>
                <w:szCs w:val="20"/>
                <w:u w:val="none"/>
                <w:lang w:val="en-US" w:eastAsia="zh-CN" w:bidi="ar"/>
              </w:rPr>
              <w:t>(扩散到4个或更多附</w:t>
            </w:r>
            <w:r>
              <w:rPr>
                <w:rFonts w:ascii="宋体" w:hAnsi="宋体" w:eastAsia="宋体" w:cs="宋体"/>
                <w:b/>
                <w:bCs/>
                <w:i w:val="0"/>
                <w:iCs w:val="0"/>
                <w:color w:val="000000"/>
                <w:kern w:val="0"/>
                <w:sz w:val="20"/>
                <w:szCs w:val="20"/>
                <w:u w:val="none"/>
                <w:lang w:val="en-US" w:eastAsia="zh-CN" w:bidi="ar"/>
              </w:rPr>
              <w:br w:type="textWrapping"/>
            </w:r>
            <w:r>
              <w:rPr>
                <w:rStyle w:val="17"/>
                <w:sz w:val="20"/>
                <w:szCs w:val="20"/>
                <w:lang w:val="en-US" w:eastAsia="zh-CN" w:bidi="ar"/>
              </w:rPr>
              <w:t>近淋巴结)</w:t>
            </w:r>
          </w:p>
        </w:tc>
        <w:tc>
          <w:tcPr>
            <w:tcW w:w="1046" w:type="pct"/>
            <w:vMerge w:val="continue"/>
            <w:tcBorders>
              <w:top w:val="single" w:color="000000" w:sz="4" w:space="0"/>
              <w:left w:val="single" w:color="000000" w:sz="4" w:space="0"/>
              <w:bottom w:val="single" w:color="000000" w:sz="4" w:space="0"/>
              <w:right w:val="single" w:color="000000" w:sz="4" w:space="0"/>
            </w:tcBorders>
            <w:shd w:val="clear" w:color="auto" w:fill="EDEBE0"/>
            <w:vAlign w:val="top"/>
          </w:tcPr>
          <w:p>
            <w:pPr>
              <w:jc w:val="center"/>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0" w:hRule="atLeast"/>
        </w:trPr>
        <w:tc>
          <w:tcPr>
            <w:tcW w:w="1070" w:type="pct"/>
            <w:gridSpan w:val="2"/>
            <w:tcBorders>
              <w:top w:val="single" w:color="000000" w:sz="4" w:space="0"/>
              <w:left w:val="single" w:color="000000" w:sz="4" w:space="0"/>
              <w:bottom w:val="single" w:color="000000" w:sz="4" w:space="0"/>
              <w:right w:val="single" w:color="000000" w:sz="4" w:space="0"/>
            </w:tcBorders>
            <w:shd w:val="clear" w:color="auto" w:fill="EDEBE0"/>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Style w:val="17"/>
                <w:sz w:val="20"/>
                <w:szCs w:val="20"/>
                <w:lang w:val="en-US" w:eastAsia="zh-CN" w:bidi="ar"/>
              </w:rPr>
              <w:t xml:space="preserve">        T1</w:t>
            </w:r>
            <w:r>
              <w:rPr>
                <w:rStyle w:val="17"/>
                <w:sz w:val="20"/>
                <w:szCs w:val="20"/>
                <w:lang w:val="en-US" w:eastAsia="zh-CN" w:bidi="ar"/>
              </w:rPr>
              <w:br w:type="textWrapping"/>
            </w:r>
            <w:r>
              <w:rPr>
                <w:rStyle w:val="17"/>
                <w:sz w:val="20"/>
                <w:szCs w:val="20"/>
                <w:lang w:val="en-US" w:eastAsia="zh-CN" w:bidi="ar"/>
              </w:rPr>
              <w:t>(肿瘤局限于胰腺内</w:t>
            </w:r>
            <w:r>
              <w:rPr>
                <w:rStyle w:val="17"/>
                <w:sz w:val="20"/>
                <w:szCs w:val="20"/>
                <w:lang w:val="en-US" w:eastAsia="zh-CN" w:bidi="ar"/>
              </w:rPr>
              <w:br w:type="textWrapping"/>
            </w:r>
            <w:r>
              <w:rPr>
                <w:rStyle w:val="17"/>
                <w:sz w:val="20"/>
                <w:szCs w:val="20"/>
                <w:lang w:val="en-US" w:eastAsia="zh-CN" w:bidi="ar"/>
              </w:rPr>
              <w:t>最大径小于2cm)</w:t>
            </w:r>
          </w:p>
        </w:tc>
        <w:tc>
          <w:tcPr>
            <w:tcW w:w="877" w:type="pct"/>
            <w:tcBorders>
              <w:top w:val="single" w:color="000000" w:sz="4" w:space="0"/>
              <w:left w:val="single" w:color="000000" w:sz="4" w:space="0"/>
              <w:bottom w:val="single" w:color="000000" w:sz="4" w:space="0"/>
              <w:right w:val="single" w:color="000000" w:sz="4" w:space="0"/>
            </w:tcBorders>
            <w:shd w:val="clear" w:color="auto" w:fill="C3D69B"/>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Style w:val="17"/>
                <w:sz w:val="20"/>
                <w:szCs w:val="20"/>
                <w:lang w:val="en-US" w:eastAsia="zh-CN" w:bidi="ar"/>
              </w:rPr>
              <w:t>IA</w:t>
            </w:r>
          </w:p>
        </w:tc>
        <w:tc>
          <w:tcPr>
            <w:tcW w:w="944" w:type="pct"/>
            <w:vMerge w:val="restar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Style w:val="17"/>
                <w:sz w:val="20"/>
                <w:szCs w:val="20"/>
                <w:lang w:val="en-US" w:eastAsia="zh-CN" w:bidi="ar"/>
              </w:rPr>
              <w:t>IIB</w:t>
            </w:r>
          </w:p>
        </w:tc>
        <w:tc>
          <w:tcPr>
            <w:tcW w:w="1059" w:type="pct"/>
            <w:vMerge w:val="restart"/>
            <w:tcBorders>
              <w:top w:val="single" w:color="000000" w:sz="4" w:space="0"/>
              <w:left w:val="single" w:color="000000" w:sz="4" w:space="0"/>
              <w:bottom w:val="single" w:color="000000" w:sz="4" w:space="0"/>
              <w:right w:val="single" w:color="000000" w:sz="4" w:space="0"/>
            </w:tcBorders>
            <w:shd w:val="clear" w:color="auto" w:fill="FAC090"/>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Style w:val="17"/>
                <w:sz w:val="20"/>
                <w:szCs w:val="20"/>
                <w:lang w:val="en-US" w:eastAsia="zh-CN" w:bidi="ar"/>
              </w:rPr>
              <w:t>III</w:t>
            </w:r>
          </w:p>
        </w:tc>
        <w:tc>
          <w:tcPr>
            <w:tcW w:w="1046" w:type="pct"/>
            <w:vMerge w:val="restart"/>
            <w:tcBorders>
              <w:top w:val="single" w:color="000000" w:sz="4" w:space="0"/>
              <w:left w:val="single" w:color="000000" w:sz="4" w:space="0"/>
              <w:bottom w:val="single" w:color="000000" w:sz="4" w:space="0"/>
              <w:right w:val="single" w:color="000000" w:sz="4" w:space="0"/>
            </w:tcBorders>
            <w:shd w:val="clear" w:color="auto" w:fill="C20B19"/>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i w:val="0"/>
                <w:iCs w:val="0"/>
                <w:color w:val="FFFFFF"/>
                <w:kern w:val="0"/>
                <w:sz w:val="20"/>
                <w:szCs w:val="20"/>
                <w:u w:val="none"/>
                <w:lang w:val="en-US" w:eastAsia="zh-CN" w:bidi="ar"/>
              </w:rPr>
              <w:t>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10" w:hRule="atLeast"/>
        </w:trPr>
        <w:tc>
          <w:tcPr>
            <w:tcW w:w="1070" w:type="pct"/>
            <w:gridSpan w:val="2"/>
            <w:tcBorders>
              <w:top w:val="single" w:color="000000" w:sz="4" w:space="0"/>
              <w:left w:val="single" w:color="000000" w:sz="4" w:space="0"/>
              <w:bottom w:val="single" w:color="000000" w:sz="4" w:space="0"/>
              <w:right w:val="single" w:color="000000" w:sz="4" w:space="0"/>
            </w:tcBorders>
            <w:shd w:val="clear" w:color="auto" w:fill="EDEBE0"/>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Style w:val="17"/>
                <w:sz w:val="20"/>
                <w:szCs w:val="20"/>
                <w:lang w:val="en-US" w:eastAsia="zh-CN" w:bidi="ar"/>
              </w:rPr>
              <w:t xml:space="preserve">        T2</w:t>
            </w:r>
            <w:r>
              <w:rPr>
                <w:rStyle w:val="17"/>
                <w:sz w:val="20"/>
                <w:szCs w:val="20"/>
                <w:lang w:val="en-US" w:eastAsia="zh-CN" w:bidi="ar"/>
              </w:rPr>
              <w:br w:type="textWrapping"/>
            </w:r>
            <w:r>
              <w:rPr>
                <w:rFonts w:ascii="宋体" w:hAnsi="宋体" w:eastAsia="宋体" w:cs="宋体"/>
                <w:i w:val="0"/>
                <w:iCs w:val="0"/>
                <w:color w:val="790008"/>
                <w:kern w:val="0"/>
                <w:sz w:val="20"/>
                <w:szCs w:val="20"/>
                <w:u w:val="none"/>
                <w:lang w:val="en-US" w:eastAsia="zh-CN" w:bidi="ar"/>
              </w:rPr>
              <w:t>(肿瘤局限</w:t>
            </w:r>
            <w:r>
              <w:rPr>
                <w:rStyle w:val="17"/>
                <w:sz w:val="20"/>
                <w:szCs w:val="20"/>
                <w:lang w:val="en-US" w:eastAsia="zh-CN" w:bidi="ar"/>
              </w:rPr>
              <w:t>于胰腺内</w:t>
            </w:r>
            <w:r>
              <w:rPr>
                <w:rStyle w:val="17"/>
                <w:sz w:val="20"/>
                <w:szCs w:val="20"/>
                <w:lang w:val="en-US" w:eastAsia="zh-CN" w:bidi="ar"/>
              </w:rPr>
              <w:br w:type="textWrapping"/>
            </w:r>
            <w:r>
              <w:rPr>
                <w:rStyle w:val="17"/>
                <w:sz w:val="20"/>
                <w:szCs w:val="20"/>
                <w:lang w:val="en-US" w:eastAsia="zh-CN" w:bidi="ar"/>
              </w:rPr>
              <w:t>最大径大于2cm,不大</w:t>
            </w:r>
            <w:r>
              <w:rPr>
                <w:rStyle w:val="17"/>
                <w:sz w:val="20"/>
                <w:szCs w:val="20"/>
                <w:lang w:val="en-US" w:eastAsia="zh-CN" w:bidi="ar"/>
              </w:rPr>
              <w:br w:type="textWrapping"/>
            </w:r>
            <w:r>
              <w:rPr>
                <w:rStyle w:val="17"/>
                <w:sz w:val="20"/>
                <w:szCs w:val="20"/>
                <w:lang w:val="en-US" w:eastAsia="zh-CN" w:bidi="ar"/>
              </w:rPr>
              <w:t>于4cm)</w:t>
            </w:r>
          </w:p>
        </w:tc>
        <w:tc>
          <w:tcPr>
            <w:tcW w:w="877" w:type="pct"/>
            <w:tcBorders>
              <w:top w:val="single" w:color="000000" w:sz="4" w:space="0"/>
              <w:left w:val="single" w:color="000000" w:sz="4" w:space="0"/>
              <w:bottom w:val="single" w:color="000000" w:sz="4" w:space="0"/>
              <w:right w:val="single" w:color="000000" w:sz="4" w:space="0"/>
            </w:tcBorders>
            <w:shd w:val="clear" w:color="auto" w:fill="C3D69B"/>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IB</w:t>
            </w:r>
          </w:p>
        </w:tc>
        <w:tc>
          <w:tcPr>
            <w:tcW w:w="944" w:type="pct"/>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default" w:ascii="Arial" w:hAnsi="Arial" w:cs="Arial"/>
                <w:i w:val="0"/>
                <w:iCs w:val="0"/>
                <w:color w:val="000000"/>
                <w:sz w:val="20"/>
                <w:szCs w:val="20"/>
                <w:u w:val="none"/>
              </w:rPr>
            </w:pPr>
          </w:p>
        </w:tc>
        <w:tc>
          <w:tcPr>
            <w:tcW w:w="1059" w:type="pct"/>
            <w:vMerge w:val="continue"/>
            <w:tcBorders>
              <w:top w:val="single" w:color="000000" w:sz="4" w:space="0"/>
              <w:left w:val="single" w:color="000000" w:sz="4" w:space="0"/>
              <w:bottom w:val="single" w:color="000000" w:sz="4" w:space="0"/>
              <w:right w:val="single" w:color="000000" w:sz="4" w:space="0"/>
            </w:tcBorders>
            <w:shd w:val="clear" w:color="auto" w:fill="FAC090"/>
            <w:vAlign w:val="center"/>
          </w:tcPr>
          <w:p>
            <w:pPr>
              <w:jc w:val="center"/>
              <w:rPr>
                <w:rFonts w:hint="default" w:ascii="Arial" w:hAnsi="Arial" w:cs="Arial"/>
                <w:i w:val="0"/>
                <w:iCs w:val="0"/>
                <w:color w:val="000000"/>
                <w:sz w:val="20"/>
                <w:szCs w:val="20"/>
                <w:u w:val="none"/>
              </w:rPr>
            </w:pPr>
          </w:p>
        </w:tc>
        <w:tc>
          <w:tcPr>
            <w:tcW w:w="1046" w:type="pct"/>
            <w:vMerge w:val="continue"/>
            <w:tcBorders>
              <w:top w:val="single" w:color="000000" w:sz="4" w:space="0"/>
              <w:left w:val="single" w:color="000000" w:sz="4" w:space="0"/>
              <w:bottom w:val="single" w:color="000000" w:sz="4" w:space="0"/>
              <w:right w:val="single" w:color="000000" w:sz="4" w:space="0"/>
            </w:tcBorders>
            <w:shd w:val="clear" w:color="auto" w:fill="C20B19"/>
            <w:vAlign w:val="center"/>
          </w:tcPr>
          <w:p>
            <w:pPr>
              <w:jc w:val="center"/>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00" w:hRule="atLeast"/>
        </w:trPr>
        <w:tc>
          <w:tcPr>
            <w:tcW w:w="1070" w:type="pct"/>
            <w:gridSpan w:val="2"/>
            <w:tcBorders>
              <w:top w:val="single" w:color="000000" w:sz="4" w:space="0"/>
              <w:left w:val="single" w:color="000000" w:sz="4" w:space="0"/>
              <w:bottom w:val="single" w:color="000000" w:sz="4" w:space="0"/>
              <w:right w:val="single" w:color="000000" w:sz="4" w:space="0"/>
            </w:tcBorders>
            <w:shd w:val="clear" w:color="auto" w:fill="EDEBE0"/>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Style w:val="17"/>
                <w:sz w:val="20"/>
                <w:szCs w:val="20"/>
                <w:lang w:val="en-US" w:eastAsia="zh-CN" w:bidi="ar"/>
              </w:rPr>
              <w:t xml:space="preserve">        T3</w:t>
            </w:r>
            <w:r>
              <w:rPr>
                <w:rStyle w:val="17"/>
                <w:sz w:val="20"/>
                <w:szCs w:val="20"/>
                <w:lang w:val="en-US" w:eastAsia="zh-CN" w:bidi="ar"/>
              </w:rPr>
              <w:br w:type="textWrapping"/>
            </w:r>
            <w:r>
              <w:rPr>
                <w:rStyle w:val="17"/>
                <w:sz w:val="20"/>
                <w:szCs w:val="20"/>
                <w:lang w:val="en-US" w:eastAsia="zh-CN" w:bidi="ar"/>
              </w:rPr>
              <w:t>(肿瘤大于4cm,已生</w:t>
            </w:r>
            <w:r>
              <w:rPr>
                <w:rStyle w:val="17"/>
                <w:sz w:val="20"/>
                <w:szCs w:val="20"/>
                <w:lang w:val="en-US" w:eastAsia="zh-CN" w:bidi="ar"/>
              </w:rPr>
              <w:br w:type="textWrapping"/>
            </w:r>
            <w:r>
              <w:rPr>
                <w:rStyle w:val="17"/>
                <w:sz w:val="20"/>
                <w:szCs w:val="20"/>
                <w:lang w:val="en-US" w:eastAsia="zh-CN" w:bidi="ar"/>
              </w:rPr>
              <w:t>长入胰腺周围组织，但</w:t>
            </w:r>
            <w:r>
              <w:rPr>
                <w:rStyle w:val="17"/>
                <w:sz w:val="20"/>
                <w:szCs w:val="20"/>
                <w:lang w:val="en-US" w:eastAsia="zh-CN" w:bidi="ar"/>
              </w:rPr>
              <w:br w:type="textWrapping"/>
            </w:r>
            <w:r>
              <w:rPr>
                <w:rStyle w:val="17"/>
                <w:sz w:val="20"/>
                <w:szCs w:val="20"/>
                <w:lang w:val="en-US" w:eastAsia="zh-CN" w:bidi="ar"/>
              </w:rPr>
              <w:t xml:space="preserve">   未长入大血管)</w:t>
            </w:r>
          </w:p>
        </w:tc>
        <w:tc>
          <w:tcPr>
            <w:tcW w:w="877" w:type="pct"/>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Style w:val="17"/>
                <w:sz w:val="20"/>
                <w:szCs w:val="20"/>
                <w:lang w:val="en-US" w:eastAsia="zh-CN" w:bidi="ar"/>
              </w:rPr>
              <w:t>IIA</w:t>
            </w:r>
          </w:p>
        </w:tc>
        <w:tc>
          <w:tcPr>
            <w:tcW w:w="944" w:type="pct"/>
            <w:vMerge w:val="continue"/>
            <w:tcBorders>
              <w:top w:val="single" w:color="000000" w:sz="4" w:space="0"/>
              <w:left w:val="single" w:color="000000" w:sz="4" w:space="0"/>
              <w:bottom w:val="single" w:color="000000" w:sz="4" w:space="0"/>
              <w:right w:val="single" w:color="000000" w:sz="4" w:space="0"/>
            </w:tcBorders>
            <w:shd w:val="clear" w:color="auto" w:fill="BFBFBF"/>
            <w:vAlign w:val="center"/>
          </w:tcPr>
          <w:p>
            <w:pPr>
              <w:jc w:val="center"/>
              <w:rPr>
                <w:rFonts w:hint="default" w:ascii="Arial" w:hAnsi="Arial" w:cs="Arial"/>
                <w:i w:val="0"/>
                <w:iCs w:val="0"/>
                <w:color w:val="000000"/>
                <w:sz w:val="20"/>
                <w:szCs w:val="20"/>
                <w:u w:val="none"/>
              </w:rPr>
            </w:pPr>
          </w:p>
        </w:tc>
        <w:tc>
          <w:tcPr>
            <w:tcW w:w="1059" w:type="pct"/>
            <w:vMerge w:val="continue"/>
            <w:tcBorders>
              <w:top w:val="single" w:color="000000" w:sz="4" w:space="0"/>
              <w:left w:val="single" w:color="000000" w:sz="4" w:space="0"/>
              <w:bottom w:val="single" w:color="000000" w:sz="4" w:space="0"/>
              <w:right w:val="single" w:color="000000" w:sz="4" w:space="0"/>
            </w:tcBorders>
            <w:shd w:val="clear" w:color="auto" w:fill="FAC090"/>
            <w:vAlign w:val="center"/>
          </w:tcPr>
          <w:p>
            <w:pPr>
              <w:jc w:val="center"/>
              <w:rPr>
                <w:rFonts w:hint="default" w:ascii="Arial" w:hAnsi="Arial" w:cs="Arial"/>
                <w:i w:val="0"/>
                <w:iCs w:val="0"/>
                <w:color w:val="000000"/>
                <w:sz w:val="20"/>
                <w:szCs w:val="20"/>
                <w:u w:val="none"/>
              </w:rPr>
            </w:pPr>
          </w:p>
        </w:tc>
        <w:tc>
          <w:tcPr>
            <w:tcW w:w="1046" w:type="pct"/>
            <w:vMerge w:val="continue"/>
            <w:tcBorders>
              <w:top w:val="single" w:color="000000" w:sz="4" w:space="0"/>
              <w:left w:val="single" w:color="000000" w:sz="4" w:space="0"/>
              <w:bottom w:val="single" w:color="000000" w:sz="4" w:space="0"/>
              <w:right w:val="single" w:color="000000" w:sz="4" w:space="0"/>
            </w:tcBorders>
            <w:shd w:val="clear" w:color="auto" w:fill="C20B19"/>
            <w:vAlign w:val="center"/>
          </w:tcPr>
          <w:p>
            <w:pPr>
              <w:jc w:val="center"/>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5" w:hRule="atLeast"/>
        </w:trPr>
        <w:tc>
          <w:tcPr>
            <w:tcW w:w="1070" w:type="pct"/>
            <w:gridSpan w:val="2"/>
            <w:tcBorders>
              <w:top w:val="single" w:color="000000" w:sz="4" w:space="0"/>
              <w:left w:val="single" w:color="000000" w:sz="4" w:space="0"/>
              <w:bottom w:val="single" w:color="000000" w:sz="4" w:space="0"/>
              <w:right w:val="single" w:color="000000" w:sz="4" w:space="0"/>
            </w:tcBorders>
            <w:shd w:val="clear" w:color="auto" w:fill="EEECE0"/>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Style w:val="17"/>
                <w:sz w:val="20"/>
                <w:szCs w:val="20"/>
                <w:lang w:val="en-US" w:eastAsia="zh-CN" w:bidi="ar"/>
              </w:rPr>
              <w:t xml:space="preserve">        T4</w:t>
            </w:r>
            <w:r>
              <w:rPr>
                <w:rStyle w:val="17"/>
                <w:sz w:val="20"/>
                <w:szCs w:val="20"/>
                <w:lang w:val="en-US" w:eastAsia="zh-CN" w:bidi="ar"/>
              </w:rPr>
              <w:br w:type="textWrapping"/>
            </w:r>
            <w:r>
              <w:rPr>
                <w:rStyle w:val="19"/>
                <w:sz w:val="20"/>
                <w:szCs w:val="20"/>
                <w:lang w:val="en-US" w:eastAsia="zh-CN" w:bidi="ar"/>
              </w:rPr>
              <w:t>( 癌</w:t>
            </w:r>
            <w:r>
              <w:rPr>
                <w:rStyle w:val="17"/>
                <w:sz w:val="20"/>
                <w:szCs w:val="20"/>
                <w:lang w:val="en-US" w:eastAsia="zh-CN" w:bidi="ar"/>
              </w:rPr>
              <w:t>细胞已生长进入附</w:t>
            </w:r>
            <w:r>
              <w:rPr>
                <w:rStyle w:val="17"/>
                <w:sz w:val="20"/>
                <w:szCs w:val="20"/>
                <w:lang w:val="en-US" w:eastAsia="zh-CN" w:bidi="ar"/>
              </w:rPr>
              <w:br w:type="textWrapping"/>
            </w:r>
            <w:r>
              <w:rPr>
                <w:rStyle w:val="17"/>
                <w:sz w:val="20"/>
                <w:szCs w:val="20"/>
                <w:lang w:val="en-US" w:eastAsia="zh-CN" w:bidi="ar"/>
              </w:rPr>
              <w:t xml:space="preserve">     近大血管)</w:t>
            </w:r>
          </w:p>
        </w:tc>
        <w:tc>
          <w:tcPr>
            <w:tcW w:w="2882" w:type="pct"/>
            <w:gridSpan w:val="3"/>
            <w:tcBorders>
              <w:top w:val="single" w:color="000000" w:sz="4" w:space="0"/>
              <w:left w:val="single" w:color="000000" w:sz="4" w:space="0"/>
              <w:bottom w:val="single" w:color="000000" w:sz="4" w:space="0"/>
              <w:right w:val="single" w:color="000000" w:sz="4" w:space="0"/>
            </w:tcBorders>
            <w:shd w:val="clear" w:color="auto" w:fill="FAC090"/>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Style w:val="17"/>
                <w:sz w:val="20"/>
                <w:szCs w:val="20"/>
                <w:lang w:val="en-US" w:eastAsia="zh-CN" w:bidi="ar"/>
              </w:rPr>
              <w:t>III</w:t>
            </w:r>
          </w:p>
        </w:tc>
        <w:tc>
          <w:tcPr>
            <w:tcW w:w="1046" w:type="pct"/>
            <w:vMerge w:val="continue"/>
            <w:tcBorders>
              <w:top w:val="single" w:color="000000" w:sz="4" w:space="0"/>
              <w:left w:val="single" w:color="000000" w:sz="4" w:space="0"/>
              <w:bottom w:val="single" w:color="000000" w:sz="4" w:space="0"/>
              <w:right w:val="single" w:color="000000" w:sz="4" w:space="0"/>
            </w:tcBorders>
            <w:shd w:val="clear" w:color="auto" w:fill="C20B19"/>
            <w:vAlign w:val="center"/>
          </w:tcPr>
          <w:p>
            <w:pPr>
              <w:jc w:val="center"/>
              <w:rPr>
                <w:rFonts w:hint="default" w:ascii="Arial" w:hAnsi="Arial" w:cs="Arial"/>
                <w:i w:val="0"/>
                <w:iCs w:val="0"/>
                <w:color w:val="000000"/>
                <w:sz w:val="20"/>
                <w:szCs w:val="20"/>
                <w:u w:val="none"/>
              </w:rPr>
            </w:pPr>
          </w:p>
        </w:tc>
      </w:tr>
    </w:tbl>
    <w:p>
      <w:pPr>
        <w:keepNext w:val="0"/>
        <w:keepLines w:val="0"/>
        <w:pageBreakBefore w:val="0"/>
        <w:widowControl/>
        <w:kinsoku/>
        <w:wordWrap/>
        <w:overflowPunct/>
        <w:topLinePunct w:val="0"/>
        <w:autoSpaceDE/>
        <w:autoSpaceDN/>
        <w:bidi w:val="0"/>
        <w:adjustRightInd/>
        <w:snapToGrid/>
        <w:spacing w:line="360" w:lineRule="atLeast"/>
        <w:textAlignment w:val="auto"/>
        <w:rPr>
          <w:rFonts w:hint="eastAsia" w:ascii="Songti SC" w:hAnsi="Songti SC" w:eastAsia="Songti SC" w:cs="宋体"/>
          <w:sz w:val="20"/>
          <w:szCs w:val="20"/>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eastAsia" w:ascii="Songti SC" w:hAnsi="Songti SC" w:eastAsia="Songti SC"/>
          <w:sz w:val="20"/>
          <w:szCs w:val="20"/>
          <w:lang w:eastAsia="zh-CN"/>
        </w:rPr>
      </w:pPr>
      <w:r>
        <w:rPr>
          <w:rFonts w:ascii="Songti SC" w:hAnsi="Songti SC" w:eastAsia="Songti SC" w:cs="宋体"/>
          <w:sz w:val="20"/>
          <w:szCs w:val="20"/>
        </w:rPr>
        <w:t>2.</w:t>
      </w:r>
      <w:r>
        <w:rPr>
          <w:rFonts w:hint="eastAsia" w:ascii="Songti SC" w:hAnsi="Songti SC" w:eastAsia="Songti SC" w:cs="宋体"/>
          <w:sz w:val="20"/>
          <w:szCs w:val="20"/>
        </w:rPr>
        <w:t>手术</w:t>
      </w:r>
      <w:r>
        <w:rPr>
          <w:rFonts w:ascii="Songti SC" w:hAnsi="Songti SC" w:eastAsia="Songti SC" w:cs="宋体"/>
          <w:sz w:val="20"/>
          <w:szCs w:val="20"/>
        </w:rPr>
        <w:t>:</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r>
        <w:rPr>
          <w:rFonts w:ascii="Songti SC" w:hAnsi="Songti SC" w:eastAsia="Songti SC" w:cs="宋体"/>
          <w:sz w:val="20"/>
          <w:szCs w:val="20"/>
        </w:rPr>
        <w:t>手术干预，包括切除肿瘤（胰腺切除术），是治疗局部疾病的常见方法。然而，由于晚期诊断，手术可能对许多患者不可行。</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r>
        <w:rPr>
          <w:rFonts w:ascii="Songti SC" w:hAnsi="Songti SC" w:eastAsia="Songti SC" w:cs="宋体"/>
          <w:sz w:val="20"/>
          <w:szCs w:val="20"/>
        </w:rPr>
        <w:t>临床上，胰腺癌被分为早期局限型、局部进展型和远处转移型。由于早期诊断的缺位，导致早期局限型仅占所有确诊人群的 10%，患者的主要群体都被归到局部进展型和远处转移型</w:t>
      </w:r>
      <w:r>
        <w:rPr>
          <w:rFonts w:hint="eastAsia" w:ascii="Songti SC" w:hAnsi="Songti SC" w:eastAsia="Songti SC" w:cs="宋体"/>
          <w:sz w:val="20"/>
          <w:szCs w:val="20"/>
        </w:rPr>
        <w:t>，因</w:t>
      </w:r>
      <w:r>
        <w:rPr>
          <w:rFonts w:ascii="Songti SC" w:hAnsi="Songti SC" w:eastAsia="Songti SC" w:cs="宋体"/>
          <w:sz w:val="20"/>
          <w:szCs w:val="20"/>
        </w:rPr>
        <w:t>而导致了手术率低的局面</w:t>
      </w:r>
      <w:r>
        <w:rPr>
          <w:rFonts w:hint="eastAsia" w:ascii="Songti SC" w:hAnsi="Songti SC" w:eastAsia="Songti SC" w:cs="宋体"/>
          <w:sz w:val="20"/>
          <w:szCs w:val="20"/>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6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手术治疗选择</w:t>
            </w:r>
          </w:p>
        </w:tc>
        <w:tc>
          <w:tcPr>
            <w:tcW w:w="6093"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ascii="Songti SC" w:hAnsi="Songti SC" w:eastAsia="Songti SC" w:cs="宋体"/>
                <w:sz w:val="20"/>
                <w:szCs w:val="20"/>
              </w:rPr>
              <w:t>Whipple Procedure</w:t>
            </w:r>
            <w:r>
              <w:rPr>
                <w:rFonts w:hint="eastAsia" w:ascii="Songti SC" w:hAnsi="Songti SC" w:eastAsia="Songti SC" w:cs="宋体"/>
                <w:sz w:val="20"/>
                <w:szCs w:val="20"/>
              </w:rPr>
              <w:t>胰十二指肠切除术</w:t>
            </w:r>
          </w:p>
        </w:tc>
        <w:tc>
          <w:tcPr>
            <w:tcW w:w="6093"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切除胰腺头部、十二指肠、胃的一部分、胆囊，以及共同胆管的一部分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胰体尾切除术</w:t>
            </w:r>
          </w:p>
        </w:tc>
        <w:tc>
          <w:tcPr>
            <w:tcW w:w="6093"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切除胰腺的体部和尾部，可能会考虑保留脾脏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ascii="Songti SC" w:hAnsi="Songti SC" w:eastAsia="Songti SC" w:cs="宋体"/>
                <w:sz w:val="20"/>
                <w:szCs w:val="20"/>
              </w:rPr>
              <w:t>全胰腺切除术</w:t>
            </w:r>
          </w:p>
        </w:tc>
        <w:tc>
          <w:tcPr>
            <w:tcW w:w="6093"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完全切除胰腺；需要终身替代胰岛素和其他消化酶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ascii="Songti SC" w:hAnsi="Songti SC" w:eastAsia="Songti SC" w:cs="宋体"/>
                <w:sz w:val="20"/>
                <w:szCs w:val="20"/>
              </w:rPr>
              <w:t>血管切除术</w:t>
            </w:r>
          </w:p>
        </w:tc>
        <w:tc>
          <w:tcPr>
            <w:tcW w:w="6093"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在癌症侵犯邻近血管的情况下，可能需要额外的血管切除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ascii="Songti SC" w:hAnsi="Songti SC" w:eastAsia="Songti SC" w:cs="宋体"/>
                <w:sz w:val="20"/>
                <w:szCs w:val="20"/>
              </w:rPr>
              <w:t>淋巴结清扫</w:t>
            </w:r>
          </w:p>
        </w:tc>
        <w:tc>
          <w:tcPr>
            <w:tcW w:w="6093"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切除并检查附近淋巴结，以评估癌症扩散的程度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ascii="Songti SC" w:hAnsi="Songti SC" w:eastAsia="Songti SC" w:cs="宋体"/>
                <w:sz w:val="20"/>
                <w:szCs w:val="20"/>
              </w:rPr>
              <w:t>腹腔镜手术</w:t>
            </w:r>
          </w:p>
        </w:tc>
        <w:tc>
          <w:tcPr>
            <w:tcW w:w="6093"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使用腹腔镜进行微创手术，考虑减少术后康复时间</w:t>
            </w:r>
          </w:p>
        </w:tc>
      </w:tr>
    </w:tbl>
    <w:p>
      <w:pPr>
        <w:keepNext w:val="0"/>
        <w:keepLines w:val="0"/>
        <w:pageBreakBefore w:val="0"/>
        <w:widowControl/>
        <w:kinsoku/>
        <w:wordWrap/>
        <w:overflowPunct/>
        <w:topLinePunct w:val="0"/>
        <w:autoSpaceDE/>
        <w:autoSpaceDN/>
        <w:bidi w:val="0"/>
        <w:adjustRightInd/>
        <w:snapToGrid/>
        <w:spacing w:line="360" w:lineRule="atLeast"/>
        <w:textAlignment w:val="auto"/>
        <w:rPr>
          <w:rFonts w:hint="eastAsia" w:ascii="Songti SC" w:hAnsi="Songti SC" w:eastAsia="Songti SC" w:cs="宋体"/>
          <w:sz w:val="20"/>
          <w:szCs w:val="20"/>
          <w:lang w:val="en-US"/>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cs="宋体"/>
          <w:sz w:val="20"/>
          <w:szCs w:val="20"/>
        </w:rPr>
        <w:t>3. 化疗:</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r>
        <w:rPr>
          <w:rFonts w:ascii="Songti SC" w:hAnsi="Songti SC" w:eastAsia="Songti SC" w:cs="宋体"/>
          <w:sz w:val="20"/>
          <w:szCs w:val="20"/>
        </w:rPr>
        <w:t>手术后给予辅助化疗的目的是消除残留的癌细胞。对于晚期病例，化疗（包括吉西他滨和白蛋白-紫杉醇或叶酸的联合使用）有助于控制症状和延长生存期。</w:t>
      </w:r>
    </w:p>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sz w:val="20"/>
          <w:szCs w:val="20"/>
        </w:rPr>
      </w:pPr>
      <w:r>
        <w:rPr>
          <w:rFonts w:hint="eastAsia" w:ascii="Songti SC" w:hAnsi="Songti SC" w:eastAsia="Songti SC" w:cs="宋体"/>
          <w:sz w:val="20"/>
          <w:szCs w:val="20"/>
        </w:rPr>
        <w:t>根据手术切除与否，胰腺癌的化疗主要分为术后辅助化疗、新辅助化疗以及姑息性化疗三种。</w:t>
      </w:r>
      <w:r>
        <w:rPr>
          <w:rFonts w:hint="eastAsia" w:ascii="Songti SC" w:hAnsi="Songti SC" w:eastAsia="Songti SC"/>
          <w:color w:val="231F20"/>
          <w:sz w:val="20"/>
          <w:szCs w:val="20"/>
        </w:rPr>
        <w:t>实际临床中，医生更倾向于：患者的体力状况允许下，在术后辅助化疗采用单药方案，在新辅助化疗或姑息性化疗采用联药方案。如体力条件差，选择毒副反应小的单药方案。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4"/>
        <w:gridCol w:w="1785"/>
        <w:gridCol w:w="3969"/>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4"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方法</w:t>
            </w:r>
          </w:p>
        </w:tc>
        <w:tc>
          <w:tcPr>
            <w:tcW w:w="1785"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目标</w:t>
            </w:r>
          </w:p>
        </w:tc>
        <w:tc>
          <w:tcPr>
            <w:tcW w:w="3969"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应用</w:t>
            </w:r>
          </w:p>
        </w:tc>
        <w:tc>
          <w:tcPr>
            <w:tcW w:w="1842" w:type="dxa"/>
          </w:tcPr>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4" w:type="dxa"/>
          </w:tcPr>
          <w:p>
            <w:pPr>
              <w:keepNext w:val="0"/>
              <w:keepLines w:val="0"/>
              <w:pageBreakBefore w:val="0"/>
              <w:widowControl/>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辅助性化疗（</w:t>
            </w:r>
            <w:r>
              <w:rPr>
                <w:rFonts w:ascii="Songti SC" w:hAnsi="Songti SC" w:eastAsia="Songti SC" w:cs="宋体"/>
                <w:sz w:val="20"/>
                <w:szCs w:val="20"/>
              </w:rPr>
              <w:t>Adjuvant Chemotherapy</w:t>
            </w:r>
            <w:r>
              <w:rPr>
                <w:rFonts w:hint="eastAsia" w:ascii="Songti SC" w:hAnsi="Songti SC" w:eastAsia="Songti SC" w:cs="宋体"/>
                <w:sz w:val="20"/>
                <w:szCs w:val="20"/>
              </w:rPr>
              <w:t>）</w:t>
            </w:r>
          </w:p>
        </w:tc>
        <w:tc>
          <w:tcPr>
            <w:tcW w:w="1785" w:type="dxa"/>
          </w:tcPr>
          <w:p>
            <w:pPr>
              <w:keepNext w:val="0"/>
              <w:keepLines w:val="0"/>
              <w:pageBreakBefore w:val="0"/>
              <w:widowControl/>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防止或减少残余癌细胞的再生，降低复发的风险</w:t>
            </w:r>
          </w:p>
        </w:tc>
        <w:tc>
          <w:tcPr>
            <w:tcW w:w="3969" w:type="dxa"/>
          </w:tcPr>
          <w:p>
            <w:pPr>
              <w:keepNext w:val="0"/>
              <w:keepLines w:val="0"/>
              <w:pageBreakBefore w:val="0"/>
              <w:widowControl/>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常用的药物包括吉西他滨（</w:t>
            </w:r>
            <w:r>
              <w:rPr>
                <w:rFonts w:ascii="Songti SC" w:hAnsi="Songti SC" w:eastAsia="Songti SC" w:cs="宋体"/>
                <w:sz w:val="20"/>
                <w:szCs w:val="20"/>
              </w:rPr>
              <w:t>gemcitabine</w:t>
            </w:r>
            <w:r>
              <w:rPr>
                <w:rFonts w:hint="eastAsia" w:ascii="Songti SC" w:hAnsi="Songti SC" w:eastAsia="Songti SC" w:cs="宋体"/>
                <w:sz w:val="20"/>
                <w:szCs w:val="20"/>
              </w:rPr>
              <w:t>）、卡铂（</w:t>
            </w:r>
            <w:r>
              <w:rPr>
                <w:rFonts w:ascii="Songti SC" w:hAnsi="Songti SC" w:eastAsia="Songti SC" w:cs="宋体"/>
                <w:sz w:val="20"/>
                <w:szCs w:val="20"/>
              </w:rPr>
              <w:t>cisplatin</w:t>
            </w:r>
            <w:r>
              <w:rPr>
                <w:rFonts w:hint="eastAsia" w:ascii="Songti SC" w:hAnsi="Songti SC" w:eastAsia="Songti SC" w:cs="宋体"/>
                <w:sz w:val="20"/>
                <w:szCs w:val="20"/>
              </w:rPr>
              <w:t>）、</w:t>
            </w:r>
            <w:r>
              <w:rPr>
                <w:rFonts w:ascii="Songti SC" w:hAnsi="Songti SC" w:eastAsia="Songti SC" w:cs="宋体"/>
                <w:sz w:val="20"/>
                <w:szCs w:val="20"/>
              </w:rPr>
              <w:t>5-</w:t>
            </w:r>
            <w:r>
              <w:rPr>
                <w:rFonts w:hint="eastAsia" w:ascii="Songti SC" w:hAnsi="Songti SC" w:eastAsia="Songti SC" w:cs="宋体"/>
                <w:sz w:val="20"/>
                <w:szCs w:val="20"/>
              </w:rPr>
              <w:t>氟尿嘧啶（</w:t>
            </w:r>
            <w:r>
              <w:rPr>
                <w:rFonts w:ascii="Songti SC" w:hAnsi="Songti SC" w:eastAsia="Songti SC" w:cs="宋体"/>
                <w:sz w:val="20"/>
                <w:szCs w:val="20"/>
              </w:rPr>
              <w:t>5-fluorouracil</w:t>
            </w:r>
            <w:r>
              <w:rPr>
                <w:rFonts w:hint="eastAsia" w:ascii="Songti SC" w:hAnsi="Songti SC" w:eastAsia="Songti SC" w:cs="宋体"/>
                <w:sz w:val="20"/>
                <w:szCs w:val="20"/>
              </w:rPr>
              <w:t>）等</w:t>
            </w:r>
          </w:p>
        </w:tc>
        <w:tc>
          <w:tcPr>
            <w:tcW w:w="1842" w:type="dxa"/>
          </w:tcPr>
          <w:p>
            <w:pPr>
              <w:keepNext w:val="0"/>
              <w:keepLines w:val="0"/>
              <w:pageBreakBefore w:val="0"/>
              <w:widowControl/>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通常在手术后的数周内开始，为期数个月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4" w:type="dxa"/>
          </w:tcPr>
          <w:p>
            <w:pPr>
              <w:keepNext w:val="0"/>
              <w:keepLines w:val="0"/>
              <w:pageBreakBefore w:val="0"/>
              <w:widowControl/>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新辅助性化疗（</w:t>
            </w:r>
            <w:r>
              <w:rPr>
                <w:rFonts w:ascii="Songti SC" w:hAnsi="Songti SC" w:eastAsia="Songti SC" w:cs="宋体"/>
                <w:sz w:val="20"/>
                <w:szCs w:val="20"/>
              </w:rPr>
              <w:t>Neoadjuvant Chemotherapy</w:t>
            </w:r>
            <w:r>
              <w:rPr>
                <w:rFonts w:hint="eastAsia" w:ascii="Songti SC" w:hAnsi="Songti SC" w:eastAsia="Songti SC" w:cs="宋体"/>
                <w:sz w:val="20"/>
                <w:szCs w:val="20"/>
              </w:rPr>
              <w:t>）</w:t>
            </w:r>
          </w:p>
          <w:p>
            <w:pPr>
              <w:keepNext w:val="0"/>
              <w:keepLines w:val="0"/>
              <w:pageBreakBefore w:val="0"/>
              <w:widowControl/>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p>
        </w:tc>
        <w:tc>
          <w:tcPr>
            <w:tcW w:w="1785" w:type="dxa"/>
          </w:tcPr>
          <w:p>
            <w:pPr>
              <w:keepNext w:val="0"/>
              <w:keepLines w:val="0"/>
              <w:pageBreakBefore w:val="0"/>
              <w:widowControl/>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在手术前使用化疗，旨在缩小肿瘤大小，使手术更容易实施</w:t>
            </w:r>
          </w:p>
        </w:tc>
        <w:tc>
          <w:tcPr>
            <w:tcW w:w="3969" w:type="dxa"/>
          </w:tcPr>
          <w:p>
            <w:pPr>
              <w:keepNext w:val="0"/>
              <w:keepLines w:val="0"/>
              <w:pageBreakBefore w:val="0"/>
              <w:widowControl/>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对于一些较大或较难手术的肿瘤，可能在手术前进行新辅助性化疗。</w:t>
            </w:r>
          </w:p>
        </w:tc>
        <w:tc>
          <w:tcPr>
            <w:tcW w:w="1842" w:type="dxa"/>
          </w:tcPr>
          <w:p>
            <w:pPr>
              <w:keepNext w:val="0"/>
              <w:keepLines w:val="0"/>
              <w:pageBreakBefore w:val="0"/>
              <w:widowControl/>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line="360" w:lineRule="atLeast"/>
              <w:textAlignment w:val="auto"/>
              <w:rPr>
                <w:rFonts w:ascii="Songti SC" w:hAnsi="Songti SC" w:eastAsia="Songti SC" w:cs="宋体"/>
                <w:sz w:val="20"/>
                <w:szCs w:val="20"/>
              </w:rPr>
            </w:pPr>
            <w:r>
              <w:rPr>
                <w:rFonts w:hint="eastAsia" w:ascii="Songti SC" w:hAnsi="Songti SC" w:eastAsia="Songti SC" w:cs="宋体"/>
                <w:sz w:val="20"/>
                <w:szCs w:val="20"/>
              </w:rPr>
              <w:t>药物选择和疗程因个体病情而异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4" w:type="dxa"/>
          </w:tcPr>
          <w:p>
            <w:pPr>
              <w:keepNext w:val="0"/>
              <w:keepLines w:val="0"/>
              <w:pageBreakBefore w:val="0"/>
              <w:widowControl/>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line="360" w:lineRule="atLeast"/>
              <w:textAlignment w:val="auto"/>
              <w:rPr>
                <w:rFonts w:hint="eastAsia" w:ascii="Songti SC" w:hAnsi="Songti SC" w:eastAsia="Songti SC" w:cs="宋体"/>
                <w:sz w:val="20"/>
                <w:szCs w:val="20"/>
              </w:rPr>
            </w:pPr>
            <w:r>
              <w:rPr>
                <w:rFonts w:hint="eastAsia" w:ascii="Songti SC" w:hAnsi="Songti SC" w:eastAsia="Songti SC" w:cs="宋体"/>
                <w:sz w:val="20"/>
                <w:szCs w:val="20"/>
              </w:rPr>
              <w:t>姑息性化疗</w:t>
            </w:r>
          </w:p>
        </w:tc>
        <w:tc>
          <w:tcPr>
            <w:tcW w:w="1785" w:type="dxa"/>
          </w:tcPr>
          <w:p>
            <w:pPr>
              <w:keepNext w:val="0"/>
              <w:keepLines w:val="0"/>
              <w:pageBreakBefore w:val="0"/>
              <w:widowControl/>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line="360" w:lineRule="atLeast"/>
              <w:textAlignment w:val="auto"/>
              <w:rPr>
                <w:rFonts w:hint="eastAsia" w:ascii="Songti SC" w:hAnsi="Songti SC" w:eastAsia="Songti SC" w:cs="宋体"/>
                <w:sz w:val="20"/>
                <w:szCs w:val="20"/>
              </w:rPr>
            </w:pPr>
            <w:r>
              <w:rPr>
                <w:rFonts w:hint="eastAsia" w:ascii="Songti SC" w:hAnsi="Songti SC" w:eastAsia="Songti SC" w:cs="宋体"/>
                <w:sz w:val="20"/>
                <w:szCs w:val="20"/>
              </w:rPr>
              <w:t>减轻患者的症状、改善生活质量，并尽可能延长生存时间。</w:t>
            </w:r>
          </w:p>
        </w:tc>
        <w:tc>
          <w:tcPr>
            <w:tcW w:w="3969" w:type="dxa"/>
          </w:tcPr>
          <w:p>
            <w:pPr>
              <w:keepNext w:val="0"/>
              <w:keepLines w:val="0"/>
              <w:pageBreakBefore w:val="0"/>
              <w:widowControl/>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line="360" w:lineRule="atLeast"/>
              <w:textAlignment w:val="auto"/>
              <w:rPr>
                <w:rFonts w:hint="eastAsia" w:ascii="Songti SC" w:hAnsi="Songti SC" w:eastAsia="Songti SC" w:cs="宋体"/>
                <w:sz w:val="20"/>
                <w:szCs w:val="20"/>
              </w:rPr>
            </w:pPr>
            <w:r>
              <w:rPr>
                <w:rFonts w:hint="eastAsia" w:ascii="Songti SC" w:hAnsi="Songti SC" w:eastAsia="Songti SC" w:cs="宋体"/>
                <w:sz w:val="20"/>
                <w:szCs w:val="20"/>
              </w:rPr>
              <w:t>常用的姑息性化疗药物包括吉西他滨（</w:t>
            </w:r>
            <w:r>
              <w:rPr>
                <w:rFonts w:ascii="Songti SC" w:hAnsi="Songti SC" w:eastAsia="Songti SC" w:cs="宋体"/>
                <w:sz w:val="20"/>
                <w:szCs w:val="20"/>
              </w:rPr>
              <w:t>gemcitabine</w:t>
            </w:r>
            <w:r>
              <w:rPr>
                <w:rFonts w:hint="eastAsia" w:ascii="Songti SC" w:hAnsi="Songti SC" w:eastAsia="Songti SC" w:cs="宋体"/>
                <w:sz w:val="20"/>
                <w:szCs w:val="20"/>
              </w:rPr>
              <w:t>）、阿布帕西林（</w:t>
            </w:r>
            <w:r>
              <w:rPr>
                <w:rFonts w:ascii="Songti SC" w:hAnsi="Songti SC" w:eastAsia="Songti SC" w:cs="宋体"/>
                <w:sz w:val="20"/>
                <w:szCs w:val="20"/>
              </w:rPr>
              <w:t>Abraxane</w:t>
            </w:r>
            <w:r>
              <w:rPr>
                <w:rFonts w:hint="eastAsia" w:ascii="Songti SC" w:hAnsi="Songti SC" w:eastAsia="Songti SC" w:cs="宋体"/>
                <w:sz w:val="20"/>
                <w:szCs w:val="20"/>
              </w:rPr>
              <w:t>）、氟尿嘧啶（</w:t>
            </w:r>
            <w:r>
              <w:rPr>
                <w:rFonts w:ascii="Songti SC" w:hAnsi="Songti SC" w:eastAsia="Songti SC" w:cs="宋体"/>
                <w:sz w:val="20"/>
                <w:szCs w:val="20"/>
              </w:rPr>
              <w:t>5-Fluorouracil</w:t>
            </w:r>
            <w:r>
              <w:rPr>
                <w:rFonts w:hint="eastAsia" w:ascii="Songti SC" w:hAnsi="Songti SC" w:eastAsia="Songti SC" w:cs="宋体"/>
                <w:sz w:val="20"/>
                <w:szCs w:val="20"/>
              </w:rPr>
              <w:t>）等;</w:t>
            </w:r>
            <w:r>
              <w:rPr>
                <w:rFonts w:ascii="Songti SC" w:hAnsi="Songti SC" w:eastAsia="Songti SC" w:cs="宋体"/>
                <w:sz w:val="20"/>
                <w:szCs w:val="20"/>
                <w:lang w:val="en-US"/>
              </w:rPr>
              <w:t xml:space="preserve"> </w:t>
            </w:r>
            <w:r>
              <w:rPr>
                <w:rFonts w:hint="eastAsia" w:ascii="Songti SC" w:hAnsi="Songti SC" w:eastAsia="Songti SC" w:cs="宋体"/>
                <w:sz w:val="20"/>
                <w:szCs w:val="20"/>
              </w:rPr>
              <w:t>有时也会考虑使用靶向药物，如埃拉法尼布（</w:t>
            </w:r>
            <w:r>
              <w:rPr>
                <w:rFonts w:ascii="Songti SC" w:hAnsi="Songti SC" w:eastAsia="Songti SC" w:cs="宋体"/>
                <w:sz w:val="20"/>
                <w:szCs w:val="20"/>
              </w:rPr>
              <w:t>erlotinib</w:t>
            </w:r>
            <w:r>
              <w:rPr>
                <w:rFonts w:hint="eastAsia" w:ascii="Songti SC" w:hAnsi="Songti SC" w:eastAsia="Songti SC" w:cs="宋体"/>
                <w:sz w:val="20"/>
                <w:szCs w:val="20"/>
              </w:rPr>
              <w:t>）</w:t>
            </w:r>
          </w:p>
        </w:tc>
        <w:tc>
          <w:tcPr>
            <w:tcW w:w="1842" w:type="dxa"/>
          </w:tcPr>
          <w:p>
            <w:pPr>
              <w:keepNext w:val="0"/>
              <w:keepLines w:val="0"/>
              <w:pageBreakBefore w:val="0"/>
              <w:widowControl/>
              <w:pBdr>
                <w:top w:val="single" w:color="D9D9E3" w:sz="2" w:space="0"/>
                <w:left w:val="single" w:color="D9D9E3" w:sz="2" w:space="0"/>
                <w:bottom w:val="single" w:color="D9D9E3" w:sz="2" w:space="0"/>
                <w:right w:val="single" w:color="D9D9E3" w:sz="2" w:space="0"/>
              </w:pBdr>
              <w:kinsoku/>
              <w:wordWrap/>
              <w:overflowPunct/>
              <w:topLinePunct w:val="0"/>
              <w:autoSpaceDE/>
              <w:autoSpaceDN/>
              <w:bidi w:val="0"/>
              <w:adjustRightInd/>
              <w:snapToGrid/>
              <w:spacing w:line="360" w:lineRule="atLeast"/>
              <w:textAlignment w:val="auto"/>
              <w:rPr>
                <w:rFonts w:hint="eastAsia" w:ascii="Songti SC" w:hAnsi="Songti SC" w:eastAsia="Songti SC" w:cs="宋体"/>
                <w:sz w:val="20"/>
                <w:szCs w:val="20"/>
              </w:rPr>
            </w:pPr>
          </w:p>
        </w:tc>
      </w:tr>
    </w:tbl>
    <w:p>
      <w:pPr>
        <w:keepNext w:val="0"/>
        <w:keepLines w:val="0"/>
        <w:pageBreakBefore w:val="0"/>
        <w:widowControl/>
        <w:kinsoku/>
        <w:wordWrap/>
        <w:overflowPunct/>
        <w:topLinePunct w:val="0"/>
        <w:autoSpaceDE/>
        <w:autoSpaceDN/>
        <w:bidi w:val="0"/>
        <w:adjustRightInd/>
        <w:snapToGrid/>
        <w:spacing w:line="360" w:lineRule="atLeast"/>
        <w:textAlignment w:val="auto"/>
        <w:rPr>
          <w:rFonts w:hint="eastAsia" w:ascii="Songti SC" w:hAnsi="Songti SC" w:eastAsia="Songti SC"/>
          <w:sz w:val="20"/>
          <w:szCs w:val="20"/>
          <w:lang w:val="en-US"/>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cs="宋体"/>
          <w:sz w:val="20"/>
          <w:szCs w:val="20"/>
        </w:rPr>
        <w:t>4.</w:t>
      </w:r>
      <w:r>
        <w:rPr>
          <w:rFonts w:hint="eastAsia" w:ascii="Songti SC" w:hAnsi="Songti SC" w:eastAsia="Songti SC" w:cs="宋体"/>
          <w:sz w:val="20"/>
          <w:szCs w:val="20"/>
        </w:rPr>
        <w:t>放疗</w:t>
      </w:r>
      <w:r>
        <w:rPr>
          <w:rFonts w:ascii="Songti SC" w:hAnsi="Songti SC" w:eastAsia="Songti SC" w:cs="宋体"/>
          <w:sz w:val="20"/>
          <w:szCs w:val="20"/>
        </w:rPr>
        <w:t>:</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r>
        <w:rPr>
          <w:rFonts w:ascii="Songti SC" w:hAnsi="Songti SC" w:eastAsia="Songti SC" w:cs="宋体"/>
          <w:sz w:val="20"/>
          <w:szCs w:val="20"/>
        </w:rPr>
        <w:t>放射治疗可用于靶向和摧毁癌细胞。它经常与手术或化疗联合使用。</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eastAsia" w:ascii="Songti SC" w:hAnsi="Songti SC" w:eastAsia="Songti SC" w:cs="宋体"/>
          <w:sz w:val="20"/>
          <w:szCs w:val="20"/>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eastAsia" w:ascii="Songti SC" w:hAnsi="Songti SC" w:eastAsia="Songti SC"/>
          <w:sz w:val="20"/>
          <w:szCs w:val="20"/>
          <w:lang w:eastAsia="zh-CN"/>
        </w:rPr>
      </w:pPr>
      <w:r>
        <w:rPr>
          <w:rFonts w:ascii="Songti SC" w:hAnsi="Songti SC" w:eastAsia="Songti SC" w:cs="宋体"/>
          <w:sz w:val="20"/>
          <w:szCs w:val="20"/>
        </w:rPr>
        <w:t>5.靶向治疗和免疫治疗：</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r>
        <w:rPr>
          <w:rFonts w:ascii="Songti SC" w:hAnsi="Songti SC" w:eastAsia="Songti SC" w:cs="宋体"/>
          <w:sz w:val="20"/>
          <w:szCs w:val="20"/>
        </w:rPr>
        <w:t>不断发展的研究探索靶向治疗和免疫治疗，以提高治疗效果。针对特定的分子途径和利用免疫系统是一个很有前途的途径。</w:t>
      </w:r>
    </w:p>
    <w:p>
      <w:pPr>
        <w:keepNext w:val="0"/>
        <w:keepLines w:val="0"/>
        <w:pageBreakBefore w:val="0"/>
        <w:widowControl/>
        <w:kinsoku/>
        <w:wordWrap/>
        <w:overflowPunct/>
        <w:topLinePunct w:val="0"/>
        <w:autoSpaceDE/>
        <w:autoSpaceDN/>
        <w:bidi w:val="0"/>
        <w:adjustRightInd/>
        <w:snapToGrid/>
        <w:spacing w:line="360" w:lineRule="atLeast"/>
        <w:textAlignment w:val="auto"/>
        <w:rPr>
          <w:rFonts w:hint="eastAsia" w:ascii="Songti SC" w:hAnsi="Songti SC" w:eastAsia="Songti SC"/>
          <w:sz w:val="20"/>
          <w:szCs w:val="20"/>
        </w:rPr>
      </w:pPr>
    </w:p>
    <w:p>
      <w:pPr>
        <w:pStyle w:val="8"/>
        <w:keepNext w:val="0"/>
        <w:keepLines w:val="0"/>
        <w:pageBreakBefore w:val="0"/>
        <w:widowControl/>
        <w:numPr>
          <w:ilvl w:val="0"/>
          <w:numId w:val="1"/>
        </w:numPr>
        <w:kinsoku/>
        <w:wordWrap/>
        <w:overflowPunct/>
        <w:topLinePunct w:val="0"/>
        <w:autoSpaceDE/>
        <w:autoSpaceDN/>
        <w:bidi w:val="0"/>
        <w:adjustRightInd/>
        <w:snapToGrid/>
        <w:spacing w:line="360" w:lineRule="atLeast"/>
        <w:ind w:left="0"/>
        <w:textAlignment w:val="auto"/>
        <w:rPr>
          <w:rFonts w:ascii="Songti SC" w:hAnsi="Songti SC" w:eastAsia="Songti SC" w:cs="宋体"/>
          <w:sz w:val="20"/>
          <w:szCs w:val="20"/>
        </w:rPr>
      </w:pPr>
      <w:r>
        <w:rPr>
          <w:rFonts w:ascii="Songti SC" w:hAnsi="Songti SC" w:eastAsia="Songti SC" w:cs="宋体"/>
          <w:sz w:val="20"/>
          <w:szCs w:val="20"/>
        </w:rPr>
        <w:t>患者流程和趋势</w:t>
      </w:r>
      <w:r>
        <w:rPr>
          <w:rFonts w:hint="eastAsia" w:ascii="Songti SC" w:hAnsi="Songti SC" w:eastAsia="Songti SC" w:cs="宋体"/>
          <w:sz w:val="20"/>
          <w:szCs w:val="20"/>
        </w:rPr>
        <w:t>——</w:t>
      </w:r>
      <w:r>
        <w:rPr>
          <w:rFonts w:ascii="Songti SC" w:hAnsi="Songti SC" w:eastAsia="Songti SC" w:cs="宋体"/>
          <w:sz w:val="20"/>
          <w:szCs w:val="20"/>
        </w:rPr>
        <w:t>晚期病人为主的治疗格局</w:t>
      </w:r>
    </w:p>
    <w:p>
      <w:pPr>
        <w:keepNext w:val="0"/>
        <w:keepLines w:val="0"/>
        <w:pageBreakBefore w:val="0"/>
        <w:widowControl/>
        <w:kinsoku/>
        <w:wordWrap/>
        <w:overflowPunct/>
        <w:topLinePunct w:val="0"/>
        <w:autoSpaceDE/>
        <w:autoSpaceDN/>
        <w:bidi w:val="0"/>
        <w:adjustRightInd/>
        <w:snapToGrid/>
        <w:spacing w:line="360" w:lineRule="atLeast"/>
        <w:textAlignment w:val="auto"/>
        <w:rPr>
          <w:rFonts w:hint="eastAsia" w:ascii="Songti SC" w:hAnsi="Songti SC" w:eastAsia="Songti SC"/>
          <w:sz w:val="20"/>
          <w:szCs w:val="20"/>
        </w:rPr>
      </w:pPr>
      <w:r>
        <w:rPr>
          <w:rFonts w:ascii="Songti SC" w:hAnsi="Songti SC" w:eastAsia="Songti SC" w:cs="宋体"/>
          <w:sz w:val="20"/>
          <w:szCs w:val="20"/>
        </w:rPr>
        <w:t>在过去的几十年里，病人国家的趋势反映了挑战和进步：</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cs="宋体"/>
          <w:sz w:val="20"/>
          <w:szCs w:val="20"/>
        </w:rPr>
        <w:t>1.后期诊断：</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eastAsia" w:ascii="Songti SC" w:hAnsi="Songti SC" w:eastAsia="Songti SC"/>
          <w:sz w:val="20"/>
          <w:szCs w:val="20"/>
        </w:rPr>
      </w:pPr>
      <w:r>
        <w:rPr>
          <w:rFonts w:ascii="Songti SC" w:hAnsi="Songti SC" w:eastAsia="Songti SC" w:cs="宋体"/>
          <w:sz w:val="20"/>
          <w:szCs w:val="20"/>
        </w:rPr>
        <w:t>一个普遍的趋势是晚期胰腺癌的诊断，限制了治疗的选择。努力通过筛查和宣传运动来加强早期发现是至关重要的。</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cs="宋体"/>
          <w:sz w:val="20"/>
          <w:szCs w:val="20"/>
        </w:rPr>
        <w:t>2.在治疗方式方面的进展：</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eastAsia" w:ascii="Songti SC" w:hAnsi="Songti SC" w:eastAsia="Songti SC"/>
          <w:sz w:val="20"/>
          <w:szCs w:val="20"/>
        </w:rPr>
      </w:pPr>
      <w:r>
        <w:rPr>
          <w:rFonts w:ascii="Songti SC" w:hAnsi="Songti SC" w:eastAsia="Songti SC" w:cs="宋体"/>
          <w:sz w:val="20"/>
          <w:szCs w:val="20"/>
        </w:rPr>
        <w:t>治疗的进展，特别是化疗方案，已经提高了一些患者的生存率。然而，总体预后仍然具有挑战性，需要持续进行的研究。</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cs="宋体"/>
          <w:sz w:val="20"/>
          <w:szCs w:val="20"/>
        </w:rPr>
        <w:t>3.患者支持和姑息治疗：</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r>
        <w:rPr>
          <w:rFonts w:ascii="Songti SC" w:hAnsi="Songti SC" w:eastAsia="Songti SC" w:cs="宋体"/>
          <w:sz w:val="20"/>
          <w:szCs w:val="20"/>
        </w:rPr>
        <w:t>认识到胰腺癌的侵袭性，人们越来越关注姑息治疗和整体患者支持，以提高生活质量。</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default" w:ascii="Songti SC" w:hAnsi="Songti SC" w:eastAsia="Songti SC" w:cs="宋体"/>
          <w:sz w:val="20"/>
          <w:szCs w:val="20"/>
          <w:lang w:val="en-US"/>
        </w:rPr>
      </w:pPr>
      <w:r>
        <w:rPr>
          <w:rFonts w:ascii="Songti SC" w:hAnsi="Songti SC" w:eastAsia="Songti SC" w:cs="宋体"/>
          <w:sz w:val="20"/>
          <w:szCs w:val="20"/>
          <w:lang w:val="en-US" w:eastAsia="zh-CN" w:bidi="ar-SA"/>
        </w:rPr>
        <w:t xml:space="preserve">数据来源： </w:t>
      </w:r>
      <w:r>
        <w:rPr>
          <w:rFonts w:hint="eastAsia" w:ascii="Songti SC" w:hAnsi="Songti SC" w:eastAsia="Songti SC" w:cs="宋体"/>
          <w:sz w:val="20"/>
          <w:szCs w:val="20"/>
          <w:lang w:val="en-US" w:eastAsia="zh-CN" w:bidi="ar-SA"/>
        </w:rPr>
        <w:t>CSCO指南</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lang w:val="en-US" w:eastAsia="zh-CN"/>
        </w:rPr>
      </w:pPr>
      <w:r>
        <w:rPr>
          <w:rFonts w:hint="eastAsia" w:ascii="Songti SC" w:hAnsi="Songti SC" w:eastAsia="Songti SC" w:cs="宋体"/>
          <w:sz w:val="20"/>
          <w:szCs w:val="20"/>
          <w:lang w:val="en-US" w:eastAsia="zh-CN"/>
        </w:rPr>
        <w:t>早期（</w:t>
      </w:r>
      <w:r>
        <w:rPr>
          <w:rFonts w:ascii="Songti SC" w:hAnsi="Songti SC" w:eastAsia="Songti SC" w:cs="宋体"/>
          <w:sz w:val="20"/>
          <w:szCs w:val="20"/>
          <w:lang w:val="en-US" w:eastAsia="zh-CN"/>
        </w:rPr>
        <w:t>Ⅰ、Ⅱ</w:t>
      </w:r>
      <w:r>
        <w:rPr>
          <w:rFonts w:hint="eastAsia" w:ascii="Songti SC" w:hAnsi="Songti SC" w:eastAsia="Songti SC" w:cs="宋体"/>
          <w:sz w:val="20"/>
          <w:szCs w:val="20"/>
          <w:lang w:val="en-US" w:eastAsia="zh-CN"/>
        </w:rPr>
        <w:t>）</w:t>
      </w:r>
      <w:r>
        <w:rPr>
          <w:rFonts w:ascii="Songti SC" w:hAnsi="Songti SC" w:eastAsia="Songti SC" w:cs="宋体"/>
          <w:sz w:val="20"/>
          <w:szCs w:val="20"/>
          <w:lang w:val="en-US" w:eastAsia="zh-CN"/>
        </w:rPr>
        <w:t>胰腺癌使用手术切除</w:t>
      </w:r>
    </w:p>
    <w:tbl>
      <w:tblPr>
        <w:tblStyle w:val="4"/>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383"/>
        <w:gridCol w:w="9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284"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Style w:val="11"/>
                <w:i w:val="0"/>
                <w:iCs w:val="0"/>
                <w:color w:val="000000"/>
                <w:sz w:val="20"/>
                <w:szCs w:val="20"/>
                <w:lang w:val="en-US" w:eastAsia="zh-CN" w:bidi="ar"/>
              </w:rPr>
            </w:pPr>
            <w:r>
              <w:rPr>
                <w:rStyle w:val="11"/>
                <w:i w:val="0"/>
                <w:iCs w:val="0"/>
                <w:color w:val="000000"/>
                <w:sz w:val="20"/>
                <w:szCs w:val="20"/>
                <w:lang w:val="en-US" w:eastAsia="zh-CN" w:bidi="ar"/>
              </w:rPr>
              <w:t>方案</w:t>
            </w:r>
          </w:p>
        </w:tc>
        <w:tc>
          <w:tcPr>
            <w:tcW w:w="3715"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具体用药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128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古西他滨+白蛋白结合型紫杉醇</w:t>
            </w:r>
          </w:p>
        </w:tc>
        <w:tc>
          <w:tcPr>
            <w:tcW w:w="3715"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白蛋白结合型紫杉醇125mg/m2静脉滴注1、8日，吉西他滨1000mg/m2静脉滴注第1、8日，每</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3周重复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5" w:hRule="atLeast"/>
        </w:trPr>
        <w:tc>
          <w:tcPr>
            <w:tcW w:w="128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FOLFIRINOX(仅用于ECOG PS评</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分0～1的患者</w:t>
            </w:r>
          </w:p>
        </w:tc>
        <w:tc>
          <w:tcPr>
            <w:tcW w:w="371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奥沙利铂85mg/m²静脉滴注第1日</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伊立替康180mg/m2静脉滴注第1日</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亚叶酸钙400mg/m²静脉滴注第1日</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5-氟尿嘧啶(5-fluorouracil,5-FU)400mg/m²快速静脉注射第1日之后5-FU 2400mg/m²持</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续输注46小时，每2周重复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5" w:hRule="atLeast"/>
        </w:trPr>
        <w:tc>
          <w:tcPr>
            <w:tcW w:w="128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mFOLFIRINOX(仅用于ECOG PS评</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分0～1的患者)</w:t>
            </w:r>
          </w:p>
        </w:tc>
        <w:tc>
          <w:tcPr>
            <w:tcW w:w="371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奥沙利铂85mg/m²静脉滴注第1日</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伊立替康150mg/m2静脉滴注第1日</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亚叶酸钙400mg/m²静脉滴注第1日</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5-FU 2400mg/m²持续输注46小时</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每2周重复</w:t>
            </w:r>
          </w:p>
        </w:tc>
      </w:tr>
    </w:tbl>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lang w:val="en-US" w:eastAsia="zh-CN"/>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eastAsia" w:ascii="Songti SC" w:hAnsi="Songti SC" w:eastAsia="Songti SC" w:cs="宋体"/>
          <w:sz w:val="20"/>
          <w:szCs w:val="20"/>
          <w:lang w:val="en-US" w:eastAsia="zh-CN"/>
        </w:rPr>
      </w:pPr>
      <w:r>
        <w:rPr>
          <w:rFonts w:ascii="Songti SC" w:hAnsi="Songti SC" w:eastAsia="Songti SC" w:cs="宋体"/>
          <w:sz w:val="20"/>
          <w:szCs w:val="20"/>
          <w:lang w:val="en-US" w:eastAsia="zh-CN"/>
        </w:rPr>
        <w:t>晚</w:t>
      </w:r>
      <w:r>
        <w:rPr>
          <w:rFonts w:hint="eastAsia" w:ascii="Songti SC" w:hAnsi="Songti SC" w:eastAsia="Songti SC" w:cs="宋体"/>
          <w:sz w:val="20"/>
          <w:szCs w:val="20"/>
          <w:lang w:val="en-US" w:eastAsia="zh-CN"/>
        </w:rPr>
        <w:t>期（Ⅲ、Ⅳ）胰腺癌</w:t>
      </w:r>
      <w:r>
        <w:rPr>
          <w:rFonts w:ascii="Songti SC" w:hAnsi="Songti SC" w:eastAsia="Songti SC" w:cs="宋体"/>
          <w:sz w:val="20"/>
          <w:szCs w:val="20"/>
          <w:lang w:val="en-US" w:eastAsia="zh-CN"/>
        </w:rPr>
        <w:t>化疗占主导</w:t>
      </w:r>
      <w:r>
        <w:rPr>
          <w:rFonts w:hint="eastAsia" w:ascii="Songti SC" w:hAnsi="Songti SC" w:eastAsia="Songti SC" w:cs="宋体"/>
          <w:sz w:val="20"/>
          <w:szCs w:val="20"/>
          <w:lang w:val="en-US" w:eastAsia="zh-CN"/>
        </w:rPr>
        <w:t xml:space="preserve"> + </w:t>
      </w:r>
      <w:r>
        <w:rPr>
          <w:rFonts w:ascii="Songti SC" w:hAnsi="Songti SC" w:eastAsia="Songti SC" w:cs="宋体"/>
          <w:sz w:val="20"/>
          <w:szCs w:val="20"/>
          <w:lang w:val="en-US" w:eastAsia="zh-CN"/>
        </w:rPr>
        <w:t>靶向疗法发展</w:t>
      </w:r>
      <w:r>
        <w:rPr>
          <w:rFonts w:hint="eastAsia" w:ascii="Songti SC" w:hAnsi="Songti SC" w:eastAsia="Songti SC" w:cs="宋体"/>
          <w:sz w:val="20"/>
          <w:szCs w:val="20"/>
          <w:lang w:val="en-US" w:eastAsia="zh-CN"/>
        </w:rPr>
        <w:t>（</w:t>
      </w:r>
      <w:r>
        <w:rPr>
          <w:rFonts w:ascii="Songti SC" w:hAnsi="Songti SC" w:eastAsia="Songti SC" w:cs="宋体"/>
          <w:sz w:val="20"/>
          <w:szCs w:val="20"/>
          <w:lang w:val="en-US" w:eastAsia="zh-CN"/>
        </w:rPr>
        <w:t>超过80%的胰腺癌患者因病情较晚失去手术机会</w:t>
      </w:r>
      <w:r>
        <w:rPr>
          <w:rFonts w:hint="eastAsia" w:ascii="Songti SC" w:hAnsi="Songti SC" w:eastAsia="Songti SC" w:cs="宋体"/>
          <w:sz w:val="20"/>
          <w:szCs w:val="20"/>
          <w:lang w:val="en-US" w:eastAsia="zh-CN"/>
        </w:rPr>
        <w:t>）</w:t>
      </w:r>
    </w:p>
    <w:tbl>
      <w:tblPr>
        <w:tblStyle w:val="4"/>
        <w:tblW w:w="1332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61"/>
        <w:gridCol w:w="661"/>
        <w:gridCol w:w="5640"/>
        <w:gridCol w:w="49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2061" w:type="dxa"/>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Style w:val="11"/>
                <w:i w:val="0"/>
                <w:iCs w:val="0"/>
                <w:color w:val="000000"/>
                <w:sz w:val="20"/>
                <w:szCs w:val="20"/>
                <w:lang w:val="en-US" w:eastAsia="zh-CN" w:bidi="ar"/>
              </w:rPr>
            </w:pPr>
            <w:r>
              <w:rPr>
                <w:rStyle w:val="11"/>
                <w:i w:val="0"/>
                <w:iCs w:val="0"/>
                <w:color w:val="000000"/>
                <w:sz w:val="20"/>
                <w:szCs w:val="20"/>
                <w:lang w:val="en-US" w:eastAsia="zh-CN" w:bidi="ar"/>
              </w:rPr>
              <w:t>分期</w:t>
            </w:r>
          </w:p>
        </w:tc>
        <w:tc>
          <w:tcPr>
            <w:tcW w:w="661" w:type="dxa"/>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线数</w:t>
            </w:r>
          </w:p>
        </w:tc>
        <w:tc>
          <w:tcPr>
            <w:tcW w:w="5640" w:type="dxa"/>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I级推荐</w:t>
            </w:r>
          </w:p>
        </w:tc>
        <w:tc>
          <w:tcPr>
            <w:tcW w:w="4958" w:type="dxa"/>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Ⅱ级推荐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trPr>
        <w:tc>
          <w:tcPr>
            <w:tcW w:w="20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局部晚期或转移</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性胰腺癌</w:t>
            </w:r>
          </w:p>
        </w:tc>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一线</w:t>
            </w:r>
          </w:p>
        </w:tc>
        <w:tc>
          <w:tcPr>
            <w:tcW w:w="564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1.FOLFIRINOX/mFOLFIRINOX</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2.吉西他滨+白蛋白结合型紫杉醇</w:t>
            </w:r>
            <w:r>
              <w:rPr>
                <w:rStyle w:val="11"/>
                <w:i w:val="0"/>
                <w:iCs w:val="0"/>
                <w:color w:val="000000"/>
                <w:sz w:val="20"/>
                <w:szCs w:val="20"/>
                <w:lang w:val="en-US" w:eastAsia="zh-CN" w:bidi="ar"/>
              </w:rPr>
              <w:br w:type="textWrapping"/>
            </w:r>
            <w:r>
              <w:rPr>
                <w:rStyle w:val="11"/>
                <w:rFonts w:hint="default"/>
                <w:i w:val="0"/>
                <w:iCs w:val="0"/>
                <w:color w:val="000000"/>
                <w:sz w:val="20"/>
                <w:szCs w:val="20"/>
                <w:lang w:val="en-US" w:eastAsia="zh-CN" w:bidi="ar"/>
              </w:rPr>
              <w:br w:type="textWrapping"/>
            </w:r>
            <w:r>
              <w:rPr>
                <w:rStyle w:val="11"/>
                <w:i w:val="0"/>
                <w:iCs w:val="0"/>
                <w:color w:val="000000"/>
                <w:sz w:val="20"/>
                <w:szCs w:val="20"/>
                <w:lang w:val="en-US" w:eastAsia="zh-CN" w:bidi="ar"/>
              </w:rPr>
              <w:t>3.吉西他滨+顺铂(特别对于可能存在BRCA1/2或</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 xml:space="preserve">   者其他DNA修复基因突变的遗传性肿瘤患者)</w:t>
            </w:r>
          </w:p>
        </w:tc>
        <w:tc>
          <w:tcPr>
            <w:tcW w:w="495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1.吉西他滨+厄洛替尼</w:t>
            </w:r>
            <w:r>
              <w:rPr>
                <w:rStyle w:val="11"/>
                <w:i w:val="0"/>
                <w:iCs w:val="0"/>
                <w:color w:val="000000"/>
                <w:sz w:val="20"/>
                <w:szCs w:val="20"/>
                <w:lang w:val="en-US" w:eastAsia="zh-CN" w:bidi="ar"/>
              </w:rPr>
              <w:br w:type="textWrapping"/>
            </w:r>
            <w:r>
              <w:rPr>
                <w:rStyle w:val="11"/>
                <w:rFonts w:hint="default"/>
                <w:i w:val="0"/>
                <w:iCs w:val="0"/>
                <w:color w:val="000000"/>
                <w:sz w:val="20"/>
                <w:szCs w:val="20"/>
                <w:lang w:val="en-US" w:eastAsia="zh-CN" w:bidi="ar"/>
              </w:rPr>
              <w:br w:type="textWrapping"/>
            </w:r>
            <w:r>
              <w:rPr>
                <w:rStyle w:val="11"/>
                <w:i w:val="0"/>
                <w:iCs w:val="0"/>
                <w:color w:val="000000"/>
                <w:sz w:val="20"/>
                <w:szCs w:val="20"/>
                <w:lang w:val="en-US" w:eastAsia="zh-CN" w:bidi="ar"/>
              </w:rPr>
              <w:t>2.固定剂量率的吉西他滨、多西他赛、卡培他滨</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3.氟嘧啶+奥沙利铂</w:t>
            </w:r>
            <w:r>
              <w:rPr>
                <w:rStyle w:val="11"/>
                <w:i w:val="0"/>
                <w:iCs w:val="0"/>
                <w:color w:val="000000"/>
                <w:sz w:val="20"/>
                <w:szCs w:val="20"/>
                <w:lang w:val="en-US" w:eastAsia="zh-CN" w:bidi="ar"/>
              </w:rPr>
              <w:br w:type="textWrapping"/>
            </w:r>
            <w:r>
              <w:rPr>
                <w:rStyle w:val="11"/>
                <w:rFonts w:hint="default"/>
                <w:i w:val="0"/>
                <w:iCs w:val="0"/>
                <w:color w:val="000000"/>
                <w:sz w:val="20"/>
                <w:szCs w:val="20"/>
                <w:lang w:val="en-US" w:eastAsia="zh-CN" w:bidi="ar"/>
              </w:rPr>
              <w:br w:type="textWrapping"/>
            </w:r>
            <w:r>
              <w:rPr>
                <w:rStyle w:val="11"/>
                <w:i w:val="0"/>
                <w:iCs w:val="0"/>
                <w:color w:val="000000"/>
                <w:sz w:val="20"/>
                <w:szCs w:val="20"/>
                <w:lang w:val="en-US" w:eastAsia="zh-CN" w:bidi="ar"/>
              </w:rPr>
              <w:t>4.NTRK融合基因突变：拉罗替尼或恩曲替尼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70" w:hRule="atLeast"/>
        </w:trPr>
        <w:tc>
          <w:tcPr>
            <w:tcW w:w="20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p>
        </w:tc>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二线</w:t>
            </w:r>
          </w:p>
        </w:tc>
        <w:tc>
          <w:tcPr>
            <w:tcW w:w="56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1.5-FU+亚叶酸+伊利替康</w:t>
            </w:r>
            <w:r>
              <w:rPr>
                <w:rStyle w:val="11"/>
                <w:i w:val="0"/>
                <w:iCs w:val="0"/>
                <w:color w:val="000000"/>
                <w:sz w:val="20"/>
                <w:szCs w:val="20"/>
                <w:lang w:val="en-US" w:eastAsia="zh-CN" w:bidi="ar"/>
              </w:rPr>
              <w:br w:type="textWrapping"/>
            </w:r>
            <w:r>
              <w:rPr>
                <w:rStyle w:val="11"/>
                <w:rFonts w:hint="default"/>
                <w:i w:val="0"/>
                <w:iCs w:val="0"/>
                <w:color w:val="000000"/>
                <w:sz w:val="20"/>
                <w:szCs w:val="20"/>
                <w:lang w:val="en-US" w:eastAsia="zh-CN" w:bidi="ar"/>
              </w:rPr>
              <w:br w:type="textWrapping"/>
            </w:r>
            <w:r>
              <w:rPr>
                <w:rStyle w:val="11"/>
                <w:i w:val="0"/>
                <w:iCs w:val="0"/>
                <w:color w:val="000000"/>
                <w:sz w:val="20"/>
                <w:szCs w:val="20"/>
                <w:lang w:val="en-US" w:eastAsia="zh-CN" w:bidi="ar"/>
              </w:rPr>
              <w:t>2.5-FU+亚叶酸+伊利替康脂质体</w:t>
            </w:r>
            <w:r>
              <w:rPr>
                <w:rStyle w:val="11"/>
                <w:i w:val="0"/>
                <w:iCs w:val="0"/>
                <w:color w:val="000000"/>
                <w:sz w:val="20"/>
                <w:szCs w:val="20"/>
                <w:lang w:val="en-US" w:eastAsia="zh-CN" w:bidi="ar"/>
              </w:rPr>
              <w:br w:type="textWrapping"/>
            </w:r>
            <w:r>
              <w:rPr>
                <w:rStyle w:val="11"/>
                <w:rFonts w:hint="default"/>
                <w:i w:val="0"/>
                <w:iCs w:val="0"/>
                <w:color w:val="000000"/>
                <w:sz w:val="20"/>
                <w:szCs w:val="20"/>
                <w:lang w:val="en-US" w:eastAsia="zh-CN" w:bidi="ar"/>
              </w:rPr>
              <w:br w:type="textWrapping"/>
            </w:r>
            <w:r>
              <w:rPr>
                <w:rStyle w:val="11"/>
                <w:i w:val="0"/>
                <w:iCs w:val="0"/>
                <w:color w:val="000000"/>
                <w:sz w:val="20"/>
                <w:szCs w:val="20"/>
                <w:lang w:val="en-US" w:eastAsia="zh-CN" w:bidi="ar"/>
              </w:rPr>
              <w:t>3.FOLFIRINOX</w:t>
            </w:r>
            <w:r>
              <w:rPr>
                <w:rStyle w:val="11"/>
                <w:i w:val="0"/>
                <w:iCs w:val="0"/>
                <w:color w:val="000000"/>
                <w:sz w:val="20"/>
                <w:szCs w:val="20"/>
                <w:lang w:val="en-US" w:eastAsia="zh-CN" w:bidi="ar"/>
              </w:rPr>
              <w:br w:type="textWrapping"/>
            </w:r>
            <w:r>
              <w:rPr>
                <w:rStyle w:val="11"/>
                <w:rFonts w:hint="default"/>
                <w:i w:val="0"/>
                <w:iCs w:val="0"/>
                <w:color w:val="000000"/>
                <w:sz w:val="20"/>
                <w:szCs w:val="20"/>
                <w:lang w:val="en-US" w:eastAsia="zh-CN" w:bidi="ar"/>
              </w:rPr>
              <w:br w:type="textWrapping"/>
            </w:r>
            <w:r>
              <w:rPr>
                <w:rStyle w:val="11"/>
                <w:i w:val="0"/>
                <w:iCs w:val="0"/>
                <w:color w:val="000000"/>
                <w:sz w:val="20"/>
                <w:szCs w:val="20"/>
                <w:lang w:val="en-US" w:eastAsia="zh-CN" w:bidi="ar"/>
              </w:rPr>
              <w:t>先前使用过氟嘧啶</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1.吉西他滨</w:t>
            </w:r>
            <w:r>
              <w:rPr>
                <w:rStyle w:val="11"/>
                <w:i w:val="0"/>
                <w:iCs w:val="0"/>
                <w:color w:val="000000"/>
                <w:sz w:val="20"/>
                <w:szCs w:val="20"/>
                <w:lang w:val="en-US" w:eastAsia="zh-CN" w:bidi="ar"/>
              </w:rPr>
              <w:br w:type="textWrapping"/>
            </w:r>
            <w:r>
              <w:rPr>
                <w:rStyle w:val="11"/>
                <w:rFonts w:hint="default"/>
                <w:i w:val="0"/>
                <w:iCs w:val="0"/>
                <w:color w:val="000000"/>
                <w:sz w:val="20"/>
                <w:szCs w:val="20"/>
                <w:lang w:val="en-US" w:eastAsia="zh-CN" w:bidi="ar"/>
              </w:rPr>
              <w:br w:type="textWrapping"/>
            </w:r>
            <w:r>
              <w:rPr>
                <w:rStyle w:val="11"/>
                <w:i w:val="0"/>
                <w:iCs w:val="0"/>
                <w:color w:val="000000"/>
                <w:sz w:val="20"/>
                <w:szCs w:val="20"/>
                <w:lang w:val="en-US" w:eastAsia="zh-CN" w:bidi="ar"/>
              </w:rPr>
              <w:t>2.吉西他滨+白蛋白结合型紫杉醇</w:t>
            </w:r>
          </w:p>
        </w:tc>
        <w:tc>
          <w:tcPr>
            <w:tcW w:w="495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Style w:val="11"/>
                <w:rFonts w:hint="default"/>
                <w:i w:val="0"/>
                <w:iCs w:val="0"/>
                <w:color w:val="000000"/>
                <w:sz w:val="20"/>
                <w:szCs w:val="20"/>
                <w:lang w:val="en-US" w:eastAsia="zh-CN" w:bidi="ar"/>
              </w:rPr>
            </w:pPr>
            <w:r>
              <w:rPr>
                <w:rStyle w:val="11"/>
                <w:i w:val="0"/>
                <w:iCs w:val="0"/>
                <w:color w:val="000000"/>
                <w:sz w:val="20"/>
                <w:szCs w:val="20"/>
                <w:lang w:val="en-US" w:eastAsia="zh-CN" w:bidi="ar"/>
              </w:rPr>
              <w:t>MSI-H/dMMR:帕博利珠单抗</w:t>
            </w:r>
            <w:r>
              <w:rPr>
                <w:rStyle w:val="11"/>
                <w:i w:val="0"/>
                <w:iCs w:val="0"/>
                <w:color w:val="000000"/>
                <w:sz w:val="20"/>
                <w:szCs w:val="20"/>
                <w:lang w:val="en-US" w:eastAsia="zh-CN" w:bidi="ar"/>
              </w:rPr>
              <w:br w:type="textWrapping"/>
            </w:r>
            <w:r>
              <w:rPr>
                <w:rStyle w:val="11"/>
                <w:rFonts w:hint="default"/>
                <w:i w:val="0"/>
                <w:iCs w:val="0"/>
                <w:color w:val="000000"/>
                <w:sz w:val="20"/>
                <w:szCs w:val="20"/>
                <w:lang w:val="en-US" w:eastAsia="zh-CN" w:bidi="ar"/>
              </w:rPr>
              <w:br w:type="textWrapping"/>
            </w:r>
            <w:r>
              <w:rPr>
                <w:rStyle w:val="11"/>
                <w:i w:val="0"/>
                <w:iCs w:val="0"/>
                <w:color w:val="000000"/>
                <w:sz w:val="20"/>
                <w:szCs w:val="20"/>
                <w:lang w:val="en-US" w:eastAsia="zh-CN" w:bidi="ar"/>
              </w:rPr>
              <w:t>BRCA1/2基因突变：奥拉帕利</w:t>
            </w:r>
            <w:r>
              <w:rPr>
                <w:rStyle w:val="11"/>
                <w:i w:val="0"/>
                <w:iCs w:val="0"/>
                <w:color w:val="000000"/>
                <w:sz w:val="20"/>
                <w:szCs w:val="20"/>
                <w:lang w:val="en-US" w:eastAsia="zh-CN" w:bidi="ar"/>
              </w:rPr>
              <w:br w:type="textWrapping"/>
            </w:r>
            <w:r>
              <w:rPr>
                <w:rStyle w:val="11"/>
                <w:rFonts w:hint="default"/>
                <w:i w:val="0"/>
                <w:iCs w:val="0"/>
                <w:color w:val="000000"/>
                <w:sz w:val="20"/>
                <w:szCs w:val="20"/>
                <w:lang w:val="en-US" w:eastAsia="zh-CN" w:bidi="ar"/>
              </w:rPr>
              <w:br w:type="textWrapping"/>
            </w:r>
            <w:r>
              <w:rPr>
                <w:rStyle w:val="11"/>
                <w:i w:val="0"/>
                <w:iCs w:val="0"/>
                <w:color w:val="000000"/>
                <w:sz w:val="20"/>
                <w:szCs w:val="20"/>
                <w:lang w:val="en-US" w:eastAsia="zh-CN" w:bidi="ar"/>
              </w:rPr>
              <w:t>NTRK融合基因突变：拉罗替尼或恩曲替尼</w:t>
            </w:r>
            <w:r>
              <w:rPr>
                <w:rStyle w:val="11"/>
                <w:i w:val="0"/>
                <w:iCs w:val="0"/>
                <w:color w:val="000000"/>
                <w:sz w:val="20"/>
                <w:szCs w:val="20"/>
                <w:lang w:val="en-US" w:eastAsia="zh-CN" w:bidi="ar"/>
              </w:rPr>
              <w:br w:type="textWrapping"/>
            </w:r>
            <w:r>
              <w:rPr>
                <w:rStyle w:val="11"/>
                <w:rFonts w:hint="default"/>
                <w:i w:val="0"/>
                <w:iCs w:val="0"/>
                <w:color w:val="000000"/>
                <w:sz w:val="20"/>
                <w:szCs w:val="20"/>
                <w:lang w:val="en-US" w:eastAsia="zh-CN" w:bidi="ar"/>
              </w:rPr>
              <w:br w:type="textWrapping"/>
            </w:r>
            <w:r>
              <w:rPr>
                <w:rStyle w:val="11"/>
                <w:i w:val="0"/>
                <w:iCs w:val="0"/>
                <w:color w:val="000000"/>
                <w:sz w:val="20"/>
                <w:szCs w:val="20"/>
                <w:lang w:val="en-US" w:eastAsia="zh-CN" w:bidi="ar"/>
              </w:rPr>
              <w:t>EGFR基因突变：吉西他滨+厄洛替尼</w:t>
            </w:r>
            <w:r>
              <w:rPr>
                <w:rStyle w:val="11"/>
                <w:i w:val="0"/>
                <w:iCs w:val="0"/>
                <w:color w:val="000000"/>
                <w:sz w:val="20"/>
                <w:szCs w:val="20"/>
                <w:lang w:val="en-US" w:eastAsia="zh-CN" w:bidi="ar"/>
              </w:rPr>
              <w:br w:type="textWrapping"/>
            </w:r>
            <w:r>
              <w:rPr>
                <w:rStyle w:val="11"/>
                <w:i w:val="0"/>
                <w:iCs w:val="0"/>
                <w:color w:val="000000"/>
                <w:sz w:val="20"/>
                <w:szCs w:val="20"/>
                <w:lang w:val="en-US" w:eastAsia="zh-CN" w:bidi="ar"/>
              </w:rPr>
              <w:t>放化疗</w:t>
            </w:r>
          </w:p>
        </w:tc>
      </w:tr>
    </w:tbl>
    <w:p>
      <w:pPr>
        <w:keepNext w:val="0"/>
        <w:keepLines w:val="0"/>
        <w:pageBreakBefore w:val="0"/>
        <w:widowControl/>
        <w:kinsoku/>
        <w:wordWrap/>
        <w:overflowPunct/>
        <w:topLinePunct w:val="0"/>
        <w:autoSpaceDE/>
        <w:autoSpaceDN/>
        <w:bidi w:val="0"/>
        <w:adjustRightInd/>
        <w:snapToGrid/>
        <w:spacing w:line="360" w:lineRule="atLeast"/>
        <w:textAlignment w:val="auto"/>
        <w:rPr>
          <w:rFonts w:hint="eastAsia" w:ascii="Songti SC" w:hAnsi="Songti SC" w:eastAsia="Songti SC"/>
          <w:sz w:val="20"/>
          <w:szCs w:val="20"/>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hint="eastAsia" w:ascii="Songti SC" w:hAnsi="Songti SC" w:eastAsia="Songti SC" w:cs="宋体"/>
          <w:sz w:val="20"/>
          <w:szCs w:val="20"/>
          <w:highlight w:val="yellow"/>
          <w:lang w:val="en-US"/>
        </w:rPr>
        <w:t>三、胰</w:t>
      </w:r>
      <w:r>
        <w:rPr>
          <w:rFonts w:ascii="Songti SC" w:hAnsi="Songti SC" w:eastAsia="Songti SC" w:cs="宋体"/>
          <w:sz w:val="20"/>
          <w:szCs w:val="20"/>
          <w:highlight w:val="yellow"/>
          <w:lang w:val="en-US"/>
        </w:rPr>
        <w:t>腺癌治疗中的药理趋势和药物偏好</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eastAsia" w:ascii="Songti SC" w:hAnsi="Songti SC" w:eastAsia="Songti SC"/>
          <w:sz w:val="20"/>
          <w:szCs w:val="20"/>
          <w:lang w:val="en-US"/>
        </w:rPr>
      </w:pPr>
      <w:r>
        <w:rPr>
          <w:rFonts w:hint="eastAsia" w:ascii="Songti SC" w:hAnsi="Songti SC" w:eastAsia="Songti SC" w:cs="宋体"/>
          <w:sz w:val="20"/>
          <w:szCs w:val="20"/>
          <w:lang w:val="en-US"/>
        </w:rPr>
        <w:t>1、</w:t>
      </w:r>
      <w:r>
        <w:rPr>
          <w:rFonts w:ascii="Songti SC" w:hAnsi="Songti SC" w:eastAsia="Songti SC" w:cs="宋体"/>
          <w:sz w:val="20"/>
          <w:szCs w:val="20"/>
          <w:lang w:val="en-US"/>
        </w:rPr>
        <w:t>当前的药理学发展趋势</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从魔多情报、GII研究、专家市场研究和统计学等著名的研究来源出发，目前治疗胰腺癌的药理学景观反映了动态趋势：</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1. 靶向治疗:</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宋体" w:hAnsi="宋体" w:eastAsia="宋体" w:cs="宋体"/>
          <w:color w:val="000000"/>
          <w:kern w:val="0"/>
          <w:sz w:val="20"/>
          <w:szCs w:val="20"/>
          <w:lang w:val="en-US" w:eastAsia="zh-CN" w:bidi="ar"/>
        </w:rPr>
      </w:pPr>
      <w:r>
        <w:rPr>
          <w:rFonts w:ascii="Songti SC" w:hAnsi="Songti SC" w:eastAsia="Songti SC" w:cs="宋体"/>
          <w:sz w:val="20"/>
          <w:szCs w:val="20"/>
          <w:lang w:val="en-US"/>
        </w:rPr>
        <w:t>靶向治疗，如厄洛替尼和白白蛋白-紫杉醇，继续在胰腺癌治疗中发挥关键作用。这些药物专注于特定的分子途径，提供了一种更有针对性的方法。</w:t>
      </w:r>
      <w:r>
        <w:rPr>
          <w:rFonts w:hint="eastAsia" w:ascii="宋体" w:hAnsi="宋体" w:eastAsia="宋体" w:cs="宋体"/>
          <w:b/>
          <w:bCs/>
          <w:color w:val="000000"/>
          <w:kern w:val="0"/>
          <w:sz w:val="20"/>
          <w:szCs w:val="20"/>
          <w:lang w:val="en-US" w:eastAsia="zh-CN" w:bidi="ar"/>
        </w:rPr>
        <w:t>然而</w:t>
      </w:r>
      <w:r>
        <w:rPr>
          <w:rFonts w:ascii="宋体" w:hAnsi="宋体" w:eastAsia="宋体" w:cs="宋体"/>
          <w:b/>
          <w:bCs/>
          <w:color w:val="000000"/>
          <w:kern w:val="0"/>
          <w:sz w:val="20"/>
          <w:szCs w:val="20"/>
          <w:lang w:val="en-US" w:eastAsia="zh-CN" w:bidi="ar"/>
        </w:rPr>
        <w:t>晚期胰腺癌可干预靶点比较局限</w:t>
      </w:r>
      <w:r>
        <w:rPr>
          <w:rFonts w:ascii="宋体" w:hAnsi="宋体" w:eastAsia="宋体" w:cs="宋体"/>
          <w:color w:val="000000"/>
          <w:kern w:val="0"/>
          <w:sz w:val="20"/>
          <w:szCs w:val="20"/>
          <w:lang w:val="en-US" w:eastAsia="zh-CN" w:bidi="ar"/>
        </w:rPr>
        <w:t>，目前获批的靶向药物为</w:t>
      </w:r>
    </w:p>
    <w:p>
      <w:pPr>
        <w:keepNext w:val="0"/>
        <w:keepLines w:val="0"/>
        <w:pageBreakBefore w:val="0"/>
        <w:widowControl/>
        <w:numPr>
          <w:ilvl w:val="0"/>
          <w:numId w:val="2"/>
        </w:numPr>
        <w:kinsoku/>
        <w:wordWrap/>
        <w:overflowPunct/>
        <w:topLinePunct w:val="0"/>
        <w:autoSpaceDE/>
        <w:autoSpaceDN/>
        <w:bidi w:val="0"/>
        <w:adjustRightInd/>
        <w:snapToGrid/>
        <w:spacing w:line="360" w:lineRule="atLeast"/>
        <w:ind w:left="420" w:leftChars="0" w:hanging="420" w:firstLineChars="0"/>
        <w:textAlignment w:val="auto"/>
        <w:rPr>
          <w:rFonts w:hint="default"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基于BRCA1/2胚系突变(gBRCAm)的奥拉帕利等PARP抑制剂</w:t>
      </w:r>
    </w:p>
    <w:p>
      <w:pPr>
        <w:keepNext w:val="0"/>
        <w:keepLines w:val="0"/>
        <w:pageBreakBefore w:val="0"/>
        <w:widowControl/>
        <w:numPr>
          <w:ilvl w:val="0"/>
          <w:numId w:val="0"/>
        </w:numPr>
        <w:kinsoku/>
        <w:wordWrap/>
        <w:overflowPunct/>
        <w:topLinePunct w:val="0"/>
        <w:autoSpaceDE/>
        <w:autoSpaceDN/>
        <w:bidi w:val="0"/>
        <w:adjustRightInd/>
        <w:snapToGrid/>
        <w:spacing w:line="360" w:lineRule="atLeast"/>
        <w:ind w:leftChars="0"/>
        <w:textAlignment w:val="auto"/>
        <w:rPr>
          <w:rFonts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 </w:t>
      </w:r>
      <w:r>
        <w:rPr>
          <w:rFonts w:ascii="宋体" w:hAnsi="宋体" w:eastAsia="宋体" w:cs="宋体"/>
          <w:color w:val="000000"/>
          <w:kern w:val="0"/>
          <w:sz w:val="20"/>
          <w:szCs w:val="20"/>
          <w:lang w:val="en-US" w:eastAsia="zh-CN" w:bidi="ar"/>
        </w:rPr>
        <w:t>BRCA 1/2基因突变率仅4-7%</w:t>
      </w:r>
    </w:p>
    <w:p>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BRCA1突变则会导致胰腺癌的风险增加2~4倍</w:t>
      </w:r>
    </w:p>
    <w:p>
      <w:pPr>
        <w:keepNext w:val="0"/>
        <w:keepLines w:val="0"/>
        <w:pageBreakBefore w:val="0"/>
        <w:widowControl/>
        <w:numPr>
          <w:ilvl w:val="0"/>
          <w:numId w:val="2"/>
        </w:numPr>
        <w:kinsoku/>
        <w:wordWrap/>
        <w:overflowPunct/>
        <w:topLinePunct w:val="0"/>
        <w:autoSpaceDE/>
        <w:autoSpaceDN/>
        <w:bidi w:val="0"/>
        <w:adjustRightInd/>
        <w:snapToGrid/>
        <w:spacing w:line="360" w:lineRule="atLeast"/>
        <w:ind w:left="420" w:leftChars="0" w:hanging="420" w:firstLineChars="0"/>
        <w:textAlignment w:val="auto"/>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基于NTRK1/2/3融合的NTRK抑制剂</w:t>
      </w:r>
    </w:p>
    <w:p>
      <w:pPr>
        <w:keepNext w:val="0"/>
        <w:keepLines w:val="0"/>
        <w:pageBreakBefore w:val="0"/>
        <w:widowControl/>
        <w:numPr>
          <w:ilvl w:val="0"/>
          <w:numId w:val="0"/>
        </w:numPr>
        <w:kinsoku/>
        <w:wordWrap/>
        <w:overflowPunct/>
        <w:topLinePunct w:val="0"/>
        <w:autoSpaceDE/>
        <w:autoSpaceDN/>
        <w:bidi w:val="0"/>
        <w:adjustRightInd/>
        <w:snapToGrid/>
        <w:spacing w:line="360" w:lineRule="atLeast"/>
        <w:ind w:leftChars="0"/>
        <w:textAlignment w:val="auto"/>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融合突变率不足1%</w:t>
      </w:r>
      <w:r>
        <w:rPr>
          <w:rFonts w:hint="eastAsia" w:ascii="宋体" w:hAnsi="宋体" w:eastAsia="宋体" w:cs="宋体"/>
          <w:color w:val="000000"/>
          <w:kern w:val="0"/>
          <w:sz w:val="20"/>
          <w:szCs w:val="20"/>
          <w:lang w:val="en-US" w:eastAsia="zh-CN" w:bidi="ar"/>
        </w:rPr>
        <w:t>，，但考虑到胰腺癌缺少驱动基因，仍然是重要的标志物</w:t>
      </w:r>
    </w:p>
    <w:p>
      <w:pPr>
        <w:keepNext w:val="0"/>
        <w:keepLines w:val="0"/>
        <w:pageBreakBefore w:val="0"/>
        <w:widowControl/>
        <w:numPr>
          <w:ilvl w:val="0"/>
          <w:numId w:val="0"/>
        </w:numPr>
        <w:kinsoku/>
        <w:wordWrap/>
        <w:overflowPunct/>
        <w:topLinePunct w:val="0"/>
        <w:autoSpaceDE/>
        <w:autoSpaceDN/>
        <w:bidi w:val="0"/>
        <w:adjustRightInd/>
        <w:snapToGrid/>
        <w:spacing w:line="360" w:lineRule="atLeast"/>
        <w:ind w:leftChars="0"/>
        <w:textAlignment w:val="auto"/>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中国患者进行NTRK基因检测的比例仅为1.3%，低于日本（3.4%）、法国（3.7%）、德国（5.6%）等国家</w:t>
      </w:r>
    </w:p>
    <w:p>
      <w:pPr>
        <w:keepNext w:val="0"/>
        <w:keepLines w:val="0"/>
        <w:pageBreakBefore w:val="0"/>
        <w:widowControl/>
        <w:numPr>
          <w:ilvl w:val="0"/>
          <w:numId w:val="2"/>
        </w:numPr>
        <w:kinsoku/>
        <w:wordWrap/>
        <w:overflowPunct/>
        <w:topLinePunct w:val="0"/>
        <w:autoSpaceDE/>
        <w:autoSpaceDN/>
        <w:bidi w:val="0"/>
        <w:adjustRightInd/>
        <w:snapToGrid/>
        <w:spacing w:line="360" w:lineRule="atLeast"/>
        <w:ind w:left="420" w:leftChars="0" w:hanging="420" w:firstLineChars="0"/>
        <w:textAlignment w:val="auto"/>
        <w:rPr>
          <w:sz w:val="20"/>
          <w:szCs w:val="20"/>
        </w:rPr>
      </w:pPr>
      <w:r>
        <w:rPr>
          <w:rFonts w:ascii="宋体" w:hAnsi="宋体" w:eastAsia="宋体" w:cs="宋体"/>
          <w:color w:val="000000"/>
          <w:kern w:val="0"/>
          <w:sz w:val="20"/>
          <w:szCs w:val="20"/>
          <w:lang w:val="en-US" w:eastAsia="zh-CN" w:bidi="ar"/>
        </w:rPr>
        <w:t>基于EGFR敏感突变的厄洛替尼</w:t>
      </w:r>
    </w:p>
    <w:tbl>
      <w:tblPr>
        <w:tblStyle w:val="4"/>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551"/>
        <w:gridCol w:w="2704"/>
        <w:gridCol w:w="5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727"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ascii="Arial" w:hAnsi="Arial" w:cs="Arial"/>
                <w:i w:val="0"/>
                <w:iCs w:val="0"/>
                <w:color w:val="000000"/>
                <w:sz w:val="22"/>
                <w:szCs w:val="22"/>
                <w:u w:val="none"/>
              </w:rPr>
            </w:pPr>
            <w:r>
              <w:rPr>
                <w:rFonts w:ascii="宋体" w:hAnsi="宋体" w:eastAsia="宋体" w:cs="宋体"/>
                <w:b/>
                <w:bCs/>
                <w:i w:val="0"/>
                <w:iCs w:val="0"/>
                <w:color w:val="FFFFFF"/>
                <w:kern w:val="0"/>
                <w:sz w:val="18"/>
                <w:szCs w:val="18"/>
                <w:u w:val="none"/>
                <w:lang w:val="en-US" w:eastAsia="zh-CN" w:bidi="ar"/>
              </w:rPr>
              <w:t>突变情况</w:t>
            </w:r>
          </w:p>
        </w:tc>
        <w:tc>
          <w:tcPr>
            <w:tcW w:w="1026"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ascii="宋体" w:hAnsi="宋体" w:eastAsia="宋体" w:cs="宋体"/>
                <w:b/>
                <w:bCs/>
                <w:i w:val="0"/>
                <w:iCs w:val="0"/>
                <w:color w:val="FFFFFF"/>
                <w:kern w:val="0"/>
                <w:sz w:val="18"/>
                <w:szCs w:val="18"/>
                <w:u w:val="none"/>
                <w:lang w:val="en-US" w:eastAsia="zh-CN" w:bidi="ar"/>
              </w:rPr>
              <w:t>用药情况</w:t>
            </w:r>
          </w:p>
        </w:tc>
        <w:tc>
          <w:tcPr>
            <w:tcW w:w="2245"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ascii="宋体" w:hAnsi="宋体" w:eastAsia="宋体" w:cs="宋体"/>
                <w:b/>
                <w:bCs/>
                <w:i w:val="0"/>
                <w:iCs w:val="0"/>
                <w:color w:val="FFFFFF"/>
                <w:kern w:val="0"/>
                <w:sz w:val="18"/>
                <w:szCs w:val="18"/>
                <w:u w:val="none"/>
                <w:lang w:val="en-US" w:eastAsia="zh-CN" w:bidi="ar"/>
              </w:rPr>
              <w:t>可选方案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7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ascii="宋体" w:hAnsi="宋体" w:eastAsia="宋体" w:cs="宋体"/>
                <w:b/>
                <w:bCs/>
                <w:i w:val="0"/>
                <w:iCs w:val="0"/>
                <w:color w:val="000000"/>
                <w:kern w:val="0"/>
                <w:sz w:val="18"/>
                <w:szCs w:val="18"/>
                <w:u w:val="none"/>
                <w:lang w:val="en-US" w:eastAsia="zh-CN" w:bidi="ar"/>
              </w:rPr>
              <w:t>NTRK融合基因突变</w:t>
            </w:r>
          </w:p>
        </w:tc>
        <w:tc>
          <w:tcPr>
            <w:tcW w:w="102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2"/>
                <w:szCs w:val="22"/>
                <w:u w:val="none"/>
              </w:rPr>
            </w:pPr>
            <w:r>
              <w:rPr>
                <w:rFonts w:ascii="宋体" w:hAnsi="宋体" w:eastAsia="宋体" w:cs="宋体"/>
                <w:i w:val="0"/>
                <w:iCs w:val="0"/>
                <w:color w:val="000000"/>
                <w:kern w:val="0"/>
                <w:sz w:val="18"/>
                <w:szCs w:val="18"/>
                <w:u w:val="none"/>
                <w:lang w:val="en-US" w:eastAsia="zh-CN" w:bidi="ar"/>
              </w:rPr>
              <w:t>初治</w:t>
            </w:r>
          </w:p>
        </w:tc>
        <w:tc>
          <w:tcPr>
            <w:tcW w:w="22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2"/>
                <w:szCs w:val="22"/>
                <w:u w:val="none"/>
              </w:rPr>
            </w:pPr>
            <w:r>
              <w:rPr>
                <w:rFonts w:ascii="宋体" w:hAnsi="宋体" w:eastAsia="宋体" w:cs="宋体"/>
                <w:b/>
                <w:bCs/>
                <w:i w:val="0"/>
                <w:iCs w:val="0"/>
                <w:color w:val="000000"/>
                <w:kern w:val="0"/>
                <w:sz w:val="18"/>
                <w:szCs w:val="18"/>
                <w:u w:val="none"/>
                <w:lang w:val="en-US" w:eastAsia="zh-CN" w:bidi="ar"/>
              </w:rPr>
              <w:t>首选拉罗替尼或恩曲替尼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0" w:hRule="atLeast"/>
        </w:trPr>
        <w:tc>
          <w:tcPr>
            <w:tcW w:w="172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ascii="宋体" w:hAnsi="宋体" w:eastAsia="宋体" w:cs="宋体"/>
                <w:b/>
                <w:bCs/>
                <w:i w:val="0"/>
                <w:iCs w:val="0"/>
                <w:color w:val="000000"/>
                <w:kern w:val="0"/>
                <w:sz w:val="18"/>
                <w:szCs w:val="18"/>
                <w:u w:val="none"/>
                <w:lang w:val="en-US" w:eastAsia="zh-CN" w:bidi="ar"/>
              </w:rPr>
              <w:t>致病性胚系BRCA1/2基因突变</w:t>
            </w:r>
          </w:p>
        </w:tc>
        <w:tc>
          <w:tcPr>
            <w:tcW w:w="102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2"/>
                <w:szCs w:val="22"/>
                <w:u w:val="none"/>
              </w:rPr>
            </w:pPr>
            <w:r>
              <w:rPr>
                <w:rFonts w:ascii="宋体" w:hAnsi="宋体" w:eastAsia="宋体" w:cs="宋体"/>
                <w:i w:val="0"/>
                <w:iCs w:val="0"/>
                <w:color w:val="000000"/>
                <w:kern w:val="0"/>
                <w:sz w:val="18"/>
                <w:szCs w:val="18"/>
                <w:u w:val="none"/>
                <w:lang w:val="en-US" w:eastAsia="zh-CN" w:bidi="ar"/>
              </w:rPr>
              <w:t>初治</w:t>
            </w:r>
          </w:p>
        </w:tc>
        <w:tc>
          <w:tcPr>
            <w:tcW w:w="22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2"/>
                <w:szCs w:val="22"/>
                <w:u w:val="none"/>
              </w:rPr>
            </w:pPr>
            <w:r>
              <w:rPr>
                <w:rFonts w:ascii="宋体" w:hAnsi="宋体" w:eastAsia="宋体" w:cs="宋体"/>
                <w:b/>
                <w:bCs/>
                <w:i w:val="0"/>
                <w:iCs w:val="0"/>
                <w:color w:val="000000"/>
                <w:kern w:val="0"/>
                <w:sz w:val="18"/>
                <w:szCs w:val="18"/>
                <w:u w:val="none"/>
                <w:lang w:val="en-US" w:eastAsia="zh-CN" w:bidi="ar"/>
              </w:rPr>
              <w:t>首选含铂方案，如FOLFIRINOX或吉西他滨联合顺铂方案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0" w:hRule="atLeast"/>
        </w:trPr>
        <w:tc>
          <w:tcPr>
            <w:tcW w:w="172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Arial" w:hAnsi="Arial" w:cs="Arial"/>
                <w:i w:val="0"/>
                <w:iCs w:val="0"/>
                <w:color w:val="000000"/>
                <w:sz w:val="22"/>
                <w:szCs w:val="22"/>
                <w:u w:val="none"/>
              </w:rPr>
            </w:pPr>
          </w:p>
        </w:tc>
        <w:tc>
          <w:tcPr>
            <w:tcW w:w="102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2"/>
                <w:szCs w:val="22"/>
                <w:u w:val="none"/>
              </w:rPr>
            </w:pPr>
            <w:r>
              <w:rPr>
                <w:rFonts w:ascii="宋体" w:hAnsi="宋体" w:eastAsia="宋体" w:cs="宋体"/>
                <w:b/>
                <w:bCs/>
                <w:i w:val="0"/>
                <w:iCs w:val="0"/>
                <w:color w:val="000000"/>
                <w:kern w:val="0"/>
                <w:sz w:val="18"/>
                <w:szCs w:val="18"/>
                <w:u w:val="none"/>
                <w:lang w:val="en-US" w:eastAsia="zh-CN" w:bidi="ar"/>
              </w:rPr>
              <w:t>铂类药物治疗后无进展≥16周</w:t>
            </w:r>
          </w:p>
        </w:tc>
        <w:tc>
          <w:tcPr>
            <w:tcW w:w="22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2"/>
                <w:szCs w:val="22"/>
                <w:u w:val="none"/>
              </w:rPr>
            </w:pPr>
            <w:r>
              <w:rPr>
                <w:rFonts w:ascii="宋体" w:hAnsi="宋体" w:eastAsia="宋体" w:cs="宋体"/>
                <w:b/>
                <w:bCs/>
                <w:i w:val="0"/>
                <w:iCs w:val="0"/>
                <w:color w:val="000000"/>
                <w:kern w:val="0"/>
                <w:sz w:val="18"/>
                <w:szCs w:val="18"/>
                <w:u w:val="none"/>
                <w:lang w:val="en-US" w:eastAsia="zh-CN" w:bidi="ar"/>
              </w:rPr>
              <w:t>奥拉帕利维持治疗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17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ascii="宋体" w:hAnsi="宋体" w:eastAsia="宋体" w:cs="宋体"/>
                <w:b/>
                <w:bCs/>
                <w:i w:val="0"/>
                <w:iCs w:val="0"/>
                <w:color w:val="000000"/>
                <w:kern w:val="0"/>
                <w:sz w:val="18"/>
                <w:szCs w:val="18"/>
                <w:u w:val="none"/>
                <w:lang w:val="en-US" w:eastAsia="zh-CN" w:bidi="ar"/>
              </w:rPr>
              <w:t>KRAS基因野生型</w:t>
            </w:r>
          </w:p>
        </w:tc>
        <w:tc>
          <w:tcPr>
            <w:tcW w:w="1026"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000000"/>
                <w:sz w:val="22"/>
                <w:szCs w:val="22"/>
                <w:u w:val="none"/>
              </w:rPr>
            </w:pPr>
          </w:p>
        </w:tc>
        <w:tc>
          <w:tcPr>
            <w:tcW w:w="22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2"/>
                <w:szCs w:val="22"/>
                <w:u w:val="none"/>
              </w:rPr>
            </w:pPr>
            <w:r>
              <w:rPr>
                <w:rFonts w:ascii="宋体" w:hAnsi="宋体" w:eastAsia="宋体" w:cs="宋体"/>
                <w:b/>
                <w:bCs/>
                <w:i w:val="0"/>
                <w:iCs w:val="0"/>
                <w:color w:val="000000"/>
                <w:kern w:val="0"/>
                <w:sz w:val="18"/>
                <w:szCs w:val="18"/>
                <w:u w:val="none"/>
                <w:lang w:val="en-US" w:eastAsia="zh-CN" w:bidi="ar"/>
              </w:rPr>
              <w:t>尼妥珠单抗联合吉西他滨可延长总体生存期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7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ascii="宋体" w:hAnsi="宋体" w:eastAsia="宋体" w:cs="宋体"/>
                <w:b/>
                <w:bCs/>
                <w:i w:val="0"/>
                <w:iCs w:val="0"/>
                <w:color w:val="000000"/>
                <w:kern w:val="0"/>
                <w:sz w:val="18"/>
                <w:szCs w:val="18"/>
                <w:u w:val="none"/>
                <w:lang w:val="en-US" w:eastAsia="zh-CN" w:bidi="ar"/>
              </w:rPr>
              <w:t>EGFR基因突变</w:t>
            </w:r>
          </w:p>
        </w:tc>
        <w:tc>
          <w:tcPr>
            <w:tcW w:w="1026"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000000"/>
                <w:sz w:val="22"/>
                <w:szCs w:val="22"/>
                <w:u w:val="none"/>
              </w:rPr>
            </w:pPr>
          </w:p>
        </w:tc>
        <w:tc>
          <w:tcPr>
            <w:tcW w:w="22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2"/>
                <w:szCs w:val="22"/>
                <w:u w:val="none"/>
              </w:rPr>
            </w:pPr>
            <w:r>
              <w:rPr>
                <w:rFonts w:ascii="宋体" w:hAnsi="宋体" w:eastAsia="宋体" w:cs="宋体"/>
                <w:b/>
                <w:bCs/>
                <w:i w:val="0"/>
                <w:iCs w:val="0"/>
                <w:color w:val="000000"/>
                <w:kern w:val="0"/>
                <w:sz w:val="18"/>
                <w:szCs w:val="18"/>
                <w:u w:val="none"/>
                <w:lang w:val="en-US" w:eastAsia="zh-CN" w:bidi="ar"/>
              </w:rPr>
              <w:t>厄洛替尼联合吉西他滨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5" w:hRule="atLeast"/>
        </w:trPr>
        <w:tc>
          <w:tcPr>
            <w:tcW w:w="17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2"/>
                <w:szCs w:val="22"/>
                <w:u w:val="none"/>
              </w:rPr>
            </w:pPr>
            <w:r>
              <w:rPr>
                <w:rFonts w:ascii="宋体" w:hAnsi="宋体" w:eastAsia="宋体" w:cs="宋体"/>
                <w:b/>
                <w:bCs/>
                <w:i w:val="0"/>
                <w:iCs w:val="0"/>
                <w:color w:val="000000"/>
                <w:kern w:val="0"/>
                <w:sz w:val="18"/>
                <w:szCs w:val="18"/>
                <w:u w:val="none"/>
                <w:lang w:val="en-US" w:eastAsia="zh-CN" w:bidi="ar"/>
              </w:rPr>
              <w:t>MSI-H或dMMR分子特征的转移性患者</w:t>
            </w:r>
          </w:p>
        </w:tc>
        <w:tc>
          <w:tcPr>
            <w:tcW w:w="1026"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000000"/>
                <w:sz w:val="22"/>
                <w:szCs w:val="22"/>
                <w:u w:val="none"/>
              </w:rPr>
            </w:pPr>
          </w:p>
        </w:tc>
        <w:tc>
          <w:tcPr>
            <w:tcW w:w="22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left"/>
              <w:textAlignment w:val="center"/>
              <w:rPr>
                <w:rFonts w:hint="default" w:ascii="Arial" w:hAnsi="Arial" w:cs="Arial"/>
                <w:i w:val="0"/>
                <w:iCs w:val="0"/>
                <w:color w:val="000000"/>
                <w:sz w:val="22"/>
                <w:szCs w:val="22"/>
                <w:u w:val="none"/>
              </w:rPr>
            </w:pPr>
            <w:r>
              <w:rPr>
                <w:rFonts w:ascii="宋体" w:hAnsi="宋体" w:eastAsia="宋体" w:cs="宋体"/>
                <w:b/>
                <w:bCs/>
                <w:i w:val="0"/>
                <w:iCs w:val="0"/>
                <w:color w:val="000000"/>
                <w:kern w:val="0"/>
                <w:sz w:val="18"/>
                <w:szCs w:val="18"/>
                <w:u w:val="none"/>
                <w:lang w:val="en-US" w:eastAsia="zh-CN" w:bidi="ar"/>
              </w:rPr>
              <w:t>免疫检查点抑制剂</w:t>
            </w:r>
          </w:p>
        </w:tc>
      </w:tr>
    </w:tbl>
    <w:p>
      <w:pPr>
        <w:keepNext w:val="0"/>
        <w:keepLines w:val="0"/>
        <w:widowControl/>
        <w:suppressLineNumbers w:val="0"/>
        <w:jc w:val="left"/>
        <w:rPr>
          <w:rFonts w:hint="eastAsia" w:ascii="Songti SC" w:hAnsi="Songti SC" w:eastAsia="Songti SC" w:cs="宋体"/>
          <w:sz w:val="20"/>
          <w:szCs w:val="20"/>
          <w:lang w:val="en-US" w:eastAsia="zh-CN"/>
        </w:rPr>
      </w:pPr>
      <w:r>
        <w:rPr>
          <w:rFonts w:hint="eastAsia" w:ascii="Songti SC" w:hAnsi="Songti SC" w:eastAsia="Songti SC" w:cs="宋体"/>
          <w:sz w:val="20"/>
          <w:szCs w:val="20"/>
          <w:lang w:val="en-US" w:eastAsia="zh-CN"/>
        </w:rPr>
        <w:t>（</w:t>
      </w:r>
      <w:r>
        <w:rPr>
          <w:rFonts w:ascii="宋体" w:hAnsi="宋体" w:eastAsia="宋体" w:cs="宋体"/>
          <w:i/>
          <w:iCs/>
          <w:color w:val="000000"/>
          <w:kern w:val="0"/>
          <w:sz w:val="17"/>
          <w:szCs w:val="17"/>
          <w:lang w:val="en-US" w:eastAsia="zh-CN" w:bidi="ar"/>
        </w:rPr>
        <w:t>数据来源： 《胰腺癌诊疗指南（2022年版）》,西南证券整理</w:t>
      </w:r>
      <w:r>
        <w:rPr>
          <w:rFonts w:hint="eastAsia" w:ascii="Songti SC" w:hAnsi="Songti SC" w:eastAsia="Songti SC" w:cs="宋体"/>
          <w:sz w:val="20"/>
          <w:szCs w:val="20"/>
          <w:lang w:val="en-US" w:eastAsia="zh-CN"/>
        </w:rPr>
        <w:t>）</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2. 免疫治疗:</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免疫治疗药物，包括检查点抑制剂，因其激活免疫系统对抗胰腺癌细胞的潜力而越来越受到关注。这一领域的研究正在进行中。</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3. 联合化疗:</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lang w:val="en-US"/>
        </w:rPr>
      </w:pPr>
      <w:r>
        <w:rPr>
          <w:rFonts w:ascii="Songti SC" w:hAnsi="Songti SC" w:eastAsia="Songti SC" w:cs="宋体"/>
          <w:sz w:val="20"/>
          <w:szCs w:val="20"/>
          <w:lang w:val="en-US"/>
        </w:rPr>
        <w:t>联合化疗，如叶酸（叶酸、5-FU、伊立替康和奥沙利铂）在提高总生存率方面已显示出疗效，特别是对晚期疾病患者。</w:t>
      </w:r>
    </w:p>
    <w:p>
      <w:pPr>
        <w:keepNext w:val="0"/>
        <w:keepLines w:val="0"/>
        <w:widowControl/>
        <w:suppressLineNumbers w:val="0"/>
        <w:jc w:val="left"/>
        <w:rPr>
          <w:rFonts w:ascii="宋体" w:hAnsi="宋体" w:eastAsia="宋体" w:cs="宋体"/>
          <w:b/>
          <w:bCs/>
          <w:color w:val="auto"/>
          <w:kern w:val="0"/>
          <w:sz w:val="20"/>
          <w:szCs w:val="20"/>
          <w:lang w:val="en-US" w:eastAsia="zh-CN" w:bidi="ar"/>
        </w:rPr>
      </w:pPr>
      <w:r>
        <w:rPr>
          <w:rFonts w:hint="eastAsia" w:ascii="宋体" w:hAnsi="宋体" w:eastAsia="宋体" w:cs="宋体"/>
          <w:b/>
          <w:bCs/>
          <w:color w:val="auto"/>
          <w:kern w:val="0"/>
          <w:sz w:val="20"/>
          <w:szCs w:val="20"/>
          <w:lang w:val="en-US" w:eastAsia="zh-CN" w:bidi="ar"/>
        </w:rPr>
        <w:t>NCCN</w:t>
      </w:r>
      <w:r>
        <w:rPr>
          <w:rFonts w:ascii="宋体" w:hAnsi="宋体" w:eastAsia="宋体" w:cs="宋体"/>
          <w:b/>
          <w:bCs/>
          <w:color w:val="auto"/>
          <w:kern w:val="0"/>
          <w:sz w:val="20"/>
          <w:szCs w:val="20"/>
          <w:lang w:val="en-US" w:eastAsia="zh-CN" w:bidi="ar"/>
        </w:rPr>
        <w:t>治疗指南靶向治疗药物详情</w:t>
      </w:r>
      <w:r>
        <w:rPr>
          <w:rFonts w:hint="eastAsia" w:ascii="宋体" w:hAnsi="宋体" w:eastAsia="宋体" w:cs="宋体"/>
          <w:b/>
          <w:bCs/>
          <w:color w:val="auto"/>
          <w:kern w:val="0"/>
          <w:sz w:val="20"/>
          <w:szCs w:val="20"/>
          <w:lang w:val="en-US" w:eastAsia="zh-CN" w:bidi="ar"/>
        </w:rPr>
        <w:t>（</w:t>
      </w:r>
      <w:r>
        <w:rPr>
          <w:rFonts w:ascii="Songti SC" w:hAnsi="Songti SC" w:eastAsia="Songti SC" w:cs="宋体"/>
          <w:sz w:val="20"/>
          <w:szCs w:val="20"/>
          <w:lang w:val="en-US" w:eastAsia="zh-CN" w:bidi="ar-SA"/>
        </w:rPr>
        <w:t>数据来源： 医药魔方，米内网，西南证券整理</w:t>
      </w:r>
      <w:r>
        <w:rPr>
          <w:rFonts w:hint="eastAsia" w:ascii="宋体" w:hAnsi="宋体" w:eastAsia="宋体" w:cs="宋体"/>
          <w:b/>
          <w:bCs/>
          <w:color w:val="auto"/>
          <w:kern w:val="0"/>
          <w:sz w:val="20"/>
          <w:szCs w:val="20"/>
          <w:lang w:val="en-US" w:eastAsia="zh-CN" w:bidi="ar"/>
        </w:rPr>
        <w:t>）</w:t>
      </w:r>
    </w:p>
    <w:tbl>
      <w:tblPr>
        <w:tblStyle w:val="4"/>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30"/>
        <w:gridCol w:w="1583"/>
        <w:gridCol w:w="1203"/>
        <w:gridCol w:w="748"/>
        <w:gridCol w:w="529"/>
        <w:gridCol w:w="866"/>
        <w:gridCol w:w="766"/>
        <w:gridCol w:w="1211"/>
        <w:gridCol w:w="1056"/>
        <w:gridCol w:w="2408"/>
        <w:gridCol w:w="15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5" w:hRule="atLeast"/>
        </w:trPr>
        <w:tc>
          <w:tcPr>
            <w:tcW w:w="401"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北向基因</w:t>
            </w:r>
          </w:p>
        </w:tc>
        <w:tc>
          <w:tcPr>
            <w:tcW w:w="613"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通用名</w:t>
            </w:r>
          </w:p>
        </w:tc>
        <w:tc>
          <w:tcPr>
            <w:tcW w:w="469"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南品名</w:t>
            </w:r>
          </w:p>
        </w:tc>
        <w:tc>
          <w:tcPr>
            <w:tcW w:w="296"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原研</w:t>
            </w:r>
          </w:p>
        </w:tc>
        <w:tc>
          <w:tcPr>
            <w:tcW w:w="213"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线数</w:t>
            </w:r>
          </w:p>
        </w:tc>
        <w:tc>
          <w:tcPr>
            <w:tcW w:w="313"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美国</w:t>
            </w:r>
          </w:p>
        </w:tc>
        <w:tc>
          <w:tcPr>
            <w:tcW w:w="276"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中国</w:t>
            </w:r>
          </w:p>
        </w:tc>
        <w:tc>
          <w:tcPr>
            <w:tcW w:w="472"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进入医保时间</w:t>
            </w:r>
          </w:p>
        </w:tc>
        <w:tc>
          <w:tcPr>
            <w:tcW w:w="413"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单药/联用</w:t>
            </w:r>
          </w:p>
        </w:tc>
        <w:tc>
          <w:tcPr>
            <w:tcW w:w="926"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国内样本医院销售额</w:t>
            </w:r>
          </w:p>
        </w:tc>
        <w:tc>
          <w:tcPr>
            <w:tcW w:w="602" w:type="pct"/>
            <w:tcBorders>
              <w:top w:val="single" w:color="000000" w:sz="4" w:space="0"/>
              <w:left w:val="single" w:color="000000" w:sz="4" w:space="0"/>
              <w:bottom w:val="single" w:color="000000" w:sz="4" w:space="0"/>
              <w:right w:val="single" w:color="000000" w:sz="4" w:space="0"/>
            </w:tcBorders>
            <w:shd w:val="clear" w:color="auto" w:fill="C49142"/>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全球销售额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KRAS野生型</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尼妥珠单抗</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/nimotuzumab</w:t>
            </w:r>
          </w:p>
        </w:tc>
        <w:tc>
          <w:tcPr>
            <w:tcW w:w="4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泰欣生</w:t>
            </w:r>
          </w:p>
        </w:tc>
        <w:tc>
          <w:tcPr>
            <w:tcW w:w="29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百泰生物</w:t>
            </w:r>
          </w:p>
        </w:tc>
        <w:tc>
          <w:tcPr>
            <w:tcW w:w="2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1</w:t>
            </w:r>
          </w:p>
        </w:tc>
        <w:tc>
          <w:tcPr>
            <w:tcW w:w="313"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000000"/>
                <w:sz w:val="20"/>
                <w:szCs w:val="20"/>
                <w:u w:val="none"/>
              </w:rPr>
            </w:pPr>
          </w:p>
        </w:tc>
        <w:tc>
          <w:tcPr>
            <w:tcW w:w="27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2008.6</w:t>
            </w: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87A"/>
                <w:sz w:val="20"/>
                <w:szCs w:val="20"/>
                <w:u w:val="none"/>
              </w:rPr>
            </w:pPr>
            <w:r>
              <w:rPr>
                <w:rFonts w:ascii="宋体" w:hAnsi="宋体" w:eastAsia="宋体" w:cs="宋体"/>
                <w:i w:val="0"/>
                <w:iCs w:val="0"/>
                <w:color w:val="00087A"/>
                <w:kern w:val="0"/>
                <w:sz w:val="20"/>
                <w:szCs w:val="20"/>
                <w:u w:val="none"/>
                <w:lang w:val="en-US" w:eastAsia="zh-CN" w:bidi="ar"/>
              </w:rPr>
              <w:t>2020</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联用吉他西滨</w:t>
            </w:r>
          </w:p>
        </w:tc>
        <w:tc>
          <w:tcPr>
            <w:tcW w:w="926"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2020:2.86亿元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2021:3.66亿元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2022:3.63亿元</w:t>
            </w:r>
          </w:p>
        </w:tc>
        <w:tc>
          <w:tcPr>
            <w:tcW w:w="602"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0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EGFR(30%-89%)</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厄洛替尼</w:t>
            </w:r>
            <w:r>
              <w:rPr>
                <w:rFonts w:ascii="宋体" w:hAnsi="宋体" w:eastAsia="宋体" w:cs="宋体"/>
                <w:color w:val="000000"/>
                <w:sz w:val="20"/>
                <w:szCs w:val="20"/>
                <w:u w:val="none"/>
                <w:lang w:val="en-US" w:eastAsia="zh-CN" w:bidi="ar"/>
              </w:rPr>
              <w:br w:type="textWrapping"/>
            </w:r>
            <w:r>
              <w:rPr>
                <w:rFonts w:ascii="宋体" w:hAnsi="宋体" w:eastAsia="宋体" w:cs="宋体"/>
                <w:color w:val="790028"/>
                <w:sz w:val="20"/>
                <w:szCs w:val="20"/>
                <w:u w:val="none"/>
                <w:lang w:val="en-US" w:eastAsia="zh-CN" w:bidi="ar"/>
              </w:rPr>
              <w:t>/Er lotinib</w:t>
            </w:r>
          </w:p>
        </w:tc>
        <w:tc>
          <w:tcPr>
            <w:tcW w:w="4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特罗凯/Tarceva</w:t>
            </w:r>
          </w:p>
        </w:tc>
        <w:tc>
          <w:tcPr>
            <w:tcW w:w="29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罗氏</w:t>
            </w:r>
          </w:p>
        </w:tc>
        <w:tc>
          <w:tcPr>
            <w:tcW w:w="2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7B001D"/>
                <w:sz w:val="20"/>
                <w:szCs w:val="20"/>
                <w:u w:val="none"/>
              </w:rPr>
            </w:pPr>
            <w:r>
              <w:rPr>
                <w:rFonts w:ascii="宋体" w:hAnsi="宋体" w:eastAsia="宋体" w:cs="宋体"/>
                <w:i w:val="0"/>
                <w:iCs w:val="0"/>
                <w:color w:val="7B001D"/>
                <w:kern w:val="0"/>
                <w:sz w:val="20"/>
                <w:szCs w:val="20"/>
                <w:u w:val="none"/>
                <w:lang w:val="en-US" w:eastAsia="zh-CN" w:bidi="ar"/>
              </w:rPr>
              <w:t>1</w:t>
            </w:r>
          </w:p>
        </w:tc>
        <w:tc>
          <w:tcPr>
            <w:tcW w:w="3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2005.11</w:t>
            </w:r>
          </w:p>
        </w:tc>
        <w:tc>
          <w:tcPr>
            <w:tcW w:w="27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2007</w:t>
            </w: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2017.7</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联用吉他西滨</w:t>
            </w:r>
          </w:p>
        </w:tc>
        <w:tc>
          <w:tcPr>
            <w:tcW w:w="92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罗氏：</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2020:0.39亿元；2021:0.24亿元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2022:0.</w:t>
            </w:r>
            <w:r>
              <w:rPr>
                <w:rFonts w:ascii="宋体" w:hAnsi="宋体" w:eastAsia="宋体" w:cs="宋体"/>
                <w:color w:val="982300"/>
                <w:sz w:val="20"/>
                <w:szCs w:val="20"/>
                <w:u w:val="none"/>
                <w:lang w:val="en-US" w:eastAsia="zh-CN" w:bidi="ar"/>
              </w:rPr>
              <w:t>13亿元</w:t>
            </w:r>
            <w:r>
              <w:rPr>
                <w:rFonts w:ascii="宋体" w:hAnsi="宋体" w:eastAsia="宋体" w:cs="宋体"/>
                <w:color w:val="982300"/>
                <w:sz w:val="20"/>
                <w:szCs w:val="20"/>
                <w:u w:val="none"/>
                <w:lang w:val="en-US" w:eastAsia="zh-CN" w:bidi="ar"/>
              </w:rPr>
              <w:br w:type="textWrapping"/>
            </w:r>
            <w:r>
              <w:rPr>
                <w:rFonts w:ascii="宋体" w:hAnsi="宋体" w:eastAsia="宋体" w:cs="宋体"/>
                <w:color w:val="000000"/>
                <w:sz w:val="20"/>
                <w:szCs w:val="20"/>
                <w:u w:val="none"/>
                <w:lang w:val="en-US" w:eastAsia="zh-CN" w:bidi="ar"/>
              </w:rPr>
              <w:t>上海创诺：</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2020:482.61万元；2021:997.71万元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2022:572.22万元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南京力博维：</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2022:7.1万元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江苏豪森：</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2021:602元；2022:5.18万元</w:t>
            </w:r>
          </w:p>
        </w:tc>
        <w:tc>
          <w:tcPr>
            <w:tcW w:w="6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2020:2.22亿美元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2021:1.38亿美元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MSI-H/dMMR</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帕博利珠单抗</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/Pembrol izumab</w:t>
            </w:r>
          </w:p>
        </w:tc>
        <w:tc>
          <w:tcPr>
            <w:tcW w:w="46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可瑞达</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/Keytruda</w:t>
            </w:r>
          </w:p>
        </w:tc>
        <w:tc>
          <w:tcPr>
            <w:tcW w:w="29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默沙本</w:t>
            </w:r>
          </w:p>
        </w:tc>
        <w:tc>
          <w:tcPr>
            <w:tcW w:w="2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1/2</w:t>
            </w:r>
          </w:p>
        </w:tc>
        <w:tc>
          <w:tcPr>
            <w:tcW w:w="3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2020.6</w:t>
            </w:r>
          </w:p>
        </w:tc>
        <w:tc>
          <w:tcPr>
            <w:tcW w:w="27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2018.7</w:t>
            </w: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000000"/>
                <w:sz w:val="20"/>
                <w:szCs w:val="20"/>
                <w:u w:val="none"/>
              </w:rPr>
            </w:pP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单药</w:t>
            </w:r>
          </w:p>
        </w:tc>
        <w:tc>
          <w:tcPr>
            <w:tcW w:w="926"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2020::2.95亿元；2021:4.68亿元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2022:5.03亿元</w:t>
            </w:r>
          </w:p>
        </w:tc>
        <w:tc>
          <w:tcPr>
            <w:tcW w:w="6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17145</wp:posOffset>
                  </wp:positionH>
                  <wp:positionV relativeFrom="paragraph">
                    <wp:posOffset>163830</wp:posOffset>
                  </wp:positionV>
                  <wp:extent cx="40005" cy="160020"/>
                  <wp:effectExtent l="0" t="0" r="0" b="0"/>
                  <wp:wrapNone/>
                  <wp:docPr id="7" name="image1"/>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5"/>
                          <a:stretch>
                            <a:fillRect/>
                          </a:stretch>
                        </pic:blipFill>
                        <pic:spPr>
                          <a:xfrm>
                            <a:off x="0" y="0"/>
                            <a:ext cx="40005" cy="160020"/>
                          </a:xfrm>
                          <a:prstGeom prst="rect">
                            <a:avLst/>
                          </a:prstGeom>
                          <a:noFill/>
                          <a:ln>
                            <a:noFill/>
                          </a:ln>
                        </pic:spPr>
                      </pic:pic>
                    </a:graphicData>
                  </a:graphic>
                </wp:anchor>
              </w:drawing>
            </w: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38100</wp:posOffset>
                  </wp:positionH>
                  <wp:positionV relativeFrom="paragraph">
                    <wp:posOffset>236220</wp:posOffset>
                  </wp:positionV>
                  <wp:extent cx="64770" cy="111125"/>
                  <wp:effectExtent l="0" t="0" r="0" b="0"/>
                  <wp:wrapNone/>
                  <wp:docPr id="6" name="textbox16"/>
                  <wp:cNvGraphicFramePr/>
                  <a:graphic xmlns:a="http://schemas.openxmlformats.org/drawingml/2006/main">
                    <a:graphicData uri="http://schemas.openxmlformats.org/drawingml/2006/picture">
                      <pic:pic xmlns:pic="http://schemas.openxmlformats.org/drawingml/2006/picture">
                        <pic:nvPicPr>
                          <pic:cNvPr id="6" name="textbox16"/>
                          <pic:cNvPicPr/>
                        </pic:nvPicPr>
                        <pic:blipFill>
                          <a:blip r:embed="rId5"/>
                          <a:stretch>
                            <a:fillRect/>
                          </a:stretch>
                        </pic:blipFill>
                        <pic:spPr>
                          <a:xfrm>
                            <a:off x="0" y="0"/>
                            <a:ext cx="64770" cy="111125"/>
                          </a:xfrm>
                          <a:prstGeom prst="rect">
                            <a:avLst/>
                          </a:prstGeom>
                          <a:noFill/>
                          <a:ln>
                            <a:noFill/>
                          </a:ln>
                        </pic:spPr>
                      </pic:pic>
                    </a:graphicData>
                  </a:graphic>
                </wp:anchor>
              </w:drawing>
            </w: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52070</wp:posOffset>
                  </wp:positionH>
                  <wp:positionV relativeFrom="paragraph">
                    <wp:posOffset>151130</wp:posOffset>
                  </wp:positionV>
                  <wp:extent cx="64770" cy="111125"/>
                  <wp:effectExtent l="0" t="0" r="0" b="0"/>
                  <wp:wrapNone/>
                  <wp:docPr id="5" name="textbox17"/>
                  <wp:cNvGraphicFramePr/>
                  <a:graphic xmlns:a="http://schemas.openxmlformats.org/drawingml/2006/main">
                    <a:graphicData uri="http://schemas.openxmlformats.org/drawingml/2006/picture">
                      <pic:pic xmlns:pic="http://schemas.openxmlformats.org/drawingml/2006/picture">
                        <pic:nvPicPr>
                          <pic:cNvPr id="5" name="textbox17"/>
                          <pic:cNvPicPr/>
                        </pic:nvPicPr>
                        <pic:blipFill>
                          <a:blip r:embed="rId5"/>
                          <a:stretch>
                            <a:fillRect/>
                          </a:stretch>
                        </pic:blipFill>
                        <pic:spPr>
                          <a:xfrm>
                            <a:off x="0" y="0"/>
                            <a:ext cx="64770" cy="111125"/>
                          </a:xfrm>
                          <a:prstGeom prst="rect">
                            <a:avLst/>
                          </a:prstGeom>
                          <a:noFill/>
                          <a:ln>
                            <a:noFill/>
                          </a:ln>
                        </pic:spPr>
                      </pic:pic>
                    </a:graphicData>
                  </a:graphic>
                </wp:anchor>
              </w:drawing>
            </w: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87630</wp:posOffset>
                  </wp:positionH>
                  <wp:positionV relativeFrom="paragraph">
                    <wp:posOffset>236220</wp:posOffset>
                  </wp:positionV>
                  <wp:extent cx="66040" cy="111125"/>
                  <wp:effectExtent l="0" t="0" r="0" b="0"/>
                  <wp:wrapNone/>
                  <wp:docPr id="8" name="textbox14"/>
                  <wp:cNvGraphicFramePr/>
                  <a:graphic xmlns:a="http://schemas.openxmlformats.org/drawingml/2006/main">
                    <a:graphicData uri="http://schemas.openxmlformats.org/drawingml/2006/picture">
                      <pic:pic xmlns:pic="http://schemas.openxmlformats.org/drawingml/2006/picture">
                        <pic:nvPicPr>
                          <pic:cNvPr id="8" name="textbox14"/>
                          <pic:cNvPicPr/>
                        </pic:nvPicPr>
                        <pic:blipFill>
                          <a:blip r:embed="rId5"/>
                          <a:stretch>
                            <a:fillRect/>
                          </a:stretch>
                        </pic:blipFill>
                        <pic:spPr>
                          <a:xfrm>
                            <a:off x="0" y="0"/>
                            <a:ext cx="66040" cy="111125"/>
                          </a:xfrm>
                          <a:prstGeom prst="rect">
                            <a:avLst/>
                          </a:prstGeom>
                          <a:noFill/>
                          <a:ln>
                            <a:noFill/>
                          </a:ln>
                        </pic:spPr>
                      </pic:pic>
                    </a:graphicData>
                  </a:graphic>
                </wp:anchor>
              </w:drawing>
            </w: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102235</wp:posOffset>
                  </wp:positionH>
                  <wp:positionV relativeFrom="paragraph">
                    <wp:posOffset>151130</wp:posOffset>
                  </wp:positionV>
                  <wp:extent cx="64770" cy="111125"/>
                  <wp:effectExtent l="0" t="0" r="0" b="0"/>
                  <wp:wrapNone/>
                  <wp:docPr id="9" name="textbox15"/>
                  <wp:cNvGraphicFramePr/>
                  <a:graphic xmlns:a="http://schemas.openxmlformats.org/drawingml/2006/main">
                    <a:graphicData uri="http://schemas.openxmlformats.org/drawingml/2006/picture">
                      <pic:pic xmlns:pic="http://schemas.openxmlformats.org/drawingml/2006/picture">
                        <pic:nvPicPr>
                          <pic:cNvPr id="9" name="textbox15"/>
                          <pic:cNvPicPr/>
                        </pic:nvPicPr>
                        <pic:blipFill>
                          <a:blip r:embed="rId5"/>
                          <a:stretch>
                            <a:fillRect/>
                          </a:stretch>
                        </pic:blipFill>
                        <pic:spPr>
                          <a:xfrm>
                            <a:off x="0" y="0"/>
                            <a:ext cx="64770" cy="111125"/>
                          </a:xfrm>
                          <a:prstGeom prst="rect">
                            <a:avLst/>
                          </a:prstGeom>
                          <a:noFill/>
                          <a:ln>
                            <a:noFill/>
                          </a:ln>
                        </pic:spPr>
                      </pic:pic>
                    </a:graphicData>
                  </a:graphic>
                </wp:anchor>
              </w:drawing>
            </w: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138430</wp:posOffset>
                  </wp:positionH>
                  <wp:positionV relativeFrom="paragraph">
                    <wp:posOffset>236220</wp:posOffset>
                  </wp:positionV>
                  <wp:extent cx="64770" cy="111125"/>
                  <wp:effectExtent l="0" t="0" r="0" b="0"/>
                  <wp:wrapNone/>
                  <wp:docPr id="10" name="textbox12"/>
                  <wp:cNvGraphicFramePr/>
                  <a:graphic xmlns:a="http://schemas.openxmlformats.org/drawingml/2006/main">
                    <a:graphicData uri="http://schemas.openxmlformats.org/drawingml/2006/picture">
                      <pic:pic xmlns:pic="http://schemas.openxmlformats.org/drawingml/2006/picture">
                        <pic:nvPicPr>
                          <pic:cNvPr id="10" name="textbox12"/>
                          <pic:cNvPicPr/>
                        </pic:nvPicPr>
                        <pic:blipFill>
                          <a:blip r:embed="rId5"/>
                          <a:stretch>
                            <a:fillRect/>
                          </a:stretch>
                        </pic:blipFill>
                        <pic:spPr>
                          <a:xfrm>
                            <a:off x="0" y="0"/>
                            <a:ext cx="64770" cy="111125"/>
                          </a:xfrm>
                          <a:prstGeom prst="rect">
                            <a:avLst/>
                          </a:prstGeom>
                          <a:noFill/>
                          <a:ln>
                            <a:noFill/>
                          </a:ln>
                        </pic:spPr>
                      </pic:pic>
                    </a:graphicData>
                  </a:graphic>
                </wp:anchor>
              </w:drawing>
            </w: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156845</wp:posOffset>
                  </wp:positionH>
                  <wp:positionV relativeFrom="paragraph">
                    <wp:posOffset>150495</wp:posOffset>
                  </wp:positionV>
                  <wp:extent cx="60325" cy="111760"/>
                  <wp:effectExtent l="0" t="0" r="0" b="0"/>
                  <wp:wrapNone/>
                  <wp:docPr id="11" name="textbox13"/>
                  <wp:cNvGraphicFramePr/>
                  <a:graphic xmlns:a="http://schemas.openxmlformats.org/drawingml/2006/main">
                    <a:graphicData uri="http://schemas.openxmlformats.org/drawingml/2006/picture">
                      <pic:pic xmlns:pic="http://schemas.openxmlformats.org/drawingml/2006/picture">
                        <pic:nvPicPr>
                          <pic:cNvPr id="11" name="textbox13"/>
                          <pic:cNvPicPr/>
                        </pic:nvPicPr>
                        <pic:blipFill>
                          <a:blip r:embed="rId5"/>
                          <a:stretch>
                            <a:fillRect/>
                          </a:stretch>
                        </pic:blipFill>
                        <pic:spPr>
                          <a:xfrm>
                            <a:off x="0" y="0"/>
                            <a:ext cx="60325" cy="111760"/>
                          </a:xfrm>
                          <a:prstGeom prst="rect">
                            <a:avLst/>
                          </a:prstGeom>
                          <a:noFill/>
                          <a:ln>
                            <a:noFill/>
                          </a:ln>
                        </pic:spPr>
                      </pic:pic>
                    </a:graphicData>
                  </a:graphic>
                </wp:anchor>
              </w:drawing>
            </w: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188595</wp:posOffset>
                  </wp:positionH>
                  <wp:positionV relativeFrom="paragraph">
                    <wp:posOffset>236220</wp:posOffset>
                  </wp:positionV>
                  <wp:extent cx="64770" cy="111125"/>
                  <wp:effectExtent l="0" t="0" r="0" b="0"/>
                  <wp:wrapNone/>
                  <wp:docPr id="12" name="textbox10"/>
                  <wp:cNvGraphicFramePr/>
                  <a:graphic xmlns:a="http://schemas.openxmlformats.org/drawingml/2006/main">
                    <a:graphicData uri="http://schemas.openxmlformats.org/drawingml/2006/picture">
                      <pic:pic xmlns:pic="http://schemas.openxmlformats.org/drawingml/2006/picture">
                        <pic:nvPicPr>
                          <pic:cNvPr id="12" name="textbox10"/>
                          <pic:cNvPicPr/>
                        </pic:nvPicPr>
                        <pic:blipFill>
                          <a:blip r:embed="rId5"/>
                          <a:stretch>
                            <a:fillRect/>
                          </a:stretch>
                        </pic:blipFill>
                        <pic:spPr>
                          <a:xfrm>
                            <a:off x="0" y="0"/>
                            <a:ext cx="64770" cy="111125"/>
                          </a:xfrm>
                          <a:prstGeom prst="rect">
                            <a:avLst/>
                          </a:prstGeom>
                          <a:noFill/>
                          <a:ln>
                            <a:noFill/>
                          </a:ln>
                        </pic:spPr>
                      </pic:pic>
                    </a:graphicData>
                  </a:graphic>
                </wp:anchor>
              </w:drawing>
            </w: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212090</wp:posOffset>
                  </wp:positionH>
                  <wp:positionV relativeFrom="paragraph">
                    <wp:posOffset>170180</wp:posOffset>
                  </wp:positionV>
                  <wp:extent cx="52070" cy="81915"/>
                  <wp:effectExtent l="0" t="0" r="0" b="0"/>
                  <wp:wrapNone/>
                  <wp:docPr id="13" name="textbox11"/>
                  <wp:cNvGraphicFramePr/>
                  <a:graphic xmlns:a="http://schemas.openxmlformats.org/drawingml/2006/main">
                    <a:graphicData uri="http://schemas.openxmlformats.org/drawingml/2006/picture">
                      <pic:pic xmlns:pic="http://schemas.openxmlformats.org/drawingml/2006/picture">
                        <pic:nvPicPr>
                          <pic:cNvPr id="13" name="textbox11"/>
                          <pic:cNvPicPr/>
                        </pic:nvPicPr>
                        <pic:blipFill>
                          <a:blip r:embed="rId5"/>
                          <a:stretch>
                            <a:fillRect/>
                          </a:stretch>
                        </pic:blipFill>
                        <pic:spPr>
                          <a:xfrm>
                            <a:off x="0" y="0"/>
                            <a:ext cx="52070" cy="81915"/>
                          </a:xfrm>
                          <a:prstGeom prst="rect">
                            <a:avLst/>
                          </a:prstGeom>
                          <a:noFill/>
                          <a:ln>
                            <a:noFill/>
                          </a:ln>
                        </pic:spPr>
                      </pic:pic>
                    </a:graphicData>
                  </a:graphic>
                </wp:anchor>
              </w:drawing>
            </w: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250825</wp:posOffset>
                  </wp:positionH>
                  <wp:positionV relativeFrom="paragraph">
                    <wp:posOffset>236220</wp:posOffset>
                  </wp:positionV>
                  <wp:extent cx="154305" cy="111125"/>
                  <wp:effectExtent l="0" t="0" r="0" b="0"/>
                  <wp:wrapNone/>
                  <wp:docPr id="14" name="textbox8"/>
                  <wp:cNvGraphicFramePr/>
                  <a:graphic xmlns:a="http://schemas.openxmlformats.org/drawingml/2006/main">
                    <a:graphicData uri="http://schemas.openxmlformats.org/drawingml/2006/picture">
                      <pic:pic xmlns:pic="http://schemas.openxmlformats.org/drawingml/2006/picture">
                        <pic:nvPicPr>
                          <pic:cNvPr id="14" name="textbox8"/>
                          <pic:cNvPicPr/>
                        </pic:nvPicPr>
                        <pic:blipFill>
                          <a:blip r:embed="rId5"/>
                          <a:stretch>
                            <a:fillRect/>
                          </a:stretch>
                        </pic:blipFill>
                        <pic:spPr>
                          <a:xfrm>
                            <a:off x="0" y="0"/>
                            <a:ext cx="154305" cy="111125"/>
                          </a:xfrm>
                          <a:prstGeom prst="rect">
                            <a:avLst/>
                          </a:prstGeom>
                          <a:noFill/>
                          <a:ln>
                            <a:noFill/>
                          </a:ln>
                        </pic:spPr>
                      </pic:pic>
                    </a:graphicData>
                  </a:graphic>
                </wp:anchor>
              </w:drawing>
            </w: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254000</wp:posOffset>
                  </wp:positionH>
                  <wp:positionV relativeFrom="paragraph">
                    <wp:posOffset>150495</wp:posOffset>
                  </wp:positionV>
                  <wp:extent cx="158115" cy="111760"/>
                  <wp:effectExtent l="0" t="0" r="0" b="0"/>
                  <wp:wrapNone/>
                  <wp:docPr id="15" name="textbox9"/>
                  <wp:cNvGraphicFramePr/>
                  <a:graphic xmlns:a="http://schemas.openxmlformats.org/drawingml/2006/main">
                    <a:graphicData uri="http://schemas.openxmlformats.org/drawingml/2006/picture">
                      <pic:pic xmlns:pic="http://schemas.openxmlformats.org/drawingml/2006/picture">
                        <pic:nvPicPr>
                          <pic:cNvPr id="15" name="textbox9"/>
                          <pic:cNvPicPr/>
                        </pic:nvPicPr>
                        <pic:blipFill>
                          <a:blip r:embed="rId5"/>
                          <a:stretch>
                            <a:fillRect/>
                          </a:stretch>
                        </pic:blipFill>
                        <pic:spPr>
                          <a:xfrm>
                            <a:off x="0" y="0"/>
                            <a:ext cx="158115" cy="111760"/>
                          </a:xfrm>
                          <a:prstGeom prst="rect">
                            <a:avLst/>
                          </a:prstGeom>
                          <a:noFill/>
                          <a:ln>
                            <a:noFill/>
                          </a:ln>
                        </pic:spPr>
                      </pic:pic>
                    </a:graphicData>
                  </a:graphic>
                </wp:anchor>
              </w:drawing>
            </w: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388620</wp:posOffset>
                  </wp:positionH>
                  <wp:positionV relativeFrom="paragraph">
                    <wp:posOffset>236220</wp:posOffset>
                  </wp:positionV>
                  <wp:extent cx="66040" cy="111125"/>
                  <wp:effectExtent l="0" t="0" r="0" b="0"/>
                  <wp:wrapNone/>
                  <wp:docPr id="16" name="textbox6"/>
                  <wp:cNvGraphicFramePr/>
                  <a:graphic xmlns:a="http://schemas.openxmlformats.org/drawingml/2006/main">
                    <a:graphicData uri="http://schemas.openxmlformats.org/drawingml/2006/picture">
                      <pic:pic xmlns:pic="http://schemas.openxmlformats.org/drawingml/2006/picture">
                        <pic:nvPicPr>
                          <pic:cNvPr id="16" name="textbox6"/>
                          <pic:cNvPicPr/>
                        </pic:nvPicPr>
                        <pic:blipFill>
                          <a:blip r:embed="rId5"/>
                          <a:stretch>
                            <a:fillRect/>
                          </a:stretch>
                        </pic:blipFill>
                        <pic:spPr>
                          <a:xfrm>
                            <a:off x="0" y="0"/>
                            <a:ext cx="66040" cy="111125"/>
                          </a:xfrm>
                          <a:prstGeom prst="rect">
                            <a:avLst/>
                          </a:prstGeom>
                          <a:noFill/>
                          <a:ln>
                            <a:noFill/>
                          </a:ln>
                        </pic:spPr>
                      </pic:pic>
                    </a:graphicData>
                  </a:graphic>
                </wp:anchor>
              </w:drawing>
            </w: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396875</wp:posOffset>
                  </wp:positionH>
                  <wp:positionV relativeFrom="paragraph">
                    <wp:posOffset>203200</wp:posOffset>
                  </wp:positionV>
                  <wp:extent cx="64135" cy="58420"/>
                  <wp:effectExtent l="0" t="0" r="0" b="0"/>
                  <wp:wrapNone/>
                  <wp:docPr id="17" name="textbox7"/>
                  <wp:cNvGraphicFramePr/>
                  <a:graphic xmlns:a="http://schemas.openxmlformats.org/drawingml/2006/main">
                    <a:graphicData uri="http://schemas.openxmlformats.org/drawingml/2006/picture">
                      <pic:pic xmlns:pic="http://schemas.openxmlformats.org/drawingml/2006/picture">
                        <pic:nvPicPr>
                          <pic:cNvPr id="17" name="textbox7"/>
                          <pic:cNvPicPr/>
                        </pic:nvPicPr>
                        <pic:blipFill>
                          <a:blip r:embed="rId5"/>
                          <a:stretch>
                            <a:fillRect/>
                          </a:stretch>
                        </pic:blipFill>
                        <pic:spPr>
                          <a:xfrm>
                            <a:off x="0" y="0"/>
                            <a:ext cx="64135" cy="58420"/>
                          </a:xfrm>
                          <a:prstGeom prst="rect">
                            <a:avLst/>
                          </a:prstGeom>
                          <a:noFill/>
                          <a:ln>
                            <a:noFill/>
                          </a:ln>
                        </pic:spPr>
                      </pic:pic>
                    </a:graphicData>
                  </a:graphic>
                </wp:anchor>
              </w:drawing>
            </w: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494030</wp:posOffset>
                  </wp:positionH>
                  <wp:positionV relativeFrom="paragraph">
                    <wp:posOffset>152400</wp:posOffset>
                  </wp:positionV>
                  <wp:extent cx="64135" cy="109855"/>
                  <wp:effectExtent l="0" t="0" r="0" b="0"/>
                  <wp:wrapNone/>
                  <wp:docPr id="18" name="textbox5"/>
                  <wp:cNvGraphicFramePr/>
                  <a:graphic xmlns:a="http://schemas.openxmlformats.org/drawingml/2006/main">
                    <a:graphicData uri="http://schemas.openxmlformats.org/drawingml/2006/picture">
                      <pic:pic xmlns:pic="http://schemas.openxmlformats.org/drawingml/2006/picture">
                        <pic:nvPicPr>
                          <pic:cNvPr id="18" name="textbox5"/>
                          <pic:cNvPicPr/>
                        </pic:nvPicPr>
                        <pic:blipFill>
                          <a:blip r:embed="rId5"/>
                          <a:stretch>
                            <a:fillRect/>
                          </a:stretch>
                        </pic:blipFill>
                        <pic:spPr>
                          <a:xfrm>
                            <a:off x="0" y="0"/>
                            <a:ext cx="64135" cy="109855"/>
                          </a:xfrm>
                          <a:prstGeom prst="rect">
                            <a:avLst/>
                          </a:prstGeom>
                          <a:noFill/>
                          <a:ln>
                            <a:noFill/>
                          </a:ln>
                        </pic:spPr>
                      </pic:pic>
                    </a:graphicData>
                  </a:graphic>
                </wp:anchor>
              </w:drawing>
            </w: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491490</wp:posOffset>
                  </wp:positionH>
                  <wp:positionV relativeFrom="paragraph">
                    <wp:posOffset>236220</wp:posOffset>
                  </wp:positionV>
                  <wp:extent cx="64135" cy="111125"/>
                  <wp:effectExtent l="0" t="0" r="0" b="0"/>
                  <wp:wrapNone/>
                  <wp:docPr id="19" name="textbox4"/>
                  <wp:cNvGraphicFramePr/>
                  <a:graphic xmlns:a="http://schemas.openxmlformats.org/drawingml/2006/main">
                    <a:graphicData uri="http://schemas.openxmlformats.org/drawingml/2006/picture">
                      <pic:pic xmlns:pic="http://schemas.openxmlformats.org/drawingml/2006/picture">
                        <pic:nvPicPr>
                          <pic:cNvPr id="19" name="textbox4"/>
                          <pic:cNvPicPr/>
                        </pic:nvPicPr>
                        <pic:blipFill>
                          <a:blip r:embed="rId5"/>
                          <a:stretch>
                            <a:fillRect/>
                          </a:stretch>
                        </pic:blipFill>
                        <pic:spPr>
                          <a:xfrm>
                            <a:off x="0" y="0"/>
                            <a:ext cx="64135" cy="111125"/>
                          </a:xfrm>
                          <a:prstGeom prst="rect">
                            <a:avLst/>
                          </a:prstGeom>
                          <a:noFill/>
                          <a:ln>
                            <a:noFill/>
                          </a:ln>
                        </pic:spPr>
                      </pic:pic>
                    </a:graphicData>
                  </a:graphic>
                </wp:anchor>
              </w:drawing>
            </w: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542290</wp:posOffset>
                  </wp:positionH>
                  <wp:positionV relativeFrom="paragraph">
                    <wp:posOffset>137795</wp:posOffset>
                  </wp:positionV>
                  <wp:extent cx="297815" cy="128270"/>
                  <wp:effectExtent l="0" t="0" r="0" b="0"/>
                  <wp:wrapNone/>
                  <wp:docPr id="20" name="textbox3"/>
                  <wp:cNvGraphicFramePr/>
                  <a:graphic xmlns:a="http://schemas.openxmlformats.org/drawingml/2006/main">
                    <a:graphicData uri="http://schemas.openxmlformats.org/drawingml/2006/picture">
                      <pic:pic xmlns:pic="http://schemas.openxmlformats.org/drawingml/2006/picture">
                        <pic:nvPicPr>
                          <pic:cNvPr id="20" name="textbox3"/>
                          <pic:cNvPicPr/>
                        </pic:nvPicPr>
                        <pic:blipFill>
                          <a:blip r:embed="rId5"/>
                          <a:stretch>
                            <a:fillRect/>
                          </a:stretch>
                        </pic:blipFill>
                        <pic:spPr>
                          <a:xfrm>
                            <a:off x="0" y="0"/>
                            <a:ext cx="297815" cy="128270"/>
                          </a:xfrm>
                          <a:prstGeom prst="rect">
                            <a:avLst/>
                          </a:prstGeom>
                          <a:noFill/>
                          <a:ln>
                            <a:noFill/>
                          </a:ln>
                        </pic:spPr>
                      </pic:pic>
                    </a:graphicData>
                  </a:graphic>
                </wp:anchor>
              </w:drawing>
            </w:r>
            <w:r>
              <w:rPr>
                <w:rFonts w:hint="default" w:ascii="Arial" w:hAnsi="Arial" w:eastAsia="宋体" w:cs="Arial"/>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542290</wp:posOffset>
                  </wp:positionH>
                  <wp:positionV relativeFrom="paragraph">
                    <wp:posOffset>222250</wp:posOffset>
                  </wp:positionV>
                  <wp:extent cx="348615" cy="128905"/>
                  <wp:effectExtent l="0" t="0" r="0" b="0"/>
                  <wp:wrapNone/>
                  <wp:docPr id="21" name="textbox2"/>
                  <wp:cNvGraphicFramePr/>
                  <a:graphic xmlns:a="http://schemas.openxmlformats.org/drawingml/2006/main">
                    <a:graphicData uri="http://schemas.openxmlformats.org/drawingml/2006/picture">
                      <pic:pic xmlns:pic="http://schemas.openxmlformats.org/drawingml/2006/picture">
                        <pic:nvPicPr>
                          <pic:cNvPr id="21" name="textbox2"/>
                          <pic:cNvPicPr/>
                        </pic:nvPicPr>
                        <pic:blipFill>
                          <a:blip r:embed="rId5"/>
                          <a:stretch>
                            <a:fillRect/>
                          </a:stretch>
                        </pic:blipFill>
                        <pic:spPr>
                          <a:xfrm>
                            <a:off x="0" y="0"/>
                            <a:ext cx="348615" cy="128905"/>
                          </a:xfrm>
                          <a:prstGeom prst="rect">
                            <a:avLst/>
                          </a:prstGeom>
                          <a:noFill/>
                          <a:ln>
                            <a:noFill/>
                          </a:ln>
                        </pic:spPr>
                      </pic:pic>
                    </a:graphicData>
                  </a:graphic>
                </wp:anchor>
              </w:drawing>
            </w:r>
            <w:r>
              <w:rPr>
                <w:rFonts w:ascii="宋体" w:hAnsi="宋体" w:eastAsia="宋体" w:cs="宋体"/>
                <w:color w:val="000000"/>
                <w:sz w:val="20"/>
                <w:szCs w:val="20"/>
                <w:u w:val="none"/>
                <w:lang w:val="en-US" w:eastAsia="zh-CN" w:bidi="ar"/>
              </w:rPr>
              <w:t>2020:150.86亿美元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 xml:space="preserve">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BRCA1/2</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奥拉帕利/0l apar ib</w:t>
            </w:r>
          </w:p>
        </w:tc>
        <w:tc>
          <w:tcPr>
            <w:tcW w:w="46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利普卓</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/Lynparza</w:t>
            </w:r>
          </w:p>
        </w:tc>
        <w:tc>
          <w:tcPr>
            <w:tcW w:w="29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阿斯利康</w:t>
            </w:r>
          </w:p>
        </w:tc>
        <w:tc>
          <w:tcPr>
            <w:tcW w:w="21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w:t>
            </w:r>
          </w:p>
        </w:tc>
        <w:tc>
          <w:tcPr>
            <w:tcW w:w="3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2018.10</w:t>
            </w:r>
          </w:p>
        </w:tc>
        <w:tc>
          <w:tcPr>
            <w:tcW w:w="27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2018.8</w:t>
            </w: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2023.1</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单药</w:t>
            </w:r>
          </w:p>
        </w:tc>
        <w:tc>
          <w:tcPr>
            <w:tcW w:w="92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2020:2.44亿元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2021:3.3亿元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2022:3.78亿元</w:t>
            </w:r>
          </w:p>
        </w:tc>
        <w:tc>
          <w:tcPr>
            <w:tcW w:w="6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2020:17.76亿美元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2021:23.48亿美元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2022:26.38亿美元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 w:hRule="atLeast"/>
        </w:trPr>
        <w:tc>
          <w:tcPr>
            <w:tcW w:w="5000" w:type="pct"/>
            <w:gridSpan w:val="11"/>
            <w:tcBorders>
              <w:top w:val="nil"/>
              <w:left w:val="nil"/>
              <w:bottom w:val="nil"/>
              <w:right w:val="nil"/>
            </w:tcBorders>
            <w:shd w:val="clear" w:color="auto" w:fill="auto"/>
            <w:vAlign w:val="top"/>
          </w:tcPr>
          <w:p>
            <w:pPr>
              <w:jc w:val="lef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 w:hRule="atLeast"/>
        </w:trPr>
        <w:tc>
          <w:tcPr>
            <w:tcW w:w="5000" w:type="pct"/>
            <w:gridSpan w:val="11"/>
            <w:tcBorders>
              <w:top w:val="nil"/>
              <w:left w:val="nil"/>
              <w:bottom w:val="nil"/>
              <w:right w:val="nil"/>
            </w:tcBorders>
            <w:shd w:val="clear" w:color="auto" w:fill="auto"/>
            <w:vAlign w:val="top"/>
          </w:tcPr>
          <w:p>
            <w:pPr>
              <w:jc w:val="left"/>
              <w:rPr>
                <w:rFonts w:hint="default" w:ascii="Arial" w:hAnsi="Arial" w:cs="Arial"/>
                <w:i w:val="0"/>
                <w:iCs w:val="0"/>
                <w:color w:val="000000"/>
                <w:sz w:val="20"/>
                <w:szCs w:val="20"/>
                <w:u w:val="none"/>
              </w:rPr>
            </w:pPr>
          </w:p>
          <w:p>
            <w:pPr>
              <w:jc w:val="lef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5" w:hRule="atLeast"/>
        </w:trPr>
        <w:tc>
          <w:tcPr>
            <w:tcW w:w="401"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花向基因</w:t>
            </w:r>
          </w:p>
        </w:tc>
        <w:tc>
          <w:tcPr>
            <w:tcW w:w="613"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道用名</w:t>
            </w:r>
          </w:p>
        </w:tc>
        <w:tc>
          <w:tcPr>
            <w:tcW w:w="469"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商品名</w:t>
            </w:r>
          </w:p>
        </w:tc>
        <w:tc>
          <w:tcPr>
            <w:tcW w:w="296"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原研</w:t>
            </w:r>
          </w:p>
        </w:tc>
        <w:tc>
          <w:tcPr>
            <w:tcW w:w="213"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战数</w:t>
            </w:r>
          </w:p>
        </w:tc>
        <w:tc>
          <w:tcPr>
            <w:tcW w:w="313"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美国</w:t>
            </w:r>
          </w:p>
        </w:tc>
        <w:tc>
          <w:tcPr>
            <w:tcW w:w="276"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中国</w:t>
            </w:r>
          </w:p>
        </w:tc>
        <w:tc>
          <w:tcPr>
            <w:tcW w:w="472"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进入医保时间</w:t>
            </w:r>
          </w:p>
        </w:tc>
        <w:tc>
          <w:tcPr>
            <w:tcW w:w="413"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单药/联用</w:t>
            </w:r>
          </w:p>
        </w:tc>
        <w:tc>
          <w:tcPr>
            <w:tcW w:w="926"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国内样本医院销售额</w:t>
            </w:r>
          </w:p>
        </w:tc>
        <w:tc>
          <w:tcPr>
            <w:tcW w:w="602" w:type="pct"/>
            <w:tcBorders>
              <w:top w:val="single" w:color="000000" w:sz="4" w:space="0"/>
              <w:left w:val="single" w:color="000000" w:sz="4" w:space="0"/>
              <w:bottom w:val="single" w:color="000000" w:sz="4" w:space="0"/>
              <w:right w:val="single" w:color="000000" w:sz="4" w:space="0"/>
            </w:tcBorders>
            <w:shd w:val="clear" w:color="auto" w:fill="C59243"/>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b/>
                <w:bCs/>
                <w:color w:val="FFFFFF"/>
                <w:sz w:val="20"/>
                <w:szCs w:val="20"/>
                <w:u w:val="none"/>
                <w:lang w:val="en-US" w:eastAsia="zh-CN" w:bidi="ar"/>
              </w:rPr>
              <w:t>全球销售额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KRAS野生型</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尼妥珠单抗</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/nimotuzumab</w:t>
            </w:r>
          </w:p>
        </w:tc>
        <w:tc>
          <w:tcPr>
            <w:tcW w:w="4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泰欣生</w:t>
            </w:r>
          </w:p>
        </w:tc>
        <w:tc>
          <w:tcPr>
            <w:tcW w:w="29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百泰生物</w:t>
            </w:r>
          </w:p>
        </w:tc>
        <w:tc>
          <w:tcPr>
            <w:tcW w:w="2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1</w:t>
            </w:r>
          </w:p>
        </w:tc>
        <w:tc>
          <w:tcPr>
            <w:tcW w:w="3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一</w:t>
            </w:r>
          </w:p>
        </w:tc>
        <w:tc>
          <w:tcPr>
            <w:tcW w:w="27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2008.6</w:t>
            </w: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2020</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联用吉他西淀</w:t>
            </w:r>
          </w:p>
        </w:tc>
        <w:tc>
          <w:tcPr>
            <w:tcW w:w="92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2020:2.86亿元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2021:3.66亿元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2022:3.63亿元</w:t>
            </w:r>
          </w:p>
        </w:tc>
        <w:tc>
          <w:tcPr>
            <w:tcW w:w="602"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10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EGFR(30%-89%)</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厄洛替尼</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/Er lot inib</w:t>
            </w:r>
          </w:p>
        </w:tc>
        <w:tc>
          <w:tcPr>
            <w:tcW w:w="4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特罗凯/Tarceva</w:t>
            </w:r>
          </w:p>
        </w:tc>
        <w:tc>
          <w:tcPr>
            <w:tcW w:w="29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罗氏</w:t>
            </w:r>
          </w:p>
        </w:tc>
        <w:tc>
          <w:tcPr>
            <w:tcW w:w="2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1</w:t>
            </w:r>
          </w:p>
        </w:tc>
        <w:tc>
          <w:tcPr>
            <w:tcW w:w="3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2005.11</w:t>
            </w:r>
          </w:p>
        </w:tc>
        <w:tc>
          <w:tcPr>
            <w:tcW w:w="27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2007</w:t>
            </w: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2017.7</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联用吉他西滨</w:t>
            </w:r>
          </w:p>
        </w:tc>
        <w:tc>
          <w:tcPr>
            <w:tcW w:w="92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罗氏：</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2020:0.39亿元；2021:0.24亿元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2022:0.</w:t>
            </w:r>
            <w:r>
              <w:rPr>
                <w:rFonts w:ascii="宋体" w:hAnsi="宋体" w:eastAsia="宋体" w:cs="宋体"/>
                <w:color w:val="992900"/>
                <w:sz w:val="20"/>
                <w:szCs w:val="20"/>
                <w:u w:val="none"/>
                <w:lang w:val="en-US" w:eastAsia="zh-CN" w:bidi="ar"/>
              </w:rPr>
              <w:t>13亿元</w:t>
            </w:r>
            <w:r>
              <w:rPr>
                <w:rFonts w:ascii="宋体" w:hAnsi="宋体" w:eastAsia="宋体" w:cs="宋体"/>
                <w:color w:val="992900"/>
                <w:sz w:val="20"/>
                <w:szCs w:val="20"/>
                <w:u w:val="none"/>
                <w:lang w:val="en-US" w:eastAsia="zh-CN" w:bidi="ar"/>
              </w:rPr>
              <w:br w:type="textWrapping"/>
            </w:r>
            <w:r>
              <w:rPr>
                <w:rFonts w:ascii="宋体" w:hAnsi="宋体" w:eastAsia="宋体" w:cs="宋体"/>
                <w:color w:val="000000"/>
                <w:sz w:val="20"/>
                <w:szCs w:val="20"/>
                <w:u w:val="none"/>
                <w:lang w:val="en-US" w:eastAsia="zh-CN" w:bidi="ar"/>
              </w:rPr>
              <w:t>上海创诺：</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2020:482.61万元；2021:997.71万元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2022:572.22万元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南京力博维：</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2022:7.1万元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江苏豪森：</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2021:602元；2022:5.18万元</w:t>
            </w:r>
          </w:p>
        </w:tc>
        <w:tc>
          <w:tcPr>
            <w:tcW w:w="6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2020:2.22亿美元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2021:1.38亿美元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MSI-H/dMMR</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帕博利珠单抗</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/Pembrol izumab</w:t>
            </w:r>
          </w:p>
        </w:tc>
        <w:tc>
          <w:tcPr>
            <w:tcW w:w="4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可瑞达</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/Keytruda</w:t>
            </w:r>
          </w:p>
        </w:tc>
        <w:tc>
          <w:tcPr>
            <w:tcW w:w="29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默沙东</w:t>
            </w:r>
          </w:p>
        </w:tc>
        <w:tc>
          <w:tcPr>
            <w:tcW w:w="2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1/2</w:t>
            </w:r>
          </w:p>
        </w:tc>
        <w:tc>
          <w:tcPr>
            <w:tcW w:w="3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2020.6</w:t>
            </w:r>
          </w:p>
        </w:tc>
        <w:tc>
          <w:tcPr>
            <w:tcW w:w="27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2018.7</w:t>
            </w: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一</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单药</w:t>
            </w:r>
          </w:p>
        </w:tc>
        <w:tc>
          <w:tcPr>
            <w:tcW w:w="92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2020::2.95亿元；2021:4.68亿元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2022:5.03亿元</w:t>
            </w:r>
          </w:p>
        </w:tc>
        <w:tc>
          <w:tcPr>
            <w:tcW w:w="6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2020:150.86亿美元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2021:185.45亿美元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2022:209.37亿美元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0" w:hRule="atLeast"/>
        </w:trPr>
        <w:tc>
          <w:tcPr>
            <w:tcW w:w="4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BRCA1/2</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奥拉帕利/0l apar ib</w:t>
            </w:r>
          </w:p>
        </w:tc>
        <w:tc>
          <w:tcPr>
            <w:tcW w:w="4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利普卓</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/Lynparza</w:t>
            </w:r>
          </w:p>
        </w:tc>
        <w:tc>
          <w:tcPr>
            <w:tcW w:w="29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阿斯利康</w:t>
            </w:r>
          </w:p>
        </w:tc>
        <w:tc>
          <w:tcPr>
            <w:tcW w:w="2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w:t>
            </w:r>
          </w:p>
        </w:tc>
        <w:tc>
          <w:tcPr>
            <w:tcW w:w="3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2018.10</w:t>
            </w:r>
          </w:p>
        </w:tc>
        <w:tc>
          <w:tcPr>
            <w:tcW w:w="27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2018.8</w:t>
            </w:r>
          </w:p>
        </w:tc>
        <w:tc>
          <w:tcPr>
            <w:tcW w:w="47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0"/>
                <w:szCs w:val="20"/>
                <w:u w:val="none"/>
              </w:rPr>
            </w:pPr>
            <w:r>
              <w:rPr>
                <w:rFonts w:ascii="宋体" w:hAnsi="宋体" w:eastAsia="宋体" w:cs="宋体"/>
                <w:i w:val="0"/>
                <w:iCs w:val="0"/>
                <w:color w:val="000000"/>
                <w:kern w:val="0"/>
                <w:sz w:val="20"/>
                <w:szCs w:val="20"/>
                <w:u w:val="none"/>
                <w:lang w:val="en-US" w:eastAsia="zh-CN" w:bidi="ar"/>
              </w:rPr>
              <w:t>2023.1</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单药</w:t>
            </w:r>
          </w:p>
        </w:tc>
        <w:tc>
          <w:tcPr>
            <w:tcW w:w="92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2020:2.44亿元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2021:3</w:t>
            </w:r>
            <w:r>
              <w:rPr>
                <w:rFonts w:ascii="宋体" w:hAnsi="宋体" w:eastAsia="宋体" w:cs="宋体"/>
                <w:color w:val="6F1A00"/>
                <w:sz w:val="20"/>
                <w:szCs w:val="20"/>
                <w:u w:val="none"/>
                <w:lang w:val="en-US" w:eastAsia="zh-CN" w:bidi="ar"/>
              </w:rPr>
              <w:t>.</w:t>
            </w:r>
            <w:r>
              <w:rPr>
                <w:rFonts w:ascii="宋体" w:hAnsi="宋体" w:eastAsia="宋体" w:cs="宋体"/>
                <w:color w:val="000000"/>
                <w:sz w:val="20"/>
                <w:szCs w:val="20"/>
                <w:u w:val="none"/>
                <w:lang w:val="en-US" w:eastAsia="zh-CN" w:bidi="ar"/>
              </w:rPr>
              <w:t>3亿元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2022:3.78亿元</w:t>
            </w:r>
          </w:p>
        </w:tc>
        <w:tc>
          <w:tcPr>
            <w:tcW w:w="6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ascii="宋体" w:hAnsi="宋体" w:eastAsia="宋体" w:cs="宋体"/>
                <w:color w:val="000000"/>
                <w:sz w:val="20"/>
                <w:szCs w:val="20"/>
                <w:u w:val="none"/>
                <w:lang w:val="en-US" w:eastAsia="zh-CN" w:bidi="ar"/>
              </w:rPr>
              <w:t>2020:17.76亿美元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2021:23.48亿美元</w:t>
            </w:r>
            <w:r>
              <w:rPr>
                <w:rFonts w:ascii="宋体" w:hAnsi="宋体" w:eastAsia="宋体" w:cs="宋体"/>
                <w:color w:val="000000"/>
                <w:sz w:val="20"/>
                <w:szCs w:val="20"/>
                <w:u w:val="none"/>
                <w:lang w:val="en-US" w:eastAsia="zh-CN" w:bidi="ar"/>
              </w:rPr>
              <w:br w:type="textWrapping"/>
            </w:r>
            <w:r>
              <w:rPr>
                <w:rFonts w:ascii="宋体" w:hAnsi="宋体" w:eastAsia="宋体" w:cs="宋体"/>
                <w:color w:val="000000"/>
                <w:sz w:val="20"/>
                <w:szCs w:val="20"/>
                <w:u w:val="none"/>
                <w:lang w:val="en-US" w:eastAsia="zh-CN" w:bidi="ar"/>
              </w:rPr>
              <w:t>2022:26.38亿美元</w:t>
            </w:r>
          </w:p>
        </w:tc>
      </w:tr>
    </w:tbl>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lang w:val="en-US"/>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4.</w:t>
      </w:r>
      <w:r>
        <w:rPr>
          <w:rFonts w:hint="eastAsia" w:ascii="Songti SC" w:hAnsi="Songti SC" w:eastAsia="Songti SC" w:cs="宋体"/>
          <w:sz w:val="20"/>
          <w:szCs w:val="20"/>
          <w:lang w:val="en-US"/>
        </w:rPr>
        <w:t>新型治疗方法:</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lang w:val="en-US"/>
        </w:rPr>
      </w:pPr>
      <w:r>
        <w:rPr>
          <w:rFonts w:ascii="Songti SC" w:hAnsi="Songti SC" w:eastAsia="Songti SC" w:cs="宋体"/>
          <w:sz w:val="20"/>
          <w:szCs w:val="20"/>
          <w:lang w:val="en-US"/>
        </w:rPr>
        <w:t>正在进行的研究正在探索新的化合物和治疗方法，重点是提高治疗效果和尽量减少不良反应。</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lang w:val="en-US" w:eastAsia="zh-CN"/>
        </w:rPr>
      </w:pPr>
      <w:r>
        <w:rPr>
          <w:rFonts w:hint="eastAsia" w:ascii="Songti SC Bold" w:hAnsi="Songti SC Bold" w:eastAsia="Songti SC Bold" w:cs="Songti SC Bold"/>
          <w:b/>
          <w:bCs/>
          <w:color w:val="4472C4" w:themeColor="accent1"/>
          <w:sz w:val="20"/>
          <w:szCs w:val="20"/>
          <w:lang w:val="en-US" w:eastAsia="zh-CN"/>
          <w14:textFill>
            <w14:solidFill>
              <w14:schemeClr w14:val="accent1"/>
            </w14:solidFill>
          </w14:textFill>
        </w:rPr>
        <w:t>4.1 NALIFIROX：</w:t>
      </w:r>
      <w:r>
        <w:rPr>
          <w:rFonts w:ascii="Songti SC" w:hAnsi="Songti SC" w:eastAsia="Songti SC" w:cs="宋体"/>
          <w:sz w:val="20"/>
          <w:szCs w:val="20"/>
          <w:lang w:val="en-US" w:eastAsia="zh-CN"/>
        </w:rPr>
        <w:t>改写一线胰腺癌的潜力药物</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lang w:val="en-US" w:eastAsia="zh-CN"/>
        </w:rPr>
      </w:pPr>
      <w:r>
        <w:rPr>
          <w:rFonts w:ascii="Songti SC" w:hAnsi="Songti SC" w:eastAsia="Songti SC" w:cs="宋体"/>
          <w:sz w:val="20"/>
          <w:szCs w:val="20"/>
          <w:lang w:val="en-US" w:eastAsia="zh-CN"/>
        </w:rPr>
        <w:t>Ipsen研发的</w:t>
      </w:r>
      <w:r>
        <w:rPr>
          <w:rFonts w:hint="default" w:ascii="Songti SC" w:hAnsi="Songti SC" w:eastAsia="Songti SC" w:cs="宋体"/>
          <w:sz w:val="20"/>
          <w:szCs w:val="20"/>
          <w:lang w:val="en-US" w:eastAsia="zh-CN"/>
        </w:rPr>
        <w:t>NALIRIFOX方案（伊立替康脂质体+5-氟尿嘧啶/亚叶酸+奥沙利铂）在头对头试验中打败了双联方案，成为改写一线胰腺癌的潜力药物</w:t>
      </w:r>
      <w:r>
        <w:rPr>
          <w:rFonts w:hint="eastAsia" w:ascii="Songti SC" w:hAnsi="Songti SC" w:eastAsia="Songti SC" w:cs="宋体"/>
          <w:sz w:val="20"/>
          <w:szCs w:val="20"/>
          <w:lang w:val="en-US" w:eastAsia="zh-CN"/>
        </w:rPr>
        <w:t>。</w:t>
      </w:r>
      <w:r>
        <w:rPr>
          <w:rFonts w:ascii="Songti SC" w:hAnsi="Songti SC" w:eastAsia="Songti SC" w:cs="宋体"/>
          <w:sz w:val="20"/>
          <w:szCs w:val="20"/>
          <w:lang w:val="en-US" w:eastAsia="zh-CN"/>
        </w:rPr>
        <w:t>2023ASCO GI上，研究人员观察了NALIRIFOX（伊立替康脂质体+5-氟尿嘧啶/亚叶酸+奥沙利铂）作为mPDAC患 者一线治疗的疗效和安全性。 NALIFIROX组的中位OS为11.1个月，而Gem + NabP组的中位OS为9.2个月（HR 0.84 [95%CI：0.71~0.99]； P=0.04。PFS也显著改善（7.4个月vs. 5.6个月；HR 0.70 [0.59~0.84]；P=0.0001）</w:t>
      </w:r>
      <w:r>
        <w:rPr>
          <w:rFonts w:hint="eastAsia" w:ascii="Songti SC" w:hAnsi="Songti SC" w:eastAsia="Songti SC" w:cs="宋体"/>
          <w:sz w:val="20"/>
          <w:szCs w:val="20"/>
          <w:lang w:val="en-US" w:eastAsia="zh-CN"/>
        </w:rPr>
        <w:t>；</w:t>
      </w:r>
      <w:r>
        <w:rPr>
          <w:rFonts w:ascii="Songti SC" w:hAnsi="Songti SC" w:eastAsia="Songti SC" w:cs="宋体"/>
          <w:sz w:val="20"/>
          <w:szCs w:val="20"/>
          <w:lang w:val="en-US" w:eastAsia="zh-CN"/>
        </w:rPr>
        <w:t xml:space="preserve">与Gem+NabP相比，接受NALIRIFOX治疗的患者中出现频率≥10%的3/4级治疗出现不良事件（TEAEs）包括腹泻 （20.3% vs. 4.5%）、恶心（11.9% vs. 2.6%）、低钾血症（15.1% vs. 4.0%）、贫血（10.5% vs. 17.4%）和中性粒细胞减少（14.1% vs. 24.5%）。 </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default" w:ascii="Songti SC" w:hAnsi="Songti SC" w:eastAsia="Songti SC" w:cs="宋体"/>
          <w:sz w:val="20"/>
          <w:szCs w:val="20"/>
          <w:lang w:val="en-US" w:eastAsia="zh-CN"/>
        </w:rPr>
      </w:pPr>
      <w:r>
        <w:rPr>
          <w:rFonts w:hint="default" w:ascii="Songti SC" w:hAnsi="Songti SC" w:eastAsia="Songti SC" w:cs="宋体"/>
          <w:sz w:val="20"/>
          <w:szCs w:val="20"/>
          <w:lang w:val="en-US" w:eastAsia="zh-CN"/>
        </w:rPr>
        <w:t>基于此优异疗效，2023.V2版NCCN临床实践指南将NALIRIFOX方案正式纳入胰腺癌一线治疗的推荐中。</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default" w:ascii="Songti SC" w:hAnsi="Songti SC" w:eastAsia="Songti SC" w:cs="宋体"/>
          <w:sz w:val="20"/>
          <w:szCs w:val="20"/>
          <w:lang w:val="en-US" w:eastAsia="zh-CN"/>
        </w:rPr>
      </w:pPr>
      <w:r>
        <w:rPr>
          <w:rFonts w:ascii="Songti SC" w:hAnsi="Songti SC" w:eastAsia="Songti SC" w:cs="宋体"/>
          <w:sz w:val="20"/>
          <w:szCs w:val="20"/>
          <w:lang w:val="en-US" w:eastAsia="zh-CN"/>
        </w:rPr>
        <w:t>Ipsen</w:t>
      </w:r>
      <w:r>
        <w:rPr>
          <w:rFonts w:hint="default" w:ascii="Songti SC" w:hAnsi="Songti SC" w:eastAsia="Songti SC" w:cs="宋体"/>
          <w:sz w:val="20"/>
          <w:szCs w:val="20"/>
          <w:lang w:val="en-US" w:eastAsia="zh-CN"/>
        </w:rPr>
        <w:t>还于2023年6月发布公告称：FDA接受了NALIRIFOX方案作为转移性胰腺导管腺癌的潜在一线治疗的补充新药申请。《处方药使用者费用法案》（PDUFA）目标日期为2024年2月13日。</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default" w:ascii="Songti SC" w:hAnsi="Songti SC" w:eastAsia="Songti SC" w:cs="宋体"/>
          <w:sz w:val="20"/>
          <w:szCs w:val="20"/>
          <w:lang w:val="en-US" w:eastAsia="zh-CN"/>
        </w:rPr>
      </w:pPr>
      <w:r>
        <w:rPr>
          <w:rFonts w:hint="default" w:ascii="Songti SC" w:hAnsi="Songti SC" w:eastAsia="Songti SC" w:cs="宋体"/>
          <w:sz w:val="20"/>
          <w:szCs w:val="20"/>
          <w:lang w:val="en-US" w:eastAsia="zh-CN"/>
        </w:rPr>
        <w:t>由于</w:t>
      </w:r>
      <w:r>
        <w:rPr>
          <w:rFonts w:hint="eastAsia" w:ascii="Songti SC" w:hAnsi="Songti SC" w:eastAsia="Songti SC" w:cs="宋体"/>
          <w:sz w:val="20"/>
          <w:szCs w:val="20"/>
          <w:lang w:val="en-US" w:eastAsia="zh-CN"/>
        </w:rPr>
        <w:t>方案中的</w:t>
      </w:r>
      <w:r>
        <w:rPr>
          <w:rFonts w:hint="default" w:ascii="Songti SC" w:hAnsi="Songti SC" w:eastAsia="Songti SC" w:cs="宋体"/>
          <w:sz w:val="20"/>
          <w:szCs w:val="20"/>
          <w:lang w:val="en-US" w:eastAsia="zh-CN"/>
        </w:rPr>
        <w:t>伊立替康脂质体中国专利2025年到期，许多国内药企都在研发仿制药，其中石药集团已于2023年9月率先抢得首仿上市，恒瑞医药也提交了上市申请，绿叶制药、科伦药业、奥赛康等紧随其后。</w:t>
      </w:r>
    </w:p>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cs="宋体"/>
          <w:sz w:val="20"/>
          <w:szCs w:val="20"/>
          <w:lang w:val="en-US" w:eastAsia="zh-CN"/>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lang w:val="en-US"/>
        </w:rPr>
      </w:pPr>
      <w:r>
        <w:rPr>
          <w:rFonts w:hint="eastAsia" w:ascii="Songti SC Bold" w:hAnsi="Songti SC Bold" w:eastAsia="Songti SC Bold" w:cs="Songti SC Bold"/>
          <w:b/>
          <w:bCs/>
          <w:color w:val="4472C4" w:themeColor="accent1"/>
          <w:sz w:val="20"/>
          <w:szCs w:val="20"/>
          <w:lang w:val="en-US" w:eastAsia="zh-CN"/>
          <w14:textFill>
            <w14:solidFill>
              <w14:schemeClr w14:val="accent1"/>
            </w14:solidFill>
          </w14:textFill>
        </w:rPr>
        <w:t>4.2 KN046：</w:t>
      </w:r>
      <w:r>
        <w:rPr>
          <w:rFonts w:ascii="Songti SC" w:hAnsi="Songti SC" w:eastAsia="Songti SC" w:cs="宋体"/>
          <w:sz w:val="20"/>
          <w:szCs w:val="20"/>
          <w:lang w:val="en-US" w:eastAsia="zh-CN"/>
        </w:rPr>
        <w:t xml:space="preserve">胰腺癌一线免疫疗法的潜在BIC药物 </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lang w:val="en-US"/>
        </w:rPr>
      </w:pPr>
      <w:r>
        <w:rPr>
          <w:rFonts w:ascii="Songti SC" w:hAnsi="Songti SC" w:eastAsia="Songti SC" w:cs="宋体"/>
          <w:sz w:val="20"/>
          <w:szCs w:val="20"/>
          <w:lang w:val="en-US" w:eastAsia="zh-CN"/>
        </w:rPr>
        <w:t xml:space="preserve">KN046是一种新型重组人源化 双特异性抗体，可同时阻断PD-1/PD-L1和CTLA-4通路，恢复T细胞对肿瘤的免疫反应。 </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lang w:val="en-US"/>
        </w:rPr>
      </w:pPr>
      <w:r>
        <w:rPr>
          <w:rFonts w:hint="default" w:ascii="Songti SC" w:hAnsi="Songti SC" w:eastAsia="Songti SC" w:cs="宋体"/>
          <w:sz w:val="20"/>
          <w:szCs w:val="20"/>
          <w:lang w:val="en-US" w:eastAsia="zh-CN"/>
        </w:rPr>
        <w:t></w:t>
      </w:r>
      <w:r>
        <w:rPr>
          <w:rFonts w:ascii="Songti SC" w:hAnsi="Songti SC" w:eastAsia="Songti SC" w:cs="宋体"/>
          <w:sz w:val="20"/>
          <w:szCs w:val="20"/>
          <w:lang w:val="en-US" w:eastAsia="zh-CN"/>
        </w:rPr>
        <w:t xml:space="preserve">2021 CSCO上，康宁杰瑞披露了KN046联合AG方案治疗不可切除局部晚期（无法手术）或转移性胰腺导管癌患者的初步效果。22例患者接受至少一次肿瘤评估，客观缓解率（ORR）为50.0%，疾病控制率（DCR）为95.5%，6个 月无进展生存率（PFS-6M Rate）为62.3%；4例患者经4～6周期治疗后MDT评估达到手术切除标准并接受手术治疗。 </w:t>
      </w:r>
      <w:r>
        <w:rPr>
          <w:rFonts w:hint="eastAsia" w:ascii="Songti SC Bold" w:hAnsi="Songti SC Bold" w:eastAsia="Songti SC Bold" w:cs="Songti SC Bold"/>
          <w:b/>
          <w:bCs/>
          <w:sz w:val="20"/>
          <w:szCs w:val="20"/>
          <w:lang w:val="en-US" w:eastAsia="zh-CN"/>
        </w:rPr>
        <w:t>与目前一线胰腺癌免疫疗法相比，KN046潜在疗效优势显著。</w:t>
      </w:r>
      <w:r>
        <w:rPr>
          <w:rFonts w:ascii="Songti SC" w:hAnsi="Songti SC" w:eastAsia="Songti SC" w:cs="宋体"/>
          <w:sz w:val="20"/>
          <w:szCs w:val="20"/>
          <w:lang w:val="en-US" w:eastAsia="zh-CN"/>
        </w:rPr>
        <w:t xml:space="preserve"> </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lang w:val="en-US"/>
        </w:rPr>
      </w:pPr>
      <w:r>
        <w:rPr>
          <w:rFonts w:hint="default" w:ascii="Songti SC" w:hAnsi="Songti SC" w:eastAsia="Songti SC" w:cs="宋体"/>
          <w:sz w:val="20"/>
          <w:szCs w:val="20"/>
          <w:lang w:val="en-US" w:eastAsia="zh-CN"/>
        </w:rPr>
        <w:t xml:space="preserve"> </w:t>
      </w:r>
      <w:r>
        <w:rPr>
          <w:rFonts w:ascii="Songti SC" w:hAnsi="Songti SC" w:eastAsia="Songti SC" w:cs="宋体"/>
          <w:sz w:val="20"/>
          <w:szCs w:val="20"/>
          <w:lang w:val="en-US" w:eastAsia="zh-CN"/>
        </w:rPr>
        <w:t>KN046联合AG方案一线治疗不可切除局部晚期（无法手术）或转移性胰腺导管癌的Ⅲ期预计于2023年Q3读出。</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default" w:ascii="Songti SC" w:hAnsi="Songti SC" w:eastAsia="Songti SC" w:cs="宋体"/>
          <w:sz w:val="20"/>
          <w:szCs w:val="20"/>
          <w:lang w:val="en-US" w:eastAsia="zh-CN"/>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lang w:val="en-US"/>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2</w:t>
      </w:r>
      <w:r>
        <w:rPr>
          <w:rFonts w:hint="eastAsia" w:ascii="Songti SC" w:hAnsi="Songti SC" w:eastAsia="Songti SC" w:cs="宋体"/>
          <w:sz w:val="20"/>
          <w:szCs w:val="20"/>
          <w:lang w:val="en-US"/>
        </w:rPr>
        <w:t>、</w:t>
      </w:r>
      <w:r>
        <w:rPr>
          <w:rFonts w:ascii="Songti SC" w:hAnsi="Songti SC" w:eastAsia="Songti SC" w:cs="宋体"/>
          <w:sz w:val="20"/>
          <w:szCs w:val="20"/>
          <w:lang w:val="en-US"/>
        </w:rPr>
        <w:t>药物偏好和市场状况</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魔多情报和GII研究公司的市场分析提供了对药物偏好和市场状况的见解：</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1.Erlotinib:</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厄洛替尼，一种EGFR抑制剂，仍然是一个突出的选择，特别是与吉西他滨联合使用。它的市场份额反映了它在胰腺癌治疗中的既定地位。</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2.Nab-paclitaxel:</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白蛋白-紫杉醇是一种新型的纳米颗粒白蛋白结合紫杉醇配方，由于其改进的给药和疗效而获得关注，有助于其重要的市场影响力。</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eastAsia" w:ascii="Songti SC" w:hAnsi="Songti SC" w:eastAsia="Songti SC"/>
          <w:sz w:val="20"/>
          <w:szCs w:val="20"/>
          <w:lang w:val="en-US"/>
        </w:rPr>
      </w:pPr>
      <w:r>
        <w:rPr>
          <w:rFonts w:ascii="Songti SC" w:hAnsi="Songti SC" w:eastAsia="Songti SC" w:cs="宋体"/>
          <w:sz w:val="20"/>
          <w:szCs w:val="20"/>
          <w:lang w:val="en-US"/>
        </w:rPr>
        <w:t>3.FOLFIRINOX</w:t>
      </w:r>
      <w:r>
        <w:rPr>
          <w:rFonts w:hint="eastAsia" w:ascii="Songti SC" w:hAnsi="Songti SC" w:eastAsia="Songti SC" w:cs="宋体"/>
          <w:sz w:val="20"/>
          <w:szCs w:val="20"/>
          <w:lang w:val="en-US"/>
        </w:rPr>
        <w:t>（</w:t>
      </w:r>
      <w:r>
        <w:rPr>
          <w:rFonts w:ascii="Songti SC" w:hAnsi="Songti SC" w:eastAsia="Songti SC" w:cs="宋体"/>
          <w:sz w:val="20"/>
          <w:szCs w:val="20"/>
          <w:lang w:val="en-US"/>
        </w:rPr>
        <w:t>氟菲尼酮</w:t>
      </w:r>
      <w:r>
        <w:rPr>
          <w:rFonts w:hint="eastAsia" w:ascii="Songti SC" w:hAnsi="Songti SC" w:eastAsia="Songti SC" w:cs="宋体"/>
          <w:sz w:val="20"/>
          <w:szCs w:val="20"/>
          <w:lang w:val="en-US"/>
        </w:rPr>
        <w:t>）</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eastAsia" w:ascii="Songti SC" w:hAnsi="Songti SC" w:eastAsia="Songti SC"/>
          <w:sz w:val="20"/>
          <w:szCs w:val="20"/>
          <w:lang w:val="en-US"/>
        </w:rPr>
      </w:pPr>
      <w:r>
        <w:rPr>
          <w:rFonts w:ascii="Songti SC" w:hAnsi="Songti SC" w:eastAsia="Songti SC" w:cs="宋体"/>
          <w:sz w:val="20"/>
          <w:szCs w:val="20"/>
          <w:lang w:val="en-US"/>
        </w:rPr>
        <w:t>FOLFIRINOX是一种联合化疗方案，其在某些患者群体中的有效性被公认，对其市场份额产生积极影响。</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3</w:t>
      </w:r>
      <w:r>
        <w:rPr>
          <w:rFonts w:hint="eastAsia" w:ascii="Songti SC" w:hAnsi="Songti SC" w:eastAsia="Songti SC" w:cs="宋体"/>
          <w:sz w:val="20"/>
          <w:szCs w:val="20"/>
          <w:lang w:val="en-US"/>
        </w:rPr>
        <w:t>、</w:t>
      </w:r>
      <w:r>
        <w:rPr>
          <w:rFonts w:ascii="Songti SC" w:hAnsi="Songti SC" w:eastAsia="Songti SC" w:cs="宋体"/>
          <w:sz w:val="20"/>
          <w:szCs w:val="20"/>
          <w:lang w:val="en-US"/>
        </w:rPr>
        <w:t>药物偏好的变化</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市场分析表明，在新兴研究结果和临床试验结果的推动下，药物偏好的持续变化是动态的。随着医疗保健专业人员努力优化患者的治疗结果，治疗指南的不断更新有助于这些变化。</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olor w:val="ED7D31" w:themeColor="accent2"/>
          <w:sz w:val="20"/>
          <w:szCs w:val="20"/>
          <w:u w:val="single"/>
          <w:lang w:val="en-US"/>
          <w14:textFill>
            <w14:solidFill>
              <w14:schemeClr w14:val="accent2"/>
            </w14:solidFill>
          </w14:textFill>
        </w:rPr>
      </w:pPr>
      <w:r>
        <w:rPr>
          <w:rFonts w:ascii="Songti SC" w:hAnsi="Songti SC" w:eastAsia="Songti SC" w:cs="宋体"/>
          <w:color w:val="ED7D31" w:themeColor="accent2"/>
          <w:sz w:val="20"/>
          <w:szCs w:val="20"/>
          <w:u w:val="single"/>
          <w:lang w:val="en-US"/>
          <w14:textFill>
            <w14:solidFill>
              <w14:schemeClr w14:val="accent2"/>
            </w14:solidFill>
          </w14:textFill>
        </w:rPr>
        <w:t>柱状图：全球胰腺癌药物的市场份额</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olor w:val="ED7D31" w:themeColor="accent2"/>
          <w:sz w:val="20"/>
          <w:szCs w:val="20"/>
          <w:u w:val="single"/>
          <w:lang w:val="en-US"/>
          <w14:textFill>
            <w14:solidFill>
              <w14:schemeClr w14:val="accent2"/>
            </w14:solidFill>
          </w14:textFill>
        </w:rPr>
      </w:pPr>
      <w:r>
        <w:rPr>
          <w:rFonts w:ascii="Songti SC" w:hAnsi="Songti SC" w:eastAsia="Songti SC" w:cs="宋体"/>
          <w:color w:val="ED7D31" w:themeColor="accent2"/>
          <w:sz w:val="20"/>
          <w:szCs w:val="20"/>
          <w:u w:val="single"/>
          <w:lang w:val="en-US"/>
          <w14:textFill>
            <w14:solidFill>
              <w14:schemeClr w14:val="accent2"/>
            </w14:solidFill>
          </w14:textFill>
        </w:rPr>
        <w:t>在这里插入条形图</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该图显示了全球用于胰腺癌治疗的不同药物的市场份额，x轴为厄洛替尼、白蛋白紫杉醇和x，y轴为市场份额百分比。欧洲、美国、日本和中国的区域分类突出了这些地区的药物偏好的差异。</w:t>
      </w:r>
    </w:p>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sz w:val="20"/>
          <w:szCs w:val="20"/>
          <w:lang w:val="en-US"/>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hint="eastAsia" w:ascii="Songti SC" w:hAnsi="Songti SC" w:eastAsia="Songti SC" w:cs="宋体"/>
          <w:sz w:val="20"/>
          <w:szCs w:val="20"/>
          <w:highlight w:val="yellow"/>
          <w:lang w:val="en-US"/>
        </w:rPr>
        <w:t>四、</w:t>
      </w:r>
      <w:r>
        <w:rPr>
          <w:rFonts w:ascii="Songti SC" w:hAnsi="Songti SC" w:eastAsia="Songti SC" w:cs="宋体"/>
          <w:sz w:val="20"/>
          <w:szCs w:val="20"/>
          <w:highlight w:val="yellow"/>
          <w:lang w:val="en-US"/>
        </w:rPr>
        <w:t>胰腺癌治疗方法的市场分析：全球视角</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hint="eastAsia" w:ascii="Songti SC" w:hAnsi="Songti SC" w:eastAsia="Songti SC" w:cs="宋体"/>
          <w:sz w:val="20"/>
          <w:szCs w:val="20"/>
          <w:lang w:val="en-US"/>
        </w:rPr>
        <w:t>1、</w:t>
      </w:r>
      <w:r>
        <w:rPr>
          <w:rFonts w:ascii="Songti SC" w:hAnsi="Songti SC" w:eastAsia="Songti SC" w:cs="宋体"/>
          <w:sz w:val="20"/>
          <w:szCs w:val="20"/>
          <w:lang w:val="en-US"/>
        </w:rPr>
        <w:t>推动市场增长的因素</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在以下几个关键因素的推动下，胰腺癌治疗药物的市场将出现显著增长：</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1.在治疗学方面的进展：</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正在进行的研究和开发努力已经导致了新疗法的发现，包括靶向疗法和免疫疗法。这些进展正在提高治疗效果，并扩大了患者的可用选择。</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2.早期检测技术：</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早期检测技术和诊断工具的改进在识别更可治疗阶段的胰腺癌方面起着至关重要的作用。这种向早期干预措施的转变有望对患者的预后产生积极影响。</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3.</w:t>
      </w:r>
      <w:r>
        <w:rPr>
          <w:rFonts w:hint="eastAsia" w:ascii="Songti SC" w:hAnsi="Songti SC" w:eastAsia="Songti SC" w:cs="宋体"/>
          <w:sz w:val="20"/>
          <w:szCs w:val="20"/>
          <w:lang w:val="en-US"/>
        </w:rPr>
        <w:t>个性化医疗</w:t>
      </w:r>
      <w:r>
        <w:rPr>
          <w:rFonts w:ascii="Songti SC" w:hAnsi="Songti SC" w:eastAsia="Songti SC" w:cs="宋体"/>
          <w:sz w:val="20"/>
          <w:szCs w:val="20"/>
          <w:lang w:val="en-US"/>
        </w:rPr>
        <w:t>:</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个性化医疗的出现，根据患者个人的特点量身定制治疗，正在日益突出。这种方法有望提高治疗效果和减少不良反应。</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4.临床试验计划：</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增加对临床试验的参与和创新试验设计的发展正在加速新疗法的引入。这种动态的景观促进了尖端治疗方法的不断涌入。</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u w:val="single"/>
          <w:lang w:val="en-US"/>
        </w:rPr>
      </w:pPr>
      <w:r>
        <w:rPr>
          <w:rFonts w:ascii="Songti SC" w:hAnsi="Songti SC" w:eastAsia="Songti SC" w:cs="宋体"/>
          <w:sz w:val="20"/>
          <w:szCs w:val="20"/>
          <w:u w:val="single"/>
          <w:lang w:val="en-US"/>
        </w:rPr>
        <w:t>5.上升发病率：</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u w:val="single"/>
          <w:lang w:val="en-US"/>
        </w:rPr>
      </w:pPr>
      <w:r>
        <w:rPr>
          <w:rFonts w:ascii="Songti SC" w:hAnsi="Songti SC" w:eastAsia="Songti SC" w:cs="宋体"/>
          <w:sz w:val="20"/>
          <w:szCs w:val="20"/>
          <w:u w:val="single"/>
          <w:lang w:val="en-US"/>
        </w:rPr>
        <w:t>不幸的是，全球胰腺癌发病率的上升导致了患者数量的增长，推动了对有效治疗的需求。</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2</w:t>
      </w:r>
      <w:r>
        <w:rPr>
          <w:rFonts w:hint="eastAsia" w:ascii="Songti SC" w:hAnsi="Songti SC" w:eastAsia="Songti SC" w:cs="宋体"/>
          <w:sz w:val="20"/>
          <w:szCs w:val="20"/>
          <w:lang w:val="en-US"/>
        </w:rPr>
        <w:t>、</w:t>
      </w:r>
      <w:r>
        <w:rPr>
          <w:rFonts w:ascii="Songti SC" w:hAnsi="Songti SC" w:eastAsia="Songti SC" w:cs="宋体"/>
          <w:sz w:val="20"/>
          <w:szCs w:val="20"/>
          <w:lang w:val="en-US"/>
        </w:rPr>
        <w:t>未来十年的市场增长预测</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展望未来的十年（2023-2033年），胰腺癌治疗药物的市场预计将经历强劲的增长。这一预测包括市场规模的扩大和治疗模式的潜在变化：</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1.市场规模预测：</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在新疗法的引入、现有治疗方法的采用不断增加和患者数量不断增长的推动下，预计市场将出现大幅扩张。市场规模预计将呈现出一个稳步上升的趋势。</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2.治疗模式的改变：</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治疗模式预计将不断发展，以更加强调联合治疗，个性化的治疗计划，并增加关注管理与治疗相关的副作用。新模式的整合可能会重塑景观。</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olor w:val="ED7D31" w:themeColor="accent2"/>
          <w:sz w:val="20"/>
          <w:szCs w:val="20"/>
          <w:u w:val="single"/>
          <w:lang w:val="en-US"/>
          <w14:textFill>
            <w14:solidFill>
              <w14:schemeClr w14:val="accent2"/>
            </w14:solidFill>
          </w14:textFill>
        </w:rPr>
      </w:pPr>
      <w:r>
        <w:rPr>
          <w:rFonts w:ascii="Songti SC" w:hAnsi="Songti SC" w:eastAsia="Songti SC" w:cs="宋体"/>
          <w:color w:val="ED7D31" w:themeColor="accent2"/>
          <w:sz w:val="20"/>
          <w:szCs w:val="20"/>
          <w:u w:val="single"/>
          <w:lang w:val="en-US"/>
          <w14:textFill>
            <w14:solidFill>
              <w14:schemeClr w14:val="accent2"/>
            </w14:solidFill>
          </w14:textFill>
        </w:rPr>
        <w:t>*折线图：胰腺癌治疗项目的市场增长预测（2023-2033年）*</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olor w:val="ED7D31" w:themeColor="accent2"/>
          <w:sz w:val="20"/>
          <w:szCs w:val="20"/>
          <w:u w:val="single"/>
          <w:lang w:val="en-US"/>
          <w14:textFill>
            <w14:solidFill>
              <w14:schemeClr w14:val="accent2"/>
            </w14:solidFill>
          </w14:textFill>
        </w:rPr>
      </w:pPr>
      <w:r>
        <w:rPr>
          <w:rFonts w:ascii="Songti SC" w:hAnsi="Songti SC" w:eastAsia="Songti SC" w:cs="宋体"/>
          <w:color w:val="ED7D31" w:themeColor="accent2"/>
          <w:sz w:val="20"/>
          <w:szCs w:val="20"/>
          <w:u w:val="single"/>
          <w:lang w:val="en-US"/>
          <w14:textFill>
            <w14:solidFill>
              <w14:schemeClr w14:val="accent2"/>
            </w14:solidFill>
          </w14:textFill>
        </w:rPr>
        <w:t>在这里插入行图*</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该图从全球的角度直观地预测了胰腺癌治疗的市场增长。年份在x轴上表示，y轴以美元表示市场规模。该图表显示了在指定时期内市场增长的预期上升趋势。这种市场分析和预测是基于行业趋势、新兴研究和胰腺癌治疗的发展前景。</w:t>
      </w:r>
    </w:p>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sz w:val="20"/>
          <w:szCs w:val="20"/>
          <w:lang w:val="en-US"/>
        </w:rPr>
      </w:pPr>
    </w:p>
    <w:p>
      <w:pPr>
        <w:keepNext w:val="0"/>
        <w:keepLines w:val="0"/>
        <w:pageBreakBefore w:val="0"/>
        <w:widowControl/>
        <w:kinsoku/>
        <w:wordWrap/>
        <w:overflowPunct/>
        <w:topLinePunct w:val="0"/>
        <w:autoSpaceDE/>
        <w:autoSpaceDN/>
        <w:bidi w:val="0"/>
        <w:adjustRightInd/>
        <w:snapToGrid/>
        <w:spacing w:line="360" w:lineRule="atLeast"/>
        <w:textAlignment w:val="auto"/>
        <w:rPr>
          <w:rFonts w:ascii="Songti SC" w:hAnsi="Songti SC" w:eastAsia="Songti SC"/>
          <w:sz w:val="20"/>
          <w:szCs w:val="20"/>
          <w:lang w:val="en-US"/>
        </w:rPr>
      </w:pPr>
      <w:r>
        <w:rPr>
          <w:rFonts w:hint="eastAsia" w:ascii="Songti SC" w:hAnsi="Songti SC" w:eastAsia="Songti SC" w:cs="宋体"/>
          <w:sz w:val="20"/>
          <w:szCs w:val="20"/>
          <w:highlight w:val="yellow"/>
          <w:lang w:val="en-US"/>
        </w:rPr>
        <w:t>五、</w:t>
      </w:r>
      <w:r>
        <w:rPr>
          <w:rFonts w:ascii="Songti SC" w:hAnsi="Songti SC" w:eastAsia="Songti SC" w:cs="宋体"/>
          <w:sz w:val="20"/>
          <w:szCs w:val="20"/>
          <w:highlight w:val="yellow"/>
          <w:lang w:val="en-US"/>
        </w:rPr>
        <w:t>胰腺癌治疗的未来市场机会：全球视角</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hint="eastAsia" w:ascii="Songti SC" w:hAnsi="Songti SC" w:eastAsia="Songti SC"/>
          <w:sz w:val="20"/>
          <w:szCs w:val="20"/>
          <w:lang w:val="en-US"/>
        </w:rPr>
        <w:t>1、机会领域</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1.</w:t>
      </w:r>
      <w:r>
        <w:rPr>
          <w:rFonts w:ascii="Songti SC" w:hAnsi="Songti SC" w:eastAsia="Songti SC"/>
          <w:sz w:val="20"/>
          <w:szCs w:val="20"/>
        </w:rPr>
        <w:t xml:space="preserve"> </w:t>
      </w:r>
      <w:r>
        <w:rPr>
          <w:rFonts w:ascii="Songti SC" w:hAnsi="Songti SC" w:eastAsia="Songti SC" w:cs="宋体"/>
          <w:sz w:val="20"/>
          <w:szCs w:val="20"/>
          <w:lang w:val="en-US"/>
        </w:rPr>
        <w:t>免疫疗法进步:</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-机会区：探索并投资开发专门针对胰腺癌的先进免疫疗法，旨在增强免疫系统的反应。</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-潜在影响：提高疗效和减少副作用的免疫治疗可能成为治疗胰腺癌的重大突破。</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-建议：鼓励制药公司和研究机构之间的合作，以加速创新免疫疗法的发展。</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2.精准医学和生物标志物：</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-机会领域：投资于研究，以确定胰腺癌的稳健生物标志物，促进精确医学方法的实施。</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-潜在影响：精确医疗允许更有针对性和有效的治疗，改善患者的预后和减少不必要的副作用。</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-建议：建立国际合作关系，为全面的生物标志物研究汇集资源和数据，从而导致个性化的治疗策略。</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3.早期检测技术：</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-机会区：支持胰腺癌早期检测和筛查的创新技术的研究和开发。</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-潜在影响：早期发现可以通过允许在更容易管理的阶段进行干预，从而显著改善治疗结果。</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-建议：与科技公司和学术机构合作，加快开发无创性和具有成本效益的早期检测方法。</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4. 联合治疗:</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-机会区：研究</w:t>
      </w:r>
      <w:bookmarkStart w:id="0" w:name="OLE_LINK4"/>
      <w:bookmarkStart w:id="1" w:name="OLE_LINK3"/>
      <w:r>
        <w:rPr>
          <w:rFonts w:ascii="Songti SC" w:hAnsi="Songti SC" w:eastAsia="Songti SC" w:cs="宋体"/>
          <w:sz w:val="20"/>
          <w:szCs w:val="20"/>
          <w:lang w:val="en-US"/>
        </w:rPr>
        <w:t>联合治疗</w:t>
      </w:r>
      <w:bookmarkEnd w:id="0"/>
      <w:bookmarkEnd w:id="1"/>
      <w:r>
        <w:rPr>
          <w:rFonts w:ascii="Songti SC" w:hAnsi="Songti SC" w:eastAsia="Songti SC" w:cs="宋体"/>
          <w:sz w:val="20"/>
          <w:szCs w:val="20"/>
          <w:lang w:val="en-US"/>
        </w:rPr>
        <w:t>的疗效，包括化疗、靶向治疗和免疫治疗，以改善治疗反应。</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-的潜在影响：结合不同治疗方式的协同效应可能会提高整体治疗结果。</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-建议：促进临床试验，以评估联合治疗的安全性和有效性，促进学术界和制药公司之间的伙伴关系。</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2</w:t>
      </w:r>
      <w:r>
        <w:rPr>
          <w:rFonts w:hint="eastAsia" w:ascii="Songti SC" w:hAnsi="Songti SC" w:eastAsia="Songti SC" w:cs="宋体"/>
          <w:sz w:val="20"/>
          <w:szCs w:val="20"/>
          <w:lang w:val="en-US"/>
        </w:rPr>
        <w:t>、</w:t>
      </w:r>
      <w:r>
        <w:rPr>
          <w:rFonts w:ascii="Songti SC" w:hAnsi="Songti SC" w:eastAsia="Songti SC" w:cs="宋体"/>
          <w:sz w:val="20"/>
          <w:szCs w:val="20"/>
          <w:lang w:val="en-US"/>
        </w:rPr>
        <w:t>对医疗保健提供者和政策制定者的建议</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1.促进合作研究计划：</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-建议：医疗保健提供者和决策者应鼓励合作研究举措，将临床医生、研究人员和制药公司聚集在一起，以加速胰腺癌治疗的进展。</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2.增强了早期检测程序：</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-建议：分配资源并建立全面的早期检测项目，提高对高危人群更广泛地获得筛查方法。</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3.促进了获得创新的治疗方法：</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-建议：决策者应努力创建框架，促进患者获得创新疗法，确保突破性治疗达到有需要的人。</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4.投资于医学教育：</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-建议：医疗保健提供者应投资于持续的医学教育，以跟上新出现的治疗方法，确保患者得到最新和最有效的护理。</w:t>
      </w:r>
    </w:p>
    <w:p>
      <w:pPr>
        <w:keepNext w:val="0"/>
        <w:keepLines w:val="0"/>
        <w:pageBreakBefore w:val="0"/>
        <w:widowControl/>
        <w:kinsoku/>
        <w:wordWrap/>
        <w:overflowPunct/>
        <w:topLinePunct w:val="0"/>
        <w:autoSpaceDE/>
        <w:autoSpaceDN/>
        <w:bidi w:val="0"/>
        <w:adjustRightInd/>
        <w:snapToGrid/>
        <w:spacing w:line="360" w:lineRule="atLeast"/>
        <w:textAlignment w:val="auto"/>
        <w:rPr>
          <w:rFonts w:hint="eastAsia" w:ascii="Songti SC" w:hAnsi="Songti SC" w:eastAsia="Songti SC"/>
          <w:sz w:val="20"/>
          <w:szCs w:val="20"/>
          <w:lang w:val="en-US"/>
        </w:rPr>
      </w:pPr>
    </w:p>
    <w:tbl>
      <w:tblPr>
        <w:tblStyle w:val="4"/>
        <w:tblW w:w="10200"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autofit"/>
        <w:tblCellMar>
          <w:top w:w="15" w:type="dxa"/>
          <w:left w:w="15" w:type="dxa"/>
          <w:bottom w:w="15" w:type="dxa"/>
          <w:right w:w="15" w:type="dxa"/>
        </w:tblCellMar>
      </w:tblPr>
      <w:tblGrid>
        <w:gridCol w:w="1928"/>
        <w:gridCol w:w="2682"/>
        <w:gridCol w:w="559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机会领域</w:t>
            </w:r>
          </w:p>
        </w:tc>
        <w:tc>
          <w:tcPr>
            <w:tcW w:w="0" w:type="auto"/>
            <w:tcBorders>
              <w:top w:val="single" w:color="D9D9E3" w:sz="6"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潜在影响</w:t>
            </w:r>
          </w:p>
        </w:tc>
        <w:tc>
          <w:tcPr>
            <w:tcW w:w="0" w:type="auto"/>
            <w:tcBorders>
              <w:top w:val="single" w:color="D9D9E3" w:sz="6" w:space="0"/>
              <w:left w:val="single" w:color="D9D9E3" w:sz="6" w:space="0"/>
              <w:bottom w:val="single" w:color="D9D9E3" w:sz="6" w:space="0"/>
              <w:right w:val="single" w:color="D9D9E3" w:sz="6"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建议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先进的免疫疗法</w:t>
            </w:r>
          </w:p>
        </w:tc>
        <w:tc>
          <w:tcPr>
            <w:tcW w:w="0" w:type="auto"/>
            <w:tcBorders>
              <w:top w:val="single" w:color="D9D9E3" w:sz="2"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提高治疗效果和患者预后</w:t>
            </w:r>
          </w:p>
        </w:tc>
        <w:tc>
          <w:tcPr>
            <w:tcW w:w="0" w:type="auto"/>
            <w:tcBorders>
              <w:top w:val="single" w:color="D9D9E3" w:sz="2" w:space="0"/>
              <w:left w:val="single" w:color="D9D9E3" w:sz="6" w:space="0"/>
              <w:bottom w:val="single" w:color="D9D9E3" w:sz="6" w:space="0"/>
              <w:right w:val="single" w:color="D9D9E3" w:sz="6"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促进先进免疫疗法的研究合作。</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生物标志物识别</w:t>
            </w:r>
          </w:p>
        </w:tc>
        <w:tc>
          <w:tcPr>
            <w:tcW w:w="0" w:type="auto"/>
            <w:tcBorders>
              <w:top w:val="single" w:color="D9D9E3" w:sz="2"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精准医学方法和靶向治疗</w:t>
            </w:r>
          </w:p>
        </w:tc>
        <w:tc>
          <w:tcPr>
            <w:tcW w:w="0" w:type="auto"/>
            <w:tcBorders>
              <w:top w:val="single" w:color="D9D9E3" w:sz="2" w:space="0"/>
              <w:left w:val="single" w:color="D9D9E3" w:sz="6" w:space="0"/>
              <w:bottom w:val="single" w:color="D9D9E3" w:sz="6" w:space="0"/>
              <w:right w:val="single" w:color="D9D9E3" w:sz="6"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建立全球性合作团体，进行全面的生物标志物研究。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早期检测技术</w:t>
            </w:r>
          </w:p>
        </w:tc>
        <w:tc>
          <w:tcPr>
            <w:tcW w:w="0" w:type="auto"/>
            <w:tcBorders>
              <w:top w:val="single" w:color="D9D9E3" w:sz="2"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及时干预和提高生存率</w:t>
            </w:r>
          </w:p>
        </w:tc>
        <w:tc>
          <w:tcPr>
            <w:tcW w:w="0" w:type="auto"/>
            <w:tcBorders>
              <w:top w:val="single" w:color="D9D9E3" w:sz="2" w:space="0"/>
              <w:left w:val="single" w:color="D9D9E3" w:sz="6" w:space="0"/>
              <w:bottom w:val="single" w:color="D9D9E3" w:sz="6" w:space="0"/>
              <w:right w:val="single" w:color="D9D9E3" w:sz="6"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投资于创新和经济有效的早期检测方法的研究。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组合疗法</w:t>
            </w:r>
          </w:p>
        </w:tc>
        <w:tc>
          <w:tcPr>
            <w:tcW w:w="0" w:type="auto"/>
            <w:tcBorders>
              <w:top w:val="single" w:color="D9D9E3" w:sz="2"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增强治疗效果和协同作用</w:t>
            </w:r>
          </w:p>
        </w:tc>
        <w:tc>
          <w:tcPr>
            <w:tcW w:w="0" w:type="auto"/>
            <w:tcBorders>
              <w:top w:val="single" w:color="D9D9E3" w:sz="2" w:space="0"/>
              <w:left w:val="single" w:color="D9D9E3" w:sz="6" w:space="0"/>
              <w:bottom w:val="single" w:color="D9D9E3" w:sz="6" w:space="0"/>
              <w:right w:val="single" w:color="D9D9E3" w:sz="6"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促进评估组合疗法安全性和有效性的临床试验。</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全球合作</w:t>
            </w:r>
          </w:p>
        </w:tc>
        <w:tc>
          <w:tcPr>
            <w:tcW w:w="0" w:type="auto"/>
            <w:tcBorders>
              <w:top w:val="single" w:color="D9D9E3" w:sz="2" w:space="0"/>
              <w:left w:val="single" w:color="D9D9E3" w:sz="6" w:space="0"/>
              <w:bottom w:val="single" w:color="D9D9E3" w:sz="6" w:space="0"/>
              <w:right w:val="single" w:color="D9D9E3" w:sz="2"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加速研究和治疗发现</w:t>
            </w:r>
          </w:p>
        </w:tc>
        <w:tc>
          <w:tcPr>
            <w:tcW w:w="0" w:type="auto"/>
            <w:tcBorders>
              <w:top w:val="single" w:color="D9D9E3" w:sz="2" w:space="0"/>
              <w:left w:val="single" w:color="D9D9E3" w:sz="6" w:space="0"/>
              <w:bottom w:val="single" w:color="D9D9E3" w:sz="6" w:space="0"/>
              <w:right w:val="single" w:color="D9D9E3" w:sz="6" w:space="0"/>
            </w:tcBorders>
            <w:vAlign w:val="bottom"/>
          </w:tcPr>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rPr>
            </w:pPr>
            <w:r>
              <w:rPr>
                <w:rFonts w:ascii="Songti SC" w:hAnsi="Songti SC" w:eastAsia="Songti SC"/>
                <w:sz w:val="20"/>
                <w:szCs w:val="20"/>
              </w:rPr>
              <w:t>鼓励学术界、工业界和医疗机构之间的全球合作伙伴关系。</w:t>
            </w:r>
          </w:p>
        </w:tc>
      </w:tr>
    </w:tbl>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s="宋体"/>
          <w:sz w:val="20"/>
          <w:szCs w:val="20"/>
          <w:lang w:val="en-US"/>
        </w:rPr>
      </w:pPr>
      <w:r>
        <w:rPr>
          <w:rFonts w:ascii="Songti SC" w:hAnsi="Songti SC" w:eastAsia="Songti SC" w:cs="宋体"/>
          <w:sz w:val="20"/>
          <w:szCs w:val="20"/>
          <w:lang w:val="en-US"/>
        </w:rPr>
        <w:t>这份数据表格概述了全球胰腺癌治疗的机会和建议。它为关注的主要领域、潜在影响以及相应的推荐提供了结构化的概览，旨在推动研究、治疗方法和协作努力的发展。</w:t>
      </w:r>
    </w:p>
    <w:p>
      <w:pPr>
        <w:keepNext w:val="0"/>
        <w:keepLines w:val="0"/>
        <w:pageBreakBefore w:val="0"/>
        <w:widowControl/>
        <w:kinsoku/>
        <w:wordWrap/>
        <w:overflowPunct/>
        <w:topLinePunct w:val="0"/>
        <w:autoSpaceDE/>
        <w:autoSpaceDN/>
        <w:bidi w:val="0"/>
        <w:adjustRightInd/>
        <w:snapToGrid/>
        <w:spacing w:line="360" w:lineRule="atLeast"/>
        <w:textAlignment w:val="auto"/>
        <w:rPr>
          <w:rFonts w:hint="eastAsia" w:ascii="Songti SC" w:hAnsi="Songti SC" w:eastAsia="Songti SC"/>
          <w:sz w:val="20"/>
          <w:szCs w:val="20"/>
          <w:lang w:val="en-US"/>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eastAsia" w:ascii="Songti SC" w:hAnsi="Songti SC" w:eastAsia="Songti SC"/>
          <w:sz w:val="20"/>
          <w:szCs w:val="20"/>
          <w:lang w:val="en-US"/>
        </w:rPr>
      </w:pPr>
      <w:r>
        <w:rPr>
          <w:rFonts w:hint="eastAsia" w:ascii="Songti SC" w:hAnsi="Songti SC" w:eastAsia="Songti SC"/>
          <w:sz w:val="20"/>
          <w:szCs w:val="20"/>
          <w:highlight w:val="yellow"/>
          <w:lang w:val="en-US"/>
        </w:rPr>
        <w:t>六、结论</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总之，对胰腺癌状态的综合分析揭示了一个由发展趋势、治疗范式和未来机会所形成的复杂景观。主要发现包括：</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1.患病率和影响：</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-胰腺癌仍然是一个巨大的全球卫生挑战，发病率不断上升，死亡率显著上升。</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-晚期诊断有助于加重该疾病的严重程度，这突出表明迫切需要改进早期发现战略。</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2.</w:t>
      </w:r>
      <w:r>
        <w:rPr>
          <w:rFonts w:hint="eastAsia" w:ascii="Songti SC" w:hAnsi="Songti SC" w:eastAsia="Songti SC" w:cs="宋体"/>
          <w:sz w:val="20"/>
          <w:szCs w:val="20"/>
          <w:lang w:val="en-US"/>
        </w:rPr>
        <w:t>治疗视野</w:t>
      </w:r>
      <w:r>
        <w:rPr>
          <w:rFonts w:ascii="Songti SC" w:hAnsi="Songti SC" w:eastAsia="Songti SC" w:cs="宋体"/>
          <w:sz w:val="20"/>
          <w:szCs w:val="20"/>
          <w:lang w:val="en-US"/>
        </w:rPr>
        <w:t>:</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-多种模式的治疗方法，包括手术、化疗和靶向治疗，主导了目前的治疗领域。</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-免疫治疗和精准医疗的进展为改善结果提供了有希望的途径，强调了向个性化治疗策略的转变。</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3.</w:t>
      </w:r>
      <w:r>
        <w:rPr>
          <w:rFonts w:hint="eastAsia" w:ascii="Songti SC" w:hAnsi="Songti SC" w:eastAsia="Songti SC" w:cs="宋体"/>
          <w:sz w:val="20"/>
          <w:szCs w:val="20"/>
          <w:lang w:val="en-US"/>
        </w:rPr>
        <w:t>市场增长</w:t>
      </w:r>
      <w:r>
        <w:rPr>
          <w:rFonts w:ascii="Songti SC" w:hAnsi="Songti SC" w:eastAsia="Songti SC" w:cs="宋体"/>
          <w:sz w:val="20"/>
          <w:szCs w:val="20"/>
          <w:lang w:val="en-US"/>
        </w:rPr>
        <w:t>:</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-胰腺癌治疗药物的市场预计将在未来十年经历大幅增长。</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-正在进行的研发，再加上早期检测技术的进步，有助于实现积极的市场前景。</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4.</w:t>
      </w:r>
      <w:r>
        <w:rPr>
          <w:rFonts w:hint="eastAsia" w:ascii="Songti SC" w:hAnsi="Songti SC" w:eastAsia="Songti SC" w:cs="宋体"/>
          <w:sz w:val="20"/>
          <w:szCs w:val="20"/>
          <w:lang w:val="en-US"/>
        </w:rPr>
        <w:t>未来机会</w:t>
      </w:r>
      <w:r>
        <w:rPr>
          <w:rFonts w:ascii="Songti SC" w:hAnsi="Songti SC" w:eastAsia="Songti SC" w:cs="宋体"/>
          <w:sz w:val="20"/>
          <w:szCs w:val="20"/>
          <w:lang w:val="en-US"/>
        </w:rPr>
        <w:t>:</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-免疫治疗的进步、精准医学和早期检测技术成为进一步研究和开发的关键机会。</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-利益相关者之间的合作、对创新疗法的投资以及对个性化治疗方法的关注可以开启未来的突破。</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olor w:val="ED7D31" w:themeColor="accent2"/>
          <w:sz w:val="20"/>
          <w:szCs w:val="20"/>
          <w:u w:val="single"/>
          <w:lang w:val="en-US"/>
          <w14:textFill>
            <w14:solidFill>
              <w14:schemeClr w14:val="accent2"/>
            </w14:solidFill>
          </w14:textFill>
        </w:rPr>
      </w:pPr>
      <w:r>
        <w:rPr>
          <w:rFonts w:ascii="Songti SC" w:hAnsi="Songti SC" w:eastAsia="Songti SC" w:cs="宋体"/>
          <w:color w:val="ED7D31" w:themeColor="accent2"/>
          <w:sz w:val="20"/>
          <w:szCs w:val="20"/>
          <w:u w:val="single"/>
          <w:lang w:val="en-US"/>
          <w14:textFill>
            <w14:solidFill>
              <w14:schemeClr w14:val="accent2"/>
            </w14:solidFill>
          </w14:textFill>
        </w:rPr>
        <w:t>信息图：胰腺癌的关键发现</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color w:val="ED7D31" w:themeColor="accent2"/>
          <w:sz w:val="20"/>
          <w:szCs w:val="20"/>
          <w:u w:val="single"/>
          <w:lang w:val="en-US"/>
          <w14:textFill>
            <w14:solidFill>
              <w14:schemeClr w14:val="accent2"/>
            </w14:solidFill>
          </w14:textFill>
        </w:rPr>
      </w:pPr>
      <w:r>
        <w:rPr>
          <w:rFonts w:ascii="Songti SC" w:hAnsi="Songti SC" w:eastAsia="Songti SC" w:cs="宋体"/>
          <w:color w:val="ED7D31" w:themeColor="accent2"/>
          <w:sz w:val="20"/>
          <w:szCs w:val="20"/>
          <w:u w:val="single"/>
          <w:lang w:val="en-US"/>
          <w14:textFill>
            <w14:solidFill>
              <w14:schemeClr w14:val="accent2"/>
            </w14:solidFill>
          </w14:textFill>
        </w:rPr>
        <w:t>在这里插入信息图*</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信息图表直观地总结了胰腺癌的关键发现，提供了一个报告的快速概述。章节包括：</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1.Prevalence:</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-图标：胰腺剪影</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-统计数据：全球发病率和死亡率数字</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2.Market Growth:</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hint="eastAsia" w:ascii="Songti SC" w:hAnsi="Songti SC" w:eastAsia="Songti SC"/>
          <w:sz w:val="20"/>
          <w:szCs w:val="20"/>
          <w:lang w:val="en-US"/>
        </w:rPr>
      </w:pPr>
      <w:r>
        <w:rPr>
          <w:rFonts w:ascii="Songti SC" w:hAnsi="Songti SC" w:eastAsia="Songti SC" w:cs="宋体"/>
          <w:sz w:val="20"/>
          <w:szCs w:val="20"/>
          <w:lang w:val="en-US"/>
        </w:rPr>
        <w:t>-图标：向上的箭头和一个图表</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-统计数据：2023年至2033年以美元计算的预计市场规模</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3.Treatment Trends:</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-图标：药丸和医疗交叉</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-统计数据：主要的治疗方式和新兴趋势</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4.Future Opportunities:</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-图标：灯泡和协作握手</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-统计数据：在免疫治疗、精准医疗和早期检测技术方面的机会</w:t>
      </w:r>
    </w:p>
    <w:p>
      <w:pPr>
        <w:keepNext w:val="0"/>
        <w:keepLines w:val="0"/>
        <w:pageBreakBefore w:val="0"/>
        <w:widowControl/>
        <w:kinsoku/>
        <w:wordWrap/>
        <w:overflowPunct/>
        <w:topLinePunct w:val="0"/>
        <w:autoSpaceDE/>
        <w:autoSpaceDN/>
        <w:bidi w:val="0"/>
        <w:adjustRightInd/>
        <w:snapToGrid/>
        <w:spacing w:line="360" w:lineRule="atLeast"/>
        <w:ind w:firstLine="400" w:firstLineChars="200"/>
        <w:textAlignment w:val="auto"/>
        <w:rPr>
          <w:rFonts w:ascii="Songti SC" w:hAnsi="Songti SC" w:eastAsia="Songti SC"/>
          <w:sz w:val="20"/>
          <w:szCs w:val="20"/>
          <w:lang w:val="en-US"/>
        </w:rPr>
      </w:pPr>
      <w:r>
        <w:rPr>
          <w:rFonts w:ascii="Songti SC" w:hAnsi="Songti SC" w:eastAsia="Songti SC" w:cs="宋体"/>
          <w:sz w:val="20"/>
          <w:szCs w:val="20"/>
          <w:lang w:val="en-US"/>
        </w:rPr>
        <w:t>这张信息图表是一个视觉上吸引人的总结，概括了对胰腺癌的状态、其治疗前景、市场增长和未来机会的关键见解。</w:t>
      </w:r>
    </w:p>
    <w:sectPr>
      <w:pgSz w:w="15840" w:h="12240" w:orient="landscape"/>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ongti SC">
    <w:altName w:val="华文彩云"/>
    <w:panose1 w:val="02010800040101010101"/>
    <w:charset w:val="86"/>
    <w:family w:val="auto"/>
    <w:pitch w:val="default"/>
    <w:sig w:usb0="00000000" w:usb1="00000000" w:usb2="00000000" w:usb3="00000000" w:csb0="00040000" w:csb1="00000000"/>
  </w:font>
  <w:font w:name="Wingdings">
    <w:altName w:val="Kingsoft Confetti"/>
    <w:panose1 w:val="05000000000000000000"/>
    <w:charset w:val="00"/>
    <w:family w:val="auto"/>
    <w:pitch w:val="default"/>
    <w:sig w:usb0="00000000" w:usb1="00000000" w:usb2="00000000" w:usb3="00000000" w:csb0="80000000" w:csb1="00000000"/>
  </w:font>
  <w:font w:name="Songti SC Bold">
    <w:altName w:val="华文彩云"/>
    <w:panose1 w:val="02010800040101010101"/>
    <w:charset w:val="86"/>
    <w:family w:val="auto"/>
    <w:pitch w:val="default"/>
    <w:sig w:usb0="00000000" w:usb1="0000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EADEA"/>
    <w:multiLevelType w:val="singleLevel"/>
    <w:tmpl w:val="FFBEAD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2C90831"/>
    <w:multiLevelType w:val="multilevel"/>
    <w:tmpl w:val="32C90831"/>
    <w:lvl w:ilvl="0" w:tentative="0">
      <w:start w:val="1"/>
      <w:numFmt w:val="decimal"/>
      <w:lvlText w:val="%1、"/>
      <w:lvlJc w:val="left"/>
      <w:pPr>
        <w:ind w:left="840" w:hanging="360"/>
      </w:pPr>
      <w:rPr>
        <w:rFonts w:hint="default"/>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29"/>
    <w:rsid w:val="00145495"/>
    <w:rsid w:val="0043510B"/>
    <w:rsid w:val="00437D57"/>
    <w:rsid w:val="005006C2"/>
    <w:rsid w:val="0053258B"/>
    <w:rsid w:val="00532A29"/>
    <w:rsid w:val="00540920"/>
    <w:rsid w:val="006A41CB"/>
    <w:rsid w:val="00744715"/>
    <w:rsid w:val="007B20BF"/>
    <w:rsid w:val="00803DDE"/>
    <w:rsid w:val="00D6036D"/>
    <w:rsid w:val="00EB67CD"/>
    <w:rsid w:val="5FBDA520"/>
    <w:rsid w:val="7DDE7350"/>
    <w:rsid w:val="7DFFCB68"/>
    <w:rsid w:val="FF9DFC0E"/>
  </w:rsids>
  <m:mathPr>
    <m:mathFont m:val="Cambria Math"/>
    <m:brkBin m:val="before"/>
    <m:brkBinSub m:val="--"/>
    <m:smallFrac m:val="0"/>
    <m:dispDef/>
    <m:lMargin m:val="0"/>
    <m:rMargin m:val="0"/>
    <m:defJc m:val="centerGroup"/>
    <m:wrapIndent m:val="1440"/>
    <m:intLim m:val="subSup"/>
    <m:naryLim m:val="undOvr"/>
  </m:mathPr>
  <w:doNotAutoCompressPictures/>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CN" w:bidi="ar-SA"/>
    </w:rPr>
  </w:style>
  <w:style w:type="paragraph" w:styleId="2">
    <w:name w:val="heading 3"/>
    <w:basedOn w:val="1"/>
    <w:next w:val="1"/>
    <w:link w:val="9"/>
    <w:qFormat/>
    <w:uiPriority w:val="9"/>
    <w:pPr>
      <w:spacing w:before="100" w:beforeAutospacing="1" w:after="100" w:afterAutospacing="1"/>
      <w:outlineLvl w:val="2"/>
    </w:pPr>
    <w:rPr>
      <w:b/>
      <w:bCs/>
      <w:sz w:val="27"/>
      <w:szCs w:val="27"/>
    </w:rPr>
  </w:style>
  <w:style w:type="character" w:default="1" w:styleId="6">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semiHidden/>
    <w:unhideWhenUsed/>
    <w:uiPriority w:val="99"/>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bCs/>
    </w:rPr>
  </w:style>
  <w:style w:type="paragraph" w:styleId="8">
    <w:name w:val="List Paragraph"/>
    <w:basedOn w:val="1"/>
    <w:unhideWhenUsed/>
    <w:uiPriority w:val="99"/>
    <w:pPr>
      <w:ind w:left="720"/>
      <w:contextualSpacing/>
    </w:pPr>
  </w:style>
  <w:style w:type="character" w:customStyle="1" w:styleId="9">
    <w:name w:val="Heading 3 Char"/>
    <w:basedOn w:val="6"/>
    <w:link w:val="2"/>
    <w:uiPriority w:val="9"/>
    <w:rPr>
      <w:rFonts w:ascii="Times New Roman" w:hAnsi="Times New Roman" w:eastAsia="Times New Roman" w:cs="Times New Roman"/>
      <w:b/>
      <w:bCs/>
      <w:sz w:val="27"/>
      <w:szCs w:val="27"/>
    </w:rPr>
  </w:style>
  <w:style w:type="character" w:customStyle="1" w:styleId="10">
    <w:name w:val="font41"/>
    <w:uiPriority w:val="0"/>
    <w:rPr>
      <w:rFonts w:ascii="宋体" w:hAnsi="宋体" w:eastAsia="宋体" w:cs="宋体"/>
      <w:b/>
      <w:bCs/>
      <w:color w:val="FFFFFF"/>
      <w:sz w:val="14"/>
      <w:szCs w:val="14"/>
      <w:u w:val="none"/>
    </w:rPr>
  </w:style>
  <w:style w:type="character" w:customStyle="1" w:styleId="11">
    <w:name w:val="font51"/>
    <w:uiPriority w:val="0"/>
    <w:rPr>
      <w:rFonts w:ascii="宋体" w:hAnsi="宋体" w:eastAsia="宋体" w:cs="宋体"/>
      <w:color w:val="000000"/>
      <w:sz w:val="14"/>
      <w:szCs w:val="14"/>
      <w:u w:val="none"/>
    </w:rPr>
  </w:style>
  <w:style w:type="character" w:customStyle="1" w:styleId="12">
    <w:name w:val="font61"/>
    <w:uiPriority w:val="0"/>
    <w:rPr>
      <w:rFonts w:ascii="宋体" w:hAnsi="宋体" w:eastAsia="宋体" w:cs="宋体"/>
      <w:color w:val="790028"/>
      <w:sz w:val="14"/>
      <w:szCs w:val="14"/>
      <w:u w:val="none"/>
    </w:rPr>
  </w:style>
  <w:style w:type="character" w:customStyle="1" w:styleId="13">
    <w:name w:val="font71"/>
    <w:uiPriority w:val="0"/>
    <w:rPr>
      <w:rFonts w:ascii="宋体" w:hAnsi="宋体" w:eastAsia="宋体" w:cs="宋体"/>
      <w:color w:val="982300"/>
      <w:sz w:val="14"/>
      <w:szCs w:val="14"/>
      <w:u w:val="none"/>
    </w:rPr>
  </w:style>
  <w:style w:type="character" w:customStyle="1" w:styleId="14">
    <w:name w:val="font81"/>
    <w:uiPriority w:val="0"/>
    <w:rPr>
      <w:rFonts w:ascii="宋体" w:hAnsi="宋体" w:eastAsia="宋体" w:cs="宋体"/>
      <w:color w:val="992900"/>
      <w:sz w:val="14"/>
      <w:szCs w:val="14"/>
      <w:u w:val="none"/>
    </w:rPr>
  </w:style>
  <w:style w:type="character" w:customStyle="1" w:styleId="15">
    <w:name w:val="font91"/>
    <w:uiPriority w:val="0"/>
    <w:rPr>
      <w:rFonts w:ascii="宋体" w:hAnsi="宋体" w:eastAsia="宋体" w:cs="宋体"/>
      <w:color w:val="6F1A00"/>
      <w:sz w:val="14"/>
      <w:szCs w:val="14"/>
      <w:u w:val="none"/>
    </w:rPr>
  </w:style>
  <w:style w:type="character" w:customStyle="1" w:styleId="16">
    <w:name w:val="font11"/>
    <w:uiPriority w:val="0"/>
    <w:rPr>
      <w:rFonts w:ascii="宋体" w:hAnsi="宋体" w:eastAsia="宋体" w:cs="宋体"/>
      <w:b/>
      <w:bCs/>
      <w:color w:val="FFFFFF"/>
      <w:sz w:val="22"/>
      <w:szCs w:val="22"/>
      <w:u w:val="none"/>
    </w:rPr>
  </w:style>
  <w:style w:type="character" w:customStyle="1" w:styleId="17">
    <w:name w:val="font21"/>
    <w:uiPriority w:val="0"/>
    <w:rPr>
      <w:rFonts w:ascii="宋体" w:hAnsi="宋体" w:eastAsia="宋体" w:cs="宋体"/>
      <w:color w:val="000000"/>
      <w:sz w:val="22"/>
      <w:szCs w:val="22"/>
      <w:u w:val="none"/>
    </w:rPr>
  </w:style>
  <w:style w:type="character" w:customStyle="1" w:styleId="18">
    <w:name w:val="font31"/>
    <w:uiPriority w:val="0"/>
    <w:rPr>
      <w:rFonts w:hint="default" w:ascii="Arial" w:hAnsi="Arial" w:cs="Arial"/>
      <w:color w:val="000000"/>
      <w:sz w:val="22"/>
      <w:szCs w:val="22"/>
      <w:u w:val="none"/>
    </w:rPr>
  </w:style>
  <w:style w:type="character" w:customStyle="1" w:styleId="19">
    <w:name w:val="font101"/>
    <w:uiPriority w:val="0"/>
    <w:rPr>
      <w:rFonts w:ascii="宋体" w:hAnsi="宋体" w:eastAsia="宋体" w:cs="宋体"/>
      <w:color w:val="801100"/>
      <w:sz w:val="22"/>
      <w:szCs w:val="22"/>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Words>3152</Words>
  <Characters>3152</Characters>
  <Lines>90</Lines>
  <Paragraphs>35</Paragraphs>
  <TotalTime>65</TotalTime>
  <ScaleCrop>false</ScaleCrop>
  <LinksUpToDate>false</LinksUpToDate>
  <CharactersWithSpaces>6269</CharactersWithSpaces>
  <Application>WPS Office WWO_wpscloud_20231228193036-ed26393a59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2023-12-29T14:36:00Z</dcterms:created>
  <dc:creator>office</dc:creator>
  <cp:lastModifiedBy>Sky汤圆</cp:lastModifiedBy>
  <dcterms:modified xsi:type="dcterms:W3CDTF">2023-12-30T11:19:26Z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04E47CB8161C2157871E8D658BF0B057_42</vt:lpwstr>
  </property>
</Properties>
</file>