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3"/>
        <w:rPr>
          <w:rFonts w:ascii="Times New Roman"/>
          <w:sz w:val="17"/>
        </w:rPr>
      </w:pPr>
    </w:p>
    <w:p>
      <w:pPr>
        <w:spacing w:before="58"/>
        <w:ind w:left="318" w:right="0" w:firstLine="0"/>
        <w:jc w:val="left"/>
        <w:rPr>
          <w:rFonts w:ascii="黑体" w:eastAsia="黑体" w:hint="eastAsia"/>
          <w:sz w:val="30"/>
        </w:rPr>
      </w:pPr>
      <w:r>
        <w:rPr>
          <w:rFonts w:ascii="黑体" w:eastAsia="黑体" w:hint="eastAsia"/>
          <w:color w:val="ED1D22"/>
          <w:sz w:val="30"/>
        </w:rPr>
        <w:t>医 药 生 物 行 业 深 度 报 告</w:t>
      </w:r>
    </w:p>
    <w:p>
      <w:pPr>
        <w:pStyle w:val="Title"/>
      </w:pPr>
      <w:r>
        <w:rPr/>
        <w:t>阿尔茨海默国内治疗曙光已现，百亿诊疗产业链蓄势待发</w:t>
      </w:r>
    </w:p>
    <w:p>
      <w:pPr>
        <w:pStyle w:val="BodyText"/>
        <w:rPr>
          <w:rFonts w:ascii="黑体"/>
          <w:sz w:val="20"/>
        </w:rPr>
      </w:pPr>
    </w:p>
    <w:p>
      <w:pPr>
        <w:pStyle w:val="BodyText"/>
        <w:rPr>
          <w:rFonts w:ascii="黑体"/>
          <w:sz w:val="16"/>
        </w:rPr>
      </w:pPr>
    </w:p>
    <w:p>
      <w:pPr>
        <w:tabs>
          <w:tab w:pos="741" w:val="left" w:leader="none"/>
          <w:tab w:pos="1141" w:val="left" w:leader="none"/>
          <w:tab w:pos="1542" w:val="left" w:leader="none"/>
          <w:tab w:pos="1943" w:val="left" w:leader="none"/>
          <w:tab w:pos="3141" w:val="left" w:leader="none"/>
          <w:tab w:pos="3542" w:val="left" w:leader="none"/>
          <w:tab w:pos="3943" w:val="left" w:leader="none"/>
          <w:tab w:pos="4344" w:val="left" w:leader="none"/>
        </w:tabs>
        <w:spacing w:before="0"/>
        <w:ind w:left="340" w:right="0" w:firstLine="0"/>
        <w:jc w:val="left"/>
        <w:rPr>
          <w:rFonts w:ascii="黑体" w:eastAsia="黑体" w:hint="eastAsia"/>
          <w:sz w:val="20"/>
        </w:rPr>
      </w:pPr>
      <w:r>
        <w:rPr>
          <w:rFonts w:ascii="黑体" w:eastAsia="黑体" w:hint="eastAsia"/>
          <w:color w:val="FFFFFF"/>
          <w:sz w:val="20"/>
        </w:rPr>
        <w:t>方</w:t>
        <w:tab/>
        <w:t>正</w:t>
        <w:tab/>
        <w:t>证</w:t>
        <w:tab/>
        <w:t>券</w:t>
        <w:tab/>
        <w:t>研</w:t>
      </w:r>
      <w:r>
        <w:rPr>
          <w:rFonts w:ascii="黑体" w:eastAsia="黑体" w:hint="eastAsia"/>
          <w:color w:val="FFFFFF"/>
          <w:spacing w:val="98"/>
          <w:sz w:val="20"/>
        </w:rPr>
        <w:t> </w:t>
      </w:r>
      <w:r>
        <w:rPr>
          <w:rFonts w:ascii="黑体" w:eastAsia="黑体" w:hint="eastAsia"/>
          <w:color w:val="FFFFFF"/>
          <w:sz w:val="20"/>
        </w:rPr>
        <w:t>究</w:t>
      </w:r>
      <w:r>
        <w:rPr>
          <w:rFonts w:ascii="黑体" w:eastAsia="黑体" w:hint="eastAsia"/>
          <w:color w:val="FFFFFF"/>
          <w:spacing w:val="98"/>
          <w:sz w:val="20"/>
        </w:rPr>
        <w:t> </w:t>
      </w:r>
      <w:r>
        <w:rPr>
          <w:rFonts w:ascii="黑体" w:eastAsia="黑体" w:hint="eastAsia"/>
          <w:color w:val="FFFFFF"/>
          <w:sz w:val="20"/>
        </w:rPr>
        <w:t>所</w:t>
        <w:tab/>
        <w:t>证</w:t>
        <w:tab/>
        <w:t>券</w:t>
        <w:tab/>
        <w:t>研</w:t>
        <w:tab/>
        <w:t>究 报</w:t>
      </w:r>
      <w:r>
        <w:rPr>
          <w:rFonts w:ascii="黑体" w:eastAsia="黑体" w:hint="eastAsia"/>
          <w:color w:val="FFFFFF"/>
          <w:spacing w:val="98"/>
          <w:sz w:val="20"/>
        </w:rPr>
        <w:t> </w:t>
      </w:r>
      <w:r>
        <w:rPr>
          <w:rFonts w:ascii="黑体" w:eastAsia="黑体" w:hint="eastAsia"/>
          <w:color w:val="FFFFFF"/>
          <w:sz w:val="20"/>
        </w:rPr>
        <w:t>告</w:t>
      </w:r>
    </w:p>
    <w:p>
      <w:pPr>
        <w:pStyle w:val="BodyText"/>
        <w:spacing w:before="8"/>
        <w:rPr>
          <w:rFonts w:ascii="黑体"/>
          <w:sz w:val="27"/>
        </w:rPr>
      </w:pPr>
    </w:p>
    <w:p>
      <w:pPr>
        <w:spacing w:after="0"/>
        <w:rPr>
          <w:rFonts w:ascii="黑体"/>
          <w:sz w:val="27"/>
        </w:rPr>
        <w:sectPr>
          <w:headerReference w:type="default" r:id="rId5"/>
          <w:footerReference w:type="default" r:id="rId6"/>
          <w:type w:val="continuous"/>
          <w:pgSz w:w="11910" w:h="16840"/>
          <w:pgMar w:header="963" w:footer="439" w:top="1160" w:bottom="620" w:left="560" w:right="540"/>
          <w:pgNumType w:start="1"/>
        </w:sectPr>
      </w:pPr>
    </w:p>
    <w:p>
      <w:pPr>
        <w:spacing w:before="72"/>
        <w:ind w:left="147" w:right="0" w:firstLine="0"/>
        <w:jc w:val="left"/>
        <w:rPr>
          <w:rFonts w:ascii="黑体" w:eastAsia="黑体" w:hint="eastAsia"/>
          <w:sz w:val="20"/>
        </w:rPr>
      </w:pPr>
      <w:r>
        <w:rPr/>
        <w:drawing>
          <wp:anchor distT="0" distB="0" distL="0" distR="0" allowOverlap="1" layoutInCell="1" locked="0" behindDoc="0" simplePos="0" relativeHeight="15730688">
            <wp:simplePos x="0" y="0"/>
            <wp:positionH relativeFrom="page">
              <wp:posOffset>630555</wp:posOffset>
            </wp:positionH>
            <wp:positionV relativeFrom="page">
              <wp:posOffset>288289</wp:posOffset>
            </wp:positionV>
            <wp:extent cx="1144270" cy="45339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144270" cy="453390"/>
                    </a:xfrm>
                    <a:prstGeom prst="rect">
                      <a:avLst/>
                    </a:prstGeom>
                  </pic:spPr>
                </pic:pic>
              </a:graphicData>
            </a:graphic>
          </wp:anchor>
        </w:drawing>
      </w:r>
      <w:r>
        <w:rPr/>
        <w:pict>
          <v:rect style="position:absolute;margin-left:500.019989pt;margin-top:46.559982pt;width:.48001pt;height:14.4pt;mso-position-horizontal-relative:page;mso-position-vertical-relative:page;z-index:15731200" filled="true" fillcolor="#bebebe" stroked="false">
            <v:fill type="solid"/>
            <w10:wrap type="none"/>
          </v:rect>
        </w:pict>
      </w:r>
      <w:r>
        <w:rPr/>
        <w:pict>
          <v:group style="position:absolute;margin-left:33.959999pt;margin-top:65.159981pt;width:527.4pt;height:741.6pt;mso-position-horizontal-relative:page;mso-position-vertical-relative:page;z-index:-16587264" coordorigin="679,1303" coordsize="10548,14832">
            <v:shape style="position:absolute;left:679;top:1310;width:10548;height:14826" type="#_x0000_t75" stroked="false">
              <v:imagedata r:id="rId8" o:title=""/>
            </v:shape>
            <v:shape style="position:absolute;left:709;top:8773;width:3231;height:2183" type="#_x0000_t75" stroked="false">
              <v:imagedata r:id="rId9" o:title=""/>
            </v:shape>
            <v:rect style="position:absolute;left:864;top:2153;width:3815;height:10" filled="true" fillcolor="#a6a6a6" stroked="false">
              <v:fill type="solid"/>
            </v:rect>
            <v:shape style="position:absolute;left:708;top:1303;width:10493;height:2113" coordorigin="708,1303" coordsize="10493,2113" path="m11200,3401l708,3401,708,3416,11200,3416,11200,3401xm11200,1303l708,1303,708,1313,11200,1313,11200,1303xe" filled="true" fillcolor="#e21c21" stroked="false">
              <v:path arrowok="t"/>
              <v:fill type="solid"/>
            </v:shape>
            <v:rect style="position:absolute;left:679;top:4154;width:60;height:312" filled="true" fillcolor="#bbbcc0" stroked="false">
              <v:fill type="solid"/>
            </v:rect>
            <v:shape style="position:absolute;left:679;top:4466;width:3273;height:5" coordorigin="679,4467" coordsize="3273,5" path="m1944,4467l1940,4467,744,4467,739,4467,679,4467,679,4472,739,4472,744,4472,1940,4472,1944,4472,1944,4467xm3951,4467l1944,4467,1944,4472,3951,4472,3951,4467xe" filled="true" fillcolor="#bebebe" stroked="false">
              <v:path arrowok="t"/>
              <v:fill type="solid"/>
            </v:shape>
            <v:rect style="position:absolute;left:679;top:4608;width:60;height:312" filled="true" fillcolor="#bbbcc0" stroked="false">
              <v:fill type="solid"/>
            </v:rect>
            <v:rect style="position:absolute;left:679;top:4920;width:3273;height:5" filled="true" fillcolor="#bebebe" stroked="false">
              <v:fill type="solid"/>
            </v:rect>
            <v:rect style="position:absolute;left:708;top:5288;width:3244;height:15" filled="true" fillcolor="#ed1d22" stroked="false">
              <v:fill type="solid"/>
            </v:rect>
            <v:rect style="position:absolute;left:708;top:5739;width:3246;height:312" filled="true" fillcolor="#9c9a9b" stroked="false">
              <v:fill type="solid"/>
            </v:rect>
            <v:shape style="position:absolute;left:708;top:5725;width:3244;height:2736" coordorigin="708,5725" coordsize="3244,2736" path="m3951,8447l708,8447,708,8461,3951,8461,3951,8447xm3951,5725l708,5725,708,5739,3951,5739,3951,5725xe" filled="true" fillcolor="#ed1d22" stroked="false">
              <v:path arrowok="t"/>
              <v:fill type="solid"/>
            </v:shape>
            <v:rect style="position:absolute;left:708;top:11610;width:3246;height:312" filled="true" fillcolor="#9c9a9b" stroked="false">
              <v:fill type="solid"/>
            </v:rect>
            <v:rect style="position:absolute;left:708;top:11593;width:3244;height:15" filled="true" fillcolor="#ed1d22" stroked="false">
              <v:fill type="solid"/>
            </v:rect>
            <v:shape style="position:absolute;left:693;top:12642;width:3249;height:1580" coordorigin="694,12643" coordsize="3249,1580" path="m3942,14217l694,14217,694,14222,3942,14222,3942,14217xm3942,13692l708,13692,708,13696,3942,13696,3942,13692xm3942,13166l708,13166,708,13171,3942,13171,3942,13166xm3942,12643l708,12643,708,12648,3942,12648,3942,12643xe" filled="true" fillcolor="#d9d9d9" stroked="false">
              <v:path arrowok="t"/>
              <v:fill type="solid"/>
            </v:shape>
            <v:shape style="position:absolute;left:1153;top:8965;width:2398;height:1495" coordorigin="1153,8966" coordsize="2398,1495" path="m1153,10422l1153,8966m1153,10422l3551,10422m1153,10422l1153,10452m1159,10422l1159,10452m1166,10422l1166,10452m1174,10422l1174,10452m1181,10422l1181,10452m1186,10422l1186,10452m1193,10422l1193,10452m1200,10422l1200,10452m1205,10422l1205,10452m1212,10422l1212,10452m1219,10422l1219,10452m1226,10422l1226,10452m1231,10422l1231,10452m1238,10422l1238,10452m1246,10422l1246,10452m1253,10422l1253,10452m1258,10422l1258,10452m1265,10422l1265,10452m1272,10422l1272,10452m1279,10422l1279,10452m1284,10422l1284,10452m1291,10422l1291,10452m1298,10422l1298,10452m1306,10422l1306,10452m1310,10422l1310,10452m1318,10422l1318,10452m1325,10422l1325,10452m1330,10422l1330,10452m1337,10422l1337,10452m1344,10422l1344,10452m1351,10422l1351,10452m1356,10422l1356,10452m1363,10422l1363,10452m1370,10422l1370,10452m1378,10422l1378,10452m1382,10422l1382,10452m1390,10422l1390,10452m1397,10422l1397,10452m1404,10422l1404,10452m1409,10422l1409,10452m1416,10422l1416,10452m1423,10422l1423,10452m1430,10422l1430,10452m1435,10422l1435,10452m1442,10422l1442,10452m1450,10422l1450,10452m1457,10422l1457,10452m1462,10422l1462,10452m1469,10422l1469,10452m1476,10422l1476,10452m1481,10422l1481,10452m1488,10422l1488,10452m1495,10422l1495,10452m1502,10422l1502,10452m1507,10422l1507,10452m1514,10422l1514,10452m1522,10422l1522,10452m1529,10422l1529,10452m1534,10422l1534,10452m1541,10422l1541,10452m1548,10422l1548,10452m1555,10422l1555,10452m1560,10422l1560,10452m1567,10422l1567,10452m1574,10422l1574,10452m1582,10422l1582,10452m1586,10422l1586,10452m1594,10422l1594,10452m1601,10422l1601,10452m1606,10422l1606,10452m1613,10422l1613,10452m1620,10422l1620,10452m1627,10422l1627,10452m1632,10422l1632,10452m1639,10422l1639,10452m1646,10422l1646,10452m1654,10422l1654,10452m1658,10422l1658,10452m1666,10422l1666,10452m1673,10422l1673,10452m1680,10422l1680,10452m1685,10422l1685,10452m1692,10422l1692,10452m1699,10422l1699,10452m1706,10422l1706,10452m1711,10422l1711,10452m1718,10422l1718,10452m1726,10422l1726,10452m1730,10422l1730,10452m1738,10422l1738,10452m1745,10422l1745,10452m1752,10422l1752,10452m1757,10422l1757,10452m1764,10422l1764,10452m1771,10422l1771,10452m1778,10422l1778,10452m1783,10422l1783,10452m1790,10422l1790,10452m1798,10422l1798,10452m1805,10422l1805,10452m1810,10422l1810,10452m1817,10422l1817,10452m1824,10422l1824,10452m1831,10422l1831,10452m1836,10422l1836,10452m1843,10422l1843,10452m1850,10422l1850,10452m1855,10422l1855,10452m1862,10422l1862,10452m1870,10422l1870,10452m1877,10422l1877,10452m1882,10422l1882,10452m1889,10422l1889,10452m1896,10422l1896,10452m1903,10422l1903,10452m1908,10422l1908,10452m1915,10422l1915,10452m1922,10422l1922,10452m1930,10422l1930,10452m1934,10422l1934,10452m1942,10422l1942,10452m1949,10422l1949,10452m1956,10422l1956,10452m1961,10422l1961,10452m1968,10422l1968,10452m1975,10422l1975,10452m1980,10422l1980,10452m1987,10422l1987,10452m1994,10422l1994,10452m2002,10422l2002,10452m2006,10422l2006,10452m2014,10422l2014,10452m2021,10422l2021,10452m2028,10422l2028,10452m2033,10422l2033,10452m2040,10422l2040,10452m2047,10422l2047,10452m2054,10422l2054,10452m2059,10422l2059,10452m2066,10422l2066,10452m2074,10422l2074,10452m2081,10422l2081,10452m2086,10422l2086,10452m2093,10422l2093,10452m2100,10422l2100,10452m2105,10422l2105,10452m2112,10422l2112,10452m2119,10422l2119,10452m2126,10422l2126,10452m2131,10422l2131,10452m2138,10422l2138,10452m2146,10422l2146,10452m2153,10422l2153,10452m2158,10422l2158,10452m2165,10422l2165,10452m2172,10422l2172,10452m2179,10422l2179,10452m2184,10422l2184,10452m2191,10422l2191,10452m2198,10422l2198,10452m2206,10422l2206,10452m2210,10422l2210,10452m2218,10422l2218,10452m2225,10422l2225,10452m2232,10422l2232,10452m2237,10422l2237,10452m2244,10422l2244,10452m2251,10422l2251,10452m2256,10422l2256,10452m2263,10422l2263,10452m2270,10422l2270,10452m2278,10422l2278,10452m2282,10422l2282,10452m2290,10422l2290,10452m2297,10422l2297,10452m2304,10422l2304,10452m2309,10422l2309,10452m2316,10422l2316,10452m2323,10422l2323,10452m2330,10422l2330,10452m2335,10422l2335,10452m2342,10422l2342,10452m2350,10422l2350,10452m2357,10422l2357,10452m2362,10422l2362,10452m2369,10422l2369,10452m2376,10422l2376,10452m2381,10422l2381,10452m2388,10422l2388,10452m2395,10422l2395,10452m2402,10422l2402,10452m2407,10422l2407,10452m2414,10422l2414,10452m2422,10422l2422,10452m2429,10422l2429,10452m2434,10422l2434,10452m2441,10422l2441,10452m2448,10422l2448,10452m2455,10422l2455,10452m2460,10422l2460,10452m2467,10422l2467,10452m2474,10422l2474,10452m2482,10422l2482,10452m2486,10422l2486,10452m2494,10422l2494,10452m2501,10422l2501,10452m2506,10422l2506,10452m2513,10422l2513,10452m2520,10422l2520,10452m2527,10422l2527,10452m2532,10422l2532,10452m2539,10422l2539,10452m2546,10422l2546,10452m2554,10422l2554,10452m2558,10422l2558,10452m2566,10422l2566,10452m2573,10422l2573,10452m2580,10422l2580,10452m2585,10422l2585,10452m2592,10422l2592,10452m2599,10422l2599,10452m2606,10422l2606,10452m2611,10422l2611,10452m2618,10422l2618,10452m2626,10422l2626,10452m2630,10422l2630,10452m2638,10422l2638,10452m2645,10422l2645,10452m2652,10422l2652,10452m2657,10422l2657,10452m2664,10422l2664,10452m2671,10422l2671,10452m2678,10422l2678,10452m2683,10422l2683,10452m2690,10422l2690,10452m2698,10422l2698,10452m2705,10422l2705,10452m2710,10422l2710,10452m2717,10422l2717,10452m2724,10422l2724,10452m2731,10422l2731,10452m2736,10422l2736,10452m2743,10422l2743,10452m2750,10422l2750,10452m2755,10422l2755,10452m2762,10422l2762,10452m2770,10422l2770,10452m2777,10422l2777,10452m2782,10422l2782,10452m2789,10422l2789,10452m2796,10422l2796,10452m2803,10422l2803,10452m2808,10422l2808,10452m2815,10422l2815,10452m2822,10422l2822,10452m2830,10422l2830,10452m2834,10422l2834,10452m2842,10422l2842,10452m2849,10422l2849,10452m2856,10422l2856,10452m2861,10422l2861,10452m2868,10422l2868,10452m2875,10422l2875,10452m2880,10422l2880,10452m2887,10422l2887,10452m2894,10422l2894,10452m2902,10422l2902,10452m2906,10422l2906,10452m2914,10422l2914,10452m2921,10422l2921,10452m2928,10422l2928,10452m2933,10422l2933,10452m2940,10422l2940,10452m2947,10422l2947,10452m2954,10422l2954,10452m2959,10422l2959,10452m2966,10422l2966,10452m2974,10422l2974,10452m2981,10422l2981,10452m2986,10422l2986,10452m2993,10422l2993,10452m3000,10422l3000,10452m3007,10422l3007,10452m3012,10422l3012,10452m3019,10422l3019,10452m3026,10422l3026,10452m3031,10422l3031,10452m3038,10422l3038,10452m3046,10422l3046,10452m3053,10422l3053,10452m3058,10422l3058,10452m3065,10422l3065,10452m3072,10422l3072,10452m3079,10422l3079,10452m3084,10422l3084,10452m3091,10422l3091,10452m3098,10422l3098,10452m3106,10422l3106,10452m3110,10422l3110,10452m3118,10422l3118,10452m3125,10422l3125,10452m3132,10422l3132,10452m3137,10422l3137,10452m3144,10422l3144,10452m3151,10422l3151,10452m3156,10422l3156,10452m3163,10422l3163,10452m3170,10422l3170,10452m3178,10422l3178,10452m3182,10422l3182,10452m3190,10422l3190,10452m3197,10422l3197,10452m3204,10422l3204,10452m3209,10422l3209,10452m3216,10422l3216,10452m3223,10422l3223,10452m3230,10422l3230,10452m3235,10422l3235,10452m3242,10422l3242,10452m3250,10422l3250,10452m3257,10422l3257,10452m3262,10422l3262,10452m3269,10422l3269,10452m3276,10422l3276,10452m3281,10422l3281,10452m3288,10422l3288,10452m3295,10422l3295,10452m3302,10422l3302,10452m3307,10422l3307,10452m3314,10422l3314,10452m3322,10422l3322,10452m3329,10422l3329,10452m3334,10422l3334,10452m3341,10422l3341,10452m3348,10422l3348,10452m3355,10422l3355,10452m3360,10422l3360,10452m3367,10422l3367,10452m3374,10422l3374,10452m3382,10422l3382,10452m3386,10422l3386,10452m3394,10422l3394,10452m3401,10422l3401,10452m3406,10422l3406,10452m3413,10422l3413,10452m3420,10422l3420,10452m3427,10422l3427,10452m3432,10422l3432,10452m3439,10422l3439,10452m3446,10422l3446,10452m3454,10422l3454,10452m3458,10422l3458,10452m3466,10422l3466,10452m3473,10422l3473,10452m3480,10422l3480,10452m3485,10422l3485,10452m3492,10422l3492,10452m3499,10422l3499,10452m3506,10422l3506,10452m3511,10422l3511,10452m3518,10422l3518,10452m3526,10422l3526,10452m3530,10422l3530,10452m3538,10422l3538,10452m3545,10422l3545,10452m3551,10422l3551,10452m1153,10422l1153,10460m1632,10422l1632,10460m2112,10422l2112,10460m2592,10422l2592,10460m3072,10422l3072,10460m3551,10422l3551,10460e" filled="false" stroked="true" strokeweight=".5pt" strokecolor="#bebebe">
              <v:path arrowok="t"/>
              <v:stroke dashstyle="solid"/>
            </v:shape>
            <v:shape style="position:absolute;left:1153;top:9277;width:2398;height:1145" coordorigin="1153,9278" coordsize="2398,1145" path="m1153,9799l1159,9799,1166,9799,1174,9799,1181,9799,1186,9955,1193,10058,1200,9799,1205,9799,1212,9955,1219,9955,1226,9955,1231,9955,1238,9799,1246,9746,1253,9746,1258,9641,1265,9641,1272,9641,1279,9641,1284,9694,1291,9641,1298,9694,1306,9694,1310,9694,1318,9694,1325,9485,1330,9485,1337,9485,1344,9434,1351,9329,1356,9329,1363,9329,1370,9382,1378,9538,1382,9641,1390,9590,1397,9641,1404,9641,1409,9641,1416,9694,1423,9538,1430,9590,1435,9538,1442,9590,1450,9590,1457,9590,1462,9538,1469,9590,1476,9538,1481,9538,1488,9485,1495,9485,1502,9485,1507,9382,1514,9434,1522,9538,1529,9538,1534,9485,1541,9485,1548,9485,1555,9694,1560,9799,1567,9799,1574,9799,1582,9746,1586,9746,1594,9746,1601,9746,1606,9799,1613,9799,1620,9694,1627,9694,1632,9694,1639,9694,1646,9694,1654,9641,1658,9641,1666,9538,1673,9590,1680,9590,1685,9590,1692,9538,1699,9485,1706,9538,1711,9538,1718,9434,1726,9434,1730,9434,1738,9278,1745,9382,1752,9382,1757,9278,1764,9278,1771,9278,1824,9278,1831,9329,1836,9434,1843,9382,1850,9329,1855,9382,1862,9382,1870,9382,1877,9434,1882,9434,1889,9434,1896,9382,1903,9382,1908,9382,1915,9382,1922,9329,1930,9329,1934,9382,1942,9434,1949,9382,1956,9382,1961,9382,1968,9329,1975,9329,1980,9382,1987,9434,1994,9434,2002,9434,2006,9434,2014,9485,2021,9434,2028,9434,2033,9485,2040,9485,2047,9485,2054,9485,2059,9434,2066,9538,2074,9538,2081,9538,2086,9538,2093,9538,2100,9538,2105,9538,2112,9590,2119,9538,2126,9590,2131,9641,2138,9641,2146,9641,2153,9746,2158,9641,2165,9590,2172,9590,2179,9694,2184,9694,2191,9694,2198,9641,2206,9590,2210,9641,2218,9641,2225,9590,2232,9590,2237,9590,2244,9641,2251,9641,2256,9641,2263,9590,2270,9485,2278,9485,2282,9485,2290,9485,2297,9485,2304,9485,2309,9434,2316,9434,2323,9434,2330,9434,2335,9434,2342,9485,2350,9538,2357,9590,2362,9641,2369,9641,2376,9641,2381,9694,2388,9799,2395,9746,2402,9641,2407,9641,2414,9641,2422,9641,2429,9641,2434,9641,2441,9641,2448,9590,2455,9694,2460,9694,2467,9694,2474,9694,2482,9799,2486,9746,2494,9799,2501,9799,2506,9799,2513,9799,2520,9746,2527,9694,2532,9694,2539,9746,2546,9694,2554,9694,2558,9694,2566,9641,2573,9641,2580,9694,2585,9746,2592,9694,2599,9694,2606,9694,2611,9694,2618,9694,2626,9746,2630,9799,2638,9799,2645,9799,2652,9799,2657,9746,2664,9902,2671,9902,2678,9955,2683,9902,2690,9902,2698,9902,2705,9955,2710,9955,2717,9955,2724,9902,2731,9902,2736,9902,2743,9902,2750,9902,2755,9955,2762,10058,2770,10058,2777,10058,2782,10058,2789,10058,2796,10111,2803,10058,2808,10058,2815,10058,2822,10006,2830,10006,2834,10006,2842,10006,2849,10006,2856,10006,2861,10111,2868,10111,2875,10111,2880,10111,2887,10111,2894,10058,2902,10111,2906,10058,2914,10058,2921,10058,2928,10058,2933,10111,2940,10111,2947,10111,2954,10162,2959,10111,2966,10111,2974,10111,2981,10058,2986,10058,2993,10006,3000,10006,3007,9955,3012,9955,3019,9955,3026,10058,3031,10058,3038,10162,3046,10058,3053,10111,3058,10111,3065,10111,3072,10267,3079,10214,3084,10111,3091,10162,3137,10162,3144,10318,3151,10318,3156,10318,3163,10318,3170,10370,3178,10422,3182,10370,3190,10422,3197,10422,3204,10422,3209,10370,3216,10267,3223,10267,3230,10267,3235,10318,3242,10318,3250,10318,3257,10267,3262,10318,3269,10370,3276,10422,3281,10422,3288,10422,3295,10422,3302,10318,3307,10267,3314,10318,3322,10318,3329,10214,3334,10214,3341,10214,3348,10162,3355,10162,3360,10214,3367,10267,3374,10214,3382,10214,3386,10214,3394,10162,3401,10162,3406,10058,3413,10058,3420,10058,3485,10058,3492,10162,3499,10058,3506,10006,3511,10006,3518,10006,3526,10006,3530,10058,3538,10058,3545,10162,3551,10267e" filled="false" stroked="true" strokeweight="1.0pt" strokecolor="#91462c">
              <v:path arrowok="t"/>
              <v:stroke dashstyle="solid"/>
            </v:shape>
            <v:shape style="position:absolute;left:1153;top:9225;width:2398;height:937" coordorigin="1153,9226" coordsize="2398,937" path="m1153,9799l1159,9850,1166,9850,1174,9850,1181,9850,1186,10006,1193,10006,1200,9955,1205,10006,1212,10111,1219,10111,1226,10111,1231,10162,1238,10006,1246,9955,1253,9955,1258,9799,1265,9799,1272,9799,1279,9799,1284,9850,1291,9902,1298,9902,1306,9799,1310,9799,1318,9799,1325,9799,1330,9694,1337,9694,1344,9746,1351,9746,1356,9746,1363,9746,1370,9799,1378,9799,1382,9799,1390,9850,1397,9799,1404,9799,1409,9799,1416,9850,1423,9694,1430,9694,1435,9641,1442,9641,1450,9641,1457,9641,1462,9538,1469,9538,1476,9538,1481,9538,1488,9485,1495,9485,1502,9485,1507,9538,1514,9590,1522,9538,1529,9538,1534,9538,1541,9538,1548,9538,1555,9641,1560,9746,1567,9746,1574,9694,1582,9746,1586,9746,1594,9746,1601,9694,1606,9641,1613,9641,1620,9694,1627,9641,1658,9641,1666,9538,1673,9538,1680,9538,1685,9538,1692,9485,1699,9485,1706,9485,1711,9485,1718,9382,1726,9382,1730,9382,1738,9278,1745,9278,1752,9329,1757,9278,1764,9226,1771,9226,1778,9226,1831,9226,1836,9278,1843,9226,1850,9226,1855,9278,1862,9278,1870,9278,1877,9382,1882,9382,1889,9382,1896,9329,1903,9329,1908,9329,1915,9329,1922,9278,1930,9278,1934,9329,1942,9382,1949,9434,1956,9434,1961,9434,1968,9329,1975,9278,1980,9329,1987,9329,1994,9382,2002,9382,2006,9382,2014,9434,2021,9382,2028,9329,2033,9329,2040,9329,2047,9329,2054,9329,2059,9329,2066,9434,2074,9434,2081,9485,2086,9538,2093,9538,2100,9538,2105,9485,2112,9485,2119,9485,2126,9590,2131,9538,2138,9538,2146,9538,2153,9590,2158,9538,2165,9485,2172,9434,2179,9434,2184,9434,2191,9434,2198,9485,2206,9485,2210,9485,2218,9434,2225,9434,2232,9434,2237,9434,2244,9382,2251,9329,2256,9329,2263,9382,2270,9329,2278,9329,2282,9329,2290,9329,2297,9329,2304,9382,2309,9382,2316,9382,2323,9382,2330,9382,2335,9278,2342,9278,2350,9329,2357,9329,2362,9434,2369,9434,2376,9434,2381,9538,2388,9538,2395,9538,2402,9485,2407,9434,2414,9434,2448,9434,2455,9485,2460,9485,2467,9485,2474,9382,2482,9434,2486,9485,2494,9485,2501,9590,2506,9590,2513,9590,2520,9485,2527,9538,2532,9538,2539,9538,2546,9590,2554,9590,2558,9590,2566,9538,2573,9590,2580,9694,2585,9694,2592,9694,2599,9694,2606,9694,2611,9694,2618,9694,2626,9746,2630,9746,2638,9694,2645,9694,2652,9694,2657,9694,2664,9746,2671,9799,2678,9746,2683,9694,2690,9694,2698,9694,2705,9694,2710,9694,2717,9694,2724,9590,2731,9538,2736,9538,2743,9538,2750,9590,2755,9590,2762,9694,2770,9694,2777,9694,2782,9694,2789,9694,2796,9746,2803,9694,2808,9694,2815,9746,2822,9694,2830,9694,2834,9694,2842,9641,2849,9641,2856,9694,2861,9694,2868,9746,2875,9746,2880,9746,2887,9694,2894,9694,2902,9694,2906,9641,2914,9641,2921,9641,2928,9641,2933,9694,2940,9694,2947,9694,2954,9746,2959,9746,2966,9746,2974,9746,2981,9746,2986,9590,2993,9641,3000,9641,3007,9485,3012,9485,3019,9485,3026,9485,3031,9485,3038,9538,3046,9485,3053,9485,3058,9485,3065,9485,3072,9485,3079,9538,3084,9538,3091,9538,3098,9641,3106,9641,3110,9641,3118,9694,3125,9694,3132,9746,3137,9746,3144,9799,3151,9799,3156,9799,3163,9850,3170,9799,3178,9902,3182,9850,3190,9902,3197,9902,3204,9902,3209,9850,3216,9799,3250,9799,3257,9694,3262,9746,3269,9746,3276,9799,3281,9850,3288,9850,3295,9850,3302,9799,3307,9799,3314,9850,3322,9850,3329,9902,3334,9902,3341,9902,3348,9850,3355,9850,3360,9902,3367,9955,3374,9850,3382,9850,3386,9850,3394,9902,3401,9902,3406,9902,3485,9902,3492,9955,3499,9955,3506,9902,3511,9955,3518,9955,3526,9955,3530,10006,3538,10006,3545,10006,3551,10111e" filled="false" stroked="true" strokeweight="1pt" strokecolor="#ec2928">
              <v:path arrowok="t"/>
              <v:stroke dashstyle="solid"/>
            </v:shape>
            <w10:wrap type="none"/>
          </v:group>
        </w:pict>
      </w:r>
      <w:r>
        <w:rPr>
          <w:rFonts w:ascii="黑体" w:eastAsia="黑体" w:hint="eastAsia"/>
          <w:color w:val="E21C21"/>
          <w:sz w:val="20"/>
        </w:rPr>
        <w:t>分析师</w:t>
      </w:r>
    </w:p>
    <w:p>
      <w:pPr>
        <w:pStyle w:val="BodyText"/>
        <w:spacing w:before="5"/>
        <w:rPr>
          <w:rFonts w:ascii="黑体"/>
          <w:sz w:val="15"/>
        </w:rPr>
      </w:pPr>
    </w:p>
    <w:p>
      <w:pPr>
        <w:tabs>
          <w:tab w:pos="1381" w:val="left" w:leader="none"/>
        </w:tabs>
        <w:spacing w:before="0"/>
        <w:ind w:left="205" w:right="0" w:firstLine="0"/>
        <w:jc w:val="left"/>
        <w:rPr>
          <w:rFonts w:ascii="黑体" w:eastAsia="黑体" w:hint="eastAsia"/>
          <w:sz w:val="16"/>
        </w:rPr>
      </w:pPr>
      <w:r>
        <w:rPr>
          <w:rFonts w:ascii="黑体" w:eastAsia="黑体" w:hint="eastAsia"/>
          <w:sz w:val="20"/>
        </w:rPr>
        <w:t>周超泽</w:t>
        <w:tab/>
      </w:r>
      <w:r>
        <w:rPr>
          <w:rFonts w:ascii="黑体" w:eastAsia="黑体" w:hint="eastAsia"/>
          <w:color w:val="4A4B4D"/>
          <w:spacing w:val="-2"/>
          <w:sz w:val="16"/>
        </w:rPr>
        <w:t>登</w:t>
      </w:r>
      <w:r>
        <w:rPr>
          <w:rFonts w:ascii="黑体" w:eastAsia="黑体" w:hint="eastAsia"/>
          <w:color w:val="4A4B4D"/>
          <w:spacing w:val="-1"/>
          <w:sz w:val="16"/>
        </w:rPr>
        <w:t>记编</w:t>
      </w:r>
      <w:r>
        <w:rPr>
          <w:rFonts w:ascii="黑体" w:eastAsia="黑体" w:hint="eastAsia"/>
          <w:color w:val="4A4B4D"/>
          <w:spacing w:val="-3"/>
          <w:sz w:val="16"/>
        </w:rPr>
        <w:t>号</w:t>
      </w:r>
      <w:r>
        <w:rPr>
          <w:rFonts w:ascii="黑体" w:eastAsia="黑体" w:hint="eastAsia"/>
          <w:color w:val="4A4B4D"/>
          <w:spacing w:val="-1"/>
          <w:sz w:val="16"/>
        </w:rPr>
        <w:t>：S1220523070003</w:t>
      </w:r>
    </w:p>
    <w:p>
      <w:pPr>
        <w:pStyle w:val="BodyText"/>
        <w:spacing w:before="5"/>
        <w:rPr>
          <w:rFonts w:ascii="黑体"/>
          <w:sz w:val="15"/>
        </w:rPr>
      </w:pPr>
    </w:p>
    <w:p>
      <w:pPr>
        <w:tabs>
          <w:tab w:pos="1381" w:val="left" w:leader="none"/>
        </w:tabs>
        <w:spacing w:before="0"/>
        <w:ind w:left="205" w:right="0" w:firstLine="0"/>
        <w:jc w:val="left"/>
        <w:rPr>
          <w:rFonts w:ascii="黑体" w:eastAsia="黑体" w:hint="eastAsia"/>
          <w:sz w:val="16"/>
        </w:rPr>
      </w:pPr>
      <w:r>
        <w:rPr>
          <w:rFonts w:ascii="黑体" w:eastAsia="黑体" w:hint="eastAsia"/>
          <w:sz w:val="20"/>
        </w:rPr>
        <w:t>许睿</w:t>
        <w:tab/>
      </w:r>
      <w:r>
        <w:rPr>
          <w:rFonts w:ascii="黑体" w:eastAsia="黑体" w:hint="eastAsia"/>
          <w:color w:val="4A4B4D"/>
          <w:spacing w:val="-2"/>
          <w:sz w:val="16"/>
        </w:rPr>
        <w:t>登</w:t>
      </w:r>
      <w:r>
        <w:rPr>
          <w:rFonts w:ascii="黑体" w:eastAsia="黑体" w:hint="eastAsia"/>
          <w:color w:val="4A4B4D"/>
          <w:spacing w:val="-1"/>
          <w:sz w:val="16"/>
        </w:rPr>
        <w:t>记编</w:t>
      </w:r>
      <w:r>
        <w:rPr>
          <w:rFonts w:ascii="黑体" w:eastAsia="黑体" w:hint="eastAsia"/>
          <w:color w:val="4A4B4D"/>
          <w:spacing w:val="-3"/>
          <w:sz w:val="16"/>
        </w:rPr>
        <w:t>号</w:t>
      </w:r>
      <w:r>
        <w:rPr>
          <w:rFonts w:ascii="黑体" w:eastAsia="黑体" w:hint="eastAsia"/>
          <w:color w:val="4A4B4D"/>
          <w:spacing w:val="-1"/>
          <w:sz w:val="16"/>
        </w:rPr>
        <w:t>：S1220523080005</w:t>
      </w:r>
    </w:p>
    <w:p>
      <w:pPr>
        <w:pStyle w:val="BodyText"/>
        <w:rPr>
          <w:rFonts w:ascii="黑体"/>
          <w:sz w:val="20"/>
        </w:rPr>
      </w:pPr>
    </w:p>
    <w:p>
      <w:pPr>
        <w:pStyle w:val="BodyText"/>
        <w:spacing w:before="6"/>
        <w:rPr>
          <w:rFonts w:ascii="黑体"/>
          <w:sz w:val="17"/>
        </w:rPr>
      </w:pPr>
    </w:p>
    <w:p>
      <w:pPr>
        <w:spacing w:before="0"/>
        <w:ind w:left="794" w:right="0" w:firstLine="0"/>
        <w:jc w:val="left"/>
        <w:rPr>
          <w:rFonts w:ascii="黑体" w:eastAsia="黑体" w:hint="eastAsia"/>
          <w:sz w:val="22"/>
        </w:rPr>
      </w:pPr>
      <w:r>
        <w:rPr>
          <w:rFonts w:ascii="黑体" w:eastAsia="黑体" w:hint="eastAsia"/>
          <w:sz w:val="22"/>
        </w:rPr>
        <w:t>行业评级 : 推荐 </w:t>
      </w:r>
    </w:p>
    <w:p>
      <w:pPr>
        <w:pStyle w:val="BodyText"/>
        <w:spacing w:before="8"/>
        <w:rPr>
          <w:rFonts w:ascii="黑体"/>
          <w:sz w:val="6"/>
        </w:rPr>
      </w:pPr>
    </w:p>
    <w:p>
      <w:pPr>
        <w:pStyle w:val="BodyText"/>
        <w:ind w:left="148" w:right="-58"/>
        <w:rPr>
          <w:rFonts w:ascii="黑体"/>
          <w:sz w:val="20"/>
        </w:rPr>
      </w:pPr>
      <w:r>
        <w:rPr>
          <w:rFonts w:ascii="黑体"/>
          <w:sz w:val="20"/>
        </w:rPr>
        <w:pict>
          <v:shape style="width:162.3pt;height:15.6pt;mso-position-horizontal-relative:char;mso-position-vertical-relative:line" type="#_x0000_t202" filled="false" stroked="false">
            <w10:anchorlock/>
            <v:textbox inset="0,0,0,0">
              <w:txbxContent>
                <w:p>
                  <w:pPr>
                    <w:spacing w:before="28"/>
                    <w:ind w:left="982" w:right="0" w:firstLine="0"/>
                    <w:jc w:val="left"/>
                    <w:rPr>
                      <w:rFonts w:ascii="黑体" w:eastAsia="黑体" w:hint="eastAsia"/>
                      <w:sz w:val="20"/>
                    </w:rPr>
                  </w:pPr>
                  <w:r>
                    <w:rPr>
                      <w:rFonts w:ascii="黑体" w:eastAsia="黑体" w:hint="eastAsia"/>
                      <w:color w:val="FFFFFF"/>
                      <w:sz w:val="20"/>
                    </w:rPr>
                    <w:t>行 业 信 息</w:t>
                  </w:r>
                </w:p>
              </w:txbxContent>
            </v:textbox>
          </v:shape>
        </w:pict>
      </w:r>
      <w:r>
        <w:rPr>
          <w:rFonts w:ascii="黑体"/>
          <w:sz w:val="20"/>
        </w:rPr>
      </w:r>
    </w:p>
    <w:p>
      <w:pPr>
        <w:pStyle w:val="BodyText"/>
        <w:spacing w:before="1" w:after="1"/>
        <w:rPr>
          <w:rFonts w:ascii="黑体"/>
          <w:sz w:val="8"/>
        </w:rPr>
      </w:pPr>
    </w:p>
    <w:tbl>
      <w:tblPr>
        <w:tblW w:w="0" w:type="auto"/>
        <w:jc w:val="left"/>
        <w:tblInd w:w="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5"/>
        <w:gridCol w:w="1971"/>
      </w:tblGrid>
      <w:tr>
        <w:trPr>
          <w:trHeight w:val="234" w:hRule="atLeast"/>
        </w:trPr>
        <w:tc>
          <w:tcPr>
            <w:tcW w:w="1215" w:type="dxa"/>
            <w:tcBorders>
              <w:bottom w:val="single" w:sz="2" w:space="0" w:color="BEBEBE"/>
            </w:tcBorders>
          </w:tcPr>
          <w:p>
            <w:pPr>
              <w:pStyle w:val="TableParagraph"/>
              <w:spacing w:line="183" w:lineRule="exact" w:before="0"/>
              <w:ind w:left="64"/>
              <w:jc w:val="left"/>
              <w:rPr>
                <w:rFonts w:ascii="黑体" w:eastAsia="黑体" w:hint="eastAsia"/>
                <w:sz w:val="16"/>
              </w:rPr>
            </w:pPr>
            <w:r>
              <w:rPr>
                <w:rFonts w:ascii="黑体" w:eastAsia="黑体" w:hint="eastAsia"/>
                <w:sz w:val="16"/>
              </w:rPr>
              <w:t>上市公司总家数</w:t>
            </w:r>
          </w:p>
        </w:tc>
        <w:tc>
          <w:tcPr>
            <w:tcW w:w="1971" w:type="dxa"/>
            <w:tcBorders>
              <w:bottom w:val="single" w:sz="2" w:space="0" w:color="BEBEBE"/>
            </w:tcBorders>
          </w:tcPr>
          <w:p>
            <w:pPr>
              <w:pStyle w:val="TableParagraph"/>
              <w:spacing w:line="183" w:lineRule="exact" w:before="0"/>
              <w:ind w:right="45"/>
              <w:jc w:val="right"/>
              <w:rPr>
                <w:rFonts w:ascii="黑体"/>
                <w:sz w:val="16"/>
              </w:rPr>
            </w:pPr>
            <w:r>
              <w:rPr>
                <w:rFonts w:ascii="黑体"/>
                <w:color w:val="494B4F"/>
                <w:sz w:val="16"/>
              </w:rPr>
              <w:t>600</w:t>
            </w:r>
          </w:p>
        </w:tc>
      </w:tr>
      <w:tr>
        <w:trPr>
          <w:trHeight w:val="340" w:hRule="atLeast"/>
        </w:trPr>
        <w:tc>
          <w:tcPr>
            <w:tcW w:w="1215" w:type="dxa"/>
            <w:tcBorders>
              <w:top w:val="single" w:sz="2" w:space="0" w:color="BEBEBE"/>
              <w:bottom w:val="single" w:sz="2" w:space="0" w:color="BEBEBE"/>
            </w:tcBorders>
          </w:tcPr>
          <w:p>
            <w:pPr>
              <w:pStyle w:val="TableParagraph"/>
              <w:spacing w:before="82"/>
              <w:ind w:left="64"/>
              <w:jc w:val="left"/>
              <w:rPr>
                <w:rFonts w:ascii="黑体" w:eastAsia="黑体" w:hint="eastAsia"/>
                <w:sz w:val="16"/>
              </w:rPr>
            </w:pPr>
            <w:r>
              <w:rPr>
                <w:rFonts w:ascii="黑体" w:eastAsia="黑体" w:hint="eastAsia"/>
                <w:sz w:val="16"/>
              </w:rPr>
              <w:t>总股本(亿股)</w:t>
            </w:r>
          </w:p>
        </w:tc>
        <w:tc>
          <w:tcPr>
            <w:tcW w:w="1971" w:type="dxa"/>
            <w:tcBorders>
              <w:top w:val="single" w:sz="2" w:space="0" w:color="BEBEBE"/>
              <w:bottom w:val="single" w:sz="2" w:space="0" w:color="BEBEBE"/>
            </w:tcBorders>
          </w:tcPr>
          <w:p>
            <w:pPr>
              <w:pStyle w:val="TableParagraph"/>
              <w:spacing w:before="82"/>
              <w:ind w:left="1281"/>
              <w:jc w:val="left"/>
              <w:rPr>
                <w:rFonts w:ascii="黑体"/>
                <w:sz w:val="16"/>
              </w:rPr>
            </w:pPr>
            <w:r>
              <w:rPr>
                <w:rFonts w:ascii="黑体"/>
                <w:color w:val="494B4F"/>
                <w:sz w:val="16"/>
              </w:rPr>
              <w:t>5,701.02</w:t>
            </w:r>
          </w:p>
        </w:tc>
      </w:tr>
      <w:tr>
        <w:trPr>
          <w:trHeight w:val="340" w:hRule="atLeast"/>
        </w:trPr>
        <w:tc>
          <w:tcPr>
            <w:tcW w:w="1215" w:type="dxa"/>
            <w:tcBorders>
              <w:top w:val="single" w:sz="2" w:space="0" w:color="BEBEBE"/>
              <w:bottom w:val="single" w:sz="2" w:space="0" w:color="BEBEBE"/>
            </w:tcBorders>
          </w:tcPr>
          <w:p>
            <w:pPr>
              <w:pStyle w:val="TableParagraph"/>
              <w:spacing w:before="82"/>
              <w:ind w:left="64"/>
              <w:jc w:val="left"/>
              <w:rPr>
                <w:rFonts w:ascii="黑体" w:eastAsia="黑体" w:hint="eastAsia"/>
                <w:sz w:val="16"/>
              </w:rPr>
            </w:pPr>
            <w:r>
              <w:rPr>
                <w:rFonts w:ascii="黑体" w:eastAsia="黑体" w:hint="eastAsia"/>
                <w:sz w:val="16"/>
              </w:rPr>
              <w:t>销售收入(亿元)</w:t>
            </w:r>
          </w:p>
        </w:tc>
        <w:tc>
          <w:tcPr>
            <w:tcW w:w="1971" w:type="dxa"/>
            <w:tcBorders>
              <w:top w:val="single" w:sz="2" w:space="0" w:color="BEBEBE"/>
              <w:bottom w:val="single" w:sz="2" w:space="0" w:color="BEBEBE"/>
            </w:tcBorders>
          </w:tcPr>
          <w:p>
            <w:pPr>
              <w:pStyle w:val="TableParagraph"/>
              <w:spacing w:before="82"/>
              <w:ind w:left="1202"/>
              <w:jc w:val="left"/>
              <w:rPr>
                <w:rFonts w:ascii="黑体"/>
                <w:sz w:val="16"/>
              </w:rPr>
            </w:pPr>
            <w:r>
              <w:rPr>
                <w:rFonts w:ascii="黑体"/>
                <w:color w:val="494B4F"/>
                <w:sz w:val="16"/>
              </w:rPr>
              <w:t>24,688.03</w:t>
            </w:r>
          </w:p>
        </w:tc>
      </w:tr>
      <w:tr>
        <w:trPr>
          <w:trHeight w:val="340" w:hRule="atLeast"/>
        </w:trPr>
        <w:tc>
          <w:tcPr>
            <w:tcW w:w="1215" w:type="dxa"/>
            <w:tcBorders>
              <w:top w:val="single" w:sz="2" w:space="0" w:color="BEBEBE"/>
              <w:bottom w:val="single" w:sz="2" w:space="0" w:color="BEBEBE"/>
            </w:tcBorders>
          </w:tcPr>
          <w:p>
            <w:pPr>
              <w:pStyle w:val="TableParagraph"/>
              <w:spacing w:before="82"/>
              <w:ind w:left="64"/>
              <w:jc w:val="left"/>
              <w:rPr>
                <w:rFonts w:ascii="黑体" w:eastAsia="黑体" w:hint="eastAsia"/>
                <w:sz w:val="16"/>
              </w:rPr>
            </w:pPr>
            <w:r>
              <w:rPr>
                <w:rFonts w:ascii="黑体" w:eastAsia="黑体" w:hint="eastAsia"/>
                <w:sz w:val="16"/>
              </w:rPr>
              <w:t>利润总额(亿元)</w:t>
            </w:r>
          </w:p>
        </w:tc>
        <w:tc>
          <w:tcPr>
            <w:tcW w:w="1971" w:type="dxa"/>
            <w:tcBorders>
              <w:top w:val="single" w:sz="2" w:space="0" w:color="BEBEBE"/>
              <w:bottom w:val="single" w:sz="2" w:space="0" w:color="BEBEBE"/>
            </w:tcBorders>
          </w:tcPr>
          <w:p>
            <w:pPr>
              <w:pStyle w:val="TableParagraph"/>
              <w:spacing w:before="82"/>
              <w:ind w:left="1281"/>
              <w:jc w:val="left"/>
              <w:rPr>
                <w:rFonts w:ascii="黑体"/>
                <w:sz w:val="16"/>
              </w:rPr>
            </w:pPr>
            <w:r>
              <w:rPr>
                <w:rFonts w:ascii="黑体"/>
                <w:color w:val="494B4F"/>
                <w:sz w:val="16"/>
              </w:rPr>
              <w:t>3,144.40</w:t>
            </w:r>
          </w:p>
        </w:tc>
      </w:tr>
      <w:tr>
        <w:trPr>
          <w:trHeight w:val="338" w:hRule="atLeast"/>
        </w:trPr>
        <w:tc>
          <w:tcPr>
            <w:tcW w:w="1215" w:type="dxa"/>
            <w:tcBorders>
              <w:top w:val="single" w:sz="2" w:space="0" w:color="BEBEBE"/>
              <w:bottom w:val="single" w:sz="2" w:space="0" w:color="BEBEBE"/>
            </w:tcBorders>
          </w:tcPr>
          <w:p>
            <w:pPr>
              <w:pStyle w:val="TableParagraph"/>
              <w:spacing w:before="82"/>
              <w:ind w:left="64"/>
              <w:jc w:val="left"/>
              <w:rPr>
                <w:rFonts w:ascii="黑体" w:eastAsia="黑体" w:hint="eastAsia"/>
                <w:sz w:val="16"/>
              </w:rPr>
            </w:pPr>
            <w:r>
              <w:rPr>
                <w:rFonts w:ascii="黑体" w:eastAsia="黑体" w:hint="eastAsia"/>
                <w:sz w:val="16"/>
              </w:rPr>
              <w:t>行业平均 PE</w:t>
            </w:r>
          </w:p>
        </w:tc>
        <w:tc>
          <w:tcPr>
            <w:tcW w:w="1971" w:type="dxa"/>
            <w:tcBorders>
              <w:top w:val="single" w:sz="2" w:space="0" w:color="BEBEBE"/>
              <w:bottom w:val="single" w:sz="2" w:space="0" w:color="BEBEBE"/>
            </w:tcBorders>
          </w:tcPr>
          <w:p>
            <w:pPr>
              <w:pStyle w:val="TableParagraph"/>
              <w:spacing w:before="82"/>
              <w:ind w:right="45"/>
              <w:jc w:val="right"/>
              <w:rPr>
                <w:rFonts w:ascii="黑体"/>
                <w:sz w:val="16"/>
              </w:rPr>
            </w:pPr>
            <w:r>
              <w:rPr>
                <w:rFonts w:ascii="黑体"/>
                <w:color w:val="494B4F"/>
                <w:sz w:val="16"/>
              </w:rPr>
              <w:t>86.55</w:t>
            </w:r>
          </w:p>
        </w:tc>
      </w:tr>
      <w:tr>
        <w:trPr>
          <w:trHeight w:val="340" w:hRule="atLeast"/>
        </w:trPr>
        <w:tc>
          <w:tcPr>
            <w:tcW w:w="1215" w:type="dxa"/>
            <w:tcBorders>
              <w:top w:val="single" w:sz="2" w:space="0" w:color="BEBEBE"/>
              <w:bottom w:val="single" w:sz="2" w:space="0" w:color="BEBEBE"/>
            </w:tcBorders>
          </w:tcPr>
          <w:p>
            <w:pPr>
              <w:pStyle w:val="TableParagraph"/>
              <w:spacing w:before="82"/>
              <w:ind w:left="64"/>
              <w:jc w:val="left"/>
              <w:rPr>
                <w:rFonts w:ascii="黑体" w:eastAsia="黑体" w:hint="eastAsia"/>
                <w:sz w:val="16"/>
              </w:rPr>
            </w:pPr>
            <w:r>
              <w:rPr>
                <w:rFonts w:ascii="黑体" w:eastAsia="黑体" w:hint="eastAsia"/>
                <w:sz w:val="16"/>
              </w:rPr>
              <w:t>平均股价(元)</w:t>
            </w:r>
          </w:p>
        </w:tc>
        <w:tc>
          <w:tcPr>
            <w:tcW w:w="1971" w:type="dxa"/>
            <w:tcBorders>
              <w:top w:val="single" w:sz="2" w:space="0" w:color="BEBEBE"/>
              <w:bottom w:val="single" w:sz="2" w:space="0" w:color="BEBEBE"/>
            </w:tcBorders>
          </w:tcPr>
          <w:p>
            <w:pPr>
              <w:pStyle w:val="TableParagraph"/>
              <w:spacing w:before="82"/>
              <w:ind w:right="45"/>
              <w:jc w:val="right"/>
              <w:rPr>
                <w:rFonts w:ascii="黑体"/>
                <w:sz w:val="16"/>
              </w:rPr>
            </w:pPr>
            <w:r>
              <w:rPr>
                <w:rFonts w:ascii="黑体"/>
                <w:color w:val="494B4F"/>
                <w:sz w:val="16"/>
              </w:rPr>
              <w:t>24.53</w:t>
            </w:r>
          </w:p>
        </w:tc>
      </w:tr>
    </w:tbl>
    <w:p>
      <w:pPr>
        <w:pStyle w:val="BodyText"/>
        <w:spacing w:before="6"/>
        <w:rPr>
          <w:rFonts w:ascii="黑体"/>
          <w:sz w:val="24"/>
        </w:rPr>
      </w:pPr>
      <w:r>
        <w:rPr/>
        <w:pict>
          <v:shape style="position:absolute;margin-left:35.5pt;margin-top:16.920006pt;width:161.550pt;height:15.95pt;mso-position-horizontal-relative:page;mso-position-vertical-relative:paragraph;z-index:-15728128;mso-wrap-distance-left:0;mso-wrap-distance-right:0" type="#_x0000_t202" filled="true" fillcolor="#9c9a9b" stroked="false">
            <v:textbox inset="0,0,0,0">
              <w:txbxContent>
                <w:p>
                  <w:pPr>
                    <w:spacing w:before="28"/>
                    <w:ind w:left="338" w:right="0" w:firstLine="0"/>
                    <w:jc w:val="left"/>
                    <w:rPr>
                      <w:rFonts w:ascii="黑体" w:eastAsia="黑体" w:hint="eastAsia"/>
                      <w:sz w:val="20"/>
                    </w:rPr>
                  </w:pPr>
                  <w:r>
                    <w:rPr>
                      <w:rFonts w:ascii="黑体" w:eastAsia="黑体" w:hint="eastAsia"/>
                      <w:color w:val="FFFFFF"/>
                      <w:sz w:val="20"/>
                    </w:rPr>
                    <w:t>行 业 相 对 指 数 表 现</w:t>
                  </w:r>
                </w:p>
              </w:txbxContent>
            </v:textbox>
            <v:fill type="solid"/>
            <w10:wrap type="topAndBottom"/>
          </v:shape>
        </w:pict>
      </w:r>
    </w:p>
    <w:p>
      <w:pPr>
        <w:pStyle w:val="BodyText"/>
        <w:ind w:left="142" w:right="-72"/>
        <w:rPr>
          <w:rFonts w:ascii="黑体"/>
          <w:sz w:val="20"/>
        </w:rPr>
      </w:pPr>
      <w:r>
        <w:rPr>
          <w:rFonts w:ascii="黑体"/>
          <w:position w:val="0"/>
          <w:sz w:val="20"/>
        </w:rPr>
        <w:pict>
          <v:shape style="width:161.550pt;height:107.7pt;mso-position-horizontal-relative:char;mso-position-vertical-relative:line" type="#_x0000_t202" filled="false" stroked="true" strokeweight=".75pt" strokecolor="#d9d9d9">
            <w10:anchorlock/>
            <v:textbox inset="0,0,0,0">
              <w:txbxContent>
                <w:p>
                  <w:pPr>
                    <w:pStyle w:val="BodyText"/>
                    <w:rPr>
                      <w:rFonts w:ascii="黑体"/>
                      <w:sz w:val="12"/>
                    </w:rPr>
                  </w:pPr>
                </w:p>
                <w:p>
                  <w:pPr>
                    <w:spacing w:before="96"/>
                    <w:ind w:left="117" w:right="0" w:firstLine="0"/>
                    <w:jc w:val="left"/>
                    <w:rPr>
                      <w:rFonts w:ascii="Calibri"/>
                      <w:sz w:val="12"/>
                    </w:rPr>
                  </w:pPr>
                  <w:r>
                    <w:rPr>
                      <w:rFonts w:ascii="Calibri"/>
                      <w:color w:val="585858"/>
                      <w:sz w:val="12"/>
                    </w:rPr>
                    <w:t>13%</w:t>
                  </w:r>
                </w:p>
                <w:p>
                  <w:pPr>
                    <w:pStyle w:val="BodyText"/>
                    <w:spacing w:before="3"/>
                    <w:rPr>
                      <w:rFonts w:ascii="Calibri"/>
                      <w:sz w:val="9"/>
                    </w:rPr>
                  </w:pPr>
                </w:p>
                <w:p>
                  <w:pPr>
                    <w:spacing w:before="0"/>
                    <w:ind w:left="178" w:right="0" w:firstLine="0"/>
                    <w:jc w:val="left"/>
                    <w:rPr>
                      <w:rFonts w:ascii="Calibri"/>
                      <w:sz w:val="12"/>
                    </w:rPr>
                  </w:pPr>
                  <w:r>
                    <w:rPr>
                      <w:rFonts w:ascii="Calibri"/>
                      <w:color w:val="585858"/>
                      <w:sz w:val="12"/>
                    </w:rPr>
                    <w:t>8%</w:t>
                  </w:r>
                </w:p>
                <w:p>
                  <w:pPr>
                    <w:pStyle w:val="BodyText"/>
                    <w:spacing w:before="4"/>
                    <w:rPr>
                      <w:rFonts w:ascii="Calibri"/>
                      <w:sz w:val="9"/>
                    </w:rPr>
                  </w:pPr>
                </w:p>
                <w:p>
                  <w:pPr>
                    <w:spacing w:before="0"/>
                    <w:ind w:left="178" w:right="0" w:firstLine="0"/>
                    <w:jc w:val="left"/>
                    <w:rPr>
                      <w:rFonts w:ascii="Calibri"/>
                      <w:sz w:val="12"/>
                    </w:rPr>
                  </w:pPr>
                  <w:r>
                    <w:rPr>
                      <w:rFonts w:ascii="Calibri"/>
                      <w:color w:val="585858"/>
                      <w:sz w:val="12"/>
                    </w:rPr>
                    <w:t>3%</w:t>
                  </w:r>
                </w:p>
                <w:p>
                  <w:pPr>
                    <w:pStyle w:val="BodyText"/>
                    <w:spacing w:before="4"/>
                    <w:rPr>
                      <w:rFonts w:ascii="Calibri"/>
                      <w:sz w:val="9"/>
                    </w:rPr>
                  </w:pPr>
                </w:p>
                <w:p>
                  <w:pPr>
                    <w:spacing w:before="0"/>
                    <w:ind w:left="141" w:right="0" w:firstLine="0"/>
                    <w:jc w:val="left"/>
                    <w:rPr>
                      <w:rFonts w:ascii="Calibri"/>
                      <w:sz w:val="12"/>
                    </w:rPr>
                  </w:pPr>
                  <w:r>
                    <w:rPr>
                      <w:rFonts w:ascii="Calibri"/>
                      <w:color w:val="585858"/>
                      <w:sz w:val="12"/>
                    </w:rPr>
                    <w:t>-2%</w:t>
                  </w:r>
                </w:p>
                <w:p>
                  <w:pPr>
                    <w:pStyle w:val="BodyText"/>
                    <w:spacing w:before="4"/>
                    <w:rPr>
                      <w:rFonts w:ascii="Calibri"/>
                      <w:sz w:val="9"/>
                    </w:rPr>
                  </w:pPr>
                </w:p>
                <w:p>
                  <w:pPr>
                    <w:spacing w:before="0"/>
                    <w:ind w:left="141" w:right="0" w:firstLine="0"/>
                    <w:jc w:val="left"/>
                    <w:rPr>
                      <w:rFonts w:ascii="Calibri"/>
                      <w:sz w:val="12"/>
                    </w:rPr>
                  </w:pPr>
                  <w:r>
                    <w:rPr>
                      <w:rFonts w:ascii="Calibri"/>
                      <w:color w:val="585858"/>
                      <w:sz w:val="12"/>
                    </w:rPr>
                    <w:t>-7%</w:t>
                  </w:r>
                </w:p>
                <w:p>
                  <w:pPr>
                    <w:pStyle w:val="BodyText"/>
                    <w:spacing w:before="3"/>
                    <w:rPr>
                      <w:rFonts w:ascii="Calibri"/>
                      <w:sz w:val="9"/>
                    </w:rPr>
                  </w:pPr>
                </w:p>
                <w:p>
                  <w:pPr>
                    <w:spacing w:before="1"/>
                    <w:ind w:left="80" w:right="0" w:firstLine="0"/>
                    <w:jc w:val="left"/>
                    <w:rPr>
                      <w:rFonts w:ascii="Calibri"/>
                      <w:sz w:val="12"/>
                    </w:rPr>
                  </w:pPr>
                  <w:r>
                    <w:rPr>
                      <w:rFonts w:ascii="Calibri"/>
                      <w:color w:val="585858"/>
                      <w:sz w:val="12"/>
                    </w:rPr>
                    <w:t>-12%</w:t>
                  </w:r>
                </w:p>
                <w:p>
                  <w:pPr>
                    <w:spacing w:before="9"/>
                    <w:ind w:left="207" w:right="0" w:firstLine="0"/>
                    <w:jc w:val="left"/>
                    <w:rPr>
                      <w:rFonts w:ascii="Calibri"/>
                      <w:sz w:val="12"/>
                    </w:rPr>
                  </w:pPr>
                  <w:r>
                    <w:rPr>
                      <w:rFonts w:ascii="Calibri"/>
                      <w:color w:val="585858"/>
                      <w:sz w:val="12"/>
                    </w:rPr>
                    <w:t>22/10/19 22/12/31 23/3/14 23/5/26 23/8/7 23/10/19</w:t>
                  </w:r>
                </w:p>
                <w:p>
                  <w:pPr>
                    <w:tabs>
                      <w:tab w:pos="954" w:val="left" w:leader="none"/>
                      <w:tab w:pos="1829" w:val="left" w:leader="none"/>
                      <w:tab w:pos="2233" w:val="left" w:leader="none"/>
                    </w:tabs>
                    <w:spacing w:before="56"/>
                    <w:ind w:left="550" w:right="0" w:firstLine="0"/>
                    <w:jc w:val="left"/>
                    <w:rPr>
                      <w:rFonts w:ascii="Calibri" w:eastAsia="Calibri"/>
                      <w:sz w:val="10"/>
                    </w:rPr>
                  </w:pPr>
                  <w:r>
                    <w:rPr>
                      <w:rFonts w:ascii="Times New Roman" w:eastAsia="Times New Roman"/>
                      <w:color w:val="585858"/>
                      <w:w w:val="100"/>
                      <w:sz w:val="10"/>
                      <w:u w:val="single" w:color="91462C"/>
                    </w:rPr>
                    <w:t> </w:t>
                  </w:r>
                  <w:r>
                    <w:rPr>
                      <w:rFonts w:ascii="Times New Roman" w:eastAsia="Times New Roman"/>
                      <w:color w:val="585858"/>
                      <w:sz w:val="10"/>
                      <w:u w:val="single" w:color="91462C"/>
                    </w:rPr>
                    <w:tab/>
                  </w:r>
                  <w:r>
                    <w:rPr>
                      <w:rFonts w:ascii="Times New Roman" w:eastAsia="Times New Roman"/>
                      <w:color w:val="585858"/>
                      <w:spacing w:val="-5"/>
                      <w:sz w:val="10"/>
                    </w:rPr>
                    <w:t> </w:t>
                  </w:r>
                  <w:r>
                    <w:rPr>
                      <w:rFonts w:ascii="黑体" w:eastAsia="黑体" w:hint="eastAsia"/>
                      <w:color w:val="585858"/>
                      <w:sz w:val="10"/>
                    </w:rPr>
                    <w:t>医药生物</w:t>
                    <w:tab/>
                  </w:r>
                  <w:r>
                    <w:rPr>
                      <w:rFonts w:ascii="Times New Roman" w:eastAsia="Times New Roman"/>
                      <w:color w:val="585858"/>
                      <w:sz w:val="10"/>
                      <w:u w:val="single" w:color="EC2928"/>
                    </w:rPr>
                    <w:tab/>
                  </w:r>
                  <w:r>
                    <w:rPr>
                      <w:rFonts w:ascii="黑体" w:eastAsia="黑体" w:hint="eastAsia"/>
                      <w:color w:val="585858"/>
                      <w:sz w:val="10"/>
                    </w:rPr>
                    <w:t>沪深</w:t>
                  </w:r>
                  <w:r>
                    <w:rPr>
                      <w:rFonts w:ascii="Calibri" w:eastAsia="Calibri"/>
                      <w:color w:val="585858"/>
                      <w:sz w:val="10"/>
                    </w:rPr>
                    <w:t>300</w:t>
                  </w:r>
                </w:p>
              </w:txbxContent>
            </v:textbox>
            <v:stroke dashstyle="solid"/>
          </v:shape>
        </w:pict>
      </w:r>
      <w:r>
        <w:rPr>
          <w:rFonts w:ascii="黑体"/>
          <w:position w:val="0"/>
          <w:sz w:val="20"/>
        </w:rPr>
      </w:r>
    </w:p>
    <w:p>
      <w:pPr>
        <w:spacing w:before="23"/>
        <w:ind w:left="148" w:right="0" w:firstLine="0"/>
        <w:jc w:val="left"/>
        <w:rPr>
          <w:rFonts w:ascii="黑体" w:eastAsia="黑体" w:hint="eastAsia"/>
          <w:i/>
          <w:sz w:val="17"/>
        </w:rPr>
      </w:pPr>
      <w:r>
        <w:rPr>
          <w:rFonts w:ascii="黑体" w:eastAsia="黑体" w:hint="eastAsia"/>
          <w:i/>
          <w:sz w:val="17"/>
        </w:rPr>
        <w:t>数据来源：wind 方正证券研究所</w:t>
      </w:r>
    </w:p>
    <w:p>
      <w:pPr>
        <w:pStyle w:val="BodyText"/>
        <w:spacing w:before="5" w:after="1"/>
        <w:rPr>
          <w:rFonts w:ascii="黑体"/>
          <w:i/>
          <w:sz w:val="29"/>
        </w:rPr>
      </w:pPr>
    </w:p>
    <w:p>
      <w:pPr>
        <w:pStyle w:val="BodyText"/>
        <w:ind w:left="148" w:right="-58"/>
        <w:rPr>
          <w:rFonts w:ascii="黑体"/>
          <w:sz w:val="20"/>
        </w:rPr>
      </w:pPr>
      <w:r>
        <w:rPr>
          <w:rFonts w:ascii="黑体"/>
          <w:sz w:val="20"/>
        </w:rPr>
        <w:pict>
          <v:shape style="width:162.3pt;height:15.75pt;mso-position-horizontal-relative:char;mso-position-vertical-relative:line" type="#_x0000_t202" filled="false" stroked="false">
            <w10:anchorlock/>
            <v:textbox inset="0,0,0,0">
              <w:txbxContent>
                <w:p>
                  <w:pPr>
                    <w:spacing w:before="30"/>
                    <w:ind w:left="982" w:right="0" w:firstLine="0"/>
                    <w:jc w:val="left"/>
                    <w:rPr>
                      <w:rFonts w:ascii="黑体" w:eastAsia="黑体" w:hint="eastAsia"/>
                      <w:sz w:val="20"/>
                    </w:rPr>
                  </w:pPr>
                  <w:r>
                    <w:rPr>
                      <w:rFonts w:ascii="黑体" w:eastAsia="黑体" w:hint="eastAsia"/>
                      <w:color w:val="FFFFFF"/>
                      <w:sz w:val="20"/>
                    </w:rPr>
                    <w:t>相 关 研 究</w:t>
                  </w:r>
                </w:p>
              </w:txbxContent>
            </v:textbox>
          </v:shape>
        </w:pict>
      </w:r>
      <w:r>
        <w:rPr>
          <w:rFonts w:ascii="黑体"/>
          <w:sz w:val="20"/>
        </w:rPr>
      </w:r>
    </w:p>
    <w:p>
      <w:pPr>
        <w:spacing w:line="235" w:lineRule="auto" w:before="61"/>
        <w:ind w:left="147" w:right="38" w:firstLine="0"/>
        <w:jc w:val="left"/>
        <w:rPr>
          <w:rFonts w:ascii="黑体" w:eastAsia="黑体" w:hint="eastAsia"/>
          <w:sz w:val="16"/>
        </w:rPr>
      </w:pPr>
      <w:r>
        <w:rPr>
          <w:rFonts w:ascii="黑体" w:eastAsia="黑体" w:hint="eastAsia"/>
          <w:sz w:val="16"/>
        </w:rPr>
        <w:t>《生物医药行业 2022 年三季度业绩前瞻，建议关注器械设备类、连锁药房、原料药、中药等细分赛道》2022.10.12</w:t>
      </w:r>
    </w:p>
    <w:p>
      <w:pPr>
        <w:spacing w:line="235" w:lineRule="auto" w:before="122"/>
        <w:ind w:left="147" w:right="116" w:firstLine="0"/>
        <w:jc w:val="left"/>
        <w:rPr>
          <w:rFonts w:ascii="黑体" w:eastAsia="黑体" w:hint="eastAsia"/>
          <w:sz w:val="16"/>
        </w:rPr>
      </w:pPr>
      <w:r>
        <w:rPr>
          <w:rFonts w:ascii="黑体" w:eastAsia="黑体" w:hint="eastAsia"/>
          <w:sz w:val="16"/>
        </w:rPr>
        <w:t>《细胞疗法专题报告-新起步，快发展，大未来》2022.08.09</w:t>
      </w:r>
    </w:p>
    <w:p>
      <w:pPr>
        <w:spacing w:line="205" w:lineRule="exact" w:before="119"/>
        <w:ind w:left="147" w:right="0" w:firstLine="0"/>
        <w:jc w:val="left"/>
        <w:rPr>
          <w:rFonts w:ascii="黑体" w:eastAsia="黑体" w:hint="eastAsia"/>
          <w:sz w:val="16"/>
        </w:rPr>
      </w:pPr>
      <w:r>
        <w:rPr>
          <w:rFonts w:ascii="黑体" w:eastAsia="黑体" w:hint="eastAsia"/>
          <w:sz w:val="16"/>
        </w:rPr>
        <w:t>《动态清零政策下核酸与抗原检测如何选择》</w:t>
      </w:r>
    </w:p>
    <w:p>
      <w:pPr>
        <w:spacing w:line="205" w:lineRule="exact" w:before="0"/>
        <w:ind w:left="147" w:right="0" w:firstLine="0"/>
        <w:jc w:val="left"/>
        <w:rPr>
          <w:rFonts w:ascii="黑体"/>
          <w:sz w:val="16"/>
        </w:rPr>
      </w:pPr>
      <w:r>
        <w:rPr>
          <w:rFonts w:ascii="黑体"/>
          <w:sz w:val="16"/>
        </w:rPr>
        <w:t>2022.06.11</w:t>
      </w:r>
    </w:p>
    <w:p>
      <w:pPr>
        <w:spacing w:before="116"/>
        <w:ind w:left="147" w:right="38" w:firstLine="0"/>
        <w:jc w:val="left"/>
        <w:rPr>
          <w:rFonts w:ascii="黑体" w:eastAsia="黑体" w:hint="eastAsia"/>
          <w:sz w:val="16"/>
        </w:rPr>
      </w:pPr>
      <w:r>
        <w:rPr>
          <w:rFonts w:ascii="黑体" w:eastAsia="黑体" w:hint="eastAsia"/>
          <w:sz w:val="16"/>
        </w:rPr>
        <w:t>《隐形正畸行业：需求与科技加速市场发展， 国内双寡头格局稳定》2022.01.23</w:t>
      </w:r>
    </w:p>
    <w:p>
      <w:pPr>
        <w:pStyle w:val="BodyText"/>
        <w:spacing w:before="8"/>
        <w:rPr>
          <w:rFonts w:ascii="黑体"/>
          <w:sz w:val="16"/>
        </w:rPr>
      </w:pPr>
      <w:r>
        <w:rPr/>
        <w:br w:type="column"/>
      </w:r>
      <w:r>
        <w:rPr>
          <w:rFonts w:ascii="黑体"/>
          <w:sz w:val="16"/>
        </w:rPr>
      </w:r>
    </w:p>
    <w:p>
      <w:pPr>
        <w:pStyle w:val="BodyText"/>
        <w:spacing w:line="242" w:lineRule="auto"/>
        <w:ind w:left="148" w:right="160"/>
        <w:jc w:val="both"/>
        <w:rPr>
          <w:rFonts w:ascii="黑体" w:hAnsi="黑体" w:eastAsia="黑体" w:hint="eastAsia"/>
        </w:rPr>
      </w:pPr>
      <w:r>
        <w:rPr>
          <w:rFonts w:ascii="Times New Roman" w:hAnsi="Times New Roman" w:eastAsia="Times New Roman"/>
          <w:color w:val="221F1F"/>
        </w:rPr>
        <w:t>Leqembi</w:t>
      </w:r>
      <w:r>
        <w:rPr>
          <w:rFonts w:ascii="Times New Roman" w:hAnsi="Times New Roman" w:eastAsia="Times New Roman"/>
          <w:color w:val="221F1F"/>
          <w:spacing w:val="23"/>
        </w:rPr>
        <w:t> </w:t>
      </w:r>
      <w:r>
        <w:rPr>
          <w:rFonts w:ascii="黑体" w:hAnsi="黑体" w:eastAsia="黑体" w:hint="eastAsia"/>
          <w:color w:val="221F1F"/>
          <w:spacing w:val="-9"/>
        </w:rPr>
        <w:t>是日本卫材和美国渤健联合开发，被视作目前为止第一款有明确证</w:t>
      </w:r>
      <w:r>
        <w:rPr>
          <w:rFonts w:ascii="黑体" w:hAnsi="黑体" w:eastAsia="黑体" w:hint="eastAsia"/>
          <w:color w:val="221F1F"/>
          <w:spacing w:val="-6"/>
        </w:rPr>
        <w:t>据证明可以减缓阿尔茨海默病进程的药物，也是 </w:t>
      </w:r>
      <w:r>
        <w:rPr>
          <w:rFonts w:ascii="Times New Roman" w:hAnsi="Times New Roman" w:eastAsia="Times New Roman"/>
          <w:color w:val="221F1F"/>
        </w:rPr>
        <w:t>20</w:t>
      </w:r>
      <w:r>
        <w:rPr>
          <w:rFonts w:ascii="Times New Roman" w:hAnsi="Times New Roman" w:eastAsia="Times New Roman"/>
          <w:color w:val="221F1F"/>
          <w:spacing w:val="28"/>
        </w:rPr>
        <w:t> </w:t>
      </w:r>
      <w:r>
        <w:rPr>
          <w:rFonts w:ascii="黑体" w:hAnsi="黑体" w:eastAsia="黑体" w:hint="eastAsia"/>
          <w:color w:val="221F1F"/>
          <w:spacing w:val="-10"/>
        </w:rPr>
        <w:t>年来 </w:t>
      </w:r>
      <w:r>
        <w:rPr>
          <w:rFonts w:ascii="Times New Roman" w:hAnsi="Times New Roman" w:eastAsia="Times New Roman"/>
          <w:color w:val="221F1F"/>
        </w:rPr>
        <w:t>FDA</w:t>
      </w:r>
      <w:r>
        <w:rPr>
          <w:rFonts w:ascii="Times New Roman" w:hAnsi="Times New Roman" w:eastAsia="Times New Roman"/>
          <w:color w:val="221F1F"/>
          <w:spacing w:val="27"/>
        </w:rPr>
        <w:t> </w:t>
      </w:r>
      <w:r>
        <w:rPr>
          <w:rFonts w:ascii="黑体" w:hAnsi="黑体" w:eastAsia="黑体" w:hint="eastAsia"/>
          <w:color w:val="221F1F"/>
          <w:spacing w:val="-3"/>
        </w:rPr>
        <w:t>首次完全批准的一款阿尔茨海默病新药，</w:t>
      </w:r>
      <w:r>
        <w:rPr>
          <w:rFonts w:ascii="Times New Roman" w:hAnsi="Times New Roman" w:eastAsia="Times New Roman"/>
          <w:color w:val="221F1F"/>
        </w:rPr>
        <w:t>Leqembi</w:t>
      </w:r>
      <w:r>
        <w:rPr>
          <w:rFonts w:ascii="Times New Roman" w:hAnsi="Times New Roman" w:eastAsia="Times New Roman"/>
          <w:color w:val="221F1F"/>
          <w:spacing w:val="12"/>
        </w:rPr>
        <w:t> </w:t>
      </w:r>
      <w:r>
        <w:rPr>
          <w:rFonts w:ascii="黑体" w:hAnsi="黑体" w:eastAsia="黑体" w:hint="eastAsia"/>
          <w:color w:val="221F1F"/>
          <w:spacing w:val="-19"/>
        </w:rPr>
        <w:t>在 </w:t>
      </w:r>
      <w:r>
        <w:rPr>
          <w:rFonts w:ascii="Times New Roman" w:hAnsi="Times New Roman" w:eastAsia="Times New Roman"/>
          <w:color w:val="221F1F"/>
        </w:rPr>
        <w:t>2022</w:t>
      </w:r>
      <w:r>
        <w:rPr>
          <w:rFonts w:ascii="Times New Roman" w:hAnsi="Times New Roman" w:eastAsia="Times New Roman"/>
          <w:color w:val="221F1F"/>
          <w:spacing w:val="14"/>
        </w:rPr>
        <w:t> </w:t>
      </w:r>
      <w:r>
        <w:rPr>
          <w:rFonts w:ascii="黑体" w:hAnsi="黑体" w:eastAsia="黑体" w:hint="eastAsia"/>
          <w:color w:val="221F1F"/>
          <w:spacing w:val="-3"/>
        </w:rPr>
        <w:t>年由卫材向国家药监局提交</w:t>
      </w:r>
      <w:r>
        <w:rPr>
          <w:rFonts w:ascii="黑体" w:hAnsi="黑体" w:eastAsia="黑体" w:hint="eastAsia"/>
          <w:color w:val="221F1F"/>
          <w:spacing w:val="-1"/>
        </w:rPr>
        <w:t>上市申请，</w:t>
      </w:r>
      <w:r>
        <w:rPr>
          <w:rFonts w:ascii="Times New Roman" w:hAnsi="Times New Roman" w:eastAsia="Times New Roman"/>
          <w:color w:val="221F1F"/>
        </w:rPr>
        <w:t>2023</w:t>
      </w:r>
      <w:r>
        <w:rPr>
          <w:rFonts w:ascii="Times New Roman" w:hAnsi="Times New Roman" w:eastAsia="Times New Roman"/>
          <w:color w:val="221F1F"/>
          <w:spacing w:val="3"/>
        </w:rPr>
        <w:t> </w:t>
      </w:r>
      <w:r>
        <w:rPr>
          <w:rFonts w:ascii="黑体" w:hAnsi="黑体" w:eastAsia="黑体" w:hint="eastAsia"/>
          <w:color w:val="221F1F"/>
          <w:spacing w:val="-24"/>
        </w:rPr>
        <w:t>年 </w:t>
      </w:r>
      <w:r>
        <w:rPr>
          <w:rFonts w:ascii="Times New Roman" w:hAnsi="Times New Roman" w:eastAsia="Times New Roman"/>
          <w:color w:val="221F1F"/>
        </w:rPr>
        <w:t>10</w:t>
      </w:r>
      <w:r>
        <w:rPr>
          <w:rFonts w:ascii="Times New Roman" w:hAnsi="Times New Roman" w:eastAsia="Times New Roman"/>
          <w:color w:val="221F1F"/>
          <w:spacing w:val="3"/>
        </w:rPr>
        <w:t> </w:t>
      </w:r>
      <w:r>
        <w:rPr>
          <w:rFonts w:ascii="黑体" w:hAnsi="黑体" w:eastAsia="黑体" w:hint="eastAsia"/>
          <w:color w:val="221F1F"/>
          <w:spacing w:val="-24"/>
        </w:rPr>
        <w:t>月 </w:t>
      </w:r>
      <w:r>
        <w:rPr>
          <w:rFonts w:ascii="Times New Roman" w:hAnsi="Times New Roman" w:eastAsia="Times New Roman"/>
          <w:color w:val="221F1F"/>
        </w:rPr>
        <w:t>12</w:t>
      </w:r>
      <w:r>
        <w:rPr>
          <w:rFonts w:ascii="Times New Roman" w:hAnsi="Times New Roman" w:eastAsia="Times New Roman"/>
          <w:color w:val="221F1F"/>
          <w:spacing w:val="5"/>
        </w:rPr>
        <w:t> </w:t>
      </w:r>
      <w:r>
        <w:rPr>
          <w:rFonts w:ascii="黑体" w:hAnsi="黑体" w:eastAsia="黑体" w:hint="eastAsia"/>
          <w:color w:val="221F1F"/>
          <w:spacing w:val="-9"/>
        </w:rPr>
        <w:t>日澎湃新闻报道 </w:t>
      </w:r>
      <w:r>
        <w:rPr>
          <w:rFonts w:ascii="Times New Roman" w:hAnsi="Times New Roman" w:eastAsia="Times New Roman"/>
          <w:color w:val="221F1F"/>
        </w:rPr>
        <w:t>Leqembi</w:t>
      </w:r>
      <w:r>
        <w:rPr>
          <w:rFonts w:ascii="Times New Roman" w:hAnsi="Times New Roman" w:eastAsia="Times New Roman"/>
          <w:color w:val="221F1F"/>
          <w:spacing w:val="5"/>
        </w:rPr>
        <w:t> </w:t>
      </w:r>
      <w:r>
        <w:rPr>
          <w:rFonts w:ascii="黑体" w:hAnsi="黑体" w:eastAsia="黑体" w:hint="eastAsia"/>
          <w:color w:val="221F1F"/>
          <w:spacing w:val="-3"/>
        </w:rPr>
        <w:t>正式通过海南省药品监督管理局审核，落地海南博鳌乐城，商品名为</w:t>
      </w:r>
      <w:r>
        <w:rPr>
          <w:rFonts w:ascii="Times New Roman" w:hAnsi="Times New Roman" w:eastAsia="Times New Roman"/>
          <w:color w:val="221F1F"/>
        </w:rPr>
        <w:t>“</w:t>
      </w:r>
      <w:r>
        <w:rPr>
          <w:rFonts w:ascii="黑体" w:hAnsi="黑体" w:eastAsia="黑体" w:hint="eastAsia"/>
          <w:color w:val="221F1F"/>
          <w:spacing w:val="-2"/>
        </w:rPr>
        <w:t>乐意保</w:t>
      </w:r>
      <w:r>
        <w:rPr>
          <w:rFonts w:ascii="Times New Roman" w:hAnsi="Times New Roman" w:eastAsia="Times New Roman"/>
          <w:color w:val="221F1F"/>
          <w:spacing w:val="-3"/>
        </w:rPr>
        <w:t>”</w:t>
      </w:r>
      <w:r>
        <w:rPr>
          <w:rFonts w:ascii="黑体" w:hAnsi="黑体" w:eastAsia="黑体" w:hint="eastAsia"/>
          <w:color w:val="221F1F"/>
          <w:spacing w:val="-12"/>
        </w:rPr>
        <w:t>，定价 </w:t>
      </w:r>
      <w:r>
        <w:rPr>
          <w:rFonts w:ascii="Times New Roman" w:hAnsi="Times New Roman" w:eastAsia="Times New Roman"/>
          <w:color w:val="221F1F"/>
        </w:rPr>
        <w:t>3328.2</w:t>
      </w:r>
      <w:r>
        <w:rPr>
          <w:rFonts w:ascii="Times New Roman" w:hAnsi="Times New Roman" w:eastAsia="Times New Roman"/>
          <w:color w:val="221F1F"/>
          <w:spacing w:val="13"/>
        </w:rPr>
        <w:t> </w:t>
      </w:r>
      <w:r>
        <w:rPr>
          <w:rFonts w:ascii="黑体" w:hAnsi="黑体" w:eastAsia="黑体" w:hint="eastAsia"/>
          <w:color w:val="221F1F"/>
        </w:rPr>
        <w:t>元</w:t>
      </w:r>
      <w:r>
        <w:rPr>
          <w:rFonts w:ascii="Times New Roman" w:hAnsi="Times New Roman" w:eastAsia="Times New Roman"/>
          <w:color w:val="221F1F"/>
        </w:rPr>
        <w:t>/ </w:t>
      </w:r>
      <w:r>
        <w:rPr>
          <w:rFonts w:ascii="黑体" w:hAnsi="黑体" w:eastAsia="黑体" w:hint="eastAsia"/>
          <w:color w:val="221F1F"/>
          <w:spacing w:val="-12"/>
        </w:rPr>
        <w:t>瓶，乐意保在海南博鳌的获批意味着国内阿尔茨海默症治疗曙光出现，广阔</w:t>
      </w:r>
      <w:r>
        <w:rPr>
          <w:rFonts w:ascii="黑体" w:hAnsi="黑体" w:eastAsia="黑体" w:hint="eastAsia"/>
          <w:color w:val="221F1F"/>
          <w:spacing w:val="-15"/>
        </w:rPr>
        <w:t>蓝海市场前景可观，将有效推动我国阿尔茨海默治疗和诊断市场的发展，意</w:t>
      </w:r>
      <w:r>
        <w:rPr>
          <w:rFonts w:ascii="黑体" w:hAnsi="黑体" w:eastAsia="黑体" w:hint="eastAsia"/>
          <w:color w:val="221F1F"/>
          <w:spacing w:val="-1"/>
        </w:rPr>
        <w:t>义深远。</w:t>
      </w:r>
    </w:p>
    <w:p>
      <w:pPr>
        <w:pStyle w:val="ListParagraph"/>
        <w:numPr>
          <w:ilvl w:val="0"/>
          <w:numId w:val="1"/>
        </w:numPr>
        <w:tabs>
          <w:tab w:pos="568" w:val="left" w:leader="none"/>
        </w:tabs>
        <w:spacing w:line="240" w:lineRule="auto" w:before="162" w:after="0"/>
        <w:ind w:left="568" w:right="0" w:hanging="420"/>
        <w:jc w:val="left"/>
        <w:rPr>
          <w:rFonts w:ascii="黑体" w:eastAsia="黑体" w:hint="eastAsia"/>
          <w:sz w:val="21"/>
        </w:rPr>
      </w:pPr>
      <w:r>
        <w:rPr>
          <w:rFonts w:ascii="黑体" w:eastAsia="黑体" w:hint="eastAsia"/>
          <w:color w:val="221F1F"/>
          <w:spacing w:val="-5"/>
          <w:sz w:val="21"/>
        </w:rPr>
        <w:t>我国拥有庞大的阿尔茨海默症患者基数，针对该症状的诊疗市场广阔</w:t>
      </w:r>
    </w:p>
    <w:p>
      <w:pPr>
        <w:pStyle w:val="BodyText"/>
        <w:spacing w:line="242" w:lineRule="auto" w:before="4"/>
        <w:ind w:left="148" w:right="111"/>
        <w:rPr>
          <w:rFonts w:ascii="黑体" w:hAnsi="黑体" w:eastAsia="黑体" w:hint="eastAsia"/>
        </w:rPr>
      </w:pPr>
      <w:r>
        <w:rPr>
          <w:rFonts w:ascii="Times New Roman" w:hAnsi="Times New Roman" w:eastAsia="Times New Roman"/>
          <w:color w:val="221F1F"/>
        </w:rPr>
        <w:t>2019</w:t>
      </w:r>
      <w:r>
        <w:rPr>
          <w:rFonts w:ascii="Times New Roman" w:hAnsi="Times New Roman" w:eastAsia="Times New Roman"/>
          <w:color w:val="221F1F"/>
          <w:spacing w:val="2"/>
        </w:rPr>
        <w:t> </w:t>
      </w:r>
      <w:r>
        <w:rPr>
          <w:rFonts w:ascii="黑体" w:hAnsi="黑体" w:eastAsia="黑体" w:hint="eastAsia"/>
          <w:color w:val="221F1F"/>
          <w:spacing w:val="-10"/>
        </w:rPr>
        <w:t>年我国现存的 </w:t>
      </w:r>
      <w:r>
        <w:rPr>
          <w:rFonts w:ascii="Times New Roman" w:hAnsi="Times New Roman" w:eastAsia="Times New Roman"/>
          <w:color w:val="221F1F"/>
        </w:rPr>
        <w:t>AD</w:t>
      </w:r>
      <w:r>
        <w:rPr>
          <w:rFonts w:ascii="Times New Roman" w:hAnsi="Times New Roman" w:eastAsia="Times New Roman"/>
          <w:color w:val="221F1F"/>
          <w:spacing w:val="6"/>
        </w:rPr>
        <w:t> </w:t>
      </w:r>
      <w:r>
        <w:rPr>
          <w:rFonts w:ascii="黑体" w:hAnsi="黑体" w:eastAsia="黑体" w:hint="eastAsia"/>
          <w:color w:val="221F1F"/>
          <w:spacing w:val="-8"/>
        </w:rPr>
        <w:t>及其他痴呆患病人数为 </w:t>
      </w:r>
      <w:r>
        <w:rPr>
          <w:rFonts w:ascii="Times New Roman" w:hAnsi="Times New Roman" w:eastAsia="Times New Roman"/>
          <w:color w:val="221F1F"/>
        </w:rPr>
        <w:t>1324</w:t>
      </w:r>
      <w:r>
        <w:rPr>
          <w:rFonts w:ascii="Times New Roman" w:hAnsi="Times New Roman" w:eastAsia="Times New Roman"/>
          <w:color w:val="221F1F"/>
          <w:spacing w:val="3"/>
        </w:rPr>
        <w:t> </w:t>
      </w:r>
      <w:r>
        <w:rPr>
          <w:rFonts w:ascii="黑体" w:hAnsi="黑体" w:eastAsia="黑体" w:hint="eastAsia"/>
          <w:color w:val="221F1F"/>
          <w:spacing w:val="-11"/>
        </w:rPr>
        <w:t>万例，全国各省</w:t>
      </w:r>
      <w:r>
        <w:rPr>
          <w:rFonts w:ascii="黑体" w:hAnsi="黑体" w:eastAsia="黑体" w:hint="eastAsia"/>
          <w:color w:val="221F1F"/>
        </w:rPr>
        <w:t>（</w:t>
      </w:r>
      <w:r>
        <w:rPr>
          <w:rFonts w:ascii="黑体" w:hAnsi="黑体" w:eastAsia="黑体" w:hint="eastAsia"/>
          <w:color w:val="221F1F"/>
          <w:spacing w:val="-2"/>
        </w:rPr>
        <w:t>包含</w:t>
      </w:r>
      <w:r>
        <w:rPr>
          <w:rFonts w:ascii="黑体" w:hAnsi="黑体" w:eastAsia="黑体" w:hint="eastAsia"/>
          <w:color w:val="221F1F"/>
          <w:spacing w:val="-3"/>
        </w:rPr>
        <w:t>直辖市</w:t>
      </w:r>
      <w:r>
        <w:rPr>
          <w:rFonts w:ascii="黑体" w:hAnsi="黑体" w:eastAsia="黑体" w:hint="eastAsia"/>
          <w:color w:val="221F1F"/>
          <w:spacing w:val="-29"/>
        </w:rPr>
        <w:t>）</w:t>
      </w:r>
      <w:r>
        <w:rPr>
          <w:rFonts w:ascii="黑体" w:hAnsi="黑体" w:eastAsia="黑体" w:hint="eastAsia"/>
          <w:color w:val="221F1F"/>
          <w:spacing w:val="-21"/>
        </w:rPr>
        <w:t>的 </w:t>
      </w:r>
      <w:r>
        <w:rPr>
          <w:rFonts w:ascii="Times New Roman" w:hAnsi="Times New Roman" w:eastAsia="Times New Roman"/>
          <w:color w:val="221F1F"/>
        </w:rPr>
        <w:t>AD</w:t>
      </w:r>
      <w:r>
        <w:rPr>
          <w:rFonts w:ascii="Times New Roman" w:hAnsi="Times New Roman" w:eastAsia="Times New Roman"/>
          <w:color w:val="221F1F"/>
          <w:spacing w:val="16"/>
        </w:rPr>
        <w:t> </w:t>
      </w:r>
      <w:r>
        <w:rPr>
          <w:rFonts w:ascii="黑体" w:hAnsi="黑体" w:eastAsia="黑体" w:hint="eastAsia"/>
          <w:color w:val="221F1F"/>
          <w:spacing w:val="-6"/>
        </w:rPr>
        <w:t>及其他痴呆发病率为</w:t>
      </w:r>
      <w:r>
        <w:rPr>
          <w:rFonts w:ascii="黑体" w:hAnsi="黑体" w:eastAsia="黑体" w:hint="eastAsia"/>
          <w:color w:val="221F1F"/>
          <w:spacing w:val="-4"/>
        </w:rPr>
        <w:t>（</w:t>
      </w:r>
      <w:r>
        <w:rPr>
          <w:rFonts w:ascii="Times New Roman" w:hAnsi="Times New Roman" w:eastAsia="Times New Roman"/>
          <w:color w:val="221F1F"/>
          <w:spacing w:val="-4"/>
        </w:rPr>
        <w:t>0.56-2.07</w:t>
      </w:r>
      <w:r>
        <w:rPr>
          <w:rFonts w:ascii="黑体" w:hAnsi="黑体" w:eastAsia="黑体" w:hint="eastAsia"/>
          <w:color w:val="221F1F"/>
          <w:spacing w:val="-4"/>
        </w:rPr>
        <w:t>）</w:t>
      </w:r>
      <w:r>
        <w:rPr>
          <w:rFonts w:ascii="Times New Roman" w:hAnsi="Times New Roman" w:eastAsia="Times New Roman"/>
          <w:color w:val="221F1F"/>
          <w:spacing w:val="-4"/>
        </w:rPr>
        <w:t>/‰</w:t>
      </w:r>
      <w:r>
        <w:rPr>
          <w:rFonts w:ascii="黑体" w:hAnsi="黑体" w:eastAsia="黑体" w:hint="eastAsia"/>
          <w:color w:val="221F1F"/>
          <w:spacing w:val="-9"/>
        </w:rPr>
        <w:t>。检测手段方面，国内</w:t>
      </w:r>
      <w:r>
        <w:rPr>
          <w:rFonts w:ascii="Times New Roman" w:hAnsi="Times New Roman" w:eastAsia="Times New Roman"/>
          <w:color w:val="221F1F"/>
          <w:spacing w:val="-9"/>
        </w:rPr>
        <w:t>PET-CT</w:t>
      </w:r>
      <w:r>
        <w:rPr>
          <w:rFonts w:ascii="Times New Roman" w:hAnsi="Times New Roman" w:eastAsia="Times New Roman"/>
          <w:color w:val="221F1F"/>
          <w:spacing w:val="24"/>
        </w:rPr>
        <w:t> </w:t>
      </w:r>
      <w:r>
        <w:rPr>
          <w:rFonts w:ascii="黑体" w:hAnsi="黑体" w:eastAsia="黑体" w:hint="eastAsia"/>
          <w:color w:val="221F1F"/>
          <w:spacing w:val="-3"/>
        </w:rPr>
        <w:t>方法目前率先有产品上市，生物标志物检测这块尚未有产品上市， </w:t>
      </w:r>
      <w:r>
        <w:rPr>
          <w:rFonts w:ascii="黑体" w:hAnsi="黑体" w:eastAsia="黑体" w:hint="eastAsia"/>
          <w:color w:val="221F1F"/>
          <w:spacing w:val="-6"/>
        </w:rPr>
        <w:t>因此未来一段时间内 </w:t>
      </w:r>
      <w:r>
        <w:rPr>
          <w:rFonts w:ascii="Times New Roman" w:hAnsi="Times New Roman" w:eastAsia="Times New Roman"/>
          <w:color w:val="221F1F"/>
        </w:rPr>
        <w:t>PET</w:t>
      </w:r>
      <w:r>
        <w:rPr>
          <w:rFonts w:ascii="Times New Roman" w:hAnsi="Times New Roman" w:eastAsia="Times New Roman"/>
          <w:color w:val="221F1F"/>
          <w:spacing w:val="23"/>
        </w:rPr>
        <w:t> </w:t>
      </w:r>
      <w:r>
        <w:rPr>
          <w:rFonts w:ascii="黑体" w:hAnsi="黑体" w:eastAsia="黑体" w:hint="eastAsia"/>
          <w:color w:val="221F1F"/>
          <w:spacing w:val="-3"/>
        </w:rPr>
        <w:t>示踪剂检测将成为主流诊断手段，目前检测费用</w:t>
      </w:r>
      <w:r>
        <w:rPr>
          <w:rFonts w:ascii="黑体" w:hAnsi="黑体" w:eastAsia="黑体" w:hint="eastAsia"/>
          <w:color w:val="221F1F"/>
          <w:spacing w:val="-30"/>
        </w:rPr>
        <w:t>在 </w:t>
      </w:r>
      <w:r>
        <w:rPr>
          <w:rFonts w:ascii="Times New Roman" w:hAnsi="Times New Roman" w:eastAsia="Times New Roman"/>
          <w:color w:val="221F1F"/>
        </w:rPr>
        <w:t>6000</w:t>
      </w:r>
      <w:r>
        <w:rPr>
          <w:rFonts w:ascii="Times New Roman" w:hAnsi="Times New Roman" w:eastAsia="Times New Roman"/>
          <w:color w:val="221F1F"/>
          <w:spacing w:val="-7"/>
        </w:rPr>
        <w:t> </w:t>
      </w:r>
      <w:r>
        <w:rPr>
          <w:rFonts w:ascii="黑体" w:hAnsi="黑体" w:eastAsia="黑体" w:hint="eastAsia"/>
          <w:color w:val="221F1F"/>
          <w:spacing w:val="-13"/>
        </w:rPr>
        <w:t>元左右，我们认为未来随着检测成本逐步降低和市场需求持续增大</w:t>
      </w:r>
      <w:r>
        <w:rPr>
          <w:rFonts w:ascii="黑体" w:hAnsi="黑体" w:eastAsia="黑体" w:hint="eastAsia"/>
          <w:color w:val="221F1F"/>
          <w:spacing w:val="-18"/>
          <w:w w:val="100"/>
        </w:rPr>
        <w:t>产品有望纳入医保，</w:t>
      </w:r>
      <w:r>
        <w:rPr>
          <w:rFonts w:ascii="Times New Roman" w:hAnsi="Times New Roman" w:eastAsia="Times New Roman"/>
          <w:color w:val="221F1F"/>
          <w:spacing w:val="-2"/>
          <w:w w:val="100"/>
        </w:rPr>
        <w:t>2</w:t>
      </w:r>
      <w:r>
        <w:rPr>
          <w:rFonts w:ascii="Times New Roman" w:hAnsi="Times New Roman" w:eastAsia="Times New Roman"/>
          <w:color w:val="221F1F"/>
          <w:w w:val="100"/>
        </w:rPr>
        <w:t>0</w:t>
      </w:r>
      <w:r>
        <w:rPr>
          <w:rFonts w:ascii="Times New Roman" w:hAnsi="Times New Roman" w:eastAsia="Times New Roman"/>
          <w:color w:val="221F1F"/>
          <w:spacing w:val="-3"/>
          <w:w w:val="100"/>
        </w:rPr>
        <w:t>3</w:t>
      </w:r>
      <w:r>
        <w:rPr>
          <w:rFonts w:ascii="Times New Roman" w:hAnsi="Times New Roman" w:eastAsia="Times New Roman"/>
          <w:color w:val="221F1F"/>
          <w:w w:val="100"/>
        </w:rPr>
        <w:t>0</w:t>
      </w:r>
      <w:r>
        <w:rPr>
          <w:rFonts w:ascii="Times New Roman" w:hAnsi="Times New Roman" w:eastAsia="Times New Roman"/>
          <w:color w:val="221F1F"/>
          <w:spacing w:val="-10"/>
        </w:rPr>
        <w:t> </w:t>
      </w:r>
      <w:r>
        <w:rPr>
          <w:rFonts w:ascii="黑体" w:hAnsi="黑体" w:eastAsia="黑体" w:hint="eastAsia"/>
          <w:color w:val="221F1F"/>
          <w:spacing w:val="-3"/>
          <w:w w:val="100"/>
        </w:rPr>
        <w:t>年价格有望稳定在</w:t>
      </w:r>
      <w:r>
        <w:rPr>
          <w:rFonts w:ascii="黑体" w:hAnsi="黑体" w:eastAsia="黑体" w:hint="eastAsia"/>
          <w:color w:val="221F1F"/>
          <w:spacing w:val="-63"/>
        </w:rPr>
        <w:t> </w:t>
      </w:r>
      <w:r>
        <w:rPr>
          <w:rFonts w:ascii="Times New Roman" w:hAnsi="Times New Roman" w:eastAsia="Times New Roman"/>
          <w:color w:val="221F1F"/>
          <w:w w:val="100"/>
        </w:rPr>
        <w:t>20</w:t>
      </w:r>
      <w:r>
        <w:rPr>
          <w:rFonts w:ascii="Times New Roman" w:hAnsi="Times New Roman" w:eastAsia="Times New Roman"/>
          <w:color w:val="221F1F"/>
          <w:spacing w:val="-3"/>
          <w:w w:val="100"/>
        </w:rPr>
        <w:t>0</w:t>
      </w:r>
      <w:r>
        <w:rPr>
          <w:rFonts w:ascii="Times New Roman" w:hAnsi="Times New Roman" w:eastAsia="Times New Roman"/>
          <w:color w:val="221F1F"/>
          <w:w w:val="100"/>
        </w:rPr>
        <w:t>0</w:t>
      </w:r>
      <w:r>
        <w:rPr>
          <w:rFonts w:ascii="Times New Roman" w:hAnsi="Times New Roman" w:eastAsia="Times New Roman"/>
          <w:color w:val="221F1F"/>
          <w:spacing w:val="-7"/>
        </w:rPr>
        <w:t> </w:t>
      </w:r>
      <w:r>
        <w:rPr>
          <w:rFonts w:ascii="黑体" w:hAnsi="黑体" w:eastAsia="黑体" w:hint="eastAsia"/>
          <w:color w:val="221F1F"/>
          <w:spacing w:val="-17"/>
          <w:w w:val="100"/>
        </w:rPr>
        <w:t>元左右。此外随着</w:t>
      </w:r>
      <w:r>
        <w:rPr>
          <w:rFonts w:ascii="黑体" w:hAnsi="黑体" w:eastAsia="黑体" w:hint="eastAsia"/>
          <w:color w:val="221F1F"/>
          <w:spacing w:val="-60"/>
        </w:rPr>
        <w:t> </w:t>
      </w:r>
      <w:r>
        <w:rPr>
          <w:rFonts w:ascii="Times New Roman" w:hAnsi="Times New Roman" w:eastAsia="Times New Roman"/>
          <w:color w:val="221F1F"/>
          <w:w w:val="100"/>
        </w:rPr>
        <w:t>L</w:t>
      </w:r>
      <w:r>
        <w:rPr>
          <w:rFonts w:ascii="Times New Roman" w:hAnsi="Times New Roman" w:eastAsia="Times New Roman"/>
          <w:color w:val="221F1F"/>
          <w:spacing w:val="-3"/>
          <w:w w:val="100"/>
        </w:rPr>
        <w:t>e</w:t>
      </w:r>
      <w:r>
        <w:rPr>
          <w:rFonts w:ascii="Times New Roman" w:hAnsi="Times New Roman" w:eastAsia="Times New Roman"/>
          <w:color w:val="221F1F"/>
          <w:w w:val="100"/>
        </w:rPr>
        <w:t>qe</w:t>
      </w:r>
      <w:r>
        <w:rPr>
          <w:rFonts w:ascii="Times New Roman" w:hAnsi="Times New Roman" w:eastAsia="Times New Roman"/>
          <w:color w:val="221F1F"/>
          <w:spacing w:val="-2"/>
          <w:w w:val="100"/>
        </w:rPr>
        <w:t>m</w:t>
      </w:r>
      <w:r>
        <w:rPr>
          <w:rFonts w:ascii="Times New Roman" w:hAnsi="Times New Roman" w:eastAsia="Times New Roman"/>
          <w:color w:val="221F1F"/>
          <w:w w:val="100"/>
        </w:rPr>
        <w:t>bi</w:t>
      </w:r>
      <w:r>
        <w:rPr>
          <w:rFonts w:ascii="黑体" w:hAnsi="黑体" w:eastAsia="黑体" w:hint="eastAsia"/>
          <w:color w:val="221F1F"/>
          <w:spacing w:val="-9"/>
        </w:rPr>
        <w:t>等相关创新药从 </w:t>
      </w:r>
      <w:r>
        <w:rPr>
          <w:rFonts w:ascii="Times New Roman" w:hAnsi="Times New Roman" w:eastAsia="Times New Roman"/>
          <w:color w:val="221F1F"/>
        </w:rPr>
        <w:t>2024</w:t>
      </w:r>
      <w:r>
        <w:rPr>
          <w:rFonts w:ascii="Times New Roman" w:hAnsi="Times New Roman" w:eastAsia="Times New Roman"/>
          <w:color w:val="221F1F"/>
          <w:spacing w:val="6"/>
        </w:rPr>
        <w:t> </w:t>
      </w:r>
      <w:r>
        <w:rPr>
          <w:rFonts w:ascii="黑体" w:hAnsi="黑体" w:eastAsia="黑体" w:hint="eastAsia"/>
          <w:color w:val="221F1F"/>
          <w:spacing w:val="-12"/>
        </w:rPr>
        <w:t>年开始逐步在国内上市，我们预计将会带动 </w:t>
      </w:r>
      <w:r>
        <w:rPr>
          <w:rFonts w:ascii="Times New Roman" w:hAnsi="Times New Roman" w:eastAsia="Times New Roman"/>
          <w:color w:val="221F1F"/>
        </w:rPr>
        <w:t>PET</w:t>
      </w:r>
      <w:r>
        <w:rPr>
          <w:rFonts w:ascii="Times New Roman" w:hAnsi="Times New Roman" w:eastAsia="Times New Roman"/>
          <w:color w:val="221F1F"/>
          <w:spacing w:val="4"/>
        </w:rPr>
        <w:t> </w:t>
      </w:r>
      <w:r>
        <w:rPr>
          <w:rFonts w:ascii="黑体" w:hAnsi="黑体" w:eastAsia="黑体" w:hint="eastAsia"/>
          <w:color w:val="221F1F"/>
        </w:rPr>
        <w:t>影像</w:t>
      </w:r>
      <w:r>
        <w:rPr>
          <w:rFonts w:ascii="黑体" w:hAnsi="黑体" w:eastAsia="黑体" w:hint="eastAsia"/>
          <w:color w:val="221F1F"/>
          <w:spacing w:val="-4"/>
        </w:rPr>
        <w:t>检测市场逐步增长，伴随着老龄化进程加快，假设每年患病人口增长 </w:t>
      </w:r>
      <w:r>
        <w:rPr>
          <w:rFonts w:ascii="Times New Roman" w:hAnsi="Times New Roman" w:eastAsia="Times New Roman"/>
          <w:color w:val="221F1F"/>
        </w:rPr>
        <w:t>2%</w:t>
      </w:r>
      <w:r>
        <w:rPr>
          <w:rFonts w:ascii="黑体" w:hAnsi="黑体" w:eastAsia="黑体" w:hint="eastAsia"/>
          <w:color w:val="221F1F"/>
        </w:rPr>
        <w:t>。</w:t>
      </w:r>
      <w:r>
        <w:rPr>
          <w:rFonts w:ascii="黑体" w:hAnsi="黑体" w:eastAsia="黑体" w:hint="eastAsia"/>
          <w:color w:val="221F1F"/>
          <w:spacing w:val="-6"/>
        </w:rPr>
        <w:t>根据我们的测算，我们认为最终阿尔茨海默 </w:t>
      </w:r>
      <w:r>
        <w:rPr>
          <w:rFonts w:ascii="Times New Roman" w:hAnsi="Times New Roman" w:eastAsia="Times New Roman"/>
          <w:color w:val="221F1F"/>
        </w:rPr>
        <w:t>PET</w:t>
      </w:r>
      <w:r>
        <w:rPr>
          <w:rFonts w:ascii="Times New Roman" w:hAnsi="Times New Roman" w:eastAsia="Times New Roman"/>
          <w:color w:val="221F1F"/>
          <w:spacing w:val="9"/>
        </w:rPr>
        <w:t> </w:t>
      </w:r>
      <w:r>
        <w:rPr>
          <w:rFonts w:ascii="黑体" w:hAnsi="黑体" w:eastAsia="黑体" w:hint="eastAsia"/>
          <w:color w:val="221F1F"/>
          <w:spacing w:val="-10"/>
        </w:rPr>
        <w:t>检测市场和 </w:t>
      </w:r>
      <w:r>
        <w:rPr>
          <w:rFonts w:ascii="Times New Roman" w:hAnsi="Times New Roman" w:eastAsia="Times New Roman"/>
          <w:color w:val="221F1F"/>
        </w:rPr>
        <w:t>Leqembi</w:t>
      </w:r>
      <w:r>
        <w:rPr>
          <w:rFonts w:ascii="Times New Roman" w:hAnsi="Times New Roman" w:eastAsia="Times New Roman"/>
          <w:color w:val="221F1F"/>
          <w:spacing w:val="6"/>
        </w:rPr>
        <w:t> </w:t>
      </w:r>
      <w:r>
        <w:rPr>
          <w:rFonts w:ascii="黑体" w:hAnsi="黑体" w:eastAsia="黑体" w:hint="eastAsia"/>
          <w:color w:val="221F1F"/>
        </w:rPr>
        <w:t>国内</w:t>
      </w:r>
      <w:r>
        <w:rPr>
          <w:rFonts w:ascii="黑体" w:hAnsi="黑体" w:eastAsia="黑体" w:hint="eastAsia"/>
          <w:color w:val="221F1F"/>
          <w:spacing w:val="-3"/>
        </w:rPr>
        <w:t>销售额有望近百亿。</w:t>
      </w:r>
    </w:p>
    <w:p>
      <w:pPr>
        <w:pStyle w:val="ListParagraph"/>
        <w:numPr>
          <w:ilvl w:val="0"/>
          <w:numId w:val="1"/>
        </w:numPr>
        <w:tabs>
          <w:tab w:pos="568" w:val="left" w:leader="none"/>
        </w:tabs>
        <w:spacing w:line="242" w:lineRule="auto" w:before="163" w:after="0"/>
        <w:ind w:left="148" w:right="159" w:firstLine="0"/>
        <w:jc w:val="left"/>
        <w:rPr>
          <w:rFonts w:ascii="黑体" w:eastAsia="黑体" w:hint="eastAsia"/>
          <w:sz w:val="21"/>
        </w:rPr>
      </w:pPr>
      <w:r>
        <w:rPr>
          <w:rFonts w:ascii="黑体" w:eastAsia="黑体" w:hint="eastAsia"/>
          <w:color w:val="221F1F"/>
          <w:spacing w:val="-10"/>
          <w:sz w:val="21"/>
        </w:rPr>
        <w:t>国内各类针对阿尔茨海默症药物研发如火如荼。单抗类、抑制剂、拮抗</w:t>
      </w:r>
      <w:r>
        <w:rPr>
          <w:rFonts w:ascii="黑体" w:eastAsia="黑体" w:hint="eastAsia"/>
          <w:color w:val="221F1F"/>
          <w:spacing w:val="-13"/>
          <w:sz w:val="21"/>
        </w:rPr>
        <w:t>剂、中药、干细胞、外泌体等均已有临床布局。礼来、罗氏等布局的单抗药</w:t>
      </w:r>
      <w:r>
        <w:rPr>
          <w:rFonts w:ascii="黑体" w:eastAsia="黑体" w:hint="eastAsia"/>
          <w:color w:val="221F1F"/>
          <w:spacing w:val="-10"/>
          <w:sz w:val="21"/>
        </w:rPr>
        <w:t>物在国内已进入临床 </w:t>
      </w:r>
      <w:r>
        <w:rPr>
          <w:rFonts w:ascii="Times New Roman" w:eastAsia="Times New Roman"/>
          <w:color w:val="221F1F"/>
          <w:sz w:val="21"/>
        </w:rPr>
        <w:t>III</w:t>
      </w:r>
      <w:r>
        <w:rPr>
          <w:rFonts w:ascii="Times New Roman" w:eastAsia="Times New Roman"/>
          <w:color w:val="221F1F"/>
          <w:spacing w:val="9"/>
          <w:sz w:val="21"/>
        </w:rPr>
        <w:t> </w:t>
      </w:r>
      <w:r>
        <w:rPr>
          <w:rFonts w:ascii="黑体" w:eastAsia="黑体" w:hint="eastAsia"/>
          <w:color w:val="221F1F"/>
          <w:spacing w:val="-6"/>
          <w:sz w:val="21"/>
        </w:rPr>
        <w:t>期，恒瑞医药单抗类药物已进入临床 </w:t>
      </w:r>
      <w:r>
        <w:rPr>
          <w:rFonts w:ascii="Times New Roman" w:eastAsia="Times New Roman"/>
          <w:color w:val="221F1F"/>
          <w:sz w:val="21"/>
        </w:rPr>
        <w:t>I</w:t>
      </w:r>
      <w:r>
        <w:rPr>
          <w:rFonts w:ascii="Times New Roman" w:eastAsia="Times New Roman"/>
          <w:color w:val="221F1F"/>
          <w:spacing w:val="9"/>
          <w:sz w:val="21"/>
        </w:rPr>
        <w:t> </w:t>
      </w:r>
      <w:r>
        <w:rPr>
          <w:rFonts w:ascii="黑体" w:eastAsia="黑体" w:hint="eastAsia"/>
          <w:color w:val="221F1F"/>
          <w:spacing w:val="-3"/>
          <w:sz w:val="21"/>
        </w:rPr>
        <w:t>期。现阶段</w:t>
      </w:r>
      <w:r>
        <w:rPr>
          <w:rFonts w:ascii="黑体" w:eastAsia="黑体" w:hint="eastAsia"/>
          <w:color w:val="221F1F"/>
          <w:spacing w:val="-4"/>
          <w:sz w:val="21"/>
        </w:rPr>
        <w:t>主流的乙酰胆碱酯酶抑制剂</w:t>
      </w:r>
      <w:r>
        <w:rPr>
          <w:rFonts w:ascii="黑体" w:eastAsia="黑体" w:hint="eastAsia"/>
          <w:color w:val="221F1F"/>
          <w:spacing w:val="-3"/>
          <w:sz w:val="21"/>
        </w:rPr>
        <w:t>（</w:t>
      </w:r>
      <w:r>
        <w:rPr>
          <w:rFonts w:ascii="Times New Roman" w:eastAsia="Times New Roman"/>
          <w:color w:val="221F1F"/>
          <w:spacing w:val="-3"/>
          <w:sz w:val="21"/>
        </w:rPr>
        <w:t>AChE</w:t>
      </w:r>
      <w:r>
        <w:rPr>
          <w:rFonts w:ascii="黑体" w:eastAsia="黑体" w:hint="eastAsia"/>
          <w:color w:val="221F1F"/>
          <w:spacing w:val="-3"/>
          <w:sz w:val="21"/>
        </w:rPr>
        <w:t>）</w:t>
      </w:r>
      <w:r>
        <w:rPr>
          <w:rFonts w:ascii="黑体" w:eastAsia="黑体" w:hint="eastAsia"/>
          <w:color w:val="221F1F"/>
          <w:spacing w:val="-4"/>
          <w:sz w:val="21"/>
        </w:rPr>
        <w:t>、谷氨酸受体拮抗剂及其他治疗药物</w:t>
      </w:r>
      <w:r>
        <w:rPr>
          <w:rFonts w:ascii="黑体" w:eastAsia="黑体" w:hint="eastAsia"/>
          <w:color w:val="221F1F"/>
          <w:spacing w:val="-16"/>
          <w:sz w:val="21"/>
        </w:rPr>
        <w:t>研发公司较多，上市公司方面有通化金马、海正药业、康缘药业、东阳光药</w:t>
      </w:r>
      <w:r>
        <w:rPr>
          <w:rFonts w:ascii="黑体" w:eastAsia="黑体" w:hint="eastAsia"/>
          <w:color w:val="221F1F"/>
          <w:spacing w:val="-15"/>
          <w:sz w:val="21"/>
        </w:rPr>
        <w:t>新华制药、先声药业、华海药业等。减肥药司美格鲁肽也加入阿尔茨海默适</w:t>
      </w:r>
      <w:r>
        <w:rPr>
          <w:rFonts w:ascii="黑体" w:eastAsia="黑体" w:hint="eastAsia"/>
          <w:color w:val="221F1F"/>
          <w:spacing w:val="-9"/>
          <w:sz w:val="21"/>
        </w:rPr>
        <w:t>应症研究行列，目前在中国状态已经进入 </w:t>
      </w:r>
      <w:r>
        <w:rPr>
          <w:rFonts w:ascii="Times New Roman" w:eastAsia="Times New Roman"/>
          <w:color w:val="221F1F"/>
          <w:sz w:val="21"/>
        </w:rPr>
        <w:t>III</w:t>
      </w:r>
      <w:r>
        <w:rPr>
          <w:rFonts w:ascii="Times New Roman" w:eastAsia="Times New Roman"/>
          <w:color w:val="221F1F"/>
          <w:spacing w:val="14"/>
          <w:sz w:val="21"/>
        </w:rPr>
        <w:t> </w:t>
      </w:r>
      <w:r>
        <w:rPr>
          <w:rFonts w:ascii="黑体" w:eastAsia="黑体" w:hint="eastAsia"/>
          <w:color w:val="221F1F"/>
          <w:spacing w:val="-5"/>
          <w:sz w:val="21"/>
        </w:rPr>
        <w:t>期。国内目前天士力、康弘药</w:t>
      </w:r>
      <w:r>
        <w:rPr>
          <w:rFonts w:ascii="黑体" w:eastAsia="黑体" w:hint="eastAsia"/>
          <w:color w:val="221F1F"/>
          <w:spacing w:val="-7"/>
          <w:sz w:val="21"/>
        </w:rPr>
        <w:t>业、石药集团等均将中药及天然产物推进到了临床 </w:t>
      </w:r>
      <w:r>
        <w:rPr>
          <w:rFonts w:ascii="Times New Roman" w:eastAsia="Times New Roman"/>
          <w:color w:val="221F1F"/>
          <w:sz w:val="21"/>
        </w:rPr>
        <w:t>I</w:t>
      </w:r>
      <w:r>
        <w:rPr>
          <w:rFonts w:ascii="黑体" w:eastAsia="黑体" w:hint="eastAsia"/>
          <w:color w:val="221F1F"/>
          <w:spacing w:val="-8"/>
          <w:sz w:val="21"/>
        </w:rPr>
        <w:t>、</w:t>
      </w:r>
      <w:r>
        <w:rPr>
          <w:rFonts w:ascii="Times New Roman" w:eastAsia="Times New Roman"/>
          <w:color w:val="221F1F"/>
          <w:sz w:val="21"/>
        </w:rPr>
        <w:t>II</w:t>
      </w:r>
      <w:r>
        <w:rPr>
          <w:rFonts w:ascii="Times New Roman" w:eastAsia="Times New Roman"/>
          <w:color w:val="221F1F"/>
          <w:spacing w:val="14"/>
          <w:sz w:val="21"/>
        </w:rPr>
        <w:t> </w:t>
      </w:r>
      <w:r>
        <w:rPr>
          <w:rFonts w:ascii="黑体" w:eastAsia="黑体" w:hint="eastAsia"/>
          <w:color w:val="221F1F"/>
          <w:spacing w:val="-4"/>
          <w:sz w:val="21"/>
        </w:rPr>
        <w:t>期。干细胞治疗阿</w:t>
      </w:r>
      <w:r>
        <w:rPr>
          <w:rFonts w:ascii="黑体" w:eastAsia="黑体" w:hint="eastAsia"/>
          <w:color w:val="221F1F"/>
          <w:spacing w:val="-3"/>
          <w:sz w:val="21"/>
        </w:rPr>
        <w:t>尔茨海默症未来可期。</w:t>
      </w:r>
    </w:p>
    <w:p>
      <w:pPr>
        <w:pStyle w:val="BodyText"/>
        <w:spacing w:line="242" w:lineRule="auto" w:before="161"/>
        <w:ind w:left="148" w:right="159"/>
        <w:jc w:val="both"/>
        <w:rPr>
          <w:rFonts w:ascii="黑体" w:hAnsi="黑体" w:eastAsia="黑体" w:hint="eastAsia"/>
        </w:rPr>
      </w:pPr>
      <w:r>
        <w:rPr>
          <w:rFonts w:ascii="黑体" w:hAnsi="黑体" w:eastAsia="黑体" w:hint="eastAsia"/>
          <w:color w:val="221F1F"/>
          <w:spacing w:val="-3"/>
        </w:rPr>
        <w:t>投资建议：</w:t>
      </w:r>
      <w:r>
        <w:rPr>
          <w:rFonts w:ascii="Times New Roman" w:hAnsi="Times New Roman" w:eastAsia="Times New Roman"/>
          <w:color w:val="221F1F"/>
          <w:spacing w:val="-9"/>
        </w:rPr>
        <w:t>AD </w:t>
      </w:r>
      <w:r>
        <w:rPr>
          <w:rFonts w:ascii="黑体" w:hAnsi="黑体" w:eastAsia="黑体" w:hint="eastAsia"/>
          <w:color w:val="221F1F"/>
          <w:spacing w:val="-7"/>
        </w:rPr>
        <w:t>作为全球性疑难杂症，治疗及诊断市场广阔，国内目前有多</w:t>
      </w:r>
      <w:r>
        <w:rPr>
          <w:rFonts w:ascii="黑体" w:hAnsi="黑体" w:eastAsia="黑体" w:hint="eastAsia"/>
          <w:color w:val="221F1F"/>
          <w:spacing w:val="-13"/>
        </w:rPr>
        <w:t>家公司投入相关研究，药物研发方面我们建议关注恒瑞医药、东阳光药、海</w:t>
      </w:r>
      <w:r>
        <w:rPr>
          <w:rFonts w:ascii="黑体" w:hAnsi="黑体" w:eastAsia="黑体" w:hint="eastAsia"/>
          <w:color w:val="221F1F"/>
          <w:spacing w:val="-14"/>
        </w:rPr>
        <w:t>正药业、先声药业、新华制药、华海药业等，诊断试剂方面我们建议关注东</w:t>
      </w:r>
      <w:r>
        <w:rPr>
          <w:rFonts w:ascii="黑体" w:hAnsi="黑体" w:eastAsia="黑体" w:hint="eastAsia"/>
          <w:color w:val="221F1F"/>
          <w:spacing w:val="-7"/>
        </w:rPr>
        <w:t>诚药业，对医药行业维持</w:t>
      </w:r>
      <w:r>
        <w:rPr>
          <w:rFonts w:ascii="Times New Roman" w:hAnsi="Times New Roman" w:eastAsia="Times New Roman"/>
          <w:color w:val="221F1F"/>
          <w:spacing w:val="-3"/>
        </w:rPr>
        <w:t>“</w:t>
      </w:r>
      <w:r>
        <w:rPr>
          <w:rFonts w:ascii="黑体" w:hAnsi="黑体" w:eastAsia="黑体" w:hint="eastAsia"/>
          <w:color w:val="221F1F"/>
        </w:rPr>
        <w:t>推荐</w:t>
      </w:r>
      <w:r>
        <w:rPr>
          <w:rFonts w:ascii="Times New Roman" w:hAnsi="Times New Roman" w:eastAsia="Times New Roman"/>
          <w:color w:val="221F1F"/>
          <w:spacing w:val="-3"/>
        </w:rPr>
        <w:t>”</w:t>
      </w:r>
      <w:r>
        <w:rPr>
          <w:rFonts w:ascii="黑体" w:hAnsi="黑体" w:eastAsia="黑体" w:hint="eastAsia"/>
          <w:color w:val="221F1F"/>
          <w:spacing w:val="-2"/>
        </w:rPr>
        <w:t>评级。</w:t>
      </w:r>
    </w:p>
    <w:p>
      <w:pPr>
        <w:pStyle w:val="BodyText"/>
        <w:spacing w:line="242" w:lineRule="auto" w:before="159"/>
        <w:ind w:left="148" w:right="95"/>
        <w:rPr>
          <w:rFonts w:ascii="黑体" w:eastAsia="黑体" w:hint="eastAsia"/>
        </w:rPr>
      </w:pPr>
      <w:r>
        <w:rPr>
          <w:rFonts w:ascii="黑体" w:eastAsia="黑体" w:hint="eastAsia"/>
          <w:color w:val="221F1F"/>
        </w:rPr>
        <w:t>风险提示：</w:t>
      </w:r>
      <w:r>
        <w:rPr>
          <w:rFonts w:ascii="Times New Roman" w:eastAsia="Times New Roman"/>
          <w:color w:val="221F1F"/>
        </w:rPr>
        <w:t>AD </w:t>
      </w:r>
      <w:r>
        <w:rPr>
          <w:rFonts w:ascii="黑体" w:eastAsia="黑体" w:hint="eastAsia"/>
          <w:color w:val="221F1F"/>
        </w:rPr>
        <w:t>药物及诊断研发不及预期；市场推广不及预期；行业政策不及预期等</w:t>
      </w:r>
    </w:p>
    <w:p>
      <w:pPr>
        <w:spacing w:after="0" w:line="242" w:lineRule="auto"/>
        <w:rPr>
          <w:rFonts w:ascii="黑体" w:eastAsia="黑体" w:hint="eastAsia"/>
        </w:rPr>
        <w:sectPr>
          <w:type w:val="continuous"/>
          <w:pgSz w:w="11910" w:h="16840"/>
          <w:pgMar w:top="1160" w:bottom="620" w:left="560" w:right="540"/>
          <w:cols w:num="2" w:equalWidth="0">
            <w:col w:w="3390" w:space="297"/>
            <w:col w:w="7123"/>
          </w:cols>
        </w:sectPr>
      </w:pPr>
    </w:p>
    <w:p>
      <w:pPr>
        <w:pStyle w:val="BodyText"/>
        <w:spacing w:before="11"/>
        <w:rPr>
          <w:rFonts w:ascii="黑体"/>
          <w:sz w:val="12"/>
        </w:rPr>
      </w:pPr>
    </w:p>
    <w:p>
      <w:pPr>
        <w:spacing w:before="63"/>
        <w:ind w:left="4853" w:right="4876" w:firstLine="0"/>
        <w:jc w:val="center"/>
        <w:rPr>
          <w:sz w:val="26"/>
        </w:rPr>
      </w:pPr>
      <w:r>
        <w:rPr>
          <w:sz w:val="26"/>
        </w:rPr>
        <w:t>正文目录</w:t>
      </w:r>
    </w:p>
    <w:sdt>
      <w:sdtPr>
        <w:docPartObj>
          <w:docPartGallery w:val="Table of Contents"/>
          <w:docPartUnique/>
        </w:docPartObj>
      </w:sdtPr>
      <w:sdtEndPr/>
      <w:sdtContent>
        <w:p>
          <w:pPr>
            <w:pStyle w:val="TOC1"/>
            <w:numPr>
              <w:ilvl w:val="0"/>
              <w:numId w:val="2"/>
            </w:numPr>
            <w:tabs>
              <w:tab w:pos="360" w:val="left" w:leader="none"/>
              <w:tab w:pos="10637" w:val="right" w:leader="dot"/>
            </w:tabs>
            <w:spacing w:line="240" w:lineRule="auto" w:before="168" w:after="0"/>
            <w:ind w:left="359" w:right="0" w:hanging="213"/>
            <w:jc w:val="left"/>
          </w:pPr>
          <w:hyperlink w:history="true" w:anchor="_TOC_250002">
            <w:r>
              <w:rPr/>
              <w:t>我</w:t>
            </w:r>
            <w:r>
              <w:rPr>
                <w:spacing w:val="-3"/>
              </w:rPr>
              <w:t>国</w:t>
            </w:r>
            <w:r>
              <w:rPr/>
              <w:t>阿</w:t>
            </w:r>
            <w:r>
              <w:rPr>
                <w:spacing w:val="-3"/>
              </w:rPr>
              <w:t>尔</w:t>
            </w:r>
            <w:r>
              <w:rPr/>
              <w:t>茨</w:t>
            </w:r>
            <w:r>
              <w:rPr>
                <w:spacing w:val="-3"/>
              </w:rPr>
              <w:t>海</w:t>
            </w:r>
            <w:r>
              <w:rPr/>
              <w:t>默</w:t>
            </w:r>
            <w:r>
              <w:rPr>
                <w:spacing w:val="-3"/>
              </w:rPr>
              <w:t>患</w:t>
            </w:r>
            <w:r>
              <w:rPr/>
              <w:t>者</w:t>
            </w:r>
            <w:r>
              <w:rPr>
                <w:spacing w:val="-3"/>
              </w:rPr>
              <w:t>数</w:t>
            </w:r>
            <w:r>
              <w:rPr/>
              <w:t>量庞</w:t>
            </w:r>
            <w:r>
              <w:rPr>
                <w:spacing w:val="-3"/>
              </w:rPr>
              <w:t>大</w:t>
            </w:r>
            <w:r>
              <w:rPr/>
              <w:t>,</w:t>
            </w:r>
            <w:r>
              <w:rPr>
                <w:spacing w:val="-3"/>
              </w:rPr>
              <w:t>诊</w:t>
            </w:r>
            <w:r>
              <w:rPr/>
              <w:t>疗</w:t>
            </w:r>
            <w:r>
              <w:rPr>
                <w:spacing w:val="-3"/>
              </w:rPr>
              <w:t>市</w:t>
            </w:r>
            <w:r>
              <w:rPr/>
              <w:t>场</w:t>
            </w:r>
            <w:r>
              <w:rPr>
                <w:spacing w:val="-3"/>
              </w:rPr>
              <w:t>广</w:t>
            </w:r>
            <w:r>
              <w:rPr/>
              <w:t>阔</w:t>
            </w:r>
            <w:r>
              <w:rPr>
                <w:rFonts w:ascii="Times New Roman" w:eastAsia="Times New Roman"/>
              </w:rPr>
              <w:tab/>
            </w:r>
            <w:r>
              <w:rPr/>
              <w:t>4</w:t>
            </w:r>
          </w:hyperlink>
        </w:p>
        <w:p>
          <w:pPr>
            <w:pStyle w:val="TOC1"/>
            <w:numPr>
              <w:ilvl w:val="0"/>
              <w:numId w:val="2"/>
            </w:numPr>
            <w:tabs>
              <w:tab w:pos="360" w:val="left" w:leader="none"/>
              <w:tab w:pos="10637" w:val="right" w:leader="dot"/>
            </w:tabs>
            <w:spacing w:line="240" w:lineRule="auto" w:before="43" w:after="0"/>
            <w:ind w:left="359" w:right="0" w:hanging="213"/>
            <w:jc w:val="left"/>
          </w:pPr>
          <w:hyperlink w:history="true" w:anchor="_TOC_250001">
            <w:r>
              <w:rPr/>
              <w:t>阿</w:t>
            </w:r>
            <w:r>
              <w:rPr>
                <w:spacing w:val="-3"/>
              </w:rPr>
              <w:t>尔</w:t>
            </w:r>
            <w:r>
              <w:rPr/>
              <w:t>茨</w:t>
            </w:r>
            <w:r>
              <w:rPr>
                <w:spacing w:val="-3"/>
              </w:rPr>
              <w:t>海</w:t>
            </w:r>
            <w:r>
              <w:rPr/>
              <w:t>默</w:t>
            </w:r>
            <w:r>
              <w:rPr>
                <w:spacing w:val="-3"/>
              </w:rPr>
              <w:t>治</w:t>
            </w:r>
            <w:r>
              <w:rPr/>
              <w:t>疗</w:t>
            </w:r>
            <w:r>
              <w:rPr>
                <w:spacing w:val="-3"/>
              </w:rPr>
              <w:t>曙</w:t>
            </w:r>
            <w:r>
              <w:rPr/>
              <w:t>光</w:t>
            </w:r>
            <w:r>
              <w:rPr>
                <w:spacing w:val="-3"/>
              </w:rPr>
              <w:t>在</w:t>
            </w:r>
            <w:r>
              <w:rPr/>
              <w:t>前，</w:t>
            </w:r>
            <w:r>
              <w:rPr>
                <w:spacing w:val="-3"/>
              </w:rPr>
              <w:t>产</w:t>
            </w:r>
            <w:r>
              <w:rPr/>
              <w:t>业</w:t>
            </w:r>
            <w:r>
              <w:rPr>
                <w:spacing w:val="-3"/>
              </w:rPr>
              <w:t>链</w:t>
            </w:r>
            <w:r>
              <w:rPr/>
              <w:t>研</w:t>
            </w:r>
            <w:r>
              <w:rPr>
                <w:spacing w:val="-3"/>
              </w:rPr>
              <w:t>发</w:t>
            </w:r>
            <w:r>
              <w:rPr/>
              <w:t>如</w:t>
            </w:r>
            <w:r>
              <w:rPr>
                <w:spacing w:val="-3"/>
              </w:rPr>
              <w:t>火</w:t>
            </w:r>
            <w:r>
              <w:rPr/>
              <w:t>如荼</w:t>
            </w:r>
            <w:r>
              <w:rPr>
                <w:rFonts w:ascii="Times New Roman" w:eastAsia="Times New Roman"/>
              </w:rPr>
              <w:tab/>
            </w:r>
            <w:r>
              <w:rPr/>
              <w:t>4</w:t>
            </w:r>
          </w:hyperlink>
        </w:p>
        <w:p>
          <w:pPr>
            <w:pStyle w:val="TOC2"/>
            <w:numPr>
              <w:ilvl w:val="1"/>
              <w:numId w:val="2"/>
            </w:numPr>
            <w:tabs>
              <w:tab w:pos="991" w:val="left" w:leader="none"/>
              <w:tab w:pos="10628" w:val="right" w:leader="dot"/>
            </w:tabs>
            <w:spacing w:line="240" w:lineRule="auto" w:before="42" w:after="0"/>
            <w:ind w:left="990" w:right="0" w:hanging="423"/>
            <w:jc w:val="left"/>
          </w:pPr>
          <w:r>
            <w:rPr>
              <w:spacing w:val="-3"/>
            </w:rPr>
            <w:t>阿</w:t>
          </w:r>
          <w:r>
            <w:rPr/>
            <w:t>尔</w:t>
          </w:r>
          <w:r>
            <w:rPr>
              <w:spacing w:val="-3"/>
            </w:rPr>
            <w:t>茨</w:t>
          </w:r>
          <w:r>
            <w:rPr/>
            <w:t>海</w:t>
          </w:r>
          <w:r>
            <w:rPr>
              <w:spacing w:val="-3"/>
            </w:rPr>
            <w:t>默</w:t>
          </w:r>
          <w:r>
            <w:rPr/>
            <w:t>发</w:t>
          </w:r>
          <w:r>
            <w:rPr>
              <w:spacing w:val="-3"/>
            </w:rPr>
            <w:t>病</w:t>
          </w:r>
          <w:r>
            <w:rPr/>
            <w:t>机</w:t>
          </w:r>
          <w:r>
            <w:rPr>
              <w:spacing w:val="-3"/>
            </w:rPr>
            <w:t>制</w:t>
          </w:r>
          <w:r>
            <w:rPr/>
            <w:t>复杂，A</w:t>
          </w:r>
          <w:r>
            <w:rPr>
              <w:rFonts w:ascii="宋体" w:hAnsi="宋体" w:eastAsia="宋体" w:hint="eastAsia"/>
            </w:rPr>
            <w:t>β</w:t>
          </w:r>
          <w:r>
            <w:rPr>
              <w:rFonts w:ascii="宋体" w:hAnsi="宋体" w:eastAsia="宋体" w:hint="eastAsia"/>
              <w:spacing w:val="-55"/>
            </w:rPr>
            <w:t> </w:t>
          </w:r>
          <w:r>
            <w:rPr/>
            <w:t>与</w:t>
          </w:r>
          <w:r>
            <w:rPr>
              <w:spacing w:val="-53"/>
            </w:rPr>
            <w:t> </w:t>
          </w:r>
          <w:r>
            <w:rPr/>
            <w:t>Tau</w:t>
          </w:r>
          <w:r>
            <w:rPr>
              <w:spacing w:val="-53"/>
            </w:rPr>
            <w:t> </w:t>
          </w:r>
          <w:r>
            <w:rPr>
              <w:spacing w:val="-3"/>
            </w:rPr>
            <w:t>蛋</w:t>
          </w:r>
          <w:r>
            <w:rPr/>
            <w:t>白</w:t>
          </w:r>
          <w:r>
            <w:rPr>
              <w:spacing w:val="-3"/>
            </w:rPr>
            <w:t>为</w:t>
          </w:r>
          <w:r>
            <w:rPr/>
            <w:t>主流</w:t>
          </w:r>
          <w:r>
            <w:rPr>
              <w:spacing w:val="-3"/>
            </w:rPr>
            <w:t>假</w:t>
          </w:r>
          <w:r>
            <w:rPr/>
            <w:t>说</w:t>
          </w:r>
          <w:r>
            <w:rPr>
              <w:rFonts w:ascii="Times New Roman" w:hAnsi="Times New Roman" w:eastAsia="Times New Roman"/>
            </w:rPr>
            <w:tab/>
          </w:r>
          <w:r>
            <w:rPr/>
            <w:t>4</w:t>
          </w:r>
        </w:p>
        <w:p>
          <w:pPr>
            <w:pStyle w:val="TOC3"/>
            <w:tabs>
              <w:tab w:pos="10628" w:val="right" w:leader="dot"/>
            </w:tabs>
          </w:pPr>
          <w:r>
            <w:rPr/>
            <w:drawing>
              <wp:anchor distT="0" distB="0" distL="0" distR="0" allowOverlap="1" layoutInCell="1" locked="0" behindDoc="0" simplePos="0" relativeHeight="15732224">
                <wp:simplePos x="0" y="0"/>
                <wp:positionH relativeFrom="page">
                  <wp:posOffset>987563</wp:posOffset>
                </wp:positionH>
                <wp:positionV relativeFrom="paragraph">
                  <wp:posOffset>67545</wp:posOffset>
                </wp:positionV>
                <wp:extent cx="307074" cy="93617"/>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12" cstate="print"/>
                        <a:stretch>
                          <a:fillRect/>
                        </a:stretch>
                      </pic:blipFill>
                      <pic:spPr>
                        <a:xfrm>
                          <a:off x="0" y="0"/>
                          <a:ext cx="307074" cy="93617"/>
                        </a:xfrm>
                        <a:prstGeom prst="rect">
                          <a:avLst/>
                        </a:prstGeom>
                      </pic:spPr>
                    </pic:pic>
                  </a:graphicData>
                </a:graphic>
              </wp:anchor>
            </w:drawing>
          </w:r>
          <w:r>
            <w:rPr/>
            <w:t>仑</w:t>
          </w:r>
          <w:r>
            <w:rPr>
              <w:spacing w:val="-3"/>
            </w:rPr>
            <w:t>卡</w:t>
          </w:r>
          <w:r>
            <w:rPr/>
            <w:t>奈</w:t>
          </w:r>
          <w:r>
            <w:rPr>
              <w:spacing w:val="-3"/>
            </w:rPr>
            <w:t>单抗</w:t>
          </w:r>
          <w:r>
            <w:rPr/>
            <w:t>是</w:t>
          </w:r>
          <w:r>
            <w:rPr>
              <w:spacing w:val="-53"/>
            </w:rPr>
            <w:t> </w:t>
          </w:r>
          <w:r>
            <w:rPr/>
            <w:t>20</w:t>
          </w:r>
          <w:r>
            <w:rPr>
              <w:spacing w:val="-54"/>
            </w:rPr>
            <w:t> </w:t>
          </w:r>
          <w:r>
            <w:rPr>
              <w:spacing w:val="-3"/>
            </w:rPr>
            <w:t>年</w:t>
          </w:r>
          <w:r>
            <w:rPr/>
            <w:t>来</w:t>
          </w:r>
          <w:r>
            <w:rPr>
              <w:spacing w:val="-52"/>
            </w:rPr>
            <w:t> </w:t>
          </w:r>
          <w:r>
            <w:rPr/>
            <w:t>FDA</w:t>
          </w:r>
          <w:r>
            <w:rPr>
              <w:spacing w:val="-55"/>
            </w:rPr>
            <w:t> </w:t>
          </w:r>
          <w:r>
            <w:rPr/>
            <w:t>首</w:t>
          </w:r>
          <w:r>
            <w:rPr>
              <w:spacing w:val="-3"/>
            </w:rPr>
            <w:t>次</w:t>
          </w:r>
          <w:r>
            <w:rPr/>
            <w:t>完</w:t>
          </w:r>
          <w:r>
            <w:rPr>
              <w:spacing w:val="-3"/>
            </w:rPr>
            <w:t>全</w:t>
          </w:r>
          <w:r>
            <w:rPr/>
            <w:t>批</w:t>
          </w:r>
          <w:r>
            <w:rPr>
              <w:spacing w:val="-3"/>
            </w:rPr>
            <w:t>准</w:t>
          </w:r>
          <w:r>
            <w:rPr/>
            <w:t>的</w:t>
          </w:r>
          <w:r>
            <w:rPr>
              <w:spacing w:val="-3"/>
            </w:rPr>
            <w:t>阿</w:t>
          </w:r>
          <w:r>
            <w:rPr/>
            <w:t>尔茨</w:t>
          </w:r>
          <w:r>
            <w:rPr>
              <w:spacing w:val="-3"/>
            </w:rPr>
            <w:t>海</w:t>
          </w:r>
          <w:r>
            <w:rPr/>
            <w:t>默</w:t>
          </w:r>
          <w:r>
            <w:rPr>
              <w:spacing w:val="-3"/>
            </w:rPr>
            <w:t>新</w:t>
          </w:r>
          <w:r>
            <w:rPr/>
            <w:t>药</w:t>
          </w:r>
          <w:r>
            <w:rPr>
              <w:rFonts w:ascii="Times New Roman" w:eastAsia="Times New Roman"/>
            </w:rPr>
            <w:tab/>
          </w:r>
          <w:r>
            <w:rPr/>
            <w:t>5</w:t>
          </w:r>
        </w:p>
        <w:p>
          <w:pPr>
            <w:pStyle w:val="TOC3"/>
            <w:tabs>
              <w:tab w:pos="10628" w:val="right" w:leader="dot"/>
            </w:tabs>
          </w:pPr>
          <w:r>
            <w:rPr/>
            <w:drawing>
              <wp:anchor distT="0" distB="0" distL="0" distR="0" allowOverlap="1" layoutInCell="1" locked="0" behindDoc="0" simplePos="0" relativeHeight="15732736">
                <wp:simplePos x="0" y="0"/>
                <wp:positionH relativeFrom="page">
                  <wp:posOffset>987562</wp:posOffset>
                </wp:positionH>
                <wp:positionV relativeFrom="paragraph">
                  <wp:posOffset>67545</wp:posOffset>
                </wp:positionV>
                <wp:extent cx="325363" cy="93617"/>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13" cstate="print"/>
                        <a:stretch>
                          <a:fillRect/>
                        </a:stretch>
                      </pic:blipFill>
                      <pic:spPr>
                        <a:xfrm>
                          <a:off x="0" y="0"/>
                          <a:ext cx="325363" cy="93617"/>
                        </a:xfrm>
                        <a:prstGeom prst="rect">
                          <a:avLst/>
                        </a:prstGeom>
                      </pic:spPr>
                    </pic:pic>
                  </a:graphicData>
                </a:graphic>
              </wp:anchor>
            </w:drawing>
          </w:r>
          <w:r>
            <w:rPr/>
            <w:t>其</w:t>
          </w:r>
          <w:r>
            <w:rPr>
              <w:spacing w:val="-3"/>
            </w:rPr>
            <w:t>他靶</w:t>
          </w:r>
          <w:r>
            <w:rPr/>
            <w:t>向</w:t>
          </w:r>
          <w:r>
            <w:rPr>
              <w:spacing w:val="-53"/>
            </w:rPr>
            <w:t> </w:t>
          </w:r>
          <w:r>
            <w:rPr/>
            <w:t>A</w:t>
          </w:r>
          <w:r>
            <w:rPr>
              <w:rFonts w:ascii="宋体" w:hAnsi="宋体" w:eastAsia="宋体" w:hint="eastAsia"/>
            </w:rPr>
            <w:t>β</w:t>
          </w:r>
          <w:r>
            <w:rPr>
              <w:rFonts w:ascii="宋体" w:hAnsi="宋体" w:eastAsia="宋体" w:hint="eastAsia"/>
              <w:spacing w:val="-55"/>
            </w:rPr>
            <w:t> </w:t>
          </w:r>
          <w:r>
            <w:rPr/>
            <w:t>与</w:t>
          </w:r>
          <w:r>
            <w:rPr>
              <w:spacing w:val="-52"/>
            </w:rPr>
            <w:t> </w:t>
          </w:r>
          <w:r>
            <w:rPr/>
            <w:t>Tau</w:t>
          </w:r>
          <w:r>
            <w:rPr>
              <w:spacing w:val="-53"/>
            </w:rPr>
            <w:t> </w:t>
          </w:r>
          <w:r>
            <w:rPr/>
            <w:t>蛋</w:t>
          </w:r>
          <w:r>
            <w:rPr>
              <w:spacing w:val="-3"/>
            </w:rPr>
            <w:t>白</w:t>
          </w:r>
          <w:r>
            <w:rPr/>
            <w:t>的</w:t>
          </w:r>
          <w:r>
            <w:rPr>
              <w:spacing w:val="-3"/>
            </w:rPr>
            <w:t>产</w:t>
          </w:r>
          <w:r>
            <w:rPr/>
            <w:t>品</w:t>
          </w:r>
          <w:r>
            <w:rPr>
              <w:spacing w:val="-3"/>
            </w:rPr>
            <w:t>临</w:t>
          </w:r>
          <w:r>
            <w:rPr/>
            <w:t>床</w:t>
          </w:r>
          <w:r>
            <w:rPr>
              <w:spacing w:val="-3"/>
            </w:rPr>
            <w:t>进</w:t>
          </w:r>
          <w:r>
            <w:rPr/>
            <w:t>度</w:t>
          </w:r>
          <w:r>
            <w:rPr>
              <w:rFonts w:ascii="Times New Roman" w:hAnsi="Times New Roman" w:eastAsia="Times New Roman"/>
            </w:rPr>
            <w:tab/>
          </w:r>
          <w:r>
            <w:rPr/>
            <w:t>8</w:t>
          </w:r>
        </w:p>
        <w:p>
          <w:pPr>
            <w:pStyle w:val="TOC2"/>
            <w:numPr>
              <w:ilvl w:val="1"/>
              <w:numId w:val="2"/>
            </w:numPr>
            <w:tabs>
              <w:tab w:pos="991" w:val="left" w:leader="none"/>
              <w:tab w:pos="10628" w:val="right" w:leader="dot"/>
            </w:tabs>
            <w:spacing w:line="240" w:lineRule="auto" w:before="43" w:after="0"/>
            <w:ind w:left="990" w:right="0" w:hanging="423"/>
            <w:jc w:val="left"/>
          </w:pPr>
          <w:r>
            <w:rPr>
              <w:spacing w:val="-3"/>
            </w:rPr>
            <w:t>国</w:t>
          </w:r>
          <w:r>
            <w:rPr/>
            <w:t>内</w:t>
          </w:r>
          <w:r>
            <w:rPr>
              <w:spacing w:val="-3"/>
            </w:rPr>
            <w:t>研</w:t>
          </w:r>
          <w:r>
            <w:rPr/>
            <w:t>发</w:t>
          </w:r>
          <w:r>
            <w:rPr>
              <w:spacing w:val="-3"/>
            </w:rPr>
            <w:t>多</w:t>
          </w:r>
          <w:r>
            <w:rPr/>
            <w:t>样</w:t>
          </w:r>
          <w:r>
            <w:rPr>
              <w:spacing w:val="-3"/>
            </w:rPr>
            <w:t>化</w:t>
          </w:r>
          <w:r>
            <w:rPr/>
            <w:t>，</w:t>
          </w:r>
          <w:r>
            <w:rPr>
              <w:spacing w:val="-3"/>
            </w:rPr>
            <w:t>多</w:t>
          </w:r>
          <w:r>
            <w:rPr/>
            <w:t>数集</w:t>
          </w:r>
          <w:r>
            <w:rPr>
              <w:spacing w:val="-3"/>
            </w:rPr>
            <w:t>中</w:t>
          </w:r>
          <w:r>
            <w:rPr/>
            <w:t>在</w:t>
          </w:r>
          <w:r>
            <w:rPr>
              <w:spacing w:val="-3"/>
            </w:rPr>
            <w:t>胆</w:t>
          </w:r>
          <w:r>
            <w:rPr/>
            <w:t>碱</w:t>
          </w:r>
          <w:r>
            <w:rPr>
              <w:spacing w:val="-3"/>
            </w:rPr>
            <w:t>酯</w:t>
          </w:r>
          <w:r>
            <w:rPr/>
            <w:t>酶</w:t>
          </w:r>
          <w:r>
            <w:rPr>
              <w:spacing w:val="-3"/>
            </w:rPr>
            <w:t>抑</w:t>
          </w:r>
          <w:r>
            <w:rPr/>
            <w:t>制</w:t>
          </w:r>
          <w:r>
            <w:rPr>
              <w:spacing w:val="-3"/>
            </w:rPr>
            <w:t>剂</w:t>
          </w:r>
          <w:r>
            <w:rPr/>
            <w:t>等老</w:t>
          </w:r>
          <w:r>
            <w:rPr>
              <w:spacing w:val="-3"/>
            </w:rPr>
            <w:t>靶</w:t>
          </w:r>
          <w:r>
            <w:rPr/>
            <w:t>点</w:t>
          </w:r>
          <w:r>
            <w:rPr>
              <w:rFonts w:ascii="Times New Roman" w:eastAsia="Times New Roman"/>
            </w:rPr>
            <w:tab/>
          </w:r>
          <w:r>
            <w:rPr/>
            <w:t>9</w:t>
          </w:r>
        </w:p>
        <w:p>
          <w:pPr>
            <w:pStyle w:val="TOC1"/>
            <w:numPr>
              <w:ilvl w:val="0"/>
              <w:numId w:val="2"/>
            </w:numPr>
            <w:tabs>
              <w:tab w:pos="360" w:val="left" w:leader="none"/>
              <w:tab w:pos="10637" w:val="right" w:leader="dot"/>
            </w:tabs>
            <w:spacing w:line="240" w:lineRule="auto" w:before="43" w:after="0"/>
            <w:ind w:left="359" w:right="0" w:hanging="213"/>
            <w:jc w:val="left"/>
          </w:pPr>
          <w:hyperlink w:history="true" w:anchor="_TOC_250000">
            <w:r>
              <w:rPr/>
              <w:t>诊</w:t>
            </w:r>
            <w:r>
              <w:rPr>
                <w:spacing w:val="-3"/>
              </w:rPr>
              <w:t>断</w:t>
            </w:r>
            <w:r>
              <w:rPr/>
              <w:t>市</w:t>
            </w:r>
            <w:r>
              <w:rPr>
                <w:spacing w:val="-3"/>
              </w:rPr>
              <w:t>场</w:t>
            </w:r>
            <w:r>
              <w:rPr/>
              <w:t>规</w:t>
            </w:r>
            <w:r>
              <w:rPr>
                <w:spacing w:val="-3"/>
              </w:rPr>
              <w:t>模</w:t>
            </w:r>
            <w:r>
              <w:rPr/>
              <w:t>庞</w:t>
            </w:r>
            <w:r>
              <w:rPr>
                <w:spacing w:val="-3"/>
              </w:rPr>
              <w:t>大</w:t>
            </w:r>
            <w:r>
              <w:rPr/>
              <w:t>，</w:t>
            </w:r>
            <w:r>
              <w:rPr>
                <w:spacing w:val="-3"/>
              </w:rPr>
              <w:t>阿</w:t>
            </w:r>
            <w:r>
              <w:rPr/>
              <w:t>尔茨</w:t>
            </w:r>
            <w:r>
              <w:rPr>
                <w:spacing w:val="-3"/>
              </w:rPr>
              <w:t>海</w:t>
            </w:r>
            <w:r>
              <w:rPr/>
              <w:t>默</w:t>
            </w:r>
            <w:r>
              <w:rPr>
                <w:spacing w:val="-52"/>
              </w:rPr>
              <w:t> </w:t>
            </w:r>
            <w:r>
              <w:rPr/>
              <w:t>PET</w:t>
            </w:r>
            <w:r>
              <w:rPr>
                <w:spacing w:val="-53"/>
              </w:rPr>
              <w:t> </w:t>
            </w:r>
            <w:r>
              <w:rPr>
                <w:spacing w:val="-3"/>
              </w:rPr>
              <w:t>检</w:t>
            </w:r>
            <w:r>
              <w:rPr/>
              <w:t>测</w:t>
            </w:r>
            <w:r>
              <w:rPr>
                <w:spacing w:val="-3"/>
              </w:rPr>
              <w:t>市</w:t>
            </w:r>
            <w:r>
              <w:rPr/>
              <w:t>场</w:t>
            </w:r>
            <w:r>
              <w:rPr>
                <w:spacing w:val="-3"/>
              </w:rPr>
              <w:t>未</w:t>
            </w:r>
            <w:r>
              <w:rPr/>
              <w:t>来有</w:t>
            </w:r>
            <w:r>
              <w:rPr>
                <w:spacing w:val="-3"/>
              </w:rPr>
              <w:t>望</w:t>
            </w:r>
            <w:r>
              <w:rPr/>
              <w:t>近</w:t>
            </w:r>
            <w:r>
              <w:rPr>
                <w:spacing w:val="-3"/>
              </w:rPr>
              <w:t>百</w:t>
            </w:r>
            <w:r>
              <w:rPr/>
              <w:t>亿</w:t>
            </w:r>
            <w:r>
              <w:rPr>
                <w:rFonts w:ascii="Times New Roman" w:eastAsia="Times New Roman"/>
              </w:rPr>
              <w:tab/>
            </w:r>
            <w:r>
              <w:rPr/>
              <w:t>12</w:t>
            </w:r>
          </w:hyperlink>
        </w:p>
      </w:sdtContent>
    </w:sdt>
    <w:p>
      <w:pPr>
        <w:spacing w:after="0" w:line="240" w:lineRule="auto"/>
        <w:jc w:val="left"/>
        <w:sectPr>
          <w:headerReference w:type="default" r:id="rId10"/>
          <w:footerReference w:type="default" r:id="rId11"/>
          <w:pgSz w:w="11910" w:h="16840"/>
          <w:pgMar w:header="454" w:footer="430" w:top="1220" w:bottom="620" w:left="560" w:right="540"/>
        </w:sectPr>
      </w:pPr>
    </w:p>
    <w:p>
      <w:pPr>
        <w:spacing w:before="227"/>
        <w:ind w:left="4853" w:right="4876" w:firstLine="0"/>
        <w:jc w:val="center"/>
        <w:rPr>
          <w:sz w:val="26"/>
        </w:rPr>
      </w:pPr>
      <w:r>
        <w:rPr>
          <w:sz w:val="26"/>
        </w:rPr>
        <w:t>图表目录</w:t>
      </w:r>
    </w:p>
    <w:p>
      <w:pPr>
        <w:pStyle w:val="BodyText"/>
        <w:spacing w:before="4" w:after="1"/>
        <w:rPr>
          <w:sz w:val="15"/>
        </w:rPr>
      </w:pPr>
    </w:p>
    <w:tbl>
      <w:tblPr>
        <w:tblW w:w="0" w:type="auto"/>
        <w:jc w:val="left"/>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0"/>
        <w:gridCol w:w="9059"/>
        <w:gridCol w:w="261"/>
      </w:tblGrid>
      <w:tr>
        <w:trPr>
          <w:trHeight w:val="261" w:hRule="atLeast"/>
        </w:trPr>
        <w:tc>
          <w:tcPr>
            <w:tcW w:w="840" w:type="dxa"/>
          </w:tcPr>
          <w:p>
            <w:pPr>
              <w:pStyle w:val="TableParagraph"/>
              <w:spacing w:line="241" w:lineRule="exact" w:before="0"/>
              <w:ind w:left="50"/>
              <w:jc w:val="left"/>
              <w:rPr>
                <w:sz w:val="21"/>
              </w:rPr>
            </w:pPr>
            <w:r>
              <w:rPr>
                <w:sz w:val="21"/>
              </w:rPr>
              <w:t>图表 1:</w:t>
            </w:r>
          </w:p>
        </w:tc>
        <w:tc>
          <w:tcPr>
            <w:tcW w:w="9059" w:type="dxa"/>
          </w:tcPr>
          <w:p>
            <w:pPr>
              <w:pStyle w:val="TableParagraph"/>
              <w:spacing w:line="241" w:lineRule="exact" w:before="0"/>
              <w:ind w:right="-15"/>
              <w:rPr>
                <w:sz w:val="21"/>
              </w:rPr>
            </w:pPr>
            <w:r>
              <w:rPr>
                <w:sz w:val="21"/>
              </w:rPr>
              <w:t>阿尔茨海默死亡率 .....................................................................</w:t>
            </w:r>
          </w:p>
        </w:tc>
        <w:tc>
          <w:tcPr>
            <w:tcW w:w="261" w:type="dxa"/>
          </w:tcPr>
          <w:p>
            <w:pPr>
              <w:pStyle w:val="TableParagraph"/>
              <w:spacing w:line="241" w:lineRule="exact" w:before="0"/>
              <w:ind w:left="56"/>
              <w:rPr>
                <w:sz w:val="21"/>
              </w:rPr>
            </w:pPr>
            <w:r>
              <w:rPr>
                <w:w w:val="100"/>
                <w:sz w:val="21"/>
              </w:rPr>
              <w:t>4</w:t>
            </w:r>
          </w:p>
        </w:tc>
      </w:tr>
      <w:tr>
        <w:trPr>
          <w:trHeight w:val="311" w:hRule="atLeast"/>
        </w:trPr>
        <w:tc>
          <w:tcPr>
            <w:tcW w:w="840" w:type="dxa"/>
          </w:tcPr>
          <w:p>
            <w:pPr>
              <w:pStyle w:val="TableParagraph"/>
              <w:spacing w:before="22"/>
              <w:ind w:left="50"/>
              <w:jc w:val="left"/>
              <w:rPr>
                <w:sz w:val="21"/>
              </w:rPr>
            </w:pPr>
            <w:r>
              <w:rPr>
                <w:sz w:val="21"/>
              </w:rPr>
              <w:t>图表 2:</w:t>
            </w:r>
          </w:p>
        </w:tc>
        <w:tc>
          <w:tcPr>
            <w:tcW w:w="9059" w:type="dxa"/>
          </w:tcPr>
          <w:p>
            <w:pPr>
              <w:pStyle w:val="TableParagraph"/>
              <w:spacing w:before="22"/>
              <w:ind w:right="-15"/>
              <w:rPr>
                <w:sz w:val="21"/>
              </w:rPr>
            </w:pPr>
            <w:r>
              <w:rPr>
                <w:sz w:val="21"/>
              </w:rPr>
              <w:t>阿尔茨海默患病率 .....................................................................</w:t>
            </w:r>
          </w:p>
        </w:tc>
        <w:tc>
          <w:tcPr>
            <w:tcW w:w="261" w:type="dxa"/>
          </w:tcPr>
          <w:p>
            <w:pPr>
              <w:pStyle w:val="TableParagraph"/>
              <w:spacing w:before="22"/>
              <w:ind w:left="56"/>
              <w:rPr>
                <w:sz w:val="21"/>
              </w:rPr>
            </w:pPr>
            <w:r>
              <w:rPr>
                <w:w w:val="100"/>
                <w:sz w:val="21"/>
              </w:rPr>
              <w:t>4</w:t>
            </w:r>
          </w:p>
        </w:tc>
      </w:tr>
      <w:tr>
        <w:trPr>
          <w:trHeight w:val="305" w:hRule="atLeast"/>
        </w:trPr>
        <w:tc>
          <w:tcPr>
            <w:tcW w:w="840" w:type="dxa"/>
          </w:tcPr>
          <w:p>
            <w:pPr>
              <w:pStyle w:val="TableParagraph"/>
              <w:spacing w:line="264" w:lineRule="exact" w:before="22"/>
              <w:ind w:left="50"/>
              <w:jc w:val="left"/>
              <w:rPr>
                <w:sz w:val="21"/>
              </w:rPr>
            </w:pPr>
            <w:r>
              <w:rPr>
                <w:sz w:val="21"/>
              </w:rPr>
              <w:t>图表 3:</w:t>
            </w:r>
          </w:p>
        </w:tc>
        <w:tc>
          <w:tcPr>
            <w:tcW w:w="9059" w:type="dxa"/>
          </w:tcPr>
          <w:p>
            <w:pPr>
              <w:pStyle w:val="TableParagraph"/>
              <w:spacing w:line="264" w:lineRule="exact" w:before="22"/>
              <w:ind w:right="-15"/>
              <w:rPr>
                <w:sz w:val="21"/>
              </w:rPr>
            </w:pPr>
            <w:r>
              <w:rPr>
                <w:sz w:val="21"/>
              </w:rPr>
              <w:t>阿尔茨海默疾病疗法概览 ...............................................................</w:t>
            </w:r>
          </w:p>
        </w:tc>
        <w:tc>
          <w:tcPr>
            <w:tcW w:w="261" w:type="dxa"/>
          </w:tcPr>
          <w:p>
            <w:pPr>
              <w:pStyle w:val="TableParagraph"/>
              <w:spacing w:line="264" w:lineRule="exact" w:before="22"/>
              <w:ind w:left="56"/>
              <w:rPr>
                <w:sz w:val="21"/>
              </w:rPr>
            </w:pPr>
            <w:r>
              <w:rPr>
                <w:w w:val="100"/>
                <w:sz w:val="21"/>
              </w:rPr>
              <w:t>5</w:t>
            </w:r>
          </w:p>
        </w:tc>
      </w:tr>
      <w:tr>
        <w:trPr>
          <w:trHeight w:val="315" w:hRule="atLeast"/>
        </w:trPr>
        <w:tc>
          <w:tcPr>
            <w:tcW w:w="840" w:type="dxa"/>
          </w:tcPr>
          <w:p>
            <w:pPr>
              <w:pStyle w:val="TableParagraph"/>
              <w:spacing w:before="16"/>
              <w:ind w:left="50"/>
              <w:jc w:val="left"/>
              <w:rPr>
                <w:sz w:val="21"/>
              </w:rPr>
            </w:pPr>
            <w:r>
              <w:rPr>
                <w:sz w:val="21"/>
              </w:rPr>
              <w:t>图表 4:</w:t>
            </w:r>
          </w:p>
        </w:tc>
        <w:tc>
          <w:tcPr>
            <w:tcW w:w="9059" w:type="dxa"/>
          </w:tcPr>
          <w:p>
            <w:pPr>
              <w:pStyle w:val="TableParagraph"/>
              <w:spacing w:line="289" w:lineRule="exact" w:before="7"/>
              <w:ind w:left="17" w:right="2"/>
              <w:rPr>
                <w:sz w:val="21"/>
              </w:rPr>
            </w:pPr>
            <w:r>
              <w:rPr>
                <w:spacing w:val="-16"/>
                <w:sz w:val="21"/>
              </w:rPr>
              <w:t>靶向 </w:t>
            </w:r>
            <w:r>
              <w:rPr>
                <w:sz w:val="21"/>
              </w:rPr>
              <w:t>A</w:t>
            </w:r>
            <w:r>
              <w:rPr>
                <w:rFonts w:ascii="等线" w:hAnsi="等线" w:eastAsia="等线" w:hint="eastAsia"/>
                <w:sz w:val="21"/>
              </w:rPr>
              <w:t>β</w:t>
            </w:r>
            <w:r>
              <w:rPr>
                <w:rFonts w:ascii="等线" w:hAnsi="等线" w:eastAsia="等线" w:hint="eastAsia"/>
                <w:spacing w:val="7"/>
                <w:sz w:val="21"/>
              </w:rPr>
              <w:t> </w:t>
            </w:r>
            <w:r>
              <w:rPr>
                <w:spacing w:val="-1"/>
                <w:sz w:val="21"/>
              </w:rPr>
              <w:t>药物作用机制 ..................................................................</w:t>
            </w:r>
          </w:p>
        </w:tc>
        <w:tc>
          <w:tcPr>
            <w:tcW w:w="261" w:type="dxa"/>
          </w:tcPr>
          <w:p>
            <w:pPr>
              <w:pStyle w:val="TableParagraph"/>
              <w:spacing w:before="16"/>
              <w:ind w:left="56"/>
              <w:rPr>
                <w:sz w:val="21"/>
              </w:rPr>
            </w:pPr>
            <w:r>
              <w:rPr>
                <w:w w:val="100"/>
                <w:sz w:val="21"/>
              </w:rPr>
              <w:t>6</w:t>
            </w:r>
          </w:p>
        </w:tc>
      </w:tr>
      <w:tr>
        <w:trPr>
          <w:trHeight w:val="317" w:hRule="atLeast"/>
        </w:trPr>
        <w:tc>
          <w:tcPr>
            <w:tcW w:w="840" w:type="dxa"/>
          </w:tcPr>
          <w:p>
            <w:pPr>
              <w:pStyle w:val="TableParagraph"/>
              <w:spacing w:before="12"/>
              <w:ind w:left="50"/>
              <w:jc w:val="left"/>
              <w:rPr>
                <w:sz w:val="21"/>
              </w:rPr>
            </w:pPr>
            <w:r>
              <w:rPr>
                <w:sz w:val="21"/>
              </w:rPr>
              <w:t>图表 5:</w:t>
            </w:r>
          </w:p>
        </w:tc>
        <w:tc>
          <w:tcPr>
            <w:tcW w:w="9059" w:type="dxa"/>
          </w:tcPr>
          <w:p>
            <w:pPr>
              <w:pStyle w:val="TableParagraph"/>
              <w:spacing w:line="295" w:lineRule="exact" w:before="3"/>
              <w:ind w:left="17" w:right="2"/>
              <w:rPr>
                <w:sz w:val="21"/>
              </w:rPr>
            </w:pPr>
            <w:r>
              <w:rPr>
                <w:spacing w:val="10"/>
                <w:sz w:val="21"/>
              </w:rPr>
              <w:t>不同靶向</w:t>
            </w:r>
            <w:r>
              <w:rPr>
                <w:sz w:val="21"/>
              </w:rPr>
              <w:t>A</w:t>
            </w:r>
            <w:r>
              <w:rPr>
                <w:rFonts w:ascii="等线" w:hAnsi="等线" w:eastAsia="等线" w:hint="eastAsia"/>
                <w:sz w:val="21"/>
              </w:rPr>
              <w:t>β</w:t>
            </w:r>
            <w:r>
              <w:rPr>
                <w:rFonts w:ascii="等线" w:hAnsi="等线" w:eastAsia="等线" w:hint="eastAsia"/>
                <w:spacing w:val="10"/>
                <w:sz w:val="21"/>
              </w:rPr>
              <w:t> </w:t>
            </w:r>
            <w:r>
              <w:rPr>
                <w:spacing w:val="-1"/>
                <w:sz w:val="21"/>
              </w:rPr>
              <w:t>药物作用范围比较 ..........................................................</w:t>
            </w:r>
          </w:p>
        </w:tc>
        <w:tc>
          <w:tcPr>
            <w:tcW w:w="261" w:type="dxa"/>
          </w:tcPr>
          <w:p>
            <w:pPr>
              <w:pStyle w:val="TableParagraph"/>
              <w:spacing w:before="12"/>
              <w:ind w:left="56"/>
              <w:rPr>
                <w:sz w:val="21"/>
              </w:rPr>
            </w:pPr>
            <w:r>
              <w:rPr>
                <w:w w:val="100"/>
                <w:sz w:val="21"/>
              </w:rPr>
              <w:t>6</w:t>
            </w:r>
          </w:p>
        </w:tc>
      </w:tr>
      <w:tr>
        <w:trPr>
          <w:trHeight w:val="308" w:hRule="atLeast"/>
        </w:trPr>
        <w:tc>
          <w:tcPr>
            <w:tcW w:w="840" w:type="dxa"/>
          </w:tcPr>
          <w:p>
            <w:pPr>
              <w:pStyle w:val="TableParagraph"/>
              <w:spacing w:before="18"/>
              <w:ind w:left="50"/>
              <w:jc w:val="left"/>
              <w:rPr>
                <w:sz w:val="21"/>
              </w:rPr>
            </w:pPr>
            <w:r>
              <w:rPr>
                <w:sz w:val="21"/>
              </w:rPr>
              <w:t>图表 6:</w:t>
            </w:r>
          </w:p>
        </w:tc>
        <w:tc>
          <w:tcPr>
            <w:tcW w:w="9059" w:type="dxa"/>
          </w:tcPr>
          <w:p>
            <w:pPr>
              <w:pStyle w:val="TableParagraph"/>
              <w:spacing w:before="18"/>
              <w:ind w:left="17" w:right="2"/>
              <w:rPr>
                <w:sz w:val="21"/>
              </w:rPr>
            </w:pPr>
            <w:r>
              <w:rPr>
                <w:sz w:val="21"/>
              </w:rPr>
              <w:t>Lecanemab</w:t>
            </w:r>
            <w:r>
              <w:rPr>
                <w:spacing w:val="-3"/>
                <w:sz w:val="21"/>
              </w:rPr>
              <w:t> 可显著延缓认知测评结果恶化 ..................................................</w:t>
            </w:r>
          </w:p>
        </w:tc>
        <w:tc>
          <w:tcPr>
            <w:tcW w:w="261" w:type="dxa"/>
          </w:tcPr>
          <w:p>
            <w:pPr>
              <w:pStyle w:val="TableParagraph"/>
              <w:spacing w:before="18"/>
              <w:ind w:left="56"/>
              <w:rPr>
                <w:sz w:val="21"/>
              </w:rPr>
            </w:pPr>
            <w:r>
              <w:rPr>
                <w:w w:val="100"/>
                <w:sz w:val="21"/>
              </w:rPr>
              <w:t>7</w:t>
            </w:r>
          </w:p>
        </w:tc>
      </w:tr>
      <w:tr>
        <w:trPr>
          <w:trHeight w:val="311" w:hRule="atLeast"/>
        </w:trPr>
        <w:tc>
          <w:tcPr>
            <w:tcW w:w="840" w:type="dxa"/>
          </w:tcPr>
          <w:p>
            <w:pPr>
              <w:pStyle w:val="TableParagraph"/>
              <w:spacing w:before="22"/>
              <w:ind w:left="50"/>
              <w:jc w:val="left"/>
              <w:rPr>
                <w:sz w:val="21"/>
              </w:rPr>
            </w:pPr>
            <w:r>
              <w:rPr>
                <w:sz w:val="21"/>
              </w:rPr>
              <w:t>图表 7:</w:t>
            </w:r>
          </w:p>
        </w:tc>
        <w:tc>
          <w:tcPr>
            <w:tcW w:w="9059" w:type="dxa"/>
          </w:tcPr>
          <w:p>
            <w:pPr>
              <w:pStyle w:val="TableParagraph"/>
              <w:spacing w:before="22"/>
              <w:ind w:left="17" w:right="2"/>
              <w:rPr>
                <w:sz w:val="21"/>
              </w:rPr>
            </w:pPr>
            <w:r>
              <w:rPr>
                <w:sz w:val="21"/>
              </w:rPr>
              <w:t>Lecanemab</w:t>
            </w:r>
            <w:r>
              <w:rPr>
                <w:spacing w:val="-2"/>
                <w:sz w:val="21"/>
              </w:rPr>
              <w:t> 可优效清除淀粉样蛋白 ........................................................</w:t>
            </w:r>
          </w:p>
        </w:tc>
        <w:tc>
          <w:tcPr>
            <w:tcW w:w="261" w:type="dxa"/>
          </w:tcPr>
          <w:p>
            <w:pPr>
              <w:pStyle w:val="TableParagraph"/>
              <w:spacing w:before="22"/>
              <w:ind w:left="56"/>
              <w:rPr>
                <w:sz w:val="21"/>
              </w:rPr>
            </w:pPr>
            <w:r>
              <w:rPr>
                <w:w w:val="100"/>
                <w:sz w:val="21"/>
              </w:rPr>
              <w:t>7</w:t>
            </w:r>
          </w:p>
        </w:tc>
      </w:tr>
      <w:tr>
        <w:trPr>
          <w:trHeight w:val="305" w:hRule="atLeast"/>
        </w:trPr>
        <w:tc>
          <w:tcPr>
            <w:tcW w:w="840" w:type="dxa"/>
          </w:tcPr>
          <w:p>
            <w:pPr>
              <w:pStyle w:val="TableParagraph"/>
              <w:spacing w:line="264" w:lineRule="exact" w:before="22"/>
              <w:ind w:left="50"/>
              <w:jc w:val="left"/>
              <w:rPr>
                <w:sz w:val="21"/>
              </w:rPr>
            </w:pPr>
            <w:r>
              <w:rPr>
                <w:sz w:val="21"/>
              </w:rPr>
              <w:t>图表 8:</w:t>
            </w:r>
          </w:p>
        </w:tc>
        <w:tc>
          <w:tcPr>
            <w:tcW w:w="9059" w:type="dxa"/>
          </w:tcPr>
          <w:p>
            <w:pPr>
              <w:pStyle w:val="TableParagraph"/>
              <w:spacing w:line="264" w:lineRule="exact" w:before="22"/>
              <w:ind w:left="17" w:right="2"/>
              <w:rPr>
                <w:sz w:val="21"/>
              </w:rPr>
            </w:pPr>
            <w:r>
              <w:rPr>
                <w:spacing w:val="-3"/>
                <w:sz w:val="21"/>
              </w:rPr>
              <w:t>热门治疗阿尔茨海默单抗药物（国外产品</w:t>
            </w:r>
            <w:r>
              <w:rPr>
                <w:sz w:val="21"/>
              </w:rPr>
              <w:t>）</w:t>
            </w:r>
            <w:r>
              <w:rPr>
                <w:spacing w:val="-1"/>
                <w:sz w:val="21"/>
              </w:rPr>
              <w:t>研发进展及临床结果..............................</w:t>
            </w:r>
          </w:p>
        </w:tc>
        <w:tc>
          <w:tcPr>
            <w:tcW w:w="261" w:type="dxa"/>
          </w:tcPr>
          <w:p>
            <w:pPr>
              <w:pStyle w:val="TableParagraph"/>
              <w:spacing w:line="264" w:lineRule="exact" w:before="22"/>
              <w:ind w:left="56"/>
              <w:rPr>
                <w:sz w:val="21"/>
              </w:rPr>
            </w:pPr>
            <w:r>
              <w:rPr>
                <w:w w:val="100"/>
                <w:sz w:val="21"/>
              </w:rPr>
              <w:t>8</w:t>
            </w:r>
          </w:p>
        </w:tc>
      </w:tr>
      <w:tr>
        <w:trPr>
          <w:trHeight w:val="321" w:hRule="atLeast"/>
        </w:trPr>
        <w:tc>
          <w:tcPr>
            <w:tcW w:w="840" w:type="dxa"/>
          </w:tcPr>
          <w:p>
            <w:pPr>
              <w:pStyle w:val="TableParagraph"/>
              <w:spacing w:before="16"/>
              <w:ind w:left="50"/>
              <w:jc w:val="left"/>
              <w:rPr>
                <w:sz w:val="21"/>
              </w:rPr>
            </w:pPr>
            <w:r>
              <w:rPr>
                <w:sz w:val="21"/>
              </w:rPr>
              <w:t>图表 9:</w:t>
            </w:r>
          </w:p>
        </w:tc>
        <w:tc>
          <w:tcPr>
            <w:tcW w:w="9059" w:type="dxa"/>
          </w:tcPr>
          <w:p>
            <w:pPr>
              <w:pStyle w:val="TableParagraph"/>
              <w:spacing w:line="295" w:lineRule="exact" w:before="7"/>
              <w:ind w:right="-15"/>
              <w:rPr>
                <w:sz w:val="21"/>
              </w:rPr>
            </w:pPr>
            <w:r>
              <w:rPr>
                <w:spacing w:val="10"/>
                <w:sz w:val="21"/>
              </w:rPr>
              <w:t>全球靶向</w:t>
            </w:r>
            <w:r>
              <w:rPr>
                <w:sz w:val="21"/>
              </w:rPr>
              <w:t>A</w:t>
            </w:r>
            <w:r>
              <w:rPr>
                <w:rFonts w:ascii="等线" w:hAnsi="等线" w:eastAsia="等线" w:hint="eastAsia"/>
                <w:sz w:val="21"/>
              </w:rPr>
              <w:t>β</w:t>
            </w:r>
            <w:r>
              <w:rPr>
                <w:rFonts w:ascii="等线" w:hAnsi="等线" w:eastAsia="等线" w:hint="eastAsia"/>
                <w:spacing w:val="10"/>
                <w:sz w:val="21"/>
              </w:rPr>
              <w:t> </w:t>
            </w:r>
            <w:r>
              <w:rPr>
                <w:sz w:val="21"/>
              </w:rPr>
              <w:t>类药物 ....................................................................</w:t>
            </w:r>
          </w:p>
        </w:tc>
        <w:tc>
          <w:tcPr>
            <w:tcW w:w="261" w:type="dxa"/>
          </w:tcPr>
          <w:p>
            <w:pPr>
              <w:pStyle w:val="TableParagraph"/>
              <w:spacing w:before="16"/>
              <w:ind w:left="56"/>
              <w:rPr>
                <w:sz w:val="21"/>
              </w:rPr>
            </w:pPr>
            <w:r>
              <w:rPr>
                <w:w w:val="100"/>
                <w:sz w:val="21"/>
              </w:rPr>
              <w:t>9</w:t>
            </w:r>
          </w:p>
        </w:tc>
      </w:tr>
      <w:tr>
        <w:trPr>
          <w:trHeight w:val="308" w:hRule="atLeast"/>
        </w:trPr>
        <w:tc>
          <w:tcPr>
            <w:tcW w:w="840" w:type="dxa"/>
          </w:tcPr>
          <w:p>
            <w:pPr>
              <w:pStyle w:val="TableParagraph"/>
              <w:spacing w:before="18"/>
              <w:ind w:left="50" w:right="-15"/>
              <w:jc w:val="left"/>
              <w:rPr>
                <w:sz w:val="21"/>
              </w:rPr>
            </w:pPr>
            <w:r>
              <w:rPr>
                <w:spacing w:val="-18"/>
                <w:sz w:val="21"/>
              </w:rPr>
              <w:t>图表 </w:t>
            </w:r>
            <w:r>
              <w:rPr>
                <w:sz w:val="21"/>
              </w:rPr>
              <w:t>10:</w:t>
            </w:r>
          </w:p>
        </w:tc>
        <w:tc>
          <w:tcPr>
            <w:tcW w:w="9059" w:type="dxa"/>
          </w:tcPr>
          <w:p>
            <w:pPr>
              <w:pStyle w:val="TableParagraph"/>
              <w:spacing w:before="18"/>
              <w:ind w:left="103" w:right="-15"/>
              <w:rPr>
                <w:sz w:val="21"/>
              </w:rPr>
            </w:pPr>
            <w:r>
              <w:rPr>
                <w:spacing w:val="-8"/>
                <w:sz w:val="21"/>
              </w:rPr>
              <w:t>全球主要靶向 </w:t>
            </w:r>
            <w:r>
              <w:rPr>
                <w:sz w:val="21"/>
              </w:rPr>
              <w:t>tau</w:t>
            </w:r>
            <w:r>
              <w:rPr>
                <w:spacing w:val="-1"/>
                <w:sz w:val="21"/>
              </w:rPr>
              <w:t> 类药物...............................................................</w:t>
            </w:r>
          </w:p>
        </w:tc>
        <w:tc>
          <w:tcPr>
            <w:tcW w:w="261" w:type="dxa"/>
          </w:tcPr>
          <w:p>
            <w:pPr>
              <w:pStyle w:val="TableParagraph"/>
              <w:spacing w:before="18"/>
              <w:ind w:left="56"/>
              <w:rPr>
                <w:sz w:val="21"/>
              </w:rPr>
            </w:pPr>
            <w:r>
              <w:rPr>
                <w:w w:val="100"/>
                <w:sz w:val="21"/>
              </w:rPr>
              <w:t>9</w:t>
            </w:r>
          </w:p>
        </w:tc>
      </w:tr>
      <w:tr>
        <w:trPr>
          <w:trHeight w:val="312" w:hRule="atLeast"/>
        </w:trPr>
        <w:tc>
          <w:tcPr>
            <w:tcW w:w="840" w:type="dxa"/>
          </w:tcPr>
          <w:p>
            <w:pPr>
              <w:pStyle w:val="TableParagraph"/>
              <w:spacing w:before="22"/>
              <w:ind w:left="50" w:right="-15"/>
              <w:jc w:val="left"/>
              <w:rPr>
                <w:sz w:val="21"/>
              </w:rPr>
            </w:pPr>
            <w:r>
              <w:rPr>
                <w:spacing w:val="-18"/>
                <w:sz w:val="21"/>
              </w:rPr>
              <w:t>图表 </w:t>
            </w:r>
            <w:r>
              <w:rPr>
                <w:sz w:val="21"/>
              </w:rPr>
              <w:t>11:</w:t>
            </w:r>
          </w:p>
        </w:tc>
        <w:tc>
          <w:tcPr>
            <w:tcW w:w="9059" w:type="dxa"/>
          </w:tcPr>
          <w:p>
            <w:pPr>
              <w:pStyle w:val="TableParagraph"/>
              <w:spacing w:before="22"/>
              <w:ind w:left="7" w:right="2"/>
              <w:rPr>
                <w:sz w:val="21"/>
              </w:rPr>
            </w:pPr>
            <w:r>
              <w:rPr>
                <w:sz w:val="21"/>
              </w:rPr>
              <w:t>我国 65 岁以上阿尔茨海默症患者人数预测...............................................</w:t>
            </w:r>
          </w:p>
        </w:tc>
        <w:tc>
          <w:tcPr>
            <w:tcW w:w="261" w:type="dxa"/>
          </w:tcPr>
          <w:p>
            <w:pPr>
              <w:pStyle w:val="TableParagraph"/>
              <w:spacing w:before="22"/>
              <w:ind w:right="47"/>
              <w:rPr>
                <w:sz w:val="21"/>
              </w:rPr>
            </w:pPr>
            <w:r>
              <w:rPr>
                <w:sz w:val="21"/>
              </w:rPr>
              <w:t>10</w:t>
            </w:r>
          </w:p>
        </w:tc>
      </w:tr>
      <w:tr>
        <w:trPr>
          <w:trHeight w:val="312" w:hRule="atLeast"/>
        </w:trPr>
        <w:tc>
          <w:tcPr>
            <w:tcW w:w="840" w:type="dxa"/>
          </w:tcPr>
          <w:p>
            <w:pPr>
              <w:pStyle w:val="TableParagraph"/>
              <w:spacing w:before="22"/>
              <w:ind w:left="50" w:right="-15"/>
              <w:jc w:val="left"/>
              <w:rPr>
                <w:sz w:val="21"/>
              </w:rPr>
            </w:pPr>
            <w:r>
              <w:rPr>
                <w:spacing w:val="-18"/>
                <w:sz w:val="21"/>
              </w:rPr>
              <w:t>图表 </w:t>
            </w:r>
            <w:r>
              <w:rPr>
                <w:sz w:val="21"/>
              </w:rPr>
              <w:t>12:</w:t>
            </w:r>
          </w:p>
        </w:tc>
        <w:tc>
          <w:tcPr>
            <w:tcW w:w="9059" w:type="dxa"/>
          </w:tcPr>
          <w:p>
            <w:pPr>
              <w:pStyle w:val="TableParagraph"/>
              <w:spacing w:before="22"/>
              <w:ind w:left="9" w:right="2"/>
              <w:rPr>
                <w:sz w:val="21"/>
              </w:rPr>
            </w:pPr>
            <w:r>
              <w:rPr>
                <w:sz w:val="21"/>
              </w:rPr>
              <w:t>2023-2030 年乐意保在中国的销售额测算 ................................................</w:t>
            </w:r>
          </w:p>
        </w:tc>
        <w:tc>
          <w:tcPr>
            <w:tcW w:w="261" w:type="dxa"/>
          </w:tcPr>
          <w:p>
            <w:pPr>
              <w:pStyle w:val="TableParagraph"/>
              <w:spacing w:before="22"/>
              <w:ind w:right="47"/>
              <w:rPr>
                <w:sz w:val="21"/>
              </w:rPr>
            </w:pPr>
            <w:r>
              <w:rPr>
                <w:sz w:val="21"/>
              </w:rPr>
              <w:t>10</w:t>
            </w:r>
          </w:p>
        </w:tc>
      </w:tr>
      <w:tr>
        <w:trPr>
          <w:trHeight w:val="312" w:hRule="atLeast"/>
        </w:trPr>
        <w:tc>
          <w:tcPr>
            <w:tcW w:w="840" w:type="dxa"/>
          </w:tcPr>
          <w:p>
            <w:pPr>
              <w:pStyle w:val="TableParagraph"/>
              <w:spacing w:before="22"/>
              <w:ind w:left="50" w:right="-15"/>
              <w:jc w:val="left"/>
              <w:rPr>
                <w:sz w:val="21"/>
              </w:rPr>
            </w:pPr>
            <w:r>
              <w:rPr>
                <w:spacing w:val="-18"/>
                <w:sz w:val="21"/>
              </w:rPr>
              <w:t>图表 </w:t>
            </w:r>
            <w:r>
              <w:rPr>
                <w:sz w:val="21"/>
              </w:rPr>
              <w:t>13:</w:t>
            </w:r>
          </w:p>
        </w:tc>
        <w:tc>
          <w:tcPr>
            <w:tcW w:w="9059" w:type="dxa"/>
          </w:tcPr>
          <w:p>
            <w:pPr>
              <w:pStyle w:val="TableParagraph"/>
              <w:spacing w:before="22"/>
              <w:ind w:left="7" w:right="2"/>
              <w:rPr>
                <w:sz w:val="21"/>
              </w:rPr>
            </w:pPr>
            <w:r>
              <w:rPr>
                <w:sz w:val="21"/>
              </w:rPr>
              <w:t>国内单抗类药物进展 .................................................................</w:t>
            </w:r>
          </w:p>
        </w:tc>
        <w:tc>
          <w:tcPr>
            <w:tcW w:w="261" w:type="dxa"/>
          </w:tcPr>
          <w:p>
            <w:pPr>
              <w:pStyle w:val="TableParagraph"/>
              <w:spacing w:before="22"/>
              <w:ind w:right="47"/>
              <w:rPr>
                <w:sz w:val="21"/>
              </w:rPr>
            </w:pPr>
            <w:r>
              <w:rPr>
                <w:sz w:val="21"/>
              </w:rPr>
              <w:t>11</w:t>
            </w:r>
          </w:p>
        </w:tc>
      </w:tr>
      <w:tr>
        <w:trPr>
          <w:trHeight w:val="311" w:hRule="atLeast"/>
        </w:trPr>
        <w:tc>
          <w:tcPr>
            <w:tcW w:w="840" w:type="dxa"/>
          </w:tcPr>
          <w:p>
            <w:pPr>
              <w:pStyle w:val="TableParagraph"/>
              <w:spacing w:before="22"/>
              <w:ind w:left="50" w:right="-15"/>
              <w:jc w:val="left"/>
              <w:rPr>
                <w:sz w:val="21"/>
              </w:rPr>
            </w:pPr>
            <w:r>
              <w:rPr>
                <w:spacing w:val="-18"/>
                <w:sz w:val="21"/>
              </w:rPr>
              <w:t>图表 </w:t>
            </w:r>
            <w:r>
              <w:rPr>
                <w:sz w:val="21"/>
              </w:rPr>
              <w:t>14:</w:t>
            </w:r>
          </w:p>
        </w:tc>
        <w:tc>
          <w:tcPr>
            <w:tcW w:w="9059" w:type="dxa"/>
          </w:tcPr>
          <w:p>
            <w:pPr>
              <w:pStyle w:val="TableParagraph"/>
              <w:spacing w:before="22"/>
              <w:ind w:left="7" w:right="2"/>
              <w:rPr>
                <w:sz w:val="21"/>
              </w:rPr>
            </w:pPr>
            <w:r>
              <w:rPr>
                <w:sz w:val="21"/>
              </w:rPr>
              <w:t>国内治疗阿尔茨海默抑制剂、激动剂类药物进展..........................................</w:t>
            </w:r>
          </w:p>
        </w:tc>
        <w:tc>
          <w:tcPr>
            <w:tcW w:w="261" w:type="dxa"/>
          </w:tcPr>
          <w:p>
            <w:pPr>
              <w:pStyle w:val="TableParagraph"/>
              <w:spacing w:before="22"/>
              <w:ind w:right="47"/>
              <w:rPr>
                <w:sz w:val="21"/>
              </w:rPr>
            </w:pPr>
            <w:r>
              <w:rPr>
                <w:sz w:val="21"/>
              </w:rPr>
              <w:t>11</w:t>
            </w:r>
          </w:p>
        </w:tc>
      </w:tr>
      <w:tr>
        <w:trPr>
          <w:trHeight w:val="312" w:hRule="atLeast"/>
        </w:trPr>
        <w:tc>
          <w:tcPr>
            <w:tcW w:w="840" w:type="dxa"/>
          </w:tcPr>
          <w:p>
            <w:pPr>
              <w:pStyle w:val="TableParagraph"/>
              <w:spacing w:before="22"/>
              <w:ind w:left="50" w:right="-15"/>
              <w:jc w:val="left"/>
              <w:rPr>
                <w:sz w:val="21"/>
              </w:rPr>
            </w:pPr>
            <w:r>
              <w:rPr>
                <w:spacing w:val="-18"/>
                <w:sz w:val="21"/>
              </w:rPr>
              <w:t>图表 </w:t>
            </w:r>
            <w:r>
              <w:rPr>
                <w:sz w:val="21"/>
              </w:rPr>
              <w:t>15:</w:t>
            </w:r>
          </w:p>
        </w:tc>
        <w:tc>
          <w:tcPr>
            <w:tcW w:w="9059" w:type="dxa"/>
          </w:tcPr>
          <w:p>
            <w:pPr>
              <w:pStyle w:val="TableParagraph"/>
              <w:spacing w:before="22"/>
              <w:ind w:left="7" w:right="2"/>
              <w:rPr>
                <w:sz w:val="21"/>
              </w:rPr>
            </w:pPr>
            <w:r>
              <w:rPr>
                <w:sz w:val="21"/>
              </w:rPr>
              <w:t>国内治疗阿尔茨海默的中药及天然产物研究进展..........................................</w:t>
            </w:r>
          </w:p>
        </w:tc>
        <w:tc>
          <w:tcPr>
            <w:tcW w:w="261" w:type="dxa"/>
          </w:tcPr>
          <w:p>
            <w:pPr>
              <w:pStyle w:val="TableParagraph"/>
              <w:spacing w:before="22"/>
              <w:ind w:right="47"/>
              <w:rPr>
                <w:sz w:val="21"/>
              </w:rPr>
            </w:pPr>
            <w:r>
              <w:rPr>
                <w:sz w:val="21"/>
              </w:rPr>
              <w:t>12</w:t>
            </w:r>
          </w:p>
        </w:tc>
      </w:tr>
      <w:tr>
        <w:trPr>
          <w:trHeight w:val="312" w:hRule="atLeast"/>
        </w:trPr>
        <w:tc>
          <w:tcPr>
            <w:tcW w:w="840" w:type="dxa"/>
          </w:tcPr>
          <w:p>
            <w:pPr>
              <w:pStyle w:val="TableParagraph"/>
              <w:spacing w:before="22"/>
              <w:ind w:left="50" w:right="-15"/>
              <w:jc w:val="left"/>
              <w:rPr>
                <w:sz w:val="21"/>
              </w:rPr>
            </w:pPr>
            <w:r>
              <w:rPr>
                <w:spacing w:val="-18"/>
                <w:sz w:val="21"/>
              </w:rPr>
              <w:t>图表 </w:t>
            </w:r>
            <w:r>
              <w:rPr>
                <w:sz w:val="21"/>
              </w:rPr>
              <w:t>16:</w:t>
            </w:r>
          </w:p>
        </w:tc>
        <w:tc>
          <w:tcPr>
            <w:tcW w:w="9059" w:type="dxa"/>
          </w:tcPr>
          <w:p>
            <w:pPr>
              <w:pStyle w:val="TableParagraph"/>
              <w:spacing w:before="22"/>
              <w:ind w:left="7" w:right="2"/>
              <w:rPr>
                <w:sz w:val="21"/>
              </w:rPr>
            </w:pPr>
            <w:r>
              <w:rPr>
                <w:sz w:val="21"/>
              </w:rPr>
              <w:t>我国以干细胞、外泌体疗法治疗阿尔茨海默的进展........................................</w:t>
            </w:r>
          </w:p>
        </w:tc>
        <w:tc>
          <w:tcPr>
            <w:tcW w:w="261" w:type="dxa"/>
          </w:tcPr>
          <w:p>
            <w:pPr>
              <w:pStyle w:val="TableParagraph"/>
              <w:spacing w:before="22"/>
              <w:ind w:right="47"/>
              <w:rPr>
                <w:sz w:val="21"/>
              </w:rPr>
            </w:pPr>
            <w:r>
              <w:rPr>
                <w:sz w:val="21"/>
              </w:rPr>
              <w:t>12</w:t>
            </w:r>
          </w:p>
        </w:tc>
      </w:tr>
      <w:tr>
        <w:trPr>
          <w:trHeight w:val="312" w:hRule="atLeast"/>
        </w:trPr>
        <w:tc>
          <w:tcPr>
            <w:tcW w:w="840" w:type="dxa"/>
          </w:tcPr>
          <w:p>
            <w:pPr>
              <w:pStyle w:val="TableParagraph"/>
              <w:spacing w:before="22"/>
              <w:ind w:left="50" w:right="-15"/>
              <w:jc w:val="left"/>
              <w:rPr>
                <w:sz w:val="21"/>
              </w:rPr>
            </w:pPr>
            <w:r>
              <w:rPr>
                <w:spacing w:val="-18"/>
                <w:sz w:val="21"/>
              </w:rPr>
              <w:t>图表 </w:t>
            </w:r>
            <w:r>
              <w:rPr>
                <w:sz w:val="21"/>
              </w:rPr>
              <w:t>17:</w:t>
            </w:r>
          </w:p>
        </w:tc>
        <w:tc>
          <w:tcPr>
            <w:tcW w:w="9059" w:type="dxa"/>
          </w:tcPr>
          <w:p>
            <w:pPr>
              <w:pStyle w:val="TableParagraph"/>
              <w:spacing w:before="22"/>
              <w:ind w:left="6" w:right="2"/>
              <w:rPr>
                <w:sz w:val="21"/>
              </w:rPr>
            </w:pPr>
            <w:r>
              <w:rPr>
                <w:sz w:val="21"/>
              </w:rPr>
              <w:t>阿尔茨海默三种检测方式..............................................................</w:t>
            </w:r>
          </w:p>
        </w:tc>
        <w:tc>
          <w:tcPr>
            <w:tcW w:w="261" w:type="dxa"/>
          </w:tcPr>
          <w:p>
            <w:pPr>
              <w:pStyle w:val="TableParagraph"/>
              <w:spacing w:before="22"/>
              <w:ind w:right="47"/>
              <w:rPr>
                <w:sz w:val="21"/>
              </w:rPr>
            </w:pPr>
            <w:r>
              <w:rPr>
                <w:sz w:val="21"/>
              </w:rPr>
              <w:t>12</w:t>
            </w:r>
          </w:p>
        </w:tc>
      </w:tr>
      <w:tr>
        <w:trPr>
          <w:trHeight w:val="312" w:hRule="atLeast"/>
        </w:trPr>
        <w:tc>
          <w:tcPr>
            <w:tcW w:w="840" w:type="dxa"/>
          </w:tcPr>
          <w:p>
            <w:pPr>
              <w:pStyle w:val="TableParagraph"/>
              <w:spacing w:before="22"/>
              <w:ind w:left="50" w:right="-15"/>
              <w:jc w:val="left"/>
              <w:rPr>
                <w:sz w:val="21"/>
              </w:rPr>
            </w:pPr>
            <w:r>
              <w:rPr>
                <w:spacing w:val="-18"/>
                <w:sz w:val="21"/>
              </w:rPr>
              <w:t>图表 </w:t>
            </w:r>
            <w:r>
              <w:rPr>
                <w:sz w:val="21"/>
              </w:rPr>
              <w:t>18:</w:t>
            </w:r>
          </w:p>
        </w:tc>
        <w:tc>
          <w:tcPr>
            <w:tcW w:w="9059" w:type="dxa"/>
          </w:tcPr>
          <w:p>
            <w:pPr>
              <w:pStyle w:val="TableParagraph"/>
              <w:spacing w:before="22"/>
              <w:ind w:left="8" w:right="2"/>
              <w:rPr>
                <w:sz w:val="21"/>
              </w:rPr>
            </w:pPr>
            <w:r>
              <w:rPr>
                <w:sz w:val="21"/>
              </w:rPr>
              <w:t>PET 影像示踪剂研发进展 ..............................................................</w:t>
            </w:r>
          </w:p>
        </w:tc>
        <w:tc>
          <w:tcPr>
            <w:tcW w:w="261" w:type="dxa"/>
          </w:tcPr>
          <w:p>
            <w:pPr>
              <w:pStyle w:val="TableParagraph"/>
              <w:spacing w:before="22"/>
              <w:ind w:right="47"/>
              <w:rPr>
                <w:sz w:val="21"/>
              </w:rPr>
            </w:pPr>
            <w:r>
              <w:rPr>
                <w:sz w:val="21"/>
              </w:rPr>
              <w:t>13</w:t>
            </w:r>
          </w:p>
        </w:tc>
      </w:tr>
      <w:tr>
        <w:trPr>
          <w:trHeight w:val="311" w:hRule="atLeast"/>
        </w:trPr>
        <w:tc>
          <w:tcPr>
            <w:tcW w:w="840" w:type="dxa"/>
          </w:tcPr>
          <w:p>
            <w:pPr>
              <w:pStyle w:val="TableParagraph"/>
              <w:spacing w:before="22"/>
              <w:ind w:left="50" w:right="-15"/>
              <w:jc w:val="left"/>
              <w:rPr>
                <w:sz w:val="21"/>
              </w:rPr>
            </w:pPr>
            <w:r>
              <w:rPr>
                <w:spacing w:val="-18"/>
                <w:sz w:val="21"/>
              </w:rPr>
              <w:t>图表 </w:t>
            </w:r>
            <w:r>
              <w:rPr>
                <w:sz w:val="21"/>
              </w:rPr>
              <w:t>19:</w:t>
            </w:r>
          </w:p>
        </w:tc>
        <w:tc>
          <w:tcPr>
            <w:tcW w:w="9059" w:type="dxa"/>
          </w:tcPr>
          <w:p>
            <w:pPr>
              <w:pStyle w:val="TableParagraph"/>
              <w:spacing w:before="22"/>
              <w:ind w:left="7" w:right="2"/>
              <w:rPr>
                <w:sz w:val="21"/>
              </w:rPr>
            </w:pPr>
            <w:r>
              <w:rPr>
                <w:sz w:val="21"/>
              </w:rPr>
              <w:t>脑脊液检测的市场 ...................................................................</w:t>
            </w:r>
          </w:p>
        </w:tc>
        <w:tc>
          <w:tcPr>
            <w:tcW w:w="261" w:type="dxa"/>
          </w:tcPr>
          <w:p>
            <w:pPr>
              <w:pStyle w:val="TableParagraph"/>
              <w:spacing w:before="22"/>
              <w:ind w:right="47"/>
              <w:rPr>
                <w:sz w:val="21"/>
              </w:rPr>
            </w:pPr>
            <w:r>
              <w:rPr>
                <w:sz w:val="21"/>
              </w:rPr>
              <w:t>13</w:t>
            </w:r>
          </w:p>
        </w:tc>
      </w:tr>
      <w:tr>
        <w:trPr>
          <w:trHeight w:val="261" w:hRule="atLeast"/>
        </w:trPr>
        <w:tc>
          <w:tcPr>
            <w:tcW w:w="840" w:type="dxa"/>
          </w:tcPr>
          <w:p>
            <w:pPr>
              <w:pStyle w:val="TableParagraph"/>
              <w:spacing w:line="220" w:lineRule="exact" w:before="22"/>
              <w:ind w:left="50" w:right="-15"/>
              <w:jc w:val="left"/>
              <w:rPr>
                <w:sz w:val="21"/>
              </w:rPr>
            </w:pPr>
            <w:r>
              <w:rPr>
                <w:spacing w:val="-18"/>
                <w:sz w:val="21"/>
              </w:rPr>
              <w:t>图表 </w:t>
            </w:r>
            <w:r>
              <w:rPr>
                <w:sz w:val="21"/>
              </w:rPr>
              <w:t>20:</w:t>
            </w:r>
          </w:p>
        </w:tc>
        <w:tc>
          <w:tcPr>
            <w:tcW w:w="9059" w:type="dxa"/>
          </w:tcPr>
          <w:p>
            <w:pPr>
              <w:pStyle w:val="TableParagraph"/>
              <w:spacing w:line="220" w:lineRule="exact" w:before="22"/>
              <w:ind w:left="7" w:right="2"/>
              <w:rPr>
                <w:sz w:val="21"/>
              </w:rPr>
            </w:pPr>
            <w:r>
              <w:rPr>
                <w:sz w:val="21"/>
              </w:rPr>
              <w:t>我国阿尔茨海默 PET 检测的市场规模测算................................................</w:t>
            </w:r>
          </w:p>
        </w:tc>
        <w:tc>
          <w:tcPr>
            <w:tcW w:w="261" w:type="dxa"/>
          </w:tcPr>
          <w:p>
            <w:pPr>
              <w:pStyle w:val="TableParagraph"/>
              <w:spacing w:line="220" w:lineRule="exact" w:before="22"/>
              <w:ind w:right="47"/>
              <w:rPr>
                <w:sz w:val="21"/>
              </w:rPr>
            </w:pPr>
            <w:r>
              <w:rPr>
                <w:sz w:val="21"/>
              </w:rPr>
              <w:t>14</w:t>
            </w:r>
          </w:p>
        </w:tc>
      </w:tr>
    </w:tbl>
    <w:p>
      <w:pPr>
        <w:spacing w:after="0" w:line="220" w:lineRule="exact"/>
        <w:rPr>
          <w:sz w:val="21"/>
        </w:rPr>
        <w:sectPr>
          <w:pgSz w:w="11910" w:h="16840"/>
          <w:pgMar w:header="454" w:footer="430" w:top="1220" w:bottom="620" w:left="560" w:right="540"/>
        </w:sectPr>
      </w:pPr>
    </w:p>
    <w:p>
      <w:pPr>
        <w:pStyle w:val="Heading2"/>
        <w:numPr>
          <w:ilvl w:val="0"/>
          <w:numId w:val="3"/>
        </w:numPr>
        <w:tabs>
          <w:tab w:pos="3512" w:val="left" w:leader="none"/>
        </w:tabs>
        <w:spacing w:line="240" w:lineRule="auto" w:before="84" w:after="0"/>
        <w:ind w:left="3511" w:right="0" w:hanging="188"/>
        <w:jc w:val="left"/>
      </w:pPr>
      <w:bookmarkStart w:name="_TOC_250002" w:id="1"/>
      <w:bookmarkEnd w:id="1"/>
      <w:r>
        <w:rPr/>
        <w:t>我国阿尔茨海默患者数量庞大,诊疗市场广阔</w:t>
      </w:r>
    </w:p>
    <w:p>
      <w:pPr>
        <w:pStyle w:val="BodyText"/>
        <w:spacing w:line="278" w:lineRule="auto" w:before="25"/>
        <w:ind w:left="3324" w:right="231"/>
      </w:pPr>
      <w:r>
        <w:rPr>
          <w:spacing w:val="-2"/>
        </w:rPr>
        <w:t>阿尔茨海默病</w:t>
      </w:r>
      <w:r>
        <w:rPr/>
        <w:t>（AD）</w:t>
      </w:r>
      <w:r>
        <w:rPr>
          <w:spacing w:val="-3"/>
        </w:rPr>
        <w:t>是一种严重的神经退行性疾病，多发于高龄人群，主要表现为记忆、思维、分析判断、视空间辨认、情绪等障碍。</w:t>
      </w:r>
      <w:r>
        <w:rPr/>
        <w:t>2019</w:t>
      </w:r>
      <w:r>
        <w:rPr>
          <w:spacing w:val="-12"/>
        </w:rPr>
        <w:t> 年我国现存的 </w:t>
      </w:r>
      <w:r>
        <w:rPr/>
        <w:t>AD </w:t>
      </w:r>
      <w:r>
        <w:rPr>
          <w:spacing w:val="-8"/>
        </w:rPr>
        <w:t>及其他痴呆患病人数为 </w:t>
      </w:r>
      <w:r>
        <w:rPr/>
        <w:t>1324</w:t>
      </w:r>
      <w:r>
        <w:rPr>
          <w:spacing w:val="-10"/>
        </w:rPr>
        <w:t> 万例，全国各省</w:t>
      </w:r>
      <w:r>
        <w:rPr/>
        <w:t>（</w:t>
      </w:r>
      <w:r>
        <w:rPr>
          <w:spacing w:val="-2"/>
        </w:rPr>
        <w:t>包含直辖市</w:t>
      </w:r>
      <w:r>
        <w:rPr>
          <w:spacing w:val="-3"/>
        </w:rPr>
        <w:t>）</w:t>
      </w:r>
      <w:r>
        <w:rPr>
          <w:spacing w:val="-24"/>
        </w:rPr>
        <w:t>的 </w:t>
      </w:r>
      <w:r>
        <w:rPr/>
        <w:t>AD</w:t>
      </w:r>
      <w:r>
        <w:rPr>
          <w:spacing w:val="-10"/>
        </w:rPr>
        <w:t> 及其他痴呆</w:t>
      </w:r>
      <w:r>
        <w:rPr>
          <w:spacing w:val="-6"/>
        </w:rPr>
        <w:t>发病率为</w:t>
      </w:r>
      <w:r>
        <w:rPr/>
        <w:t>（0.56-2.07）/</w:t>
      </w:r>
      <w:r>
        <w:rPr>
          <w:rFonts w:ascii="黑体" w:hAnsi="黑体" w:eastAsia="黑体" w:hint="eastAsia"/>
        </w:rPr>
        <w:t>‰</w:t>
      </w:r>
      <w:r>
        <w:rPr>
          <w:spacing w:val="-7"/>
        </w:rPr>
        <w:t>。对比发现，我国的 </w:t>
      </w:r>
      <w:r>
        <w:rPr/>
        <w:t>AD</w:t>
      </w:r>
      <w:r>
        <w:rPr>
          <w:spacing w:val="-8"/>
        </w:rPr>
        <w:t> 及其他痴呆患病率和死亡率</w:t>
      </w:r>
      <w:r>
        <w:rPr>
          <w:spacing w:val="-5"/>
        </w:rPr>
        <w:t>略高于全球平均水平，其中在女性中的相关数据高于男性。从性别来看，我国</w:t>
      </w:r>
      <w:r>
        <w:rPr>
          <w:spacing w:val="-2"/>
        </w:rPr>
        <w:t>女性患病率</w:t>
      </w:r>
      <w:r>
        <w:rPr/>
        <w:t>（11.89/</w:t>
      </w:r>
      <w:r>
        <w:rPr>
          <w:rFonts w:ascii="黑体" w:hAnsi="黑体" w:eastAsia="黑体" w:hint="eastAsia"/>
        </w:rPr>
        <w:t>‰</w:t>
      </w:r>
      <w:r>
        <w:rPr/>
        <w:t>）</w:t>
      </w:r>
      <w:r>
        <w:rPr>
          <w:spacing w:val="-1"/>
        </w:rPr>
        <w:t>和死亡率</w:t>
      </w:r>
      <w:r>
        <w:rPr/>
        <w:t>（0.31/</w:t>
      </w:r>
      <w:r>
        <w:rPr>
          <w:rFonts w:ascii="黑体" w:hAnsi="黑体" w:eastAsia="黑体" w:hint="eastAsia"/>
        </w:rPr>
        <w:t>‰</w:t>
      </w:r>
      <w:r>
        <w:rPr/>
        <w:t>）</w:t>
      </w:r>
      <w:r>
        <w:rPr>
          <w:spacing w:val="-3"/>
        </w:rPr>
        <w:t>分别高于男性的患病率</w:t>
      </w:r>
    </w:p>
    <w:p>
      <w:pPr>
        <w:pStyle w:val="BodyText"/>
        <w:spacing w:line="268" w:lineRule="exact"/>
        <w:ind w:left="3324"/>
      </w:pPr>
      <w:r>
        <w:rPr>
          <w:w w:val="100"/>
        </w:rPr>
        <w:t>（6.6</w:t>
      </w:r>
      <w:r>
        <w:rPr>
          <w:spacing w:val="-3"/>
          <w:w w:val="100"/>
        </w:rPr>
        <w:t>9</w:t>
      </w:r>
      <w:r>
        <w:rPr>
          <w:spacing w:val="-1"/>
          <w:w w:val="100"/>
        </w:rPr>
        <w:t>/</w:t>
      </w:r>
      <w:r>
        <w:rPr>
          <w:rFonts w:ascii="黑体" w:hAnsi="黑体" w:eastAsia="黑体" w:hint="eastAsia"/>
          <w:spacing w:val="-3"/>
          <w:w w:val="100"/>
        </w:rPr>
        <w:t>‰</w:t>
      </w:r>
      <w:r>
        <w:rPr>
          <w:w w:val="100"/>
        </w:rPr>
        <w:t>）</w:t>
      </w:r>
      <w:r>
        <w:rPr>
          <w:spacing w:val="-3"/>
          <w:w w:val="100"/>
        </w:rPr>
        <w:t>和死亡率</w:t>
      </w:r>
      <w:r>
        <w:rPr>
          <w:spacing w:val="-1"/>
          <w:w w:val="100"/>
        </w:rPr>
        <w:t>（</w:t>
      </w:r>
      <w:r>
        <w:rPr>
          <w:spacing w:val="-3"/>
          <w:w w:val="100"/>
        </w:rPr>
        <w:t>0.</w:t>
      </w:r>
      <w:r>
        <w:rPr>
          <w:w w:val="100"/>
        </w:rPr>
        <w:t>15/</w:t>
      </w:r>
      <w:r>
        <w:rPr>
          <w:rFonts w:ascii="黑体" w:hAnsi="黑体" w:eastAsia="黑体" w:hint="eastAsia"/>
          <w:w w:val="100"/>
        </w:rPr>
        <w:t>‰</w:t>
      </w:r>
      <w:r>
        <w:rPr>
          <w:spacing w:val="-108"/>
          <w:w w:val="100"/>
        </w:rPr>
        <w:t>）</w:t>
      </w:r>
      <w:r>
        <w:rPr>
          <w:w w:val="100"/>
        </w:rPr>
        <w:t>。</w:t>
      </w:r>
    </w:p>
    <w:p>
      <w:pPr>
        <w:pStyle w:val="BodyText"/>
        <w:spacing w:before="9"/>
        <w:rPr>
          <w:sz w:val="27"/>
        </w:rPr>
      </w:pPr>
    </w:p>
    <w:p>
      <w:pPr>
        <w:pStyle w:val="BodyText"/>
        <w:tabs>
          <w:tab w:pos="5472" w:val="left" w:leader="none"/>
        </w:tabs>
        <w:spacing w:after="19"/>
        <w:ind w:left="147"/>
      </w:pPr>
      <w:r>
        <w:rPr/>
        <w:t>图表1:阿尔</w:t>
      </w:r>
      <w:r>
        <w:rPr>
          <w:spacing w:val="-3"/>
        </w:rPr>
        <w:t>茨</w:t>
      </w:r>
      <w:r>
        <w:rPr/>
        <w:t>海</w:t>
      </w:r>
      <w:r>
        <w:rPr>
          <w:spacing w:val="-3"/>
        </w:rPr>
        <w:t>默</w:t>
      </w:r>
      <w:r>
        <w:rPr/>
        <w:t>死</w:t>
      </w:r>
      <w:r>
        <w:rPr>
          <w:spacing w:val="-3"/>
        </w:rPr>
        <w:t>亡</w:t>
      </w:r>
      <w:r>
        <w:rPr/>
        <w:t>率</w:t>
        <w:tab/>
        <w:t>图表2:阿尔</w:t>
      </w:r>
      <w:r>
        <w:rPr>
          <w:spacing w:val="-3"/>
        </w:rPr>
        <w:t>茨</w:t>
      </w:r>
      <w:r>
        <w:rPr/>
        <w:t>海</w:t>
      </w:r>
      <w:r>
        <w:rPr>
          <w:spacing w:val="-3"/>
        </w:rPr>
        <w:t>默</w:t>
      </w:r>
      <w:r>
        <w:rPr/>
        <w:t>患</w:t>
      </w:r>
      <w:r>
        <w:rPr>
          <w:spacing w:val="-3"/>
        </w:rPr>
        <w:t>病</w:t>
      </w:r>
      <w:r>
        <w:rPr/>
        <w:t>率</w:t>
      </w:r>
    </w:p>
    <w:p>
      <w:pPr>
        <w:pStyle w:val="BodyText"/>
        <w:spacing w:line="20" w:lineRule="exact"/>
        <w:ind w:left="148"/>
        <w:rPr>
          <w:sz w:val="2"/>
        </w:rPr>
      </w:pPr>
      <w:r>
        <w:rPr>
          <w:sz w:val="2"/>
        </w:rPr>
        <w:pict>
          <v:group style="width:255.65pt;height:1pt;mso-position-horizontal-relative:char;mso-position-vertical-relative:line" coordorigin="0,0" coordsize="5113,20">
            <v:rect style="position:absolute;left:0;top:0;width:5113;height:20" filled="true" fillcolor="#000000" stroked="false">
              <v:fill type="solid"/>
            </v:rect>
          </v:group>
        </w:pict>
      </w:r>
      <w:r>
        <w:rPr>
          <w:sz w:val="2"/>
        </w:rPr>
      </w:r>
      <w:r>
        <w:rPr>
          <w:rFonts w:ascii="Times New Roman"/>
          <w:spacing w:val="196"/>
          <w:sz w:val="2"/>
        </w:rPr>
        <w:t> </w:t>
      </w:r>
      <w:r>
        <w:rPr>
          <w:spacing w:val="196"/>
          <w:sz w:val="2"/>
        </w:rPr>
        <w:pict>
          <v:group style="width:255.55pt;height:1pt;mso-position-horizontal-relative:char;mso-position-vertical-relative:line" coordorigin="0,0" coordsize="5111,20">
            <v:rect style="position:absolute;left:0;top:0;width:5111;height:20" filled="true" fillcolor="#000000" stroked="false">
              <v:fill type="solid"/>
            </v:rect>
          </v:group>
        </w:pict>
      </w:r>
      <w:r>
        <w:rPr>
          <w:spacing w:val="196"/>
          <w:sz w:val="2"/>
        </w:rPr>
      </w:r>
    </w:p>
    <w:p>
      <w:pPr>
        <w:pStyle w:val="BodyText"/>
        <w:spacing w:before="5"/>
        <w:rPr>
          <w:sz w:val="17"/>
        </w:rPr>
      </w:pPr>
      <w:r>
        <w:rPr/>
        <w:drawing>
          <wp:anchor distT="0" distB="0" distL="0" distR="0" allowOverlap="1" layoutInCell="1" locked="0" behindDoc="0" simplePos="0" relativeHeight="11">
            <wp:simplePos x="0" y="0"/>
            <wp:positionH relativeFrom="page">
              <wp:posOffset>629642</wp:posOffset>
            </wp:positionH>
            <wp:positionV relativeFrom="paragraph">
              <wp:posOffset>166872</wp:posOffset>
            </wp:positionV>
            <wp:extent cx="2912320" cy="1824227"/>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4" cstate="print"/>
                    <a:stretch>
                      <a:fillRect/>
                    </a:stretch>
                  </pic:blipFill>
                  <pic:spPr>
                    <a:xfrm>
                      <a:off x="0" y="0"/>
                      <a:ext cx="2912320" cy="1824227"/>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4132309</wp:posOffset>
            </wp:positionH>
            <wp:positionV relativeFrom="paragraph">
              <wp:posOffset>267842</wp:posOffset>
            </wp:positionV>
            <wp:extent cx="2677674" cy="1613535"/>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5" cstate="print"/>
                    <a:stretch>
                      <a:fillRect/>
                    </a:stretch>
                  </pic:blipFill>
                  <pic:spPr>
                    <a:xfrm>
                      <a:off x="0" y="0"/>
                      <a:ext cx="2677674" cy="1613535"/>
                    </a:xfrm>
                    <a:prstGeom prst="rect">
                      <a:avLst/>
                    </a:prstGeom>
                  </pic:spPr>
                </pic:pic>
              </a:graphicData>
            </a:graphic>
          </wp:anchor>
        </w:drawing>
      </w:r>
    </w:p>
    <w:p>
      <w:pPr>
        <w:pStyle w:val="BodyText"/>
        <w:spacing w:before="3"/>
        <w:rPr>
          <w:sz w:val="20"/>
        </w:rPr>
      </w:pPr>
    </w:p>
    <w:p>
      <w:pPr>
        <w:pStyle w:val="BodyText"/>
        <w:spacing w:line="20" w:lineRule="exact"/>
        <w:ind w:left="148"/>
        <w:rPr>
          <w:sz w:val="2"/>
        </w:rPr>
      </w:pPr>
      <w:r>
        <w:rPr>
          <w:sz w:val="2"/>
        </w:rPr>
        <w:pict>
          <v:group style="width:255.65pt;height:1pt;mso-position-horizontal-relative:char;mso-position-vertical-relative:line" coordorigin="0,0" coordsize="5113,20">
            <v:rect style="position:absolute;left:0;top:0;width:5113;height:20" filled="true" fillcolor="#000000" stroked="false">
              <v:fill type="solid"/>
            </v:rect>
          </v:group>
        </w:pict>
      </w:r>
      <w:r>
        <w:rPr>
          <w:sz w:val="2"/>
        </w:rPr>
      </w:r>
      <w:r>
        <w:rPr>
          <w:rFonts w:ascii="Times New Roman"/>
          <w:spacing w:val="196"/>
          <w:sz w:val="2"/>
        </w:rPr>
        <w:t> </w:t>
      </w:r>
      <w:r>
        <w:rPr>
          <w:spacing w:val="196"/>
          <w:sz w:val="2"/>
        </w:rPr>
        <w:pict>
          <v:group style="width:255.55pt;height:1pt;mso-position-horizontal-relative:char;mso-position-vertical-relative:line" coordorigin="0,0" coordsize="5111,20">
            <v:rect style="position:absolute;left:0;top:0;width:5111;height:20" filled="true" fillcolor="#000000" stroked="false">
              <v:fill type="solid"/>
            </v:rect>
          </v:group>
        </w:pict>
      </w:r>
      <w:r>
        <w:rPr>
          <w:spacing w:val="196"/>
          <w:sz w:val="2"/>
        </w:rPr>
      </w:r>
    </w:p>
    <w:p>
      <w:pPr>
        <w:spacing w:after="0" w:line="20" w:lineRule="exact"/>
        <w:rPr>
          <w:sz w:val="2"/>
        </w:rPr>
        <w:sectPr>
          <w:pgSz w:w="11910" w:h="16840"/>
          <w:pgMar w:header="454" w:footer="430" w:top="1220" w:bottom="620" w:left="560" w:right="540"/>
        </w:sectPr>
      </w:pPr>
    </w:p>
    <w:p>
      <w:pPr>
        <w:spacing w:line="278" w:lineRule="auto" w:before="19"/>
        <w:ind w:left="148" w:right="1" w:firstLine="0"/>
        <w:jc w:val="left"/>
        <w:rPr>
          <w:i/>
          <w:sz w:val="21"/>
        </w:rPr>
      </w:pPr>
      <w:r>
        <w:rPr>
          <w:i/>
          <w:w w:val="95"/>
          <w:sz w:val="21"/>
        </w:rPr>
        <w:t>资料来源：中国阿尔茨海默病报告（2021 年度）方正证券</w:t>
      </w:r>
      <w:r>
        <w:rPr>
          <w:i/>
          <w:sz w:val="21"/>
        </w:rPr>
        <w:t>研究所</w:t>
      </w:r>
    </w:p>
    <w:p>
      <w:pPr>
        <w:spacing w:line="278" w:lineRule="auto" w:before="19"/>
        <w:ind w:left="148" w:right="225" w:firstLine="0"/>
        <w:jc w:val="left"/>
        <w:rPr>
          <w:i/>
          <w:sz w:val="21"/>
        </w:rPr>
      </w:pPr>
      <w:r>
        <w:rPr/>
        <w:br w:type="column"/>
      </w:r>
      <w:r>
        <w:rPr>
          <w:i/>
          <w:w w:val="95"/>
          <w:sz w:val="21"/>
        </w:rPr>
        <w:t>资料来源：中国阿尔茨海默病报告（2021 年度）方正证券</w:t>
      </w:r>
      <w:r>
        <w:rPr>
          <w:i/>
          <w:sz w:val="21"/>
        </w:rPr>
        <w:t>研究所</w:t>
      </w:r>
    </w:p>
    <w:p>
      <w:pPr>
        <w:spacing w:after="0" w:line="278" w:lineRule="auto"/>
        <w:jc w:val="left"/>
        <w:rPr>
          <w:sz w:val="21"/>
        </w:rPr>
        <w:sectPr>
          <w:type w:val="continuous"/>
          <w:pgSz w:w="11910" w:h="16840"/>
          <w:pgMar w:top="1160" w:bottom="620" w:left="560" w:right="540"/>
          <w:cols w:num="2" w:equalWidth="0">
            <w:col w:w="5239" w:space="86"/>
            <w:col w:w="5485"/>
          </w:cols>
        </w:sectPr>
      </w:pPr>
    </w:p>
    <w:p>
      <w:pPr>
        <w:pStyle w:val="BodyText"/>
        <w:rPr>
          <w:i/>
          <w:sz w:val="18"/>
        </w:rPr>
      </w:pPr>
    </w:p>
    <w:p>
      <w:pPr>
        <w:pStyle w:val="Heading2"/>
        <w:numPr>
          <w:ilvl w:val="0"/>
          <w:numId w:val="3"/>
        </w:numPr>
        <w:tabs>
          <w:tab w:pos="3512" w:val="left" w:leader="none"/>
        </w:tabs>
        <w:spacing w:line="240" w:lineRule="auto" w:before="66" w:after="0"/>
        <w:ind w:left="3511" w:right="0" w:hanging="188"/>
        <w:jc w:val="left"/>
      </w:pPr>
      <w:bookmarkStart w:name="_TOC_250001" w:id="2"/>
      <w:bookmarkEnd w:id="2"/>
      <w:r>
        <w:rPr/>
        <w:t>阿尔茨海默治疗曙光在前，产业链研发如火如荼</w:t>
      </w:r>
    </w:p>
    <w:p>
      <w:pPr>
        <w:pStyle w:val="ListParagraph"/>
        <w:numPr>
          <w:ilvl w:val="1"/>
          <w:numId w:val="3"/>
        </w:numPr>
        <w:tabs>
          <w:tab w:pos="3697" w:val="left" w:leader="none"/>
        </w:tabs>
        <w:spacing w:line="240" w:lineRule="auto" w:before="25" w:after="0"/>
        <w:ind w:left="3696" w:right="0" w:hanging="373"/>
        <w:jc w:val="left"/>
        <w:rPr>
          <w:sz w:val="21"/>
        </w:rPr>
      </w:pPr>
      <w:r>
        <w:rPr>
          <w:spacing w:val="-3"/>
          <w:sz w:val="21"/>
        </w:rPr>
        <w:t>阿尔茨海默发病机制复杂</w:t>
      </w:r>
      <w:r>
        <w:rPr>
          <w:sz w:val="21"/>
        </w:rPr>
        <w:t>，A</w:t>
      </w:r>
      <w:r>
        <w:rPr>
          <w:rFonts w:ascii="宋体" w:hAnsi="宋体" w:eastAsia="宋体" w:hint="eastAsia"/>
          <w:sz w:val="21"/>
        </w:rPr>
        <w:t>β</w:t>
      </w:r>
      <w:r>
        <w:rPr>
          <w:rFonts w:ascii="宋体" w:hAnsi="宋体" w:eastAsia="宋体" w:hint="eastAsia"/>
          <w:spacing w:val="-55"/>
          <w:sz w:val="21"/>
        </w:rPr>
        <w:t> </w:t>
      </w:r>
      <w:r>
        <w:rPr>
          <w:spacing w:val="-26"/>
          <w:sz w:val="21"/>
        </w:rPr>
        <w:t>与 </w:t>
      </w:r>
      <w:r>
        <w:rPr>
          <w:sz w:val="21"/>
        </w:rPr>
        <w:t>Tau</w:t>
      </w:r>
      <w:r>
        <w:rPr>
          <w:spacing w:val="-9"/>
          <w:sz w:val="21"/>
        </w:rPr>
        <w:t> 蛋白为主流假说</w:t>
      </w:r>
    </w:p>
    <w:p>
      <w:pPr>
        <w:pStyle w:val="BodyText"/>
        <w:spacing w:line="278" w:lineRule="auto" w:before="43"/>
        <w:ind w:left="3324" w:right="178"/>
      </w:pPr>
      <w:r>
        <w:rPr>
          <w:spacing w:val="-17"/>
        </w:rPr>
        <w:t>目前 </w:t>
      </w:r>
      <w:r>
        <w:rPr/>
        <w:t>AD</w:t>
      </w:r>
      <w:r>
        <w:rPr>
          <w:spacing w:val="-16"/>
        </w:rPr>
        <w:t> 发病机制有 </w:t>
      </w:r>
      <w:r>
        <w:rPr/>
        <w:t>6</w:t>
      </w:r>
      <w:r>
        <w:rPr>
          <w:spacing w:val="-12"/>
        </w:rPr>
        <w:t> 种假说：</w:t>
      </w:r>
      <w:r>
        <w:rPr/>
        <w:t>A</w:t>
      </w:r>
      <w:r>
        <w:rPr>
          <w:rFonts w:ascii="黑体" w:hAnsi="黑体" w:eastAsia="黑体" w:hint="eastAsia"/>
        </w:rPr>
        <w:t>β</w:t>
      </w:r>
      <w:r>
        <w:rPr>
          <w:rFonts w:ascii="黑体" w:hAnsi="黑体" w:eastAsia="黑体" w:hint="eastAsia"/>
          <w:spacing w:val="-50"/>
        </w:rPr>
        <w:t> </w:t>
      </w:r>
      <w:r>
        <w:rPr>
          <w:spacing w:val="-2"/>
        </w:rPr>
        <w:t>假说，</w:t>
      </w:r>
      <w:r>
        <w:rPr/>
        <w:t>Tau</w:t>
      </w:r>
      <w:r>
        <w:rPr>
          <w:spacing w:val="-8"/>
        </w:rPr>
        <w:t> 蛋白假说，胆碱能假说，神经炎</w:t>
      </w:r>
      <w:r>
        <w:rPr>
          <w:spacing w:val="-7"/>
        </w:rPr>
        <w:t>症假说，线粒体功能障碍和氧化应激假说，其中主流的两种假说为 </w:t>
      </w:r>
      <w:r>
        <w:rPr/>
        <w:t>A</w:t>
      </w:r>
      <w:r>
        <w:rPr>
          <w:rFonts w:ascii="黑体" w:hAnsi="黑体" w:eastAsia="黑体" w:hint="eastAsia"/>
        </w:rPr>
        <w:t>β</w:t>
      </w:r>
      <w:r>
        <w:rPr>
          <w:rFonts w:ascii="黑体" w:hAnsi="黑体" w:eastAsia="黑体" w:hint="eastAsia"/>
          <w:spacing w:val="-48"/>
        </w:rPr>
        <w:t> </w:t>
      </w:r>
      <w:r>
        <w:rPr>
          <w:spacing w:val="-2"/>
        </w:rPr>
        <w:t>假说与Tau</w:t>
      </w:r>
      <w:r>
        <w:rPr>
          <w:spacing w:val="-11"/>
        </w:rPr>
        <w:t> 蛋白假说。</w:t>
      </w:r>
      <w:r>
        <w:rPr/>
        <w:t>1）A</w:t>
      </w:r>
      <w:r>
        <w:rPr>
          <w:rFonts w:ascii="黑体" w:hAnsi="黑体" w:eastAsia="黑体" w:hint="eastAsia"/>
        </w:rPr>
        <w:t>β</w:t>
      </w:r>
      <w:r>
        <w:rPr>
          <w:rFonts w:ascii="黑体" w:hAnsi="黑体" w:eastAsia="黑体" w:hint="eastAsia"/>
          <w:spacing w:val="-45"/>
        </w:rPr>
        <w:t> </w:t>
      </w:r>
      <w:r>
        <w:rPr>
          <w:spacing w:val="-3"/>
        </w:rPr>
        <w:t>假说认为，</w:t>
      </w:r>
      <w:r>
        <w:rPr/>
        <w:t>A</w:t>
      </w:r>
      <w:r>
        <w:rPr>
          <w:rFonts w:ascii="黑体" w:hAnsi="黑体" w:eastAsia="黑体" w:hint="eastAsia"/>
        </w:rPr>
        <w:t>β</w:t>
      </w:r>
      <w:r>
        <w:rPr>
          <w:rFonts w:ascii="黑体" w:hAnsi="黑体" w:eastAsia="黑体" w:hint="eastAsia"/>
          <w:spacing w:val="-45"/>
        </w:rPr>
        <w:t> </w:t>
      </w:r>
      <w:r>
        <w:rPr/>
        <w:t>过量产生或清除过慢可导致细胞外的A</w:t>
      </w:r>
      <w:r>
        <w:rPr>
          <w:rFonts w:ascii="黑体" w:hAnsi="黑体" w:eastAsia="黑体" w:hint="eastAsia"/>
        </w:rPr>
        <w:t>β </w:t>
      </w:r>
      <w:r>
        <w:rPr>
          <w:spacing w:val="-3"/>
        </w:rPr>
        <w:t>异常沉积，形成淀粉样蛋白斑块，导致神经元凋亡。</w:t>
      </w:r>
      <w:r>
        <w:rPr/>
        <w:t>2）Tau</w:t>
      </w:r>
      <w:r>
        <w:rPr>
          <w:spacing w:val="-7"/>
        </w:rPr>
        <w:t> 蛋白假说认为，</w:t>
      </w:r>
      <w:r>
        <w:rPr/>
        <w:t>Tau </w:t>
      </w:r>
      <w:r>
        <w:rPr>
          <w:spacing w:val="1"/>
        </w:rPr>
        <w:t>蛋白过度磷酸化并与其他</w:t>
      </w:r>
      <w:r>
        <w:rPr/>
        <w:t>Tau</w:t>
      </w:r>
      <w:r>
        <w:rPr>
          <w:spacing w:val="-3"/>
        </w:rPr>
        <w:t> 蛋白分子聚集组装成</w:t>
      </w:r>
      <w:r>
        <w:rPr/>
        <w:t>NFTs</w:t>
      </w:r>
      <w:r>
        <w:rPr>
          <w:spacing w:val="-10"/>
        </w:rPr>
        <w:t>，是导致 </w:t>
      </w:r>
      <w:r>
        <w:rPr/>
        <w:t>AD</w:t>
      </w:r>
      <w:r>
        <w:rPr>
          <w:spacing w:val="-10"/>
        </w:rPr>
        <w:t> 患者神经元</w:t>
      </w:r>
      <w:r>
        <w:rPr>
          <w:spacing w:val="-5"/>
        </w:rPr>
        <w:t>凋亡的原因。</w:t>
      </w:r>
      <w:r>
        <w:rPr/>
        <w:t>3)A</w:t>
      </w:r>
      <w:r>
        <w:rPr>
          <w:rFonts w:ascii="黑体" w:hAnsi="黑体" w:eastAsia="黑体" w:hint="eastAsia"/>
        </w:rPr>
        <w:t>β</w:t>
      </w:r>
      <w:r>
        <w:rPr>
          <w:rFonts w:ascii="黑体" w:hAnsi="黑体" w:eastAsia="黑体" w:hint="eastAsia"/>
          <w:spacing w:val="-53"/>
        </w:rPr>
        <w:t> </w:t>
      </w:r>
      <w:r>
        <w:rPr>
          <w:spacing w:val="-3"/>
        </w:rPr>
        <w:t>级联假说认为,</w:t>
      </w:r>
      <w:r>
        <w:rPr/>
        <w:t>A</w:t>
      </w:r>
      <w:r>
        <w:rPr>
          <w:rFonts w:ascii="黑体" w:hAnsi="黑体" w:eastAsia="黑体" w:hint="eastAsia"/>
        </w:rPr>
        <w:t>β</w:t>
      </w:r>
      <w:r>
        <w:rPr>
          <w:rFonts w:ascii="黑体" w:hAnsi="黑体" w:eastAsia="黑体" w:hint="eastAsia"/>
          <w:spacing w:val="-53"/>
        </w:rPr>
        <w:t> </w:t>
      </w:r>
      <w:r>
        <w:rPr>
          <w:spacing w:val="-12"/>
        </w:rPr>
        <w:t>的变化是 </w:t>
      </w:r>
      <w:r>
        <w:rPr/>
        <w:t>Tau</w:t>
      </w:r>
      <w:r>
        <w:rPr>
          <w:spacing w:val="-9"/>
        </w:rPr>
        <w:t> 病理的初始损伤驱动因</w:t>
      </w:r>
    </w:p>
    <w:p>
      <w:pPr>
        <w:pStyle w:val="BodyText"/>
        <w:spacing w:line="278" w:lineRule="auto"/>
        <w:ind w:left="3324" w:right="286"/>
      </w:pPr>
      <w:r>
        <w:rPr>
          <w:spacing w:val="-1"/>
        </w:rPr>
        <w:t>素，触发</w:t>
      </w:r>
      <w:r>
        <w:rPr>
          <w:spacing w:val="-3"/>
        </w:rPr>
        <w:t>/</w:t>
      </w:r>
      <w:r>
        <w:rPr>
          <w:spacing w:val="-11"/>
        </w:rPr>
        <w:t>促进了下游 </w:t>
      </w:r>
      <w:r>
        <w:rPr/>
        <w:t>Tau</w:t>
      </w:r>
      <w:r>
        <w:rPr>
          <w:spacing w:val="-9"/>
        </w:rPr>
        <w:t> 蛋白通路的激活，</w:t>
      </w:r>
      <w:r>
        <w:rPr/>
        <w:t>A</w:t>
      </w:r>
      <w:r>
        <w:rPr>
          <w:rFonts w:ascii="黑体" w:hAnsi="黑体" w:eastAsia="黑体" w:hint="eastAsia"/>
        </w:rPr>
        <w:t>β </w:t>
      </w:r>
      <w:r>
        <w:rPr>
          <w:spacing w:val="50"/>
        </w:rPr>
        <w:t>与</w:t>
      </w:r>
      <w:r>
        <w:rPr/>
        <w:t>Tau</w:t>
      </w:r>
      <w:r>
        <w:rPr>
          <w:spacing w:val="-8"/>
        </w:rPr>
        <w:t> 蛋白通过细胞间传递扩</w:t>
      </w:r>
      <w:r>
        <w:rPr>
          <w:spacing w:val="-11"/>
        </w:rPr>
        <w:t>散病理共同导致了 </w:t>
      </w:r>
      <w:r>
        <w:rPr/>
        <w:t>AD</w:t>
      </w:r>
      <w:r>
        <w:rPr>
          <w:spacing w:val="-12"/>
        </w:rPr>
        <w:t> 的进展。</w:t>
      </w:r>
    </w:p>
    <w:p>
      <w:pPr>
        <w:spacing w:after="0" w:line="278" w:lineRule="auto"/>
        <w:sectPr>
          <w:type w:val="continuous"/>
          <w:pgSz w:w="11910" w:h="16840"/>
          <w:pgMar w:top="1160" w:bottom="620" w:left="560" w:right="540"/>
        </w:sectPr>
      </w:pPr>
    </w:p>
    <w:p>
      <w:pPr>
        <w:pStyle w:val="BodyText"/>
        <w:spacing w:before="104" w:after="19"/>
        <w:ind w:left="3324"/>
      </w:pPr>
      <w:r>
        <w:rPr/>
        <w:drawing>
          <wp:anchor distT="0" distB="0" distL="0" distR="0" allowOverlap="1" layoutInCell="1" locked="0" behindDoc="0" simplePos="0" relativeHeight="15737856">
            <wp:simplePos x="0" y="0"/>
            <wp:positionH relativeFrom="page">
              <wp:posOffset>3716782</wp:posOffset>
            </wp:positionH>
            <wp:positionV relativeFrom="page">
              <wp:posOffset>10565383</wp:posOffset>
            </wp:positionV>
            <wp:extent cx="127000" cy="127000"/>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8" cstate="print"/>
                    <a:stretch>
                      <a:fillRect/>
                    </a:stretch>
                  </pic:blipFill>
                  <pic:spPr>
                    <a:xfrm>
                      <a:off x="0" y="0"/>
                      <a:ext cx="127000" cy="127000"/>
                    </a:xfrm>
                    <a:prstGeom prst="rect">
                      <a:avLst/>
                    </a:prstGeom>
                  </pic:spPr>
                </pic:pic>
              </a:graphicData>
            </a:graphic>
          </wp:anchor>
        </w:drawing>
      </w:r>
      <w:r>
        <w:rPr/>
        <w:t>图表3:阿尔茨海默疾病疗法概览</w:t>
      </w:r>
    </w:p>
    <w:p>
      <w:pPr>
        <w:pStyle w:val="BodyText"/>
        <w:ind w:left="3324"/>
        <w:rPr>
          <w:sz w:val="20"/>
        </w:rPr>
      </w:pPr>
      <w:r>
        <w:rPr>
          <w:sz w:val="20"/>
        </w:rPr>
        <w:pict>
          <v:group style="width:362.95pt;height:345.3pt;mso-position-horizontal-relative:char;mso-position-vertical-relative:line" coordorigin="0,0" coordsize="7259,6906">
            <v:shape style="position:absolute;left:0;top:0;width:7259;height:6906" coordorigin="0,0" coordsize="7259,6906" path="m7259,6887l0,6887,0,6906,7259,6906,7259,6887xm7259,0l0,0,0,19,7259,19,7259,0xe" filled="true" fillcolor="#000000" stroked="false">
              <v:path arrowok="t"/>
              <v:fill type="solid"/>
            </v:shape>
            <v:shape style="position:absolute;left:88;top:44;width:7079;height:6816" type="#_x0000_t75" stroked="false">
              <v:imagedata r:id="rId19" o:title=""/>
            </v:shape>
          </v:group>
        </w:pict>
      </w:r>
      <w:r>
        <w:rPr>
          <w:sz w:val="20"/>
        </w:rPr>
      </w:r>
    </w:p>
    <w:p>
      <w:pPr>
        <w:spacing w:line="253" w:lineRule="exact" w:before="0"/>
        <w:ind w:left="3324" w:right="0" w:firstLine="0"/>
        <w:jc w:val="left"/>
        <w:rPr>
          <w:i/>
          <w:sz w:val="21"/>
        </w:rPr>
      </w:pPr>
      <w:r>
        <w:rPr>
          <w:i/>
          <w:sz w:val="21"/>
        </w:rPr>
        <w:t>资料来源：Bing，方正证券研究所</w:t>
      </w:r>
    </w:p>
    <w:p>
      <w:pPr>
        <w:pStyle w:val="BodyText"/>
        <w:spacing w:before="6"/>
        <w:rPr>
          <w:i/>
          <w:sz w:val="22"/>
        </w:rPr>
      </w:pPr>
    </w:p>
    <w:p>
      <w:pPr>
        <w:pStyle w:val="BodyText"/>
        <w:spacing w:line="278" w:lineRule="auto" w:before="72"/>
        <w:ind w:left="3324" w:right="231"/>
      </w:pPr>
      <w:r>
        <w:rPr/>
        <w:t>从目前海外研发进展来看，企业主要针对Aβ</w:t>
      </w:r>
      <w:r>
        <w:rPr>
          <w:spacing w:val="-22"/>
        </w:rPr>
        <w:t>及 </w:t>
      </w:r>
      <w:r>
        <w:rPr/>
        <w:t>Tau</w:t>
      </w:r>
      <w:r>
        <w:rPr>
          <w:spacing w:val="-8"/>
        </w:rPr>
        <w:t> 蛋白假说进行研发，</w:t>
      </w:r>
      <w:r>
        <w:rPr/>
        <w:t>A</w:t>
      </w:r>
      <w:r>
        <w:rPr>
          <w:rFonts w:ascii="黑体" w:hAnsi="黑体" w:eastAsia="黑体" w:hint="eastAsia"/>
        </w:rPr>
        <w:t>β </w:t>
      </w:r>
      <w:r>
        <w:rPr/>
        <w:t>靶</w:t>
      </w:r>
      <w:r>
        <w:rPr>
          <w:spacing w:val="-3"/>
        </w:rPr>
        <w:t>点药物获批上市的主要是仑卡奈单抗和阿杜卡尼单抗。</w:t>
      </w:r>
    </w:p>
    <w:p>
      <w:pPr>
        <w:pStyle w:val="BodyText"/>
        <w:spacing w:before="9"/>
        <w:rPr>
          <w:sz w:val="18"/>
        </w:rPr>
      </w:pPr>
    </w:p>
    <w:p>
      <w:pPr>
        <w:pStyle w:val="BodyText"/>
        <w:spacing w:before="72"/>
        <w:ind w:left="3907"/>
      </w:pPr>
      <w:r>
        <w:rPr/>
        <w:drawing>
          <wp:anchor distT="0" distB="0" distL="0" distR="0" allowOverlap="1" layoutInCell="1" locked="0" behindDoc="0" simplePos="0" relativeHeight="15737344">
            <wp:simplePos x="0" y="0"/>
            <wp:positionH relativeFrom="page">
              <wp:posOffset>2470415</wp:posOffset>
            </wp:positionH>
            <wp:positionV relativeFrom="paragraph">
              <wp:posOffset>85325</wp:posOffset>
            </wp:positionV>
            <wp:extent cx="307074" cy="93617"/>
            <wp:effectExtent l="0" t="0" r="0" b="0"/>
            <wp:wrapNone/>
            <wp:docPr id="17" name="image4.png"/>
            <wp:cNvGraphicFramePr>
              <a:graphicFrameLocks noChangeAspect="1"/>
            </wp:cNvGraphicFramePr>
            <a:graphic>
              <a:graphicData uri="http://schemas.openxmlformats.org/drawingml/2006/picture">
                <pic:pic>
                  <pic:nvPicPr>
                    <pic:cNvPr id="18" name="image4.png"/>
                    <pic:cNvPicPr/>
                  </pic:nvPicPr>
                  <pic:blipFill>
                    <a:blip r:embed="rId12" cstate="print"/>
                    <a:stretch>
                      <a:fillRect/>
                    </a:stretch>
                  </pic:blipFill>
                  <pic:spPr>
                    <a:xfrm>
                      <a:off x="0" y="0"/>
                      <a:ext cx="307074" cy="93617"/>
                    </a:xfrm>
                    <a:prstGeom prst="rect">
                      <a:avLst/>
                    </a:prstGeom>
                  </pic:spPr>
                </pic:pic>
              </a:graphicData>
            </a:graphic>
          </wp:anchor>
        </w:drawing>
      </w:r>
      <w:r>
        <w:rPr/>
        <w:t>仑卡奈单抗是 20 年来 FDA 首次完全批准的阿尔茨海默新药</w:t>
      </w:r>
    </w:p>
    <w:p>
      <w:pPr>
        <w:pStyle w:val="BodyText"/>
        <w:spacing w:line="278" w:lineRule="auto" w:before="43"/>
        <w:ind w:left="3324" w:right="231"/>
      </w:pPr>
      <w:r>
        <w:rPr>
          <w:spacing w:val="-2"/>
        </w:rPr>
        <w:t>仑卡奈单抗</w:t>
      </w:r>
      <w:r>
        <w:rPr/>
        <w:t>（</w:t>
      </w:r>
      <w:r>
        <w:rPr>
          <w:spacing w:val="-3"/>
        </w:rPr>
        <w:t>乐意保</w:t>
      </w:r>
      <w:r>
        <w:rPr/>
        <w:t>）</w:t>
      </w:r>
      <w:r>
        <w:rPr>
          <w:spacing w:val="-3"/>
        </w:rPr>
        <w:t>是一种单克隆抗体，能够选择性结合以中和消除可溶</w:t>
      </w:r>
      <w:r>
        <w:rPr>
          <w:w w:val="100"/>
        </w:rPr>
        <w:t>性</w:t>
      </w:r>
      <w:r>
        <w:rPr>
          <w:spacing w:val="-3"/>
          <w:w w:val="100"/>
        </w:rPr>
        <w:t>、有毒的淀粉样蛋白-</w:t>
      </w:r>
      <w:r>
        <w:rPr>
          <w:rFonts w:ascii="黑体" w:hAnsi="黑体" w:eastAsia="黑体" w:hint="eastAsia"/>
          <w:w w:val="100"/>
        </w:rPr>
        <w:t>β</w:t>
      </w:r>
      <w:r>
        <w:rPr>
          <w:rFonts w:ascii="黑体" w:hAnsi="黑体" w:eastAsia="黑体" w:hint="eastAsia"/>
        </w:rPr>
        <w:t> </w:t>
      </w:r>
      <w:r>
        <w:rPr>
          <w:w w:val="100"/>
        </w:rPr>
        <w:t>(A</w:t>
      </w:r>
      <w:r>
        <w:rPr>
          <w:rFonts w:ascii="黑体" w:hAnsi="黑体" w:eastAsia="黑体" w:hint="eastAsia"/>
          <w:w w:val="100"/>
        </w:rPr>
        <w:t>β</w:t>
      </w:r>
      <w:r>
        <w:rPr>
          <w:w w:val="100"/>
        </w:rPr>
        <w:t>)</w:t>
      </w:r>
      <w:r>
        <w:rPr/>
        <w:t> </w:t>
      </w:r>
      <w:r>
        <w:rPr>
          <w:spacing w:val="-3"/>
          <w:w w:val="100"/>
        </w:rPr>
        <w:t>聚集体</w:t>
      </w:r>
      <w:r>
        <w:rPr>
          <w:w w:val="100"/>
        </w:rPr>
        <w:t>（</w:t>
      </w:r>
      <w:r>
        <w:rPr>
          <w:spacing w:val="-2"/>
          <w:w w:val="100"/>
        </w:rPr>
        <w:t>原纤维</w:t>
      </w:r>
      <w:r>
        <w:rPr>
          <w:spacing w:val="-108"/>
          <w:w w:val="100"/>
        </w:rPr>
        <w:t>）</w:t>
      </w:r>
      <w:r>
        <w:rPr>
          <w:spacing w:val="-3"/>
          <w:w w:val="100"/>
        </w:rPr>
        <w:t>，而这些聚集体被认为有助</w:t>
      </w:r>
      <w:r>
        <w:rPr/>
        <w:t>于</w:t>
      </w:r>
      <w:r>
        <w:rPr>
          <w:spacing w:val="-53"/>
        </w:rPr>
        <w:t> </w:t>
      </w:r>
      <w:r>
        <w:rPr/>
        <w:t>AD</w:t>
      </w:r>
      <w:r>
        <w:rPr>
          <w:spacing w:val="-9"/>
        </w:rPr>
        <w:t> 中的神经退行性过程。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9"/>
        </w:rPr>
      </w:pPr>
      <w:r>
        <w:rPr/>
        <w:pict>
          <v:rect style="position:absolute;margin-left:33.959999pt;margin-top:20.978146pt;width:527.38pt;height:.47998pt;mso-position-horizontal-relative:page;mso-position-vertical-relative:paragraph;z-index:-15720448;mso-wrap-distance-left:0;mso-wrap-distance-right:0" filled="true" fillcolor="#e21c21" stroked="false">
            <v:fill type="solid"/>
            <w10:wrap type="topAndBottom"/>
          </v:rect>
        </w:pict>
      </w:r>
    </w:p>
    <w:p>
      <w:pPr>
        <w:spacing w:after="0"/>
        <w:rPr>
          <w:sz w:val="29"/>
        </w:rPr>
        <w:sectPr>
          <w:headerReference w:type="default" r:id="rId16"/>
          <w:footerReference w:type="default" r:id="rId17"/>
          <w:pgSz w:w="11910" w:h="16840"/>
          <w:pgMar w:header="454" w:footer="439" w:top="1220" w:bottom="620" w:left="560" w:right="540"/>
        </w:sectPr>
      </w:pPr>
    </w:p>
    <w:p>
      <w:pPr>
        <w:pStyle w:val="BodyText"/>
        <w:spacing w:before="104" w:after="19"/>
        <w:ind w:left="3324"/>
      </w:pPr>
      <w:r>
        <w:rPr/>
        <w:t>图表4:靶向 Aβ药物作用机制</w:t>
      </w:r>
    </w:p>
    <w:p>
      <w:pPr>
        <w:pStyle w:val="BodyText"/>
        <w:ind w:left="3324"/>
        <w:rPr>
          <w:sz w:val="20"/>
        </w:rPr>
      </w:pPr>
      <w:r>
        <w:rPr>
          <w:sz w:val="20"/>
        </w:rPr>
        <w:pict>
          <v:group style="width:362.95pt;height:298.5pt;mso-position-horizontal-relative:char;mso-position-vertical-relative:line" coordorigin="0,0" coordsize="7259,5970">
            <v:shape style="position:absolute;left:0;top:0;width:7259;height:5970" coordorigin="0,0" coordsize="7259,5970" path="m7259,5951l0,5951,0,5970,7259,5970,7259,5951xm7259,0l0,0,0,19,7259,19,7259,0xe" filled="true" fillcolor="#000000" stroked="false">
              <v:path arrowok="t"/>
              <v:fill type="solid"/>
            </v:shape>
            <v:shape style="position:absolute;left:607;top:59;width:6463;height:5829" type="#_x0000_t75" stroked="false">
              <v:imagedata r:id="rId22" o:title=""/>
            </v:shape>
          </v:group>
        </w:pict>
      </w:r>
      <w:r>
        <w:rPr>
          <w:sz w:val="20"/>
        </w:rPr>
      </w:r>
    </w:p>
    <w:p>
      <w:pPr>
        <w:spacing w:line="278" w:lineRule="auto" w:before="0"/>
        <w:ind w:left="3324" w:right="378" w:firstLine="0"/>
        <w:jc w:val="left"/>
        <w:rPr>
          <w:i/>
          <w:sz w:val="21"/>
        </w:rPr>
      </w:pPr>
      <w:r>
        <w:rPr>
          <w:i/>
          <w:sz w:val="21"/>
        </w:rPr>
        <w:t>资料来源：Panza</w:t>
      </w:r>
      <w:r>
        <w:rPr>
          <w:i/>
          <w:spacing w:val="-24"/>
          <w:sz w:val="21"/>
        </w:rPr>
        <w:t>, </w:t>
      </w:r>
      <w:r>
        <w:rPr>
          <w:i/>
          <w:sz w:val="21"/>
        </w:rPr>
        <w:t>Francesco</w:t>
      </w:r>
      <w:r>
        <w:rPr>
          <w:i/>
          <w:spacing w:val="-44"/>
          <w:sz w:val="21"/>
        </w:rPr>
        <w:t> </w:t>
      </w:r>
      <w:r>
        <w:rPr>
          <w:i/>
          <w:sz w:val="21"/>
        </w:rPr>
        <w:t>et</w:t>
      </w:r>
      <w:r>
        <w:rPr>
          <w:i/>
          <w:spacing w:val="-45"/>
          <w:sz w:val="21"/>
        </w:rPr>
        <w:t> </w:t>
      </w:r>
      <w:r>
        <w:rPr>
          <w:i/>
          <w:sz w:val="21"/>
        </w:rPr>
        <w:t>al</w:t>
      </w:r>
      <w:r>
        <w:rPr>
          <w:i/>
          <w:spacing w:val="-22"/>
          <w:sz w:val="21"/>
        </w:rPr>
        <w:t>. </w:t>
      </w:r>
      <w:r>
        <w:rPr>
          <w:rFonts w:ascii="黑体" w:hAnsi="黑体" w:eastAsia="黑体" w:hint="eastAsia"/>
          <w:i/>
          <w:sz w:val="21"/>
        </w:rPr>
        <w:t>“</w:t>
      </w:r>
      <w:r>
        <w:rPr>
          <w:i/>
          <w:sz w:val="21"/>
        </w:rPr>
        <w:t>A</w:t>
      </w:r>
      <w:r>
        <w:rPr>
          <w:i/>
          <w:spacing w:val="-46"/>
          <w:sz w:val="21"/>
        </w:rPr>
        <w:t> </w:t>
      </w:r>
      <w:r>
        <w:rPr>
          <w:i/>
          <w:sz w:val="21"/>
        </w:rPr>
        <w:t>critical</w:t>
      </w:r>
      <w:r>
        <w:rPr>
          <w:i/>
          <w:spacing w:val="-46"/>
          <w:sz w:val="21"/>
        </w:rPr>
        <w:t> </w:t>
      </w:r>
      <w:r>
        <w:rPr>
          <w:i/>
          <w:sz w:val="21"/>
        </w:rPr>
        <w:t>appraisal</w:t>
      </w:r>
      <w:r>
        <w:rPr>
          <w:i/>
          <w:spacing w:val="-45"/>
          <w:sz w:val="21"/>
        </w:rPr>
        <w:t> </w:t>
      </w:r>
      <w:r>
        <w:rPr>
          <w:i/>
          <w:sz w:val="21"/>
        </w:rPr>
        <w:t>of</w:t>
      </w:r>
      <w:r>
        <w:rPr>
          <w:i/>
          <w:spacing w:val="-45"/>
          <w:sz w:val="21"/>
        </w:rPr>
        <w:t> </w:t>
      </w:r>
      <w:r>
        <w:rPr>
          <w:i/>
          <w:sz w:val="21"/>
        </w:rPr>
        <w:t>amyloid-</w:t>
      </w:r>
      <w:r>
        <w:rPr>
          <w:rFonts w:ascii="黑体" w:hAnsi="黑体" w:eastAsia="黑体" w:hint="eastAsia"/>
          <w:i/>
          <w:sz w:val="21"/>
        </w:rPr>
        <w:t>β</w:t>
      </w:r>
      <w:r>
        <w:rPr>
          <w:i/>
          <w:sz w:val="21"/>
        </w:rPr>
        <w:t>- targeting</w:t>
      </w:r>
      <w:r>
        <w:rPr>
          <w:i/>
          <w:spacing w:val="-46"/>
          <w:sz w:val="21"/>
        </w:rPr>
        <w:t> </w:t>
      </w:r>
      <w:r>
        <w:rPr>
          <w:i/>
          <w:sz w:val="21"/>
        </w:rPr>
        <w:t>therapies</w:t>
      </w:r>
      <w:r>
        <w:rPr>
          <w:i/>
          <w:spacing w:val="-45"/>
          <w:sz w:val="21"/>
        </w:rPr>
        <w:t> </w:t>
      </w:r>
      <w:r>
        <w:rPr>
          <w:i/>
          <w:sz w:val="21"/>
        </w:rPr>
        <w:t>for</w:t>
      </w:r>
      <w:r>
        <w:rPr>
          <w:i/>
          <w:spacing w:val="-45"/>
          <w:sz w:val="21"/>
        </w:rPr>
        <w:t> </w:t>
      </w:r>
      <w:r>
        <w:rPr>
          <w:i/>
          <w:sz w:val="21"/>
        </w:rPr>
        <w:t>Alzheimer</w:t>
      </w:r>
      <w:r>
        <w:rPr>
          <w:i/>
          <w:spacing w:val="-46"/>
          <w:sz w:val="21"/>
        </w:rPr>
        <w:t> </w:t>
      </w:r>
      <w:r>
        <w:rPr>
          <w:i/>
          <w:sz w:val="21"/>
        </w:rPr>
        <w:t>disease.</w:t>
      </w:r>
      <w:r>
        <w:rPr>
          <w:rFonts w:ascii="黑体" w:hAnsi="黑体" w:eastAsia="黑体" w:hint="eastAsia"/>
          <w:i/>
          <w:spacing w:val="-22"/>
          <w:sz w:val="21"/>
        </w:rPr>
        <w:t>” </w:t>
      </w:r>
      <w:r>
        <w:rPr>
          <w:i/>
          <w:sz w:val="21"/>
        </w:rPr>
        <w:t>Nature</w:t>
      </w:r>
      <w:r>
        <w:rPr>
          <w:i/>
          <w:spacing w:val="-46"/>
          <w:sz w:val="21"/>
        </w:rPr>
        <w:t> </w:t>
      </w:r>
      <w:r>
        <w:rPr>
          <w:i/>
          <w:sz w:val="21"/>
        </w:rPr>
        <w:t>reviews</w:t>
      </w:r>
      <w:r>
        <w:rPr>
          <w:i/>
          <w:spacing w:val="-23"/>
          <w:sz w:val="21"/>
        </w:rPr>
        <w:t>. </w:t>
      </w:r>
      <w:r>
        <w:rPr>
          <w:i/>
          <w:sz w:val="21"/>
        </w:rPr>
        <w:t>Neurology vol</w:t>
      </w:r>
      <w:r>
        <w:rPr>
          <w:i/>
          <w:spacing w:val="-36"/>
          <w:sz w:val="21"/>
        </w:rPr>
        <w:t>. </w:t>
      </w:r>
      <w:r>
        <w:rPr>
          <w:i/>
          <w:sz w:val="21"/>
        </w:rPr>
        <w:t>15,2</w:t>
      </w:r>
      <w:r>
        <w:rPr>
          <w:i/>
          <w:spacing w:val="-71"/>
          <w:sz w:val="21"/>
        </w:rPr>
        <w:t> </w:t>
      </w:r>
      <w:r>
        <w:rPr>
          <w:i/>
          <w:sz w:val="21"/>
        </w:rPr>
        <w:t>(2019</w:t>
      </w:r>
      <w:r>
        <w:rPr>
          <w:i/>
          <w:spacing w:val="-24"/>
          <w:sz w:val="21"/>
        </w:rPr>
        <w:t>): </w:t>
      </w:r>
      <w:r>
        <w:rPr>
          <w:i/>
          <w:sz w:val="21"/>
        </w:rPr>
        <w:t>73-88</w:t>
      </w:r>
      <w:r>
        <w:rPr>
          <w:i/>
          <w:spacing w:val="-36"/>
          <w:sz w:val="21"/>
        </w:rPr>
        <w:t>. </w:t>
      </w:r>
      <w:r>
        <w:rPr>
          <w:i/>
          <w:sz w:val="21"/>
        </w:rPr>
        <w:t>doi:10.1038/s41582-018-0116-6，方正证券研究所</w:t>
      </w:r>
    </w:p>
    <w:p>
      <w:pPr>
        <w:pStyle w:val="BodyText"/>
        <w:spacing w:before="7"/>
        <w:rPr>
          <w:i/>
          <w:sz w:val="18"/>
        </w:rPr>
      </w:pPr>
    </w:p>
    <w:p>
      <w:pPr>
        <w:pStyle w:val="BodyText"/>
        <w:spacing w:before="72" w:after="19"/>
        <w:ind w:left="147"/>
      </w:pPr>
      <w:r>
        <w:rPr/>
        <w:t>图表5:不同靶向 Aβ药物作用范围比较</w:t>
      </w:r>
    </w:p>
    <w:p>
      <w:pPr>
        <w:pStyle w:val="BodyText"/>
        <w:spacing w:line="20" w:lineRule="exact"/>
        <w:ind w:left="148"/>
        <w:rPr>
          <w:sz w:val="2"/>
        </w:rPr>
      </w:pPr>
      <w:r>
        <w:rPr>
          <w:sz w:val="2"/>
        </w:rPr>
        <w:pict>
          <v:group style="width:521.75pt;height:1pt;mso-position-horizontal-relative:char;mso-position-vertical-relative:line" coordorigin="0,0" coordsize="10435,20">
            <v:rect style="position:absolute;left:0;top:0;width:10435;height:20" filled="true" fillcolor="#000000" stroked="false">
              <v:fill type="solid"/>
            </v:rect>
          </v:group>
        </w:pict>
      </w:r>
      <w:r>
        <w:rPr>
          <w:sz w:val="2"/>
        </w:rPr>
      </w:r>
    </w:p>
    <w:p>
      <w:pPr>
        <w:pStyle w:val="BodyText"/>
        <w:spacing w:before="2"/>
        <w:rPr>
          <w:sz w:val="6"/>
        </w:rPr>
      </w:pPr>
    </w:p>
    <w:p>
      <w:pPr>
        <w:pStyle w:val="BodyText"/>
        <w:ind w:left="652"/>
        <w:rPr>
          <w:sz w:val="20"/>
        </w:rPr>
      </w:pPr>
      <w:r>
        <w:rPr>
          <w:sz w:val="20"/>
        </w:rPr>
        <w:drawing>
          <wp:inline distT="0" distB="0" distL="0" distR="0">
            <wp:extent cx="6082892" cy="2267712"/>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23" cstate="print"/>
                    <a:stretch>
                      <a:fillRect/>
                    </a:stretch>
                  </pic:blipFill>
                  <pic:spPr>
                    <a:xfrm>
                      <a:off x="0" y="0"/>
                      <a:ext cx="6082892" cy="2267712"/>
                    </a:xfrm>
                    <a:prstGeom prst="rect">
                      <a:avLst/>
                    </a:prstGeom>
                  </pic:spPr>
                </pic:pic>
              </a:graphicData>
            </a:graphic>
          </wp:inline>
        </w:drawing>
      </w:r>
      <w:r>
        <w:rPr>
          <w:sz w:val="20"/>
        </w:rPr>
      </w:r>
    </w:p>
    <w:p>
      <w:pPr>
        <w:pStyle w:val="BodyText"/>
        <w:spacing w:before="3"/>
        <w:rPr>
          <w:sz w:val="7"/>
        </w:rPr>
      </w:pPr>
    </w:p>
    <w:p>
      <w:pPr>
        <w:pStyle w:val="BodyText"/>
        <w:spacing w:line="20" w:lineRule="exact"/>
        <w:ind w:left="148"/>
        <w:rPr>
          <w:sz w:val="2"/>
        </w:rPr>
      </w:pPr>
      <w:r>
        <w:rPr>
          <w:sz w:val="2"/>
        </w:rPr>
        <w:pict>
          <v:group style="width:521.75pt;height:1pt;mso-position-horizontal-relative:char;mso-position-vertical-relative:line" coordorigin="0,0" coordsize="10435,20">
            <v:rect style="position:absolute;left:0;top:0;width:10435;height:20" filled="true" fillcolor="#000000" stroked="false">
              <v:fill type="solid"/>
            </v:rect>
          </v:group>
        </w:pict>
      </w:r>
      <w:r>
        <w:rPr>
          <w:sz w:val="2"/>
        </w:rPr>
      </w:r>
    </w:p>
    <w:p>
      <w:pPr>
        <w:spacing w:before="20"/>
        <w:ind w:left="148" w:right="0" w:firstLine="0"/>
        <w:jc w:val="left"/>
        <w:rPr>
          <w:i/>
          <w:sz w:val="21"/>
        </w:rPr>
      </w:pPr>
      <w:r>
        <w:rPr>
          <w:i/>
          <w:sz w:val="21"/>
        </w:rPr>
        <w:t>资料来源：Byteclicks，方正证券研究所</w:t>
      </w:r>
    </w:p>
    <w:p>
      <w:pPr>
        <w:pStyle w:val="BodyText"/>
        <w:spacing w:before="6"/>
        <w:rPr>
          <w:i/>
          <w:sz w:val="22"/>
        </w:rPr>
      </w:pPr>
    </w:p>
    <w:p>
      <w:pPr>
        <w:pStyle w:val="BodyText"/>
        <w:spacing w:line="278" w:lineRule="auto" w:before="71"/>
        <w:ind w:left="3324" w:right="336"/>
      </w:pPr>
      <w:r>
        <w:rPr>
          <w:spacing w:val="-3"/>
        </w:rPr>
        <w:t>乐意保的临床试验显示其较于对照组显著降低了</w:t>
      </w:r>
      <w:r>
        <w:rPr/>
        <w:t>（27%）</w:t>
      </w:r>
      <w:r>
        <w:rPr>
          <w:spacing w:val="-16"/>
        </w:rPr>
        <w:t>患者 </w:t>
      </w:r>
      <w:r>
        <w:rPr/>
        <w:t>CDR-SB</w:t>
      </w:r>
      <w:r>
        <w:rPr>
          <w:spacing w:val="-10"/>
        </w:rPr>
        <w:t> 评分。具</w:t>
      </w:r>
      <w:r>
        <w:rPr>
          <w:spacing w:val="-5"/>
        </w:rPr>
        <w:t>体试验设计及结果如下：</w:t>
      </w:r>
    </w:p>
    <w:p>
      <w:pPr>
        <w:pStyle w:val="BodyText"/>
        <w:spacing w:line="278" w:lineRule="auto"/>
        <w:ind w:left="3324" w:right="231"/>
      </w:pPr>
      <w:r>
        <w:rPr/>
        <w:t>Clarity AD</w:t>
      </w:r>
      <w:r>
        <w:rPr>
          <w:spacing w:val="-16"/>
        </w:rPr>
        <w:t> 是一项为期 </w:t>
      </w:r>
      <w:r>
        <w:rPr/>
        <w:t>18</w:t>
      </w:r>
      <w:r>
        <w:rPr>
          <w:spacing w:val="-13"/>
        </w:rPr>
        <w:t> 个月的多中心双盲 </w:t>
      </w:r>
      <w:r>
        <w:rPr/>
        <w:t>3</w:t>
      </w:r>
      <w:r>
        <w:rPr>
          <w:spacing w:val="-12"/>
        </w:rPr>
        <w:t> 期临床试验，纳入了 </w:t>
      </w:r>
      <w:r>
        <w:rPr/>
        <w:t>1795</w:t>
      </w:r>
      <w:r>
        <w:rPr>
          <w:spacing w:val="-20"/>
        </w:rPr>
        <w:t> 名早</w:t>
      </w:r>
      <w:r>
        <w:rPr>
          <w:spacing w:val="-24"/>
        </w:rPr>
        <w:t>期 </w:t>
      </w:r>
      <w:r>
        <w:rPr/>
        <w:t>AD</w:t>
      </w:r>
      <w:r>
        <w:rPr>
          <w:spacing w:val="-8"/>
        </w:rPr>
        <w:t> 患者，即经正电子断层发射断层扫描</w:t>
      </w:r>
      <w:r>
        <w:rPr/>
        <w:t>（PET）</w:t>
      </w:r>
      <w:r>
        <w:rPr>
          <w:spacing w:val="-8"/>
        </w:rPr>
        <w:t>或脑脊液证据确诊的 </w:t>
      </w:r>
      <w:r>
        <w:rPr/>
        <w:t>AD</w:t>
      </w:r>
      <w:r>
        <w:rPr>
          <w:spacing w:val="-18"/>
        </w:rPr>
        <w:t> 相关</w:t>
      </w:r>
      <w:r>
        <w:rPr>
          <w:spacing w:val="-3"/>
        </w:rPr>
        <w:t>轻度认知障碍或轻度痴呆患者。参与者随机分配至治疗组和安慰剂组，接受10mg/kg/</w:t>
      </w:r>
      <w:r>
        <w:rPr>
          <w:spacing w:val="-6"/>
        </w:rPr>
        <w:t>双周静脉注射治疗，主要终点为 </w:t>
      </w:r>
      <w:r>
        <w:rPr/>
        <w:t>CDR-SB</w:t>
      </w:r>
      <w:r>
        <w:rPr>
          <w:spacing w:val="-8"/>
        </w:rPr>
        <w:t> 评分较基线变化，次要终点为PET</w:t>
      </w:r>
      <w:r>
        <w:rPr>
          <w:spacing w:val="-12"/>
        </w:rPr>
        <w:t> 检测的淀粉样蛋白负荷变化和 </w:t>
      </w:r>
      <w:r>
        <w:rPr/>
        <w:t>ADAS-cog14、ADCOMS</w:t>
      </w:r>
      <w:r>
        <w:rPr>
          <w:spacing w:val="-3"/>
        </w:rPr>
        <w:t>、</w:t>
      </w:r>
      <w:r>
        <w:rPr/>
        <w:t>ADCS-MCI-ADL</w:t>
      </w:r>
      <w:r>
        <w:rPr>
          <w:spacing w:val="-15"/>
        </w:rPr>
        <w:t> 量表评</w:t>
      </w:r>
      <w:r>
        <w:rPr>
          <w:spacing w:val="-1"/>
        </w:rPr>
        <w:t>分变化。</w:t>
      </w:r>
    </w:p>
    <w:p>
      <w:pPr>
        <w:spacing w:after="0" w:line="278" w:lineRule="auto"/>
        <w:sectPr>
          <w:headerReference w:type="default" r:id="rId20"/>
          <w:footerReference w:type="default" r:id="rId21"/>
          <w:pgSz w:w="11910" w:h="16840"/>
          <w:pgMar w:header="454" w:footer="430" w:top="1220" w:bottom="620" w:left="560" w:right="540"/>
        </w:sectPr>
      </w:pPr>
    </w:p>
    <w:p>
      <w:pPr>
        <w:pStyle w:val="BodyText"/>
        <w:spacing w:line="278" w:lineRule="auto" w:before="104"/>
        <w:ind w:left="3324" w:right="233"/>
      </w:pPr>
      <w:r>
        <w:rPr>
          <w:spacing w:val="-2"/>
          <w:w w:val="100"/>
        </w:rPr>
        <w:t>两组患者基线</w:t>
      </w:r>
      <w:r>
        <w:rPr>
          <w:spacing w:val="-53"/>
        </w:rPr>
        <w:t> </w:t>
      </w:r>
      <w:r>
        <w:rPr>
          <w:spacing w:val="-3"/>
          <w:w w:val="100"/>
        </w:rPr>
        <w:t>C</w:t>
      </w:r>
      <w:r>
        <w:rPr>
          <w:w w:val="100"/>
        </w:rPr>
        <w:t>D</w:t>
      </w:r>
      <w:r>
        <w:rPr>
          <w:spacing w:val="-1"/>
          <w:w w:val="100"/>
        </w:rPr>
        <w:t>R</w:t>
      </w:r>
      <w:r>
        <w:rPr>
          <w:w w:val="100"/>
        </w:rPr>
        <w:t>-</w:t>
      </w:r>
      <w:r>
        <w:rPr>
          <w:spacing w:val="-3"/>
          <w:w w:val="100"/>
        </w:rPr>
        <w:t>S</w:t>
      </w:r>
      <w:r>
        <w:rPr>
          <w:w w:val="100"/>
        </w:rPr>
        <w:t>B</w:t>
      </w:r>
      <w:r>
        <w:rPr>
          <w:spacing w:val="-53"/>
        </w:rPr>
        <w:t> </w:t>
      </w:r>
      <w:r>
        <w:rPr>
          <w:spacing w:val="-2"/>
          <w:w w:val="100"/>
        </w:rPr>
        <w:t>评分均为</w:t>
      </w:r>
      <w:r>
        <w:rPr>
          <w:spacing w:val="-2"/>
        </w:rPr>
        <w:t> </w:t>
      </w:r>
      <w:r>
        <w:rPr>
          <w:spacing w:val="-3"/>
          <w:w w:val="100"/>
        </w:rPr>
        <w:t>3</w:t>
      </w:r>
      <w:r>
        <w:rPr>
          <w:w w:val="100"/>
        </w:rPr>
        <w:t>.</w:t>
      </w:r>
      <w:r>
        <w:rPr>
          <w:spacing w:val="-1"/>
          <w:w w:val="100"/>
        </w:rPr>
        <w:t>2</w:t>
      </w:r>
      <w:r>
        <w:rPr>
          <w:spacing w:val="-3"/>
          <w:w w:val="100"/>
        </w:rPr>
        <w:t>，符合早期</w:t>
      </w:r>
      <w:r>
        <w:rPr>
          <w:spacing w:val="-55"/>
        </w:rPr>
        <w:t> </w:t>
      </w:r>
      <w:r>
        <w:rPr>
          <w:w w:val="100"/>
        </w:rPr>
        <w:t>AD</w:t>
      </w:r>
      <w:r>
        <w:rPr>
          <w:spacing w:val="-55"/>
        </w:rPr>
        <w:t> </w:t>
      </w:r>
      <w:r>
        <w:rPr>
          <w:spacing w:val="-3"/>
          <w:w w:val="100"/>
        </w:rPr>
        <w:t>标准范围</w:t>
      </w:r>
      <w:r>
        <w:rPr>
          <w:w w:val="100"/>
        </w:rPr>
        <w:t>（0</w:t>
      </w:r>
      <w:r>
        <w:rPr>
          <w:spacing w:val="-3"/>
          <w:w w:val="100"/>
        </w:rPr>
        <w:t>.</w:t>
      </w:r>
      <w:r>
        <w:rPr>
          <w:spacing w:val="-1"/>
          <w:w w:val="100"/>
        </w:rPr>
        <w:t>5</w:t>
      </w:r>
      <w:r>
        <w:rPr>
          <w:w w:val="100"/>
        </w:rPr>
        <w:t>-6</w:t>
      </w:r>
      <w:r>
        <w:rPr>
          <w:spacing w:val="-108"/>
          <w:w w:val="100"/>
        </w:rPr>
        <w:t>）</w:t>
      </w:r>
      <w:r>
        <w:rPr>
          <w:w w:val="100"/>
        </w:rPr>
        <w:t>。</w:t>
      </w:r>
      <w:r>
        <w:rPr>
          <w:spacing w:val="-3"/>
          <w:w w:val="100"/>
        </w:rPr>
        <w:t>1</w:t>
      </w:r>
      <w:r>
        <w:rPr>
          <w:w w:val="100"/>
        </w:rPr>
        <w:t>8</w:t>
      </w:r>
      <w:r>
        <w:rPr>
          <w:spacing w:val="-53"/>
        </w:rPr>
        <w:t> </w:t>
      </w:r>
      <w:r>
        <w:rPr>
          <w:spacing w:val="-3"/>
          <w:w w:val="100"/>
        </w:rPr>
        <w:t>个月</w:t>
      </w:r>
      <w:r>
        <w:rPr>
          <w:spacing w:val="-10"/>
        </w:rPr>
        <w:t>时，治疗组 </w:t>
      </w:r>
      <w:r>
        <w:rPr/>
        <w:t>CDR-SB</w:t>
      </w:r>
      <w:r>
        <w:rPr>
          <w:spacing w:val="-22"/>
        </w:rPr>
        <w:t> 评分为 </w:t>
      </w:r>
      <w:r>
        <w:rPr/>
        <w:t>1.21</w:t>
      </w:r>
      <w:r>
        <w:rPr>
          <w:spacing w:val="-9"/>
        </w:rPr>
        <w:t>，安慰剂组为 </w:t>
      </w:r>
      <w:r>
        <w:rPr/>
        <w:t>1.66</w:t>
      </w:r>
      <w:r>
        <w:rPr>
          <w:spacing w:val="-1"/>
        </w:rPr>
        <w:t>，绝对差值</w:t>
      </w:r>
      <w:r>
        <w:rPr/>
        <w:t>-0.45</w:t>
      </w:r>
      <w:r>
        <w:rPr>
          <w:spacing w:val="-2"/>
        </w:rPr>
        <w:t>，评分下降</w:t>
      </w:r>
      <w:r>
        <w:rPr>
          <w:spacing w:val="-25"/>
        </w:rPr>
        <w:t>达 </w:t>
      </w:r>
      <w:r>
        <w:rPr/>
        <w:t>27</w:t>
      </w:r>
      <w:r>
        <w:rPr>
          <w:spacing w:val="-3"/>
        </w:rPr>
        <w:t>%。其他三项认知/行为评估结果也显示，</w:t>
      </w:r>
      <w:r>
        <w:rPr/>
        <w:t>Lecanemab</w:t>
      </w:r>
      <w:r>
        <w:rPr>
          <w:spacing w:val="-8"/>
        </w:rPr>
        <w:t> 带来了显著的改善。</w:t>
      </w:r>
    </w:p>
    <w:p>
      <w:pPr>
        <w:pStyle w:val="BodyText"/>
        <w:spacing w:before="4"/>
        <w:rPr>
          <w:sz w:val="24"/>
        </w:rPr>
      </w:pPr>
    </w:p>
    <w:p>
      <w:pPr>
        <w:pStyle w:val="BodyText"/>
        <w:tabs>
          <w:tab w:pos="5472" w:val="left" w:leader="none"/>
        </w:tabs>
        <w:spacing w:before="1" w:after="19"/>
        <w:ind w:left="147"/>
      </w:pPr>
      <w:r>
        <w:rPr/>
        <w:t>图表6:Lecanemab</w:t>
      </w:r>
      <w:r>
        <w:rPr>
          <w:spacing w:val="-50"/>
        </w:rPr>
        <w:t> </w:t>
      </w:r>
      <w:r>
        <w:rPr/>
        <w:t>可</w:t>
      </w:r>
      <w:r>
        <w:rPr>
          <w:spacing w:val="-3"/>
        </w:rPr>
        <w:t>显</w:t>
      </w:r>
      <w:r>
        <w:rPr/>
        <w:t>著</w:t>
      </w:r>
      <w:r>
        <w:rPr>
          <w:spacing w:val="-3"/>
        </w:rPr>
        <w:t>延</w:t>
      </w:r>
      <w:r>
        <w:rPr/>
        <w:t>缓</w:t>
      </w:r>
      <w:r>
        <w:rPr>
          <w:spacing w:val="-3"/>
        </w:rPr>
        <w:t>认</w:t>
      </w:r>
      <w:r>
        <w:rPr/>
        <w:t>知测</w:t>
      </w:r>
      <w:r>
        <w:rPr>
          <w:spacing w:val="-3"/>
        </w:rPr>
        <w:t>评</w:t>
      </w:r>
      <w:r>
        <w:rPr/>
        <w:t>结</w:t>
      </w:r>
      <w:r>
        <w:rPr>
          <w:spacing w:val="-3"/>
        </w:rPr>
        <w:t>果</w:t>
      </w:r>
      <w:r>
        <w:rPr/>
        <w:t>恶化</w:t>
        <w:tab/>
        <w:t>图表7:Lecanemab</w:t>
      </w:r>
      <w:r>
        <w:rPr>
          <w:spacing w:val="-55"/>
        </w:rPr>
        <w:t> </w:t>
      </w:r>
      <w:r>
        <w:rPr/>
        <w:t>可</w:t>
      </w:r>
      <w:r>
        <w:rPr>
          <w:spacing w:val="-3"/>
        </w:rPr>
        <w:t>优</w:t>
      </w:r>
      <w:r>
        <w:rPr/>
        <w:t>效</w:t>
      </w:r>
      <w:r>
        <w:rPr>
          <w:spacing w:val="-3"/>
        </w:rPr>
        <w:t>清</w:t>
      </w:r>
      <w:r>
        <w:rPr/>
        <w:t>除</w:t>
      </w:r>
      <w:r>
        <w:rPr>
          <w:spacing w:val="-3"/>
        </w:rPr>
        <w:t>淀</w:t>
      </w:r>
      <w:r>
        <w:rPr/>
        <w:t>粉样</w:t>
      </w:r>
      <w:r>
        <w:rPr>
          <w:spacing w:val="-3"/>
        </w:rPr>
        <w:t>蛋</w:t>
      </w:r>
      <w:r>
        <w:rPr/>
        <w:t>白</w:t>
      </w:r>
    </w:p>
    <w:p>
      <w:pPr>
        <w:pStyle w:val="BodyText"/>
        <w:spacing w:line="20" w:lineRule="exact"/>
        <w:ind w:left="148"/>
        <w:rPr>
          <w:sz w:val="2"/>
        </w:rPr>
      </w:pPr>
      <w:r>
        <w:rPr>
          <w:sz w:val="2"/>
        </w:rPr>
        <w:pict>
          <v:group style="width:255.65pt;height:1pt;mso-position-horizontal-relative:char;mso-position-vertical-relative:line" coordorigin="0,0" coordsize="5113,20">
            <v:rect style="position:absolute;left:0;top:0;width:5113;height:20" filled="true" fillcolor="#000000" stroked="false">
              <v:fill type="solid"/>
            </v:rect>
          </v:group>
        </w:pict>
      </w:r>
      <w:r>
        <w:rPr>
          <w:sz w:val="2"/>
        </w:rPr>
      </w:r>
      <w:r>
        <w:rPr>
          <w:rFonts w:ascii="Times New Roman"/>
          <w:spacing w:val="196"/>
          <w:sz w:val="2"/>
        </w:rPr>
        <w:t> </w:t>
      </w:r>
      <w:r>
        <w:rPr>
          <w:spacing w:val="196"/>
          <w:sz w:val="2"/>
        </w:rPr>
        <w:pict>
          <v:group style="width:255.55pt;height:1pt;mso-position-horizontal-relative:char;mso-position-vertical-relative:line" coordorigin="0,0" coordsize="5111,20">
            <v:rect style="position:absolute;left:0;top:0;width:5111;height:20" filled="true" fillcolor="#000000" stroked="false">
              <v:fill type="solid"/>
            </v:rect>
          </v:group>
        </w:pict>
      </w:r>
      <w:r>
        <w:rPr>
          <w:spacing w:val="196"/>
          <w:sz w:val="2"/>
        </w:rPr>
      </w:r>
    </w:p>
    <w:p>
      <w:pPr>
        <w:pStyle w:val="BodyText"/>
        <w:spacing w:before="3"/>
        <w:rPr>
          <w:sz w:val="15"/>
        </w:rPr>
      </w:pPr>
      <w:r>
        <w:rPr/>
        <w:drawing>
          <wp:anchor distT="0" distB="0" distL="0" distR="0" allowOverlap="1" layoutInCell="1" locked="0" behindDoc="0" simplePos="0" relativeHeight="24">
            <wp:simplePos x="0" y="0"/>
            <wp:positionH relativeFrom="page">
              <wp:posOffset>766715</wp:posOffset>
            </wp:positionH>
            <wp:positionV relativeFrom="paragraph">
              <wp:posOffset>174516</wp:posOffset>
            </wp:positionV>
            <wp:extent cx="2585166" cy="1851659"/>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4" cstate="print"/>
                    <a:stretch>
                      <a:fillRect/>
                    </a:stretch>
                  </pic:blipFill>
                  <pic:spPr>
                    <a:xfrm>
                      <a:off x="0" y="0"/>
                      <a:ext cx="2585166" cy="1851659"/>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4130474</wp:posOffset>
            </wp:positionH>
            <wp:positionV relativeFrom="paragraph">
              <wp:posOffset>148946</wp:posOffset>
            </wp:positionV>
            <wp:extent cx="2616003" cy="1856803"/>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5" cstate="print"/>
                    <a:stretch>
                      <a:fillRect/>
                    </a:stretch>
                  </pic:blipFill>
                  <pic:spPr>
                    <a:xfrm>
                      <a:off x="0" y="0"/>
                      <a:ext cx="2616003" cy="1856803"/>
                    </a:xfrm>
                    <a:prstGeom prst="rect">
                      <a:avLst/>
                    </a:prstGeom>
                  </pic:spPr>
                </pic:pic>
              </a:graphicData>
            </a:graphic>
          </wp:anchor>
        </w:drawing>
      </w:r>
    </w:p>
    <w:p>
      <w:pPr>
        <w:pStyle w:val="BodyText"/>
        <w:spacing w:before="12"/>
        <w:rPr>
          <w:sz w:val="15"/>
        </w:rPr>
      </w:pPr>
    </w:p>
    <w:p>
      <w:pPr>
        <w:pStyle w:val="BodyText"/>
        <w:spacing w:line="20" w:lineRule="exact"/>
        <w:ind w:left="148"/>
        <w:rPr>
          <w:sz w:val="2"/>
        </w:rPr>
      </w:pPr>
      <w:r>
        <w:rPr>
          <w:sz w:val="2"/>
        </w:rPr>
        <w:pict>
          <v:group style="width:255.65pt;height:1pt;mso-position-horizontal-relative:char;mso-position-vertical-relative:line" coordorigin="0,0" coordsize="5113,20">
            <v:rect style="position:absolute;left:0;top:0;width:5113;height:20" filled="true" fillcolor="#000000" stroked="false">
              <v:fill type="solid"/>
            </v:rect>
          </v:group>
        </w:pict>
      </w:r>
      <w:r>
        <w:rPr>
          <w:sz w:val="2"/>
        </w:rPr>
      </w:r>
      <w:r>
        <w:rPr>
          <w:rFonts w:ascii="Times New Roman"/>
          <w:spacing w:val="196"/>
          <w:sz w:val="2"/>
        </w:rPr>
        <w:t> </w:t>
      </w:r>
      <w:r>
        <w:rPr>
          <w:spacing w:val="196"/>
          <w:sz w:val="2"/>
        </w:rPr>
        <w:pict>
          <v:group style="width:255.55pt;height:1pt;mso-position-horizontal-relative:char;mso-position-vertical-relative:line" coordorigin="0,0" coordsize="5111,20">
            <v:rect style="position:absolute;left:0;top:0;width:5111;height:20" filled="true" fillcolor="#000000" stroked="false">
              <v:fill type="solid"/>
            </v:rect>
          </v:group>
        </w:pict>
      </w:r>
      <w:r>
        <w:rPr>
          <w:spacing w:val="196"/>
          <w:sz w:val="2"/>
        </w:rPr>
      </w:r>
    </w:p>
    <w:p>
      <w:pPr>
        <w:spacing w:after="0" w:line="20" w:lineRule="exact"/>
        <w:rPr>
          <w:sz w:val="2"/>
        </w:rPr>
        <w:sectPr>
          <w:pgSz w:w="11910" w:h="16840"/>
          <w:pgMar w:header="454" w:footer="430" w:top="1220" w:bottom="620" w:left="560" w:right="540"/>
        </w:sectPr>
      </w:pPr>
    </w:p>
    <w:p>
      <w:pPr>
        <w:spacing w:line="278" w:lineRule="auto" w:before="19"/>
        <w:ind w:left="148" w:right="0" w:firstLine="0"/>
        <w:jc w:val="left"/>
        <w:rPr>
          <w:i/>
          <w:sz w:val="21"/>
        </w:rPr>
      </w:pPr>
      <w:r>
        <w:rPr>
          <w:i/>
          <w:sz w:val="21"/>
        </w:rPr>
        <w:t>资料来源：Lecanemab</w:t>
      </w:r>
      <w:r>
        <w:rPr>
          <w:i/>
          <w:spacing w:val="-60"/>
          <w:sz w:val="21"/>
        </w:rPr>
        <w:t> </w:t>
      </w:r>
      <w:r>
        <w:rPr>
          <w:i/>
          <w:sz w:val="21"/>
        </w:rPr>
        <w:t>in</w:t>
      </w:r>
      <w:r>
        <w:rPr>
          <w:i/>
          <w:spacing w:val="-60"/>
          <w:sz w:val="21"/>
        </w:rPr>
        <w:t> </w:t>
      </w:r>
      <w:r>
        <w:rPr>
          <w:i/>
          <w:sz w:val="21"/>
        </w:rPr>
        <w:t>Early</w:t>
      </w:r>
      <w:r>
        <w:rPr>
          <w:i/>
          <w:spacing w:val="-60"/>
          <w:sz w:val="21"/>
        </w:rPr>
        <w:t> </w:t>
      </w:r>
      <w:r>
        <w:rPr>
          <w:i/>
          <w:sz w:val="21"/>
        </w:rPr>
        <w:t>Alzheimer</w:t>
      </w:r>
      <w:r>
        <w:rPr>
          <w:rFonts w:ascii="黑体" w:hAnsi="黑体" w:eastAsia="黑体" w:hint="eastAsia"/>
          <w:i/>
          <w:sz w:val="21"/>
        </w:rPr>
        <w:t>’</w:t>
      </w:r>
      <w:r>
        <w:rPr>
          <w:i/>
          <w:sz w:val="21"/>
        </w:rPr>
        <w:t>s</w:t>
      </w:r>
      <w:r>
        <w:rPr>
          <w:i/>
          <w:spacing w:val="-60"/>
          <w:sz w:val="21"/>
        </w:rPr>
        <w:t> </w:t>
      </w:r>
      <w:r>
        <w:rPr>
          <w:i/>
          <w:spacing w:val="-3"/>
          <w:sz w:val="21"/>
        </w:rPr>
        <w:t>Disease， </w:t>
      </w:r>
      <w:r>
        <w:rPr>
          <w:i/>
          <w:sz w:val="21"/>
        </w:rPr>
        <w:t>N Engl J Med 2023;388:9-21，方正证券研究所</w:t>
      </w:r>
    </w:p>
    <w:p>
      <w:pPr>
        <w:spacing w:line="278" w:lineRule="auto" w:before="19"/>
        <w:ind w:left="148" w:right="231" w:firstLine="0"/>
        <w:jc w:val="left"/>
        <w:rPr>
          <w:i/>
          <w:sz w:val="21"/>
        </w:rPr>
      </w:pPr>
      <w:r>
        <w:rPr/>
        <w:br w:type="column"/>
      </w:r>
      <w:r>
        <w:rPr>
          <w:i/>
          <w:sz w:val="21"/>
        </w:rPr>
        <w:t>资料来源：Lecanemab</w:t>
      </w:r>
      <w:r>
        <w:rPr>
          <w:i/>
          <w:spacing w:val="-64"/>
          <w:sz w:val="21"/>
        </w:rPr>
        <w:t> </w:t>
      </w:r>
      <w:r>
        <w:rPr>
          <w:i/>
          <w:sz w:val="21"/>
        </w:rPr>
        <w:t>in</w:t>
      </w:r>
      <w:r>
        <w:rPr>
          <w:i/>
          <w:spacing w:val="-64"/>
          <w:sz w:val="21"/>
        </w:rPr>
        <w:t> </w:t>
      </w:r>
      <w:r>
        <w:rPr>
          <w:i/>
          <w:sz w:val="21"/>
        </w:rPr>
        <w:t>Early</w:t>
      </w:r>
      <w:r>
        <w:rPr>
          <w:i/>
          <w:spacing w:val="-64"/>
          <w:sz w:val="21"/>
        </w:rPr>
        <w:t> </w:t>
      </w:r>
      <w:r>
        <w:rPr>
          <w:i/>
          <w:sz w:val="21"/>
        </w:rPr>
        <w:t>Alzheimer</w:t>
      </w:r>
      <w:r>
        <w:rPr>
          <w:rFonts w:ascii="黑体" w:hAnsi="黑体" w:eastAsia="黑体" w:hint="eastAsia"/>
          <w:i/>
          <w:sz w:val="21"/>
        </w:rPr>
        <w:t>’</w:t>
      </w:r>
      <w:r>
        <w:rPr>
          <w:i/>
          <w:sz w:val="21"/>
        </w:rPr>
        <w:t>s</w:t>
      </w:r>
      <w:r>
        <w:rPr>
          <w:i/>
          <w:spacing w:val="-63"/>
          <w:sz w:val="21"/>
        </w:rPr>
        <w:t> </w:t>
      </w:r>
      <w:r>
        <w:rPr>
          <w:i/>
          <w:sz w:val="21"/>
        </w:rPr>
        <w:t>Disease， N Engl J Med 2023;388:9-21，方正证券研究所</w:t>
      </w:r>
    </w:p>
    <w:p>
      <w:pPr>
        <w:spacing w:after="0" w:line="278" w:lineRule="auto"/>
        <w:jc w:val="left"/>
        <w:rPr>
          <w:sz w:val="21"/>
        </w:rPr>
        <w:sectPr>
          <w:type w:val="continuous"/>
          <w:pgSz w:w="11910" w:h="16840"/>
          <w:pgMar w:top="1160" w:bottom="620" w:left="560" w:right="540"/>
          <w:cols w:num="2" w:equalWidth="0">
            <w:col w:w="5249" w:space="75"/>
            <w:col w:w="5486"/>
          </w:cols>
        </w:sectPr>
      </w:pPr>
    </w:p>
    <w:p>
      <w:pPr>
        <w:pStyle w:val="BodyText"/>
        <w:spacing w:before="2"/>
        <w:rPr>
          <w:i/>
          <w:sz w:val="19"/>
        </w:rPr>
      </w:pPr>
    </w:p>
    <w:p>
      <w:pPr>
        <w:pStyle w:val="BodyText"/>
        <w:spacing w:line="278" w:lineRule="auto" w:before="71"/>
        <w:ind w:left="3324" w:right="161"/>
        <w:jc w:val="both"/>
      </w:pPr>
      <w:r>
        <w:rPr>
          <w:spacing w:val="-8"/>
        </w:rPr>
        <w:t>除了已获批的 </w:t>
      </w:r>
      <w:r>
        <w:rPr/>
        <w:t>Aducanumab</w:t>
      </w:r>
      <w:r>
        <w:rPr>
          <w:spacing w:val="-27"/>
        </w:rPr>
        <w:t> 和 </w:t>
      </w:r>
      <w:r>
        <w:rPr/>
        <w:t>Lecanemab</w:t>
      </w:r>
      <w:r>
        <w:rPr>
          <w:spacing w:val="-11"/>
        </w:rPr>
        <w:t> 之外，礼来生产的 </w:t>
      </w:r>
      <w:r>
        <w:rPr/>
        <w:t>Donanemab</w:t>
      </w:r>
      <w:r>
        <w:rPr>
          <w:spacing w:val="-10"/>
        </w:rPr>
        <w:t> 的临床结</w:t>
      </w:r>
      <w:r>
        <w:rPr>
          <w:spacing w:val="-12"/>
        </w:rPr>
        <w:t>果也成绩斐然，受到市场广泛关注，</w:t>
      </w:r>
      <w:r>
        <w:rPr>
          <w:spacing w:val="-14"/>
        </w:rPr>
        <w:t>2023</w:t>
      </w:r>
      <w:r>
        <w:rPr>
          <w:spacing w:val="-31"/>
        </w:rPr>
        <w:t> 年 </w:t>
      </w:r>
      <w:r>
        <w:rPr/>
        <w:t>7</w:t>
      </w:r>
      <w:r>
        <w:rPr>
          <w:spacing w:val="-31"/>
        </w:rPr>
        <w:t> 月 </w:t>
      </w:r>
      <w:r>
        <w:rPr/>
        <w:t>17</w:t>
      </w:r>
      <w:r>
        <w:rPr>
          <w:spacing w:val="-12"/>
        </w:rPr>
        <w:t> 日，礼来公司发表研究显示， Donanemab</w:t>
      </w:r>
      <w:r>
        <w:rPr>
          <w:spacing w:val="-5"/>
        </w:rPr>
        <w:t> 可使认知能力下降速度减缓 </w:t>
      </w:r>
      <w:r>
        <w:rPr/>
        <w:t>35</w:t>
      </w:r>
      <w:r>
        <w:rPr>
          <w:spacing w:val="-3"/>
        </w:rPr>
        <w:t>%，从轻度认知障碍进展为轻度痴呆或</w:t>
      </w:r>
      <w:r>
        <w:rPr>
          <w:spacing w:val="-7"/>
        </w:rPr>
        <w:t>从轻度至中度痴呆的风险降低 </w:t>
      </w:r>
      <w:r>
        <w:rPr/>
        <w:t>39%。</w:t>
      </w:r>
    </w:p>
    <w:p>
      <w:pPr>
        <w:spacing w:after="0" w:line="278" w:lineRule="auto"/>
        <w:jc w:val="both"/>
        <w:sectPr>
          <w:type w:val="continuous"/>
          <w:pgSz w:w="11910" w:h="16840"/>
          <w:pgMar w:top="1160" w:bottom="620" w:left="560" w:right="540"/>
        </w:sectPr>
      </w:pPr>
    </w:p>
    <w:p>
      <w:pPr>
        <w:pStyle w:val="BodyText"/>
        <w:spacing w:before="104" w:after="19"/>
        <w:ind w:left="147"/>
      </w:pPr>
      <w:r>
        <w:rPr/>
        <w:t>图表8:热门治疗阿尔茨海默单抗药物（国外产品）研发进展及临床结果</w:t>
      </w:r>
    </w:p>
    <w:p>
      <w:pPr>
        <w:pStyle w:val="BodyText"/>
        <w:ind w:left="148"/>
        <w:rPr>
          <w:sz w:val="20"/>
        </w:rPr>
      </w:pPr>
      <w:r>
        <w:rPr>
          <w:sz w:val="20"/>
        </w:rPr>
        <w:pict>
          <v:group style="width:521.75pt;height:339pt;mso-position-horizontal-relative:char;mso-position-vertical-relative:line" coordorigin="0,0" coordsize="10435,6780">
            <v:rect style="position:absolute;left:0;top:0;width:10435;height:20" filled="true" fillcolor="#000000" stroked="false">
              <v:fill type="solid"/>
            </v:rect>
            <v:shape style="position:absolute;left:132;top:32;width:10157;height:6747" type="#_x0000_t75" stroked="false">
              <v:imagedata r:id="rId26" o:title=""/>
            </v:shape>
          </v:group>
        </w:pict>
      </w:r>
      <w:r>
        <w:rPr>
          <w:sz w:val="20"/>
        </w:rPr>
      </w:r>
    </w:p>
    <w:p>
      <w:pPr>
        <w:pStyle w:val="BodyText"/>
        <w:spacing w:before="4"/>
        <w:rPr>
          <w:sz w:val="6"/>
        </w:rPr>
      </w:pPr>
    </w:p>
    <w:p>
      <w:pPr>
        <w:pStyle w:val="BodyText"/>
        <w:spacing w:line="20" w:lineRule="exact"/>
        <w:ind w:left="148"/>
        <w:rPr>
          <w:sz w:val="2"/>
        </w:rPr>
      </w:pPr>
      <w:r>
        <w:rPr>
          <w:sz w:val="2"/>
        </w:rPr>
        <w:pict>
          <v:group style="width:521.75pt;height:1pt;mso-position-horizontal-relative:char;mso-position-vertical-relative:line" coordorigin="0,0" coordsize="10435,20">
            <v:rect style="position:absolute;left:0;top:0;width:10435;height:20" filled="true" fillcolor="#000000" stroked="false">
              <v:fill type="solid"/>
            </v:rect>
          </v:group>
        </w:pict>
      </w:r>
      <w:r>
        <w:rPr>
          <w:sz w:val="2"/>
        </w:rPr>
      </w:r>
    </w:p>
    <w:p>
      <w:pPr>
        <w:spacing w:before="18"/>
        <w:ind w:left="148" w:right="0" w:firstLine="0"/>
        <w:jc w:val="left"/>
        <w:rPr>
          <w:i/>
          <w:sz w:val="21"/>
        </w:rPr>
      </w:pPr>
      <w:r>
        <w:rPr>
          <w:i/>
          <w:sz w:val="21"/>
        </w:rPr>
        <w:t>资料来源：生物世界，卫材官网，礼来官网，方正证券研究所整理</w:t>
      </w:r>
    </w:p>
    <w:p>
      <w:pPr>
        <w:pStyle w:val="BodyText"/>
        <w:spacing w:before="6"/>
        <w:rPr>
          <w:i/>
          <w:sz w:val="22"/>
        </w:rPr>
      </w:pPr>
    </w:p>
    <w:p>
      <w:pPr>
        <w:pStyle w:val="BodyText"/>
        <w:spacing w:before="72"/>
        <w:ind w:left="3907"/>
      </w:pPr>
      <w:r>
        <w:rPr/>
        <w:drawing>
          <wp:anchor distT="0" distB="0" distL="0" distR="0" allowOverlap="1" layoutInCell="1" locked="0" behindDoc="0" simplePos="0" relativeHeight="15744000">
            <wp:simplePos x="0" y="0"/>
            <wp:positionH relativeFrom="page">
              <wp:posOffset>2470414</wp:posOffset>
            </wp:positionH>
            <wp:positionV relativeFrom="paragraph">
              <wp:posOffset>85325</wp:posOffset>
            </wp:positionV>
            <wp:extent cx="325363" cy="93617"/>
            <wp:effectExtent l="0" t="0" r="0" b="0"/>
            <wp:wrapNone/>
            <wp:docPr id="27" name="image5.png"/>
            <wp:cNvGraphicFramePr>
              <a:graphicFrameLocks noChangeAspect="1"/>
            </wp:cNvGraphicFramePr>
            <a:graphic>
              <a:graphicData uri="http://schemas.openxmlformats.org/drawingml/2006/picture">
                <pic:pic>
                  <pic:nvPicPr>
                    <pic:cNvPr id="28" name="image5.png"/>
                    <pic:cNvPicPr/>
                  </pic:nvPicPr>
                  <pic:blipFill>
                    <a:blip r:embed="rId13" cstate="print"/>
                    <a:stretch>
                      <a:fillRect/>
                    </a:stretch>
                  </pic:blipFill>
                  <pic:spPr>
                    <a:xfrm>
                      <a:off x="0" y="0"/>
                      <a:ext cx="325363" cy="93617"/>
                    </a:xfrm>
                    <a:prstGeom prst="rect">
                      <a:avLst/>
                    </a:prstGeom>
                  </pic:spPr>
                </pic:pic>
              </a:graphicData>
            </a:graphic>
          </wp:anchor>
        </w:drawing>
      </w:r>
      <w:r>
        <w:rPr/>
        <w:t>其他靶向 Aβ与Tau 蛋白的产品临床进度</w:t>
      </w:r>
    </w:p>
    <w:p>
      <w:pPr>
        <w:pStyle w:val="ListParagraph"/>
        <w:numPr>
          <w:ilvl w:val="0"/>
          <w:numId w:val="4"/>
        </w:numPr>
        <w:tabs>
          <w:tab w:pos="3642" w:val="left" w:leader="none"/>
        </w:tabs>
        <w:spacing w:line="278" w:lineRule="auto" w:before="43" w:after="0"/>
        <w:ind w:left="3324" w:right="284" w:firstLine="0"/>
        <w:jc w:val="left"/>
        <w:rPr>
          <w:sz w:val="21"/>
        </w:rPr>
      </w:pPr>
      <w:r>
        <w:rPr>
          <w:spacing w:val="-11"/>
          <w:sz w:val="21"/>
        </w:rPr>
        <w:t>靶向 </w:t>
      </w:r>
      <w:r>
        <w:rPr>
          <w:sz w:val="21"/>
        </w:rPr>
        <w:t>Aβ</w:t>
      </w:r>
      <w:r>
        <w:rPr>
          <w:spacing w:val="-3"/>
          <w:sz w:val="21"/>
        </w:rPr>
        <w:t>蛋白的其他药物，如小分子抑制剂最快已进入Ⅲ期临床、疫苗类药</w:t>
      </w:r>
      <w:r>
        <w:rPr>
          <w:spacing w:val="-10"/>
          <w:sz w:val="21"/>
        </w:rPr>
        <w:t>物推进到了临床 </w:t>
      </w:r>
      <w:r>
        <w:rPr>
          <w:sz w:val="21"/>
        </w:rPr>
        <w:t>I/II</w:t>
      </w:r>
      <w:r>
        <w:rPr>
          <w:spacing w:val="-12"/>
          <w:sz w:val="21"/>
        </w:rPr>
        <w:t> 期阶段。</w:t>
      </w:r>
    </w:p>
    <w:p>
      <w:pPr>
        <w:spacing w:after="0" w:line="278" w:lineRule="auto"/>
        <w:jc w:val="left"/>
        <w:rPr>
          <w:sz w:val="21"/>
        </w:rPr>
        <w:sectPr>
          <w:pgSz w:w="11910" w:h="16840"/>
          <w:pgMar w:header="454" w:footer="430" w:top="1220" w:bottom="620" w:left="560" w:right="540"/>
        </w:sectPr>
      </w:pPr>
    </w:p>
    <w:p>
      <w:pPr>
        <w:pStyle w:val="BodyText"/>
        <w:spacing w:before="104" w:after="19"/>
        <w:ind w:left="147"/>
      </w:pPr>
      <w:r>
        <w:rPr/>
        <w:t>图表9:全球靶向 Aβ类药物</w:t>
      </w:r>
    </w:p>
    <w:p>
      <w:pPr>
        <w:pStyle w:val="BodyText"/>
        <w:ind w:left="148"/>
        <w:rPr>
          <w:sz w:val="20"/>
        </w:rPr>
      </w:pPr>
      <w:r>
        <w:rPr>
          <w:sz w:val="20"/>
        </w:rPr>
        <w:drawing>
          <wp:inline distT="0" distB="0" distL="0" distR="0">
            <wp:extent cx="6627729" cy="4386262"/>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7" cstate="print"/>
                    <a:stretch>
                      <a:fillRect/>
                    </a:stretch>
                  </pic:blipFill>
                  <pic:spPr>
                    <a:xfrm>
                      <a:off x="0" y="0"/>
                      <a:ext cx="6627729" cy="4386262"/>
                    </a:xfrm>
                    <a:prstGeom prst="rect">
                      <a:avLst/>
                    </a:prstGeom>
                  </pic:spPr>
                </pic:pic>
              </a:graphicData>
            </a:graphic>
          </wp:inline>
        </w:drawing>
      </w:r>
      <w:r>
        <w:rPr>
          <w:sz w:val="20"/>
        </w:rPr>
      </w:r>
    </w:p>
    <w:p>
      <w:pPr>
        <w:spacing w:before="15"/>
        <w:ind w:left="148" w:right="0" w:firstLine="0"/>
        <w:jc w:val="left"/>
        <w:rPr>
          <w:i/>
          <w:sz w:val="21"/>
        </w:rPr>
      </w:pPr>
      <w:r>
        <w:rPr>
          <w:i/>
          <w:sz w:val="21"/>
        </w:rPr>
        <w:t>资料来源：医药魔方，方正证券研究所</w:t>
      </w:r>
    </w:p>
    <w:p>
      <w:pPr>
        <w:pStyle w:val="BodyText"/>
        <w:spacing w:before="7"/>
        <w:rPr>
          <w:i/>
          <w:sz w:val="22"/>
        </w:rPr>
      </w:pPr>
    </w:p>
    <w:p>
      <w:pPr>
        <w:pStyle w:val="ListParagraph"/>
        <w:numPr>
          <w:ilvl w:val="0"/>
          <w:numId w:val="4"/>
        </w:numPr>
        <w:tabs>
          <w:tab w:pos="3642" w:val="left" w:leader="none"/>
        </w:tabs>
        <w:spacing w:line="278" w:lineRule="auto" w:before="72" w:after="0"/>
        <w:ind w:left="3324" w:right="231" w:firstLine="0"/>
        <w:jc w:val="left"/>
        <w:rPr>
          <w:sz w:val="21"/>
        </w:rPr>
      </w:pPr>
      <w:r>
        <w:rPr>
          <w:spacing w:val="-18"/>
          <w:sz w:val="21"/>
        </w:rPr>
        <w:t>靶向 </w:t>
      </w:r>
      <w:r>
        <w:rPr>
          <w:sz w:val="21"/>
        </w:rPr>
        <w:t>Tau</w:t>
      </w:r>
      <w:r>
        <w:rPr>
          <w:spacing w:val="-10"/>
          <w:sz w:val="21"/>
        </w:rPr>
        <w:t> 主要有单抗，小分子抑制剂，以及核酸类药物,目前 </w:t>
      </w:r>
      <w:r>
        <w:rPr>
          <w:sz w:val="21"/>
        </w:rPr>
        <w:t>TauRx</w:t>
      </w:r>
      <w:r>
        <w:rPr>
          <w:spacing w:val="-15"/>
          <w:sz w:val="21"/>
        </w:rPr>
        <w:t> 公司的</w:t>
      </w:r>
      <w:r>
        <w:rPr>
          <w:spacing w:val="-10"/>
          <w:sz w:val="21"/>
        </w:rPr>
        <w:t>氢甲硫堇进入三期临床，此外罗氏的 </w:t>
      </w:r>
      <w:r>
        <w:rPr>
          <w:sz w:val="21"/>
        </w:rPr>
        <w:t>Bepranemab</w:t>
      </w:r>
      <w:r>
        <w:rPr>
          <w:spacing w:val="-18"/>
          <w:sz w:val="21"/>
        </w:rPr>
        <w:t> 和强生的 </w:t>
      </w:r>
      <w:r>
        <w:rPr>
          <w:sz w:val="21"/>
        </w:rPr>
        <w:t>Posdinema</w:t>
      </w:r>
      <w:r>
        <w:rPr>
          <w:spacing w:val="-12"/>
          <w:sz w:val="21"/>
        </w:rPr>
        <w:t> 进入二期临床。</w:t>
      </w:r>
    </w:p>
    <w:p>
      <w:pPr>
        <w:pStyle w:val="BodyText"/>
        <w:spacing w:before="9"/>
        <w:rPr>
          <w:sz w:val="18"/>
        </w:rPr>
      </w:pPr>
    </w:p>
    <w:p>
      <w:pPr>
        <w:pStyle w:val="BodyText"/>
        <w:spacing w:before="72" w:after="19"/>
        <w:ind w:left="147"/>
      </w:pPr>
      <w:r>
        <w:rPr/>
        <w:t>图表10:全球主要靶向 tau 类药物</w:t>
      </w:r>
    </w:p>
    <w:p>
      <w:pPr>
        <w:pStyle w:val="BodyText"/>
        <w:spacing w:line="20" w:lineRule="exact"/>
        <w:ind w:left="148"/>
        <w:rPr>
          <w:sz w:val="2"/>
        </w:rPr>
      </w:pPr>
      <w:r>
        <w:rPr>
          <w:sz w:val="2"/>
        </w:rPr>
        <w:pict>
          <v:group style="width:521.75pt;height:1pt;mso-position-horizontal-relative:char;mso-position-vertical-relative:line" coordorigin="0,0" coordsize="10435,20">
            <v:rect style="position:absolute;left:0;top:0;width:10435;height:20" filled="true" fillcolor="#000000" stroked="false">
              <v:fill type="solid"/>
            </v:rect>
          </v:group>
        </w:pict>
      </w:r>
      <w:r>
        <w:rPr>
          <w:sz w:val="2"/>
        </w:rPr>
      </w:r>
    </w:p>
    <w:p>
      <w:pPr>
        <w:pStyle w:val="BodyText"/>
        <w:spacing w:before="5"/>
        <w:rPr>
          <w:sz w:val="10"/>
        </w:rPr>
      </w:pPr>
      <w:r>
        <w:rPr/>
        <w:drawing>
          <wp:anchor distT="0" distB="0" distL="0" distR="0" allowOverlap="1" layoutInCell="1" locked="0" behindDoc="0" simplePos="0" relativeHeight="32">
            <wp:simplePos x="0" y="0"/>
            <wp:positionH relativeFrom="page">
              <wp:posOffset>486787</wp:posOffset>
            </wp:positionH>
            <wp:positionV relativeFrom="paragraph">
              <wp:posOffset>109709</wp:posOffset>
            </wp:positionV>
            <wp:extent cx="6531526" cy="1371600"/>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8" cstate="print"/>
                    <a:stretch>
                      <a:fillRect/>
                    </a:stretch>
                  </pic:blipFill>
                  <pic:spPr>
                    <a:xfrm>
                      <a:off x="0" y="0"/>
                      <a:ext cx="6531526" cy="1371600"/>
                    </a:xfrm>
                    <a:prstGeom prst="rect">
                      <a:avLst/>
                    </a:prstGeom>
                  </pic:spPr>
                </pic:pic>
              </a:graphicData>
            </a:graphic>
          </wp:anchor>
        </w:drawing>
      </w:r>
      <w:r>
        <w:rPr/>
        <w:pict>
          <v:rect style="position:absolute;margin-left:35.400002pt;margin-top:125.749939pt;width:521.74pt;height:.96002pt;mso-position-horizontal-relative:page;mso-position-vertical-relative:paragraph;z-index:-15711744;mso-wrap-distance-left:0;mso-wrap-distance-right:0" filled="true" fillcolor="#000000" stroked="false">
            <v:fill type="solid"/>
            <w10:wrap type="topAndBottom"/>
          </v:rect>
        </w:pict>
      </w:r>
    </w:p>
    <w:p>
      <w:pPr>
        <w:pStyle w:val="BodyText"/>
        <w:spacing w:before="11"/>
        <w:rPr>
          <w:sz w:val="8"/>
        </w:rPr>
      </w:pPr>
    </w:p>
    <w:p>
      <w:pPr>
        <w:spacing w:before="0"/>
        <w:ind w:left="148" w:right="0" w:firstLine="0"/>
        <w:jc w:val="left"/>
        <w:rPr>
          <w:i/>
          <w:sz w:val="21"/>
        </w:rPr>
      </w:pPr>
      <w:r>
        <w:rPr>
          <w:i/>
          <w:sz w:val="21"/>
        </w:rPr>
        <w:t>资料来源：医药魔方，方正证券研究所</w:t>
      </w:r>
    </w:p>
    <w:p>
      <w:pPr>
        <w:pStyle w:val="BodyText"/>
        <w:spacing w:before="10"/>
        <w:rPr>
          <w:i/>
        </w:rPr>
      </w:pPr>
    </w:p>
    <w:p>
      <w:pPr>
        <w:pStyle w:val="ListParagraph"/>
        <w:numPr>
          <w:ilvl w:val="1"/>
          <w:numId w:val="3"/>
        </w:numPr>
        <w:tabs>
          <w:tab w:pos="3697" w:val="left" w:leader="none"/>
        </w:tabs>
        <w:spacing w:line="240" w:lineRule="auto" w:before="72" w:after="0"/>
        <w:ind w:left="3696" w:right="0" w:hanging="373"/>
        <w:jc w:val="left"/>
        <w:rPr>
          <w:sz w:val="21"/>
        </w:rPr>
      </w:pPr>
      <w:r>
        <w:rPr>
          <w:spacing w:val="-3"/>
          <w:sz w:val="21"/>
        </w:rPr>
        <w:t>国内研发多样化，多数集中在胆碱酯酶抑制剂等老靶点</w:t>
      </w:r>
    </w:p>
    <w:p>
      <w:pPr>
        <w:pStyle w:val="BodyText"/>
        <w:spacing w:line="278" w:lineRule="auto" w:before="43"/>
        <w:ind w:left="3324" w:right="183"/>
      </w:pPr>
      <w:r>
        <w:rPr>
          <w:spacing w:val="-10"/>
        </w:rPr>
        <w:t>目前国内在 </w:t>
      </w:r>
      <w:r>
        <w:rPr>
          <w:rFonts w:ascii="Times New Roman" w:hAnsi="Times New Roman" w:eastAsia="Times New Roman"/>
          <w:spacing w:val="-3"/>
        </w:rPr>
        <w:t>A</w:t>
      </w:r>
      <w:r>
        <w:rPr>
          <w:spacing w:val="-3"/>
        </w:rPr>
        <w:t>β</w:t>
      </w:r>
      <w:r>
        <w:rPr>
          <w:spacing w:val="-24"/>
        </w:rPr>
        <w:t>及 </w:t>
      </w:r>
      <w:r>
        <w:rPr>
          <w:rFonts w:ascii="Times New Roman" w:hAnsi="Times New Roman" w:eastAsia="Times New Roman"/>
          <w:spacing w:val="-6"/>
        </w:rPr>
        <w:t>Tau </w:t>
      </w:r>
      <w:r>
        <w:rPr>
          <w:spacing w:val="-3"/>
        </w:rPr>
        <w:t>蛋白类药物进展最快的是本次进入博鳌使用的阿尔茨海</w:t>
      </w:r>
      <w:r>
        <w:rPr>
          <w:spacing w:val="-3"/>
          <w:w w:val="100"/>
        </w:rPr>
        <w:t>默病（</w:t>
      </w:r>
      <w:r>
        <w:rPr>
          <w:rFonts w:ascii="Times New Roman" w:hAnsi="Times New Roman" w:eastAsia="Times New Roman"/>
          <w:spacing w:val="-2"/>
          <w:w w:val="100"/>
        </w:rPr>
        <w:t>AD</w:t>
      </w:r>
      <w:r>
        <w:rPr>
          <w:w w:val="100"/>
        </w:rPr>
        <w:t>）</w:t>
      </w:r>
      <w:r>
        <w:rPr>
          <w:spacing w:val="-3"/>
          <w:w w:val="100"/>
        </w:rPr>
        <w:t>新药仑卡奈单抗（</w:t>
      </w:r>
      <w:r>
        <w:rPr>
          <w:rFonts w:ascii="Times New Roman" w:hAnsi="Times New Roman" w:eastAsia="Times New Roman"/>
          <w:w w:val="100"/>
        </w:rPr>
        <w:t>Leqe</w:t>
      </w:r>
      <w:r>
        <w:rPr>
          <w:rFonts w:ascii="Times New Roman" w:hAnsi="Times New Roman" w:eastAsia="Times New Roman"/>
          <w:spacing w:val="-1"/>
          <w:w w:val="100"/>
        </w:rPr>
        <w:t>m</w:t>
      </w:r>
      <w:r>
        <w:rPr>
          <w:rFonts w:ascii="Times New Roman" w:hAnsi="Times New Roman" w:eastAsia="Times New Roman"/>
          <w:w w:val="100"/>
        </w:rPr>
        <w:t>b</w:t>
      </w:r>
      <w:r>
        <w:rPr>
          <w:rFonts w:ascii="Times New Roman" w:hAnsi="Times New Roman" w:eastAsia="Times New Roman"/>
          <w:spacing w:val="-2"/>
          <w:w w:val="100"/>
        </w:rPr>
        <w:t>i</w:t>
      </w:r>
      <w:r>
        <w:rPr>
          <w:spacing w:val="-108"/>
          <w:w w:val="100"/>
        </w:rPr>
        <w:t>）</w:t>
      </w:r>
      <w:r>
        <w:rPr>
          <w:spacing w:val="-3"/>
          <w:w w:val="100"/>
        </w:rPr>
        <w:t>，处于上市申请阶段。</w:t>
      </w:r>
      <w:r>
        <w:rPr>
          <w:rFonts w:ascii="Times New Roman" w:hAnsi="Times New Roman" w:eastAsia="Times New Roman"/>
          <w:w w:val="100"/>
        </w:rPr>
        <w:t>Lc</w:t>
      </w:r>
      <w:r>
        <w:rPr>
          <w:rFonts w:ascii="Times New Roman" w:hAnsi="Times New Roman" w:eastAsia="Times New Roman"/>
          <w:spacing w:val="-3"/>
          <w:w w:val="100"/>
        </w:rPr>
        <w:t>a</w:t>
      </w:r>
      <w:r>
        <w:rPr>
          <w:rFonts w:ascii="Times New Roman" w:hAnsi="Times New Roman" w:eastAsia="Times New Roman"/>
          <w:w w:val="100"/>
        </w:rPr>
        <w:t>ne</w:t>
      </w:r>
      <w:r>
        <w:rPr>
          <w:rFonts w:ascii="Times New Roman" w:hAnsi="Times New Roman" w:eastAsia="Times New Roman"/>
          <w:spacing w:val="-2"/>
          <w:w w:val="100"/>
        </w:rPr>
        <w:t>m</w:t>
      </w:r>
      <w:r>
        <w:rPr>
          <w:rFonts w:ascii="Times New Roman" w:hAnsi="Times New Roman" w:eastAsia="Times New Roman"/>
          <w:w w:val="100"/>
        </w:rPr>
        <w:t>ab</w:t>
      </w:r>
      <w:r>
        <w:rPr>
          <w:rFonts w:ascii="Times New Roman" w:hAnsi="Times New Roman" w:eastAsia="Times New Roman"/>
        </w:rPr>
        <w:t> </w:t>
      </w:r>
      <w:r>
        <w:rPr>
          <w:w w:val="100"/>
        </w:rPr>
        <w:t>在美</w:t>
      </w:r>
      <w:r>
        <w:rPr>
          <w:spacing w:val="-9"/>
        </w:rPr>
        <w:t>国的定价为 </w:t>
      </w:r>
      <w:r>
        <w:rPr>
          <w:rFonts w:ascii="Times New Roman" w:hAnsi="Times New Roman" w:eastAsia="Times New Roman"/>
        </w:rPr>
        <w:t>2.65 </w:t>
      </w:r>
      <w:r>
        <w:rPr>
          <w:spacing w:val="-2"/>
        </w:rPr>
        <w:t>万美元</w:t>
      </w:r>
      <w:r>
        <w:rPr>
          <w:rFonts w:ascii="Times New Roman" w:hAnsi="Times New Roman" w:eastAsia="Times New Roman"/>
        </w:rPr>
        <w:t>/</w:t>
      </w:r>
      <w:r>
        <w:rPr>
          <w:spacing w:val="-3"/>
        </w:rPr>
        <w:t>年，美国医疗保险和医疗补助服务中心</w:t>
      </w:r>
      <w:r>
        <w:rPr/>
        <w:t>（</w:t>
      </w:r>
      <w:r>
        <w:rPr>
          <w:rFonts w:ascii="Times New Roman" w:hAnsi="Times New Roman" w:eastAsia="Times New Roman"/>
        </w:rPr>
        <w:t>CMS</w:t>
      </w:r>
      <w:r>
        <w:rPr/>
        <w:t>）</w:t>
      </w:r>
      <w:r>
        <w:rPr>
          <w:spacing w:val="-2"/>
        </w:rPr>
        <w:t>曾表态</w:t>
      </w:r>
      <w:r>
        <w:rPr>
          <w:spacing w:val="-24"/>
        </w:rPr>
        <w:t>在 </w:t>
      </w:r>
      <w:r>
        <w:rPr>
          <w:rFonts w:ascii="Times New Roman" w:hAnsi="Times New Roman" w:eastAsia="Times New Roman"/>
        </w:rPr>
        <w:t>lecanemab </w:t>
      </w:r>
      <w:r>
        <w:rPr>
          <w:spacing w:val="-5"/>
        </w:rPr>
        <w:t>全面批准时可能会考虑扩大覆盖范围。美国有超过 </w:t>
      </w:r>
      <w:r>
        <w:rPr>
          <w:rFonts w:ascii="Times New Roman" w:hAnsi="Times New Roman" w:eastAsia="Times New Roman"/>
        </w:rPr>
        <w:t>650 </w:t>
      </w:r>
      <w:r>
        <w:rPr>
          <w:spacing w:val="-23"/>
        </w:rPr>
        <w:t>万 </w:t>
      </w:r>
      <w:r>
        <w:rPr>
          <w:rFonts w:ascii="Times New Roman" w:hAnsi="Times New Roman" w:eastAsia="Times New Roman"/>
        </w:rPr>
        <w:t>AD </w:t>
      </w:r>
      <w:r>
        <w:rPr/>
        <w:t>患者</w:t>
      </w:r>
      <w:r>
        <w:rPr>
          <w:spacing w:val="-9"/>
        </w:rPr>
        <w:t>，卫材预测，到 </w:t>
      </w:r>
      <w:r>
        <w:rPr>
          <w:rFonts w:ascii="Times New Roman" w:hAnsi="Times New Roman" w:eastAsia="Times New Roman"/>
        </w:rPr>
        <w:t>2030 </w:t>
      </w:r>
      <w:r>
        <w:rPr>
          <w:spacing w:val="-25"/>
        </w:rPr>
        <w:t>年 </w:t>
      </w:r>
      <w:r>
        <w:rPr>
          <w:rFonts w:ascii="Times New Roman" w:hAnsi="Times New Roman" w:eastAsia="Times New Roman"/>
        </w:rPr>
        <w:t>lecanemab </w:t>
      </w:r>
      <w:r>
        <w:rPr>
          <w:spacing w:val="-18"/>
        </w:rPr>
        <w:t>每年 </w:t>
      </w:r>
      <w:r>
        <w:rPr>
          <w:rFonts w:ascii="Times New Roman" w:hAnsi="Times New Roman" w:eastAsia="Times New Roman"/>
        </w:rPr>
        <w:t>2.65 </w:t>
      </w:r>
      <w:r>
        <w:rPr>
          <w:spacing w:val="-13"/>
        </w:rPr>
        <w:t>万美元的 </w:t>
      </w:r>
      <w:r>
        <w:rPr>
          <w:rFonts w:ascii="Times New Roman" w:hAnsi="Times New Roman" w:eastAsia="Times New Roman"/>
        </w:rPr>
        <w:t>AD </w:t>
      </w:r>
      <w:r>
        <w:rPr>
          <w:spacing w:val="-9"/>
        </w:rPr>
        <w:t>治疗费用将形成 </w:t>
      </w:r>
      <w:r>
        <w:rPr>
          <w:rFonts w:ascii="Times New Roman" w:hAnsi="Times New Roman" w:eastAsia="Times New Roman"/>
        </w:rPr>
        <w:t>70 </w:t>
      </w:r>
      <w:r>
        <w:rPr>
          <w:spacing w:val="-1"/>
        </w:rPr>
        <w:t>亿美元</w:t>
      </w:r>
      <w:r>
        <w:rPr/>
        <w:t>（</w:t>
      </w:r>
      <w:r>
        <w:rPr>
          <w:spacing w:val="-19"/>
        </w:rPr>
        <w:t>大约 </w:t>
      </w:r>
      <w:r>
        <w:rPr>
          <w:rFonts w:ascii="Times New Roman" w:hAnsi="Times New Roman" w:eastAsia="Times New Roman"/>
        </w:rPr>
        <w:t>500 </w:t>
      </w:r>
      <w:r>
        <w:rPr>
          <w:spacing w:val="-3"/>
        </w:rPr>
        <w:t>亿人民币</w:t>
      </w:r>
      <w:r>
        <w:rPr/>
        <w:t>）</w:t>
      </w:r>
      <w:r>
        <w:rPr>
          <w:spacing w:val="-3"/>
        </w:rPr>
        <w:t>的全球销售额。</w:t>
      </w:r>
    </w:p>
    <w:p>
      <w:pPr>
        <w:spacing w:after="0" w:line="278" w:lineRule="auto"/>
        <w:sectPr>
          <w:pgSz w:w="11910" w:h="16840"/>
          <w:pgMar w:header="454" w:footer="430" w:top="1220" w:bottom="620" w:left="560" w:right="540"/>
        </w:sectPr>
      </w:pPr>
    </w:p>
    <w:p>
      <w:pPr>
        <w:pStyle w:val="BodyText"/>
        <w:spacing w:before="104"/>
        <w:ind w:left="3324"/>
        <w:jc w:val="both"/>
        <w:rPr>
          <w:rFonts w:ascii="Times New Roman" w:eastAsia="Times New Roman"/>
        </w:rPr>
      </w:pPr>
      <w:r>
        <w:rPr/>
        <w:t>根据联合国人口司经济和社会事务部对各年龄段人口预测，我国在 </w:t>
      </w:r>
      <w:r>
        <w:rPr>
          <w:rFonts w:ascii="Times New Roman" w:eastAsia="Times New Roman"/>
        </w:rPr>
        <w:t>2030 </w:t>
      </w:r>
      <w:r>
        <w:rPr/>
        <w:t>年 </w:t>
      </w:r>
      <w:r>
        <w:rPr>
          <w:rFonts w:ascii="Times New Roman" w:eastAsia="Times New Roman"/>
        </w:rPr>
        <w:t>65</w:t>
      </w:r>
    </w:p>
    <w:p>
      <w:pPr>
        <w:pStyle w:val="BodyText"/>
        <w:spacing w:line="278" w:lineRule="auto" w:before="43"/>
        <w:ind w:left="3324" w:right="267"/>
        <w:jc w:val="both"/>
      </w:pPr>
      <w:r>
        <w:rPr>
          <w:spacing w:val="-8"/>
        </w:rPr>
        <w:t>岁以上人口将达到 </w:t>
      </w:r>
      <w:r>
        <w:rPr>
          <w:rFonts w:ascii="Times New Roman" w:eastAsia="Times New Roman"/>
        </w:rPr>
        <w:t>1445 </w:t>
      </w:r>
      <w:r>
        <w:rPr>
          <w:spacing w:val="-11"/>
        </w:rPr>
        <w:t>万人。根据 </w:t>
      </w:r>
      <w:r>
        <w:rPr>
          <w:rFonts w:ascii="Times New Roman" w:eastAsia="Times New Roman"/>
        </w:rPr>
        <w:t>65 </w:t>
      </w:r>
      <w:r>
        <w:rPr>
          <w:spacing w:val="-6"/>
        </w:rPr>
        <w:t>岁以上人口阿尔茨海默发病率为 </w:t>
      </w:r>
      <w:r>
        <w:rPr>
          <w:rFonts w:ascii="Times New Roman" w:eastAsia="Times New Roman"/>
        </w:rPr>
        <w:t>5.6%</w:t>
      </w:r>
      <w:r>
        <w:rPr/>
        <w:t>， </w:t>
      </w:r>
      <w:r>
        <w:rPr>
          <w:spacing w:val="-2"/>
        </w:rPr>
        <w:t>我们进行估算：</w:t>
      </w:r>
    </w:p>
    <w:p>
      <w:pPr>
        <w:pStyle w:val="ListParagraph"/>
        <w:numPr>
          <w:ilvl w:val="0"/>
          <w:numId w:val="5"/>
        </w:numPr>
        <w:tabs>
          <w:tab w:pos="3745" w:val="left" w:leader="none"/>
        </w:tabs>
        <w:spacing w:line="278" w:lineRule="auto" w:before="0" w:after="0"/>
        <w:ind w:left="3744" w:right="211" w:hanging="420"/>
        <w:jc w:val="both"/>
        <w:rPr>
          <w:sz w:val="21"/>
        </w:rPr>
      </w:pPr>
      <w:r>
        <w:rPr>
          <w:rFonts w:ascii="Times New Roman" w:hAnsi="Times New Roman" w:eastAsia="Times New Roman"/>
          <w:sz w:val="21"/>
        </w:rPr>
        <w:t>1</w:t>
      </w:r>
      <w:r>
        <w:rPr>
          <w:sz w:val="21"/>
        </w:rPr>
        <w:t>）</w:t>
      </w:r>
      <w:r>
        <w:rPr>
          <w:spacing w:val="-18"/>
          <w:sz w:val="21"/>
        </w:rPr>
        <w:t>卫材 </w:t>
      </w:r>
      <w:r>
        <w:rPr>
          <w:rFonts w:ascii="Times New Roman" w:hAnsi="Times New Roman" w:eastAsia="Times New Roman"/>
          <w:sz w:val="21"/>
        </w:rPr>
        <w:t>2023</w:t>
      </w:r>
      <w:r>
        <w:rPr>
          <w:rFonts w:ascii="Times New Roman" w:hAnsi="Times New Roman" w:eastAsia="Times New Roman"/>
          <w:spacing w:val="2"/>
          <w:sz w:val="21"/>
        </w:rPr>
        <w:t> </w:t>
      </w:r>
      <w:r>
        <w:rPr>
          <w:spacing w:val="-24"/>
          <w:sz w:val="21"/>
        </w:rPr>
        <w:t>年 </w:t>
      </w:r>
      <w:r>
        <w:rPr>
          <w:rFonts w:ascii="Times New Roman" w:hAnsi="Times New Roman" w:eastAsia="Times New Roman"/>
          <w:sz w:val="21"/>
        </w:rPr>
        <w:t>1</w:t>
      </w:r>
      <w:r>
        <w:rPr>
          <w:rFonts w:ascii="Times New Roman" w:hAnsi="Times New Roman" w:eastAsia="Times New Roman"/>
          <w:spacing w:val="5"/>
          <w:sz w:val="21"/>
        </w:rPr>
        <w:t> </w:t>
      </w:r>
      <w:r>
        <w:rPr>
          <w:spacing w:val="-3"/>
          <w:sz w:val="21"/>
        </w:rPr>
        <w:t>月发文，产品使用方法为：</w:t>
      </w:r>
      <w:r>
        <w:rPr>
          <w:rFonts w:ascii="Times New Roman" w:hAnsi="Times New Roman" w:eastAsia="Times New Roman"/>
          <w:sz w:val="21"/>
        </w:rPr>
        <w:t>10</w:t>
      </w:r>
      <w:r>
        <w:rPr>
          <w:rFonts w:ascii="Times New Roman" w:hAnsi="Times New Roman" w:eastAsia="Times New Roman"/>
          <w:spacing w:val="4"/>
          <w:sz w:val="21"/>
        </w:rPr>
        <w:t> </w:t>
      </w:r>
      <w:r>
        <w:rPr>
          <w:spacing w:val="-2"/>
          <w:sz w:val="21"/>
        </w:rPr>
        <w:t>毫克</w:t>
      </w:r>
      <w:r>
        <w:rPr>
          <w:rFonts w:ascii="Times New Roman" w:hAnsi="Times New Roman" w:eastAsia="Times New Roman"/>
          <w:sz w:val="21"/>
        </w:rPr>
        <w:t>/</w:t>
      </w:r>
      <w:r>
        <w:rPr>
          <w:spacing w:val="-3"/>
          <w:sz w:val="21"/>
        </w:rPr>
        <w:t>千克剂量每两周静脉</w:t>
      </w:r>
      <w:r>
        <w:rPr>
          <w:spacing w:val="-8"/>
          <w:sz w:val="21"/>
        </w:rPr>
        <w:t>注射一次。按每人 </w:t>
      </w:r>
      <w:r>
        <w:rPr>
          <w:rFonts w:ascii="Times New Roman" w:hAnsi="Times New Roman" w:eastAsia="Times New Roman"/>
          <w:sz w:val="21"/>
        </w:rPr>
        <w:t>60kg</w:t>
      </w:r>
      <w:r>
        <w:rPr>
          <w:rFonts w:ascii="Times New Roman" w:hAnsi="Times New Roman" w:eastAsia="Times New Roman"/>
          <w:spacing w:val="4"/>
          <w:sz w:val="21"/>
        </w:rPr>
        <w:t> </w:t>
      </w:r>
      <w:r>
        <w:rPr>
          <w:spacing w:val="-8"/>
          <w:sz w:val="21"/>
        </w:rPr>
        <w:t>计算，每次需注射 </w:t>
      </w:r>
      <w:r>
        <w:rPr>
          <w:rFonts w:ascii="Times New Roman" w:hAnsi="Times New Roman" w:eastAsia="Times New Roman"/>
          <w:sz w:val="21"/>
        </w:rPr>
        <w:t>10*60=600mg</w:t>
      </w:r>
      <w:r>
        <w:rPr>
          <w:spacing w:val="-3"/>
          <w:sz w:val="21"/>
        </w:rPr>
        <w:t>，落地海南乐意保</w:t>
      </w:r>
      <w:r>
        <w:rPr>
          <w:spacing w:val="-14"/>
          <w:sz w:val="21"/>
        </w:rPr>
        <w:t>规格为 </w:t>
      </w:r>
      <w:r>
        <w:rPr>
          <w:rFonts w:ascii="Times New Roman" w:hAnsi="Times New Roman" w:eastAsia="Times New Roman"/>
          <w:sz w:val="21"/>
        </w:rPr>
        <w:t>200mg/</w:t>
      </w:r>
      <w:r>
        <w:rPr>
          <w:spacing w:val="-7"/>
          <w:sz w:val="21"/>
        </w:rPr>
        <w:t>瓶，因此，每人每次需注射 </w:t>
      </w:r>
      <w:r>
        <w:rPr>
          <w:rFonts w:ascii="Times New Roman" w:hAnsi="Times New Roman" w:eastAsia="Times New Roman"/>
          <w:sz w:val="21"/>
        </w:rPr>
        <w:t>3</w:t>
      </w:r>
      <w:r>
        <w:rPr>
          <w:rFonts w:ascii="Times New Roman" w:hAnsi="Times New Roman" w:eastAsia="Times New Roman"/>
          <w:spacing w:val="5"/>
          <w:sz w:val="21"/>
        </w:rPr>
        <w:t> </w:t>
      </w:r>
      <w:r>
        <w:rPr>
          <w:spacing w:val="-9"/>
          <w:sz w:val="21"/>
        </w:rPr>
        <w:t>瓶，一月需注射 </w:t>
      </w:r>
      <w:r>
        <w:rPr>
          <w:rFonts w:ascii="Times New Roman" w:hAnsi="Times New Roman" w:eastAsia="Times New Roman"/>
          <w:sz w:val="21"/>
        </w:rPr>
        <w:t>6</w:t>
      </w:r>
      <w:r>
        <w:rPr>
          <w:rFonts w:ascii="Times New Roman" w:hAnsi="Times New Roman" w:eastAsia="Times New Roman"/>
          <w:spacing w:val="1"/>
          <w:sz w:val="21"/>
        </w:rPr>
        <w:t> </w:t>
      </w:r>
      <w:r>
        <w:rPr>
          <w:spacing w:val="-3"/>
          <w:sz w:val="21"/>
        </w:rPr>
        <w:t>瓶，一年花</w:t>
      </w:r>
      <w:r>
        <w:rPr>
          <w:spacing w:val="-20"/>
          <w:sz w:val="21"/>
        </w:rPr>
        <w:t>费约 </w:t>
      </w:r>
      <w:r>
        <w:rPr>
          <w:rFonts w:ascii="Times New Roman" w:hAnsi="Times New Roman" w:eastAsia="Times New Roman"/>
          <w:sz w:val="21"/>
        </w:rPr>
        <w:t>23.96</w:t>
      </w:r>
      <w:r>
        <w:rPr>
          <w:rFonts w:ascii="Times New Roman" w:hAnsi="Times New Roman" w:eastAsia="Times New Roman"/>
          <w:spacing w:val="-3"/>
          <w:sz w:val="21"/>
        </w:rPr>
        <w:t> </w:t>
      </w:r>
      <w:r>
        <w:rPr>
          <w:sz w:val="21"/>
        </w:rPr>
        <w:t>万；</w:t>
      </w:r>
    </w:p>
    <w:p>
      <w:pPr>
        <w:pStyle w:val="ListParagraph"/>
        <w:numPr>
          <w:ilvl w:val="0"/>
          <w:numId w:val="5"/>
        </w:numPr>
        <w:tabs>
          <w:tab w:pos="3744" w:val="left" w:leader="none"/>
          <w:tab w:pos="3745" w:val="left" w:leader="none"/>
        </w:tabs>
        <w:spacing w:line="278" w:lineRule="auto" w:before="0" w:after="0"/>
        <w:ind w:left="3744" w:right="233" w:hanging="420"/>
        <w:jc w:val="left"/>
        <w:rPr>
          <w:sz w:val="21"/>
        </w:rPr>
      </w:pPr>
      <w:r>
        <w:rPr>
          <w:rFonts w:ascii="Times New Roman" w:hAnsi="Times New Roman" w:eastAsia="Times New Roman"/>
          <w:sz w:val="21"/>
        </w:rPr>
        <w:t>2</w:t>
      </w:r>
      <w:r>
        <w:rPr>
          <w:sz w:val="21"/>
        </w:rPr>
        <w:t>）</w:t>
      </w:r>
      <w:r>
        <w:rPr>
          <w:spacing w:val="-3"/>
          <w:sz w:val="21"/>
        </w:rPr>
        <w:t>考虑到目前阿尔茨海默行业相对成熟度低，市场认可度仍需培养，该产品是第一款有明确证据证明可以减缓阿尔茨海默病进程的药物，研发壁垒</w:t>
      </w:r>
      <w:r>
        <w:rPr>
          <w:spacing w:val="-6"/>
          <w:sz w:val="21"/>
        </w:rPr>
        <w:t>较高，我们预计明年产品上市后折价 </w:t>
      </w:r>
      <w:r>
        <w:rPr>
          <w:rFonts w:ascii="Times New Roman" w:hAnsi="Times New Roman" w:eastAsia="Times New Roman"/>
          <w:sz w:val="21"/>
        </w:rPr>
        <w:t>80%</w:t>
      </w:r>
      <w:r>
        <w:rPr>
          <w:spacing w:val="-12"/>
          <w:sz w:val="21"/>
        </w:rPr>
        <w:t>，渗透率 </w:t>
      </w:r>
      <w:r>
        <w:rPr>
          <w:rFonts w:ascii="Times New Roman" w:hAnsi="Times New Roman" w:eastAsia="Times New Roman"/>
          <w:sz w:val="21"/>
        </w:rPr>
        <w:t>0.1%</w:t>
      </w:r>
      <w:r>
        <w:rPr>
          <w:spacing w:val="-11"/>
          <w:sz w:val="21"/>
        </w:rPr>
        <w:t>，市占率 </w:t>
      </w:r>
      <w:r>
        <w:rPr>
          <w:rFonts w:ascii="Times New Roman" w:hAnsi="Times New Roman" w:eastAsia="Times New Roman"/>
          <w:sz w:val="21"/>
        </w:rPr>
        <w:t>100%</w:t>
      </w:r>
      <w:r>
        <w:rPr>
          <w:sz w:val="21"/>
        </w:rPr>
        <w:t>， </w:t>
      </w:r>
      <w:r>
        <w:rPr>
          <w:spacing w:val="-12"/>
          <w:sz w:val="21"/>
        </w:rPr>
        <w:t>我们预测 </w:t>
      </w:r>
      <w:r>
        <w:rPr>
          <w:rFonts w:ascii="Times New Roman" w:hAnsi="Times New Roman" w:eastAsia="Times New Roman"/>
          <w:sz w:val="21"/>
        </w:rPr>
        <w:t>2024</w:t>
      </w:r>
      <w:r>
        <w:rPr>
          <w:rFonts w:ascii="Times New Roman" w:hAnsi="Times New Roman" w:eastAsia="Times New Roman"/>
          <w:spacing w:val="-3"/>
          <w:sz w:val="21"/>
        </w:rPr>
        <w:t> </w:t>
      </w:r>
      <w:r>
        <w:rPr>
          <w:spacing w:val="-10"/>
          <w:sz w:val="21"/>
        </w:rPr>
        <w:t>年销售额约为 </w:t>
      </w:r>
      <w:r>
        <w:rPr>
          <w:rFonts w:ascii="Times New Roman" w:hAnsi="Times New Roman" w:eastAsia="Times New Roman"/>
          <w:sz w:val="21"/>
        </w:rPr>
        <w:t>22.38 </w:t>
      </w:r>
      <w:r>
        <w:rPr>
          <w:spacing w:val="-3"/>
          <w:sz w:val="21"/>
        </w:rPr>
        <w:t>亿元人民币；</w:t>
      </w:r>
    </w:p>
    <w:p>
      <w:pPr>
        <w:pStyle w:val="ListParagraph"/>
        <w:numPr>
          <w:ilvl w:val="0"/>
          <w:numId w:val="5"/>
        </w:numPr>
        <w:tabs>
          <w:tab w:pos="3745" w:val="left" w:leader="none"/>
        </w:tabs>
        <w:spacing w:line="278" w:lineRule="auto" w:before="0" w:after="0"/>
        <w:ind w:left="3744" w:right="231" w:hanging="420"/>
        <w:jc w:val="both"/>
        <w:rPr>
          <w:sz w:val="21"/>
        </w:rPr>
      </w:pPr>
      <w:r>
        <w:rPr>
          <w:rFonts w:ascii="Times New Roman" w:hAnsi="Times New Roman" w:eastAsia="Times New Roman"/>
          <w:sz w:val="21"/>
        </w:rPr>
        <w:t>3</w:t>
      </w:r>
      <w:r>
        <w:rPr>
          <w:sz w:val="21"/>
        </w:rPr>
        <w:t>）</w:t>
      </w:r>
      <w:r>
        <w:rPr>
          <w:spacing w:val="-3"/>
          <w:sz w:val="21"/>
        </w:rPr>
        <w:t>考虑到随着老龄化进程加快，行业逐渐成熟，市场竞争持续加剧，乐意</w:t>
      </w:r>
      <w:r>
        <w:rPr>
          <w:spacing w:val="-9"/>
          <w:sz w:val="21"/>
        </w:rPr>
        <w:t>保以后每年按照 </w:t>
      </w:r>
      <w:r>
        <w:rPr>
          <w:rFonts w:ascii="Times New Roman" w:hAnsi="Times New Roman" w:eastAsia="Times New Roman"/>
          <w:sz w:val="21"/>
        </w:rPr>
        <w:t>80%</w:t>
      </w:r>
      <w:r>
        <w:rPr>
          <w:spacing w:val="-2"/>
          <w:sz w:val="21"/>
        </w:rPr>
        <w:t>折价，</w:t>
      </w:r>
      <w:r>
        <w:rPr>
          <w:rFonts w:ascii="Times New Roman" w:hAnsi="Times New Roman" w:eastAsia="Times New Roman"/>
          <w:sz w:val="21"/>
        </w:rPr>
        <w:t>2030</w:t>
      </w:r>
      <w:r>
        <w:rPr>
          <w:rFonts w:ascii="Times New Roman" w:hAnsi="Times New Roman" w:eastAsia="Times New Roman"/>
          <w:spacing w:val="6"/>
          <w:sz w:val="21"/>
        </w:rPr>
        <w:t> </w:t>
      </w:r>
      <w:r>
        <w:rPr>
          <w:spacing w:val="-7"/>
          <w:sz w:val="21"/>
        </w:rPr>
        <w:t>年乐意保渗透率提升至 </w:t>
      </w:r>
      <w:r>
        <w:rPr>
          <w:rFonts w:ascii="Times New Roman" w:hAnsi="Times New Roman" w:eastAsia="Times New Roman"/>
          <w:sz w:val="21"/>
        </w:rPr>
        <w:t>10%</w:t>
      </w:r>
      <w:r>
        <w:rPr>
          <w:spacing w:val="-2"/>
          <w:sz w:val="21"/>
        </w:rPr>
        <w:t>，市占率下降</w:t>
      </w:r>
      <w:r>
        <w:rPr>
          <w:spacing w:val="-27"/>
          <w:sz w:val="21"/>
        </w:rPr>
        <w:t>至 </w:t>
      </w:r>
      <w:r>
        <w:rPr>
          <w:rFonts w:ascii="Times New Roman" w:hAnsi="Times New Roman" w:eastAsia="Times New Roman"/>
          <w:sz w:val="21"/>
        </w:rPr>
        <w:t>10%</w:t>
      </w:r>
      <w:r>
        <w:rPr>
          <w:spacing w:val="-11"/>
          <w:sz w:val="21"/>
        </w:rPr>
        <w:t>，我们预测 </w:t>
      </w:r>
      <w:r>
        <w:rPr>
          <w:rFonts w:ascii="Times New Roman" w:hAnsi="Times New Roman" w:eastAsia="Times New Roman"/>
          <w:sz w:val="21"/>
        </w:rPr>
        <w:t>2030</w:t>
      </w:r>
      <w:r>
        <w:rPr>
          <w:rFonts w:ascii="Times New Roman" w:hAnsi="Times New Roman" w:eastAsia="Times New Roman"/>
          <w:spacing w:val="2"/>
          <w:sz w:val="21"/>
        </w:rPr>
        <w:t> </w:t>
      </w:r>
      <w:r>
        <w:rPr>
          <w:spacing w:val="-10"/>
          <w:sz w:val="21"/>
        </w:rPr>
        <w:t>年销售额约为 </w:t>
      </w:r>
      <w:r>
        <w:rPr>
          <w:rFonts w:ascii="Times New Roman" w:hAnsi="Times New Roman" w:eastAsia="Times New Roman"/>
          <w:sz w:val="21"/>
        </w:rPr>
        <w:t>72.61</w:t>
      </w:r>
      <w:r>
        <w:rPr>
          <w:rFonts w:ascii="Times New Roman" w:hAnsi="Times New Roman" w:eastAsia="Times New Roman"/>
          <w:spacing w:val="2"/>
          <w:sz w:val="21"/>
        </w:rPr>
        <w:t> </w:t>
      </w:r>
      <w:r>
        <w:rPr>
          <w:spacing w:val="-2"/>
          <w:sz w:val="21"/>
        </w:rPr>
        <w:t>亿元</w:t>
      </w:r>
      <w:r>
        <w:rPr>
          <w:sz w:val="21"/>
        </w:rPr>
        <w:t>（</w:t>
      </w:r>
      <w:r>
        <w:rPr>
          <w:rFonts w:ascii="Times New Roman" w:hAnsi="Times New Roman" w:eastAsia="Times New Roman"/>
          <w:sz w:val="21"/>
        </w:rPr>
        <w:t>2029</w:t>
      </w:r>
      <w:r>
        <w:rPr>
          <w:rFonts w:ascii="Times New Roman" w:hAnsi="Times New Roman" w:eastAsia="Times New Roman"/>
          <w:spacing w:val="2"/>
          <w:sz w:val="21"/>
        </w:rPr>
        <w:t> </w:t>
      </w:r>
      <w:r>
        <w:rPr>
          <w:spacing w:val="-19"/>
          <w:sz w:val="21"/>
        </w:rPr>
        <w:t>年达 </w:t>
      </w:r>
      <w:r>
        <w:rPr>
          <w:rFonts w:ascii="Times New Roman" w:hAnsi="Times New Roman" w:eastAsia="Times New Roman"/>
          <w:sz w:val="21"/>
        </w:rPr>
        <w:t>86.6</w:t>
      </w:r>
      <w:r>
        <w:rPr>
          <w:rFonts w:ascii="Times New Roman" w:hAnsi="Times New Roman" w:eastAsia="Times New Roman"/>
          <w:spacing w:val="2"/>
          <w:sz w:val="21"/>
        </w:rPr>
        <w:t> </w:t>
      </w:r>
      <w:r>
        <w:rPr>
          <w:spacing w:val="-2"/>
          <w:sz w:val="21"/>
        </w:rPr>
        <w:t>亿元</w:t>
      </w:r>
      <w:r>
        <w:rPr>
          <w:spacing w:val="-109"/>
          <w:sz w:val="21"/>
        </w:rPr>
        <w:t>）</w:t>
      </w:r>
      <w:r>
        <w:rPr>
          <w:sz w:val="21"/>
        </w:rPr>
        <w:t>。</w:t>
      </w:r>
    </w:p>
    <w:p>
      <w:pPr>
        <w:pStyle w:val="BodyText"/>
        <w:spacing w:before="4"/>
        <w:rPr>
          <w:sz w:val="24"/>
        </w:rPr>
      </w:pPr>
    </w:p>
    <w:p>
      <w:pPr>
        <w:pStyle w:val="BodyText"/>
        <w:spacing w:after="19"/>
        <w:ind w:left="3324"/>
        <w:jc w:val="both"/>
      </w:pPr>
      <w:r>
        <w:rPr/>
        <w:t>图表11:我国 65 岁以上阿尔茨海默症患者人数预测</w:t>
      </w:r>
    </w:p>
    <w:p>
      <w:pPr>
        <w:pStyle w:val="BodyText"/>
        <w:spacing w:line="20" w:lineRule="exact"/>
        <w:ind w:left="3324"/>
        <w:rPr>
          <w:sz w:val="2"/>
        </w:rPr>
      </w:pPr>
      <w:r>
        <w:rPr>
          <w:sz w:val="2"/>
        </w:rPr>
        <w:pict>
          <v:group style="width:365.7pt;height:1pt;mso-position-horizontal-relative:char;mso-position-vertical-relative:line" coordorigin="0,0" coordsize="7314,20">
            <v:rect style="position:absolute;left:0;top:0;width:7314;height:20" filled="true" fillcolor="#000000" stroked="false">
              <v:fill type="solid"/>
            </v:rect>
          </v:group>
        </w:pict>
      </w:r>
      <w:r>
        <w:rPr>
          <w:sz w:val="2"/>
        </w:rPr>
      </w:r>
    </w:p>
    <w:p>
      <w:pPr>
        <w:pStyle w:val="BodyText"/>
        <w:spacing w:before="1"/>
        <w:rPr>
          <w:sz w:val="7"/>
        </w:rPr>
      </w:pPr>
    </w:p>
    <w:p>
      <w:pPr>
        <w:pStyle w:val="BodyText"/>
        <w:ind w:left="3316"/>
        <w:rPr>
          <w:sz w:val="20"/>
        </w:rPr>
      </w:pPr>
      <w:r>
        <w:rPr>
          <w:sz w:val="20"/>
        </w:rPr>
        <w:pict>
          <v:group style="width:366.35pt;height:208.35pt;mso-position-horizontal-relative:char;mso-position-vertical-relative:line" coordorigin="0,0" coordsize="7327,4167">
            <v:shape style="position:absolute;left:695;top:1865;width:684;height:874" coordorigin="696,1865" coordsize="684,874" path="m696,2739l875,2739m1019,2739l1379,2739m696,2520l875,2520m1019,2520l1379,2520m696,2302l875,2302m1019,2302l1379,2302m696,2084l875,2084m1019,2084l1379,2084m696,1865l875,1865m1019,1865l1379,1865e" filled="false" stroked="true" strokeweight=".75pt" strokecolor="#e6e6e6">
              <v:path arrowok="t"/>
              <v:stroke dashstyle="solid"/>
            </v:shape>
            <v:shape style="position:absolute;left:695;top:1639;width:2196;height:8" coordorigin="696,1640" coordsize="2196,8" path="m696,1647l2891,1647m696,1640l2891,1640e" filled="false" stroked="true" strokeweight=".495pt" strokecolor="#e6e6e6">
              <v:path arrowok="t"/>
              <v:stroke dashstyle="solid"/>
            </v:shape>
            <v:rect style="position:absolute;left:875;top:1711;width:144;height:1246" filled="true" fillcolor="#c00000" stroked="false">
              <v:fill type="solid"/>
            </v:rect>
            <v:shape style="position:absolute;left:1525;top:1865;width:358;height:874" coordorigin="1526,1865" coordsize="358,874" path="m1526,2739l1883,2739m1526,2520l1883,2520m1526,2302l1883,2302m1526,2084l1883,2084m1526,1865l1883,1865e" filled="false" stroked="true" strokeweight=".75pt" strokecolor="#e6e6e6">
              <v:path arrowok="t"/>
              <v:stroke dashstyle="solid"/>
            </v:shape>
            <v:rect style="position:absolute;left:1379;top:1680;width:147;height:1277" filled="true" fillcolor="#c00000" stroked="false">
              <v:fill type="solid"/>
            </v:rect>
            <v:shape style="position:absolute;left:2029;top:1865;width:358;height:874" coordorigin="2030,1865" coordsize="358,874" path="m2030,2739l2388,2739m2030,2520l2388,2520m2030,2302l2388,2302m2030,2084l2388,2084m2030,1865l2388,1865e" filled="false" stroked="true" strokeweight=".75pt" strokecolor="#e6e6e6">
              <v:path arrowok="t"/>
              <v:stroke dashstyle="solid"/>
            </v:shape>
            <v:rect style="position:absolute;left:1883;top:1658;width:147;height:1298" filled="true" fillcolor="#c00000" stroked="false">
              <v:fill type="solid"/>
            </v:rect>
            <v:shape style="position:absolute;left:2533;top:1865;width:358;height:874" coordorigin="2534,1865" coordsize="358,874" path="m2534,2739l2891,2739m2534,2520l2891,2520m2534,2302l2891,2302m2534,2084l2891,2084m2534,1865l2891,1865e" filled="false" stroked="true" strokeweight=".75pt" strokecolor="#e6e6e6">
              <v:path arrowok="t"/>
              <v:stroke dashstyle="solid"/>
            </v:shape>
            <v:rect style="position:absolute;left:2387;top:1642;width:147;height:1315" filled="true" fillcolor="#c00000" stroked="false">
              <v:fill type="solid"/>
            </v:rect>
            <v:shape style="position:absolute;left:3037;top:1865;width:358;height:874" coordorigin="3038,1865" coordsize="358,874" path="m3038,2739l3396,2739m3038,2520l3396,2520m3038,2302l3396,2302m3038,2084l3396,2084m3038,1865l3396,1865e" filled="false" stroked="true" strokeweight=".75pt" strokecolor="#e6e6e6">
              <v:path arrowok="t"/>
              <v:stroke dashstyle="solid"/>
            </v:shape>
            <v:shape style="position:absolute;left:3037;top:1639;width:358;height:8" coordorigin="3038,1640" coordsize="358,8" path="m3038,1647l3396,1647m3038,1640l3396,1640e" filled="false" stroked="true" strokeweight=".495pt" strokecolor="#e6e6e6">
              <v:path arrowok="t"/>
              <v:stroke dashstyle="solid"/>
            </v:shape>
            <v:rect style="position:absolute;left:2891;top:1603;width:147;height:1354" filled="true" fillcolor="#c00000" stroked="false">
              <v:fill type="solid"/>
            </v:rect>
            <v:shape style="position:absolute;left:3541;top:1865;width:358;height:874" coordorigin="3542,1865" coordsize="358,874" path="m3542,2739l3900,2739m3542,2520l3900,2520m3542,2302l3900,2302m3542,2084l3900,2084m3542,1865l3900,1865e" filled="false" stroked="true" strokeweight=".75pt" strokecolor="#e6e6e6">
              <v:path arrowok="t"/>
              <v:stroke dashstyle="solid"/>
            </v:shape>
            <v:shape style="position:absolute;left:3541;top:1639;width:358;height:8" coordorigin="3542,1640" coordsize="358,8" path="m3542,1647l3900,1647m3542,1640l3900,1640e" filled="false" stroked="true" strokeweight=".495pt" strokecolor="#e6e6e6">
              <v:path arrowok="t"/>
              <v:stroke dashstyle="solid"/>
            </v:shape>
            <v:rect style="position:absolute;left:3395;top:1529;width:147;height:1428" filled="true" fillcolor="#c00000" stroked="false">
              <v:fill type="solid"/>
            </v:rect>
            <v:shape style="position:absolute;left:4045;top:1865;width:360;height:874" coordorigin="4046,1865" coordsize="360,874" path="m4046,2739l4406,2739m4046,2520l4406,2520m4046,2302l4406,2302m4046,2084l4406,2084m4046,1865l4406,1865e" filled="false" stroked="true" strokeweight=".75pt" strokecolor="#e6e6e6">
              <v:path arrowok="t"/>
              <v:stroke dashstyle="solid"/>
            </v:shape>
            <v:shape style="position:absolute;left:4045;top:1639;width:360;height:8" coordorigin="4046,1640" coordsize="360,8" path="m4046,1647l4406,1647m4046,1640l4406,1640e" filled="false" stroked="true" strokeweight=".495pt" strokecolor="#e6e6e6">
              <v:path arrowok="t"/>
              <v:stroke dashstyle="solid"/>
            </v:shape>
            <v:line style="position:absolute" from="696,1426" to="4406,1426" stroked="true" strokeweight=".75pt" strokecolor="#e6e6e6">
              <v:stroke dashstyle="solid"/>
            </v:line>
            <v:rect style="position:absolute;left:3899;top:1450;width:147;height:1507" filled="true" fillcolor="#c00000" stroked="false">
              <v:fill type="solid"/>
            </v:rect>
            <v:shape style="position:absolute;left:4549;top:1865;width:360;height:874" coordorigin="4550,1865" coordsize="360,874" path="m4550,2739l4910,2739m4550,2520l4910,2520m4550,2302l4910,2302m4550,2084l4910,2084m4550,1865l4910,1865e" filled="false" stroked="true" strokeweight=".75pt" strokecolor="#e6e6e6">
              <v:path arrowok="t"/>
              <v:stroke dashstyle="solid"/>
            </v:shape>
            <v:shape style="position:absolute;left:4549;top:1639;width:360;height:8" coordorigin="4550,1640" coordsize="360,8" path="m4550,1647l4910,1647m4550,1640l4910,1640e" filled="false" stroked="true" strokeweight=".495pt" strokecolor="#e6e6e6">
              <v:path arrowok="t"/>
              <v:stroke dashstyle="solid"/>
            </v:shape>
            <v:line style="position:absolute" from="4550,1426" to="4910,1426" stroked="true" strokeweight=".75pt" strokecolor="#e6e6e6">
              <v:stroke dashstyle="solid"/>
            </v:line>
            <v:rect style="position:absolute;left:4405;top:1378;width:144;height:1579" filled="true" fillcolor="#c00000" stroked="false">
              <v:fill type="solid"/>
            </v:rect>
            <v:shape style="position:absolute;left:5053;top:1865;width:360;height:874" coordorigin="5054,1865" coordsize="360,874" path="m5054,2739l5414,2739m5054,2520l5414,2520m5054,2302l5414,2302m5054,2084l5414,2084m5054,1865l5414,1865e" filled="false" stroked="true" strokeweight=".75pt" strokecolor="#e6e6e6">
              <v:path arrowok="t"/>
              <v:stroke dashstyle="solid"/>
            </v:shape>
            <v:shape style="position:absolute;left:5053;top:1639;width:360;height:8" coordorigin="5054,1640" coordsize="360,8" path="m5054,1647l5414,1647m5054,1640l5414,1640e" filled="false" stroked="true" strokeweight=".495pt" strokecolor="#e6e6e6">
              <v:path arrowok="t"/>
              <v:stroke dashstyle="solid"/>
            </v:shape>
            <v:line style="position:absolute" from="5054,1426" to="5414,1426" stroked="true" strokeweight=".75pt" strokecolor="#e6e6e6">
              <v:stroke dashstyle="solid"/>
            </v:line>
            <v:rect style="position:absolute;left:4909;top:1308;width:144;height:1649" filled="true" fillcolor="#c00000" stroked="false">
              <v:fill type="solid"/>
            </v:rect>
            <v:shape style="position:absolute;left:5560;top:1865;width:358;height:874" coordorigin="5560,1865" coordsize="358,874" path="m5560,2739l5918,2739m5560,2520l5918,2520m5560,2302l5918,2302m5560,2084l5918,2084m5560,1865l5918,1865e" filled="false" stroked="true" strokeweight=".75pt" strokecolor="#e6e6e6">
              <v:path arrowok="t"/>
              <v:stroke dashstyle="solid"/>
            </v:shape>
            <v:shape style="position:absolute;left:5560;top:1639;width:358;height:8" coordorigin="5560,1640" coordsize="358,8" path="m5560,1647l5918,1647m5560,1640l5918,1640e" filled="false" stroked="true" strokeweight=".495pt" strokecolor="#e6e6e6">
              <v:path arrowok="t"/>
              <v:stroke dashstyle="solid"/>
            </v:shape>
            <v:shape style="position:absolute;left:695;top:1207;width:5223;height:219" coordorigin="696,1208" coordsize="5223,219" path="m5560,1426l5918,1426m696,1208l5918,1208e" filled="false" stroked="true" strokeweight=".75pt" strokecolor="#e6e6e6">
              <v:path arrowok="t"/>
              <v:stroke dashstyle="solid"/>
            </v:shape>
            <v:rect style="position:absolute;left:5413;top:1243;width:147;height:1714" filled="true" fillcolor="#c00000" stroked="false">
              <v:fill type="solid"/>
            </v:rect>
            <v:shape style="position:absolute;left:6064;top:1865;width:358;height:874" coordorigin="6064,1865" coordsize="358,874" path="m6064,2739l6422,2739m6064,2520l6422,2520m6064,2302l6422,2302m6064,2084l6422,2084m6064,1865l6422,1865e" filled="false" stroked="true" strokeweight=".75pt" strokecolor="#e6e6e6">
              <v:path arrowok="t"/>
              <v:stroke dashstyle="solid"/>
            </v:shape>
            <v:shape style="position:absolute;left:6064;top:1639;width:358;height:8" coordorigin="6064,1640" coordsize="358,8" path="m6064,1647l6422,1647m6064,1640l6422,1640e" filled="false" stroked="true" strokeweight=".495pt" strokecolor="#e6e6e6">
              <v:path arrowok="t"/>
              <v:stroke dashstyle="solid"/>
            </v:shape>
            <v:shape style="position:absolute;left:6064;top:1207;width:358;height:219" coordorigin="6064,1208" coordsize="358,219" path="m6064,1426l6422,1426m6064,1208l6422,1208e" filled="false" stroked="true" strokeweight=".75pt" strokecolor="#e6e6e6">
              <v:path arrowok="t"/>
              <v:stroke dashstyle="solid"/>
            </v:shape>
            <v:rect style="position:absolute;left:5917;top:1176;width:147;height:1781" filled="true" fillcolor="#c00000" stroked="false">
              <v:fill type="solid"/>
            </v:rect>
            <v:shape style="position:absolute;left:6568;top:1865;width:358;height:874" coordorigin="6568,1865" coordsize="358,874" path="m6568,2739l6926,2739m6568,2520l6926,2520m6568,2302l6926,2302m6568,2084l6926,2084m6568,1865l6926,1865e" filled="false" stroked="true" strokeweight=".75pt" strokecolor="#e6e6e6">
              <v:path arrowok="t"/>
              <v:stroke dashstyle="solid"/>
            </v:shape>
            <v:shape style="position:absolute;left:6568;top:1639;width:358;height:8" coordorigin="6568,1640" coordsize="358,8" path="m6568,1647l6926,1647m6568,1640l6926,1640e" filled="false" stroked="true" strokeweight=".495pt" strokecolor="#e6e6e6">
              <v:path arrowok="t"/>
              <v:stroke dashstyle="solid"/>
            </v:shape>
            <v:shape style="position:absolute;left:6568;top:1207;width:358;height:219" coordorigin="6568,1208" coordsize="358,219" path="m6568,1426l6926,1426m6568,1208l6926,1208e" filled="false" stroked="true" strokeweight=".75pt" strokecolor="#e6e6e6">
              <v:path arrowok="t"/>
              <v:stroke dashstyle="solid"/>
            </v:shape>
            <v:rect style="position:absolute;left:6421;top:1102;width:147;height:1855" filled="true" fillcolor="#c00000" stroked="false">
              <v:fill type="solid"/>
            </v:rect>
            <v:shape style="position:absolute;left:7072;top:1865;width:180;height:874" coordorigin="7072,1865" coordsize="180,874" path="m7072,2739l7251,2739m7072,2520l7251,2520m7072,2302l7251,2302m7072,2084l7251,2084m7072,1865l7251,1865e" filled="false" stroked="true" strokeweight=".75pt" strokecolor="#e6e6e6">
              <v:path arrowok="t"/>
              <v:stroke dashstyle="solid"/>
            </v:shape>
            <v:shape style="position:absolute;left:7072;top:1639;width:180;height:8" coordorigin="7072,1640" coordsize="180,8" path="m7072,1647l7251,1647m7072,1640l7251,1640e" filled="false" stroked="true" strokeweight=".495pt" strokecolor="#e6e6e6">
              <v:path arrowok="t"/>
              <v:stroke dashstyle="solid"/>
            </v:shape>
            <v:shape style="position:absolute;left:695;top:989;width:6556;height:437" coordorigin="696,989" coordsize="6556,437" path="m7072,1426l7251,1426m7072,1208l7251,1208m696,989l7251,989e" filled="false" stroked="true" strokeweight=".75pt" strokecolor="#e6e6e6">
              <v:path arrowok="t"/>
              <v:stroke dashstyle="solid"/>
            </v:shape>
            <v:rect style="position:absolute;left:6925;top:1027;width:147;height:1930" filled="true" fillcolor="#c00000" stroked="false">
              <v:fill type="solid"/>
            </v:rect>
            <v:line style="position:absolute" from="696,2957" to="7251,2957" stroked="true" strokeweight=".75pt" strokecolor="#d9d9d9">
              <v:stroke dashstyle="solid"/>
            </v:line>
            <v:line style="position:absolute" from="696,772" to="7251,772" stroked="true" strokeweight=".75pt" strokecolor="#e6e6e6">
              <v:stroke dashstyle="solid"/>
            </v:line>
            <v:shape style="position:absolute;left:543;top:3120;width:6474;height:454" type="#_x0000_t75" stroked="false">
              <v:imagedata r:id="rId31" o:title=""/>
            </v:shape>
            <v:rect style="position:absolute;left:2858;top:3849;width:81;height:81" filled="true" fillcolor="#c00000" stroked="false">
              <v:fill type="solid"/>
            </v:rect>
            <v:shape style="position:absolute;left:7;top:7;width:7312;height:4152" coordorigin="8,8" coordsize="7312,4152" path="m8,4159l7319,4159m7319,8l8,8,8,4159e" filled="false" stroked="true" strokeweight=".75pt" strokecolor="#d9d9d9">
              <v:path arrowok="t"/>
              <v:stroke dashstyle="solid"/>
            </v:shape>
            <v:shape style="position:absolute;left:1700;top:200;width:4098;height:281" type="#_x0000_t202" filled="false" stroked="false">
              <v:textbox inset="0,0,0,0">
                <w:txbxContent>
                  <w:p>
                    <w:pPr>
                      <w:spacing w:line="281" w:lineRule="exact" w:before="0"/>
                      <w:ind w:left="0" w:right="0" w:firstLine="0"/>
                      <w:jc w:val="left"/>
                      <w:rPr>
                        <w:b/>
                        <w:sz w:val="28"/>
                      </w:rPr>
                    </w:pPr>
                    <w:r>
                      <w:rPr>
                        <w:b/>
                        <w:color w:val="404040"/>
                        <w:sz w:val="28"/>
                      </w:rPr>
                      <w:t>（65+阿尔茨海默患者预测）万人</w:t>
                    </w:r>
                  </w:p>
                </w:txbxContent>
              </v:textbox>
              <w10:wrap type="none"/>
            </v:shape>
            <v:shape style="position:absolute;left:138;top:668;width:381;height:2385" type="#_x0000_t202" filled="false" stroked="false">
              <v:textbox inset="0,0,0,0">
                <w:txbxContent>
                  <w:p>
                    <w:pPr>
                      <w:spacing w:line="199" w:lineRule="exact" w:before="0"/>
                      <w:ind w:left="0" w:right="18" w:firstLine="0"/>
                      <w:jc w:val="right"/>
                      <w:rPr>
                        <w:rFonts w:ascii="Times New Roman"/>
                        <w:sz w:val="18"/>
                      </w:rPr>
                    </w:pPr>
                    <w:r>
                      <w:rPr>
                        <w:rFonts w:ascii="Times New Roman"/>
                        <w:color w:val="585858"/>
                        <w:sz w:val="18"/>
                      </w:rPr>
                      <w:t>2000</w:t>
                    </w:r>
                  </w:p>
                  <w:p>
                    <w:pPr>
                      <w:spacing w:before="11"/>
                      <w:ind w:left="0" w:right="18" w:firstLine="0"/>
                      <w:jc w:val="right"/>
                      <w:rPr>
                        <w:rFonts w:ascii="Times New Roman"/>
                        <w:sz w:val="18"/>
                      </w:rPr>
                    </w:pPr>
                    <w:r>
                      <w:rPr>
                        <w:rFonts w:ascii="Times New Roman"/>
                        <w:color w:val="585858"/>
                        <w:sz w:val="18"/>
                      </w:rPr>
                      <w:t>1800</w:t>
                    </w:r>
                  </w:p>
                  <w:p>
                    <w:pPr>
                      <w:spacing w:before="12"/>
                      <w:ind w:left="0" w:right="18" w:firstLine="0"/>
                      <w:jc w:val="right"/>
                      <w:rPr>
                        <w:rFonts w:ascii="Times New Roman"/>
                        <w:sz w:val="18"/>
                      </w:rPr>
                    </w:pPr>
                    <w:r>
                      <w:rPr>
                        <w:rFonts w:ascii="Times New Roman"/>
                        <w:color w:val="585858"/>
                        <w:sz w:val="18"/>
                      </w:rPr>
                      <w:t>1600</w:t>
                    </w:r>
                  </w:p>
                  <w:p>
                    <w:pPr>
                      <w:spacing w:before="12"/>
                      <w:ind w:left="0" w:right="18" w:firstLine="0"/>
                      <w:jc w:val="right"/>
                      <w:rPr>
                        <w:rFonts w:ascii="Times New Roman"/>
                        <w:sz w:val="18"/>
                      </w:rPr>
                    </w:pPr>
                    <w:r>
                      <w:rPr>
                        <w:rFonts w:ascii="Times New Roman"/>
                        <w:color w:val="585858"/>
                        <w:sz w:val="18"/>
                      </w:rPr>
                      <w:t>1400</w:t>
                    </w:r>
                  </w:p>
                  <w:p>
                    <w:pPr>
                      <w:spacing w:before="11"/>
                      <w:ind w:left="0" w:right="18" w:firstLine="0"/>
                      <w:jc w:val="right"/>
                      <w:rPr>
                        <w:rFonts w:ascii="Times New Roman"/>
                        <w:sz w:val="18"/>
                      </w:rPr>
                    </w:pPr>
                    <w:r>
                      <w:rPr>
                        <w:rFonts w:ascii="Times New Roman"/>
                        <w:color w:val="585858"/>
                        <w:sz w:val="18"/>
                      </w:rPr>
                      <w:t>1200</w:t>
                    </w:r>
                  </w:p>
                  <w:p>
                    <w:pPr>
                      <w:spacing w:before="11"/>
                      <w:ind w:left="0" w:right="18" w:firstLine="0"/>
                      <w:jc w:val="right"/>
                      <w:rPr>
                        <w:rFonts w:ascii="Times New Roman"/>
                        <w:sz w:val="18"/>
                      </w:rPr>
                    </w:pPr>
                    <w:r>
                      <w:rPr>
                        <w:rFonts w:ascii="Times New Roman"/>
                        <w:color w:val="585858"/>
                        <w:sz w:val="18"/>
                      </w:rPr>
                      <w:t>1000</w:t>
                    </w:r>
                  </w:p>
                  <w:p>
                    <w:pPr>
                      <w:spacing w:before="12"/>
                      <w:ind w:left="0" w:right="18" w:firstLine="0"/>
                      <w:jc w:val="right"/>
                      <w:rPr>
                        <w:rFonts w:ascii="Times New Roman"/>
                        <w:sz w:val="18"/>
                      </w:rPr>
                    </w:pPr>
                    <w:r>
                      <w:rPr>
                        <w:rFonts w:ascii="Times New Roman"/>
                        <w:color w:val="585858"/>
                        <w:sz w:val="18"/>
                      </w:rPr>
                      <w:t>800</w:t>
                    </w:r>
                  </w:p>
                  <w:p>
                    <w:pPr>
                      <w:spacing w:before="12"/>
                      <w:ind w:left="0" w:right="18" w:firstLine="0"/>
                      <w:jc w:val="right"/>
                      <w:rPr>
                        <w:rFonts w:ascii="Times New Roman"/>
                        <w:sz w:val="18"/>
                      </w:rPr>
                    </w:pPr>
                    <w:r>
                      <w:rPr>
                        <w:rFonts w:ascii="Times New Roman"/>
                        <w:color w:val="585858"/>
                        <w:sz w:val="18"/>
                      </w:rPr>
                      <w:t>600</w:t>
                    </w:r>
                  </w:p>
                  <w:p>
                    <w:pPr>
                      <w:spacing w:before="12"/>
                      <w:ind w:left="0" w:right="18" w:firstLine="0"/>
                      <w:jc w:val="right"/>
                      <w:rPr>
                        <w:rFonts w:ascii="Times New Roman"/>
                        <w:sz w:val="18"/>
                      </w:rPr>
                    </w:pPr>
                    <w:r>
                      <w:rPr>
                        <w:rFonts w:ascii="Times New Roman"/>
                        <w:color w:val="585858"/>
                        <w:sz w:val="18"/>
                      </w:rPr>
                      <w:t>400</w:t>
                    </w:r>
                  </w:p>
                  <w:p>
                    <w:pPr>
                      <w:spacing w:before="11"/>
                      <w:ind w:left="0" w:right="18" w:firstLine="0"/>
                      <w:jc w:val="right"/>
                      <w:rPr>
                        <w:rFonts w:ascii="Times New Roman"/>
                        <w:sz w:val="18"/>
                      </w:rPr>
                    </w:pPr>
                    <w:r>
                      <w:rPr>
                        <w:rFonts w:ascii="Times New Roman"/>
                        <w:color w:val="585858"/>
                        <w:sz w:val="18"/>
                      </w:rPr>
                      <w:t>200</w:t>
                    </w:r>
                  </w:p>
                  <w:p>
                    <w:pPr>
                      <w:spacing w:before="11"/>
                      <w:ind w:left="0" w:right="18" w:firstLine="0"/>
                      <w:jc w:val="right"/>
                      <w:rPr>
                        <w:rFonts w:ascii="Times New Roman"/>
                        <w:sz w:val="18"/>
                      </w:rPr>
                    </w:pPr>
                    <w:r>
                      <w:rPr>
                        <w:rFonts w:ascii="Times New Roman"/>
                        <w:color w:val="585858"/>
                        <w:sz w:val="18"/>
                      </w:rPr>
                      <w:t>0</w:t>
                    </w:r>
                  </w:p>
                </w:txbxContent>
              </v:textbox>
              <w10:wrap type="none"/>
            </v:shape>
            <v:shape style="position:absolute;left:2974;top:3802;width:1729;height:180" type="#_x0000_t202" filled="false" stroked="false">
              <v:textbox inset="0,0,0,0">
                <w:txbxContent>
                  <w:p>
                    <w:pPr>
                      <w:spacing w:line="180" w:lineRule="exact" w:before="0"/>
                      <w:ind w:left="0" w:right="0" w:firstLine="0"/>
                      <w:jc w:val="left"/>
                      <w:rPr>
                        <w:sz w:val="18"/>
                      </w:rPr>
                    </w:pPr>
                    <w:r>
                      <w:rPr>
                        <w:color w:val="585858"/>
                        <w:sz w:val="18"/>
                      </w:rPr>
                      <w:t>（65+患者预测）万人</w:t>
                    </w:r>
                  </w:p>
                </w:txbxContent>
              </v:textbox>
              <w10:wrap type="none"/>
            </v:shape>
          </v:group>
        </w:pict>
      </w:r>
      <w:r>
        <w:rPr>
          <w:sz w:val="20"/>
        </w:rPr>
      </w:r>
    </w:p>
    <w:p>
      <w:pPr>
        <w:pStyle w:val="BodyText"/>
        <w:spacing w:before="12"/>
        <w:rPr>
          <w:sz w:val="6"/>
        </w:rPr>
      </w:pPr>
    </w:p>
    <w:p>
      <w:pPr>
        <w:pStyle w:val="BodyText"/>
        <w:spacing w:line="20" w:lineRule="exact"/>
        <w:ind w:left="3324"/>
        <w:rPr>
          <w:sz w:val="2"/>
        </w:rPr>
      </w:pPr>
      <w:r>
        <w:rPr>
          <w:sz w:val="2"/>
        </w:rPr>
        <w:pict>
          <v:group style="width:365.7pt;height:1pt;mso-position-horizontal-relative:char;mso-position-vertical-relative:line" coordorigin="0,0" coordsize="7314,20">
            <v:rect style="position:absolute;left:0;top:0;width:7314;height:20" filled="true" fillcolor="#000000" stroked="false">
              <v:fill type="solid"/>
            </v:rect>
          </v:group>
        </w:pict>
      </w:r>
      <w:r>
        <w:rPr>
          <w:sz w:val="2"/>
        </w:rPr>
      </w:r>
    </w:p>
    <w:p>
      <w:pPr>
        <w:spacing w:before="17"/>
        <w:ind w:left="3324" w:right="0" w:firstLine="0"/>
        <w:jc w:val="left"/>
        <w:rPr>
          <w:i/>
          <w:sz w:val="21"/>
        </w:rPr>
      </w:pPr>
      <w:r>
        <w:rPr>
          <w:i/>
          <w:sz w:val="21"/>
        </w:rPr>
        <w:t>资料来源：World Population Prospects 2022，方正证券研究所</w:t>
      </w:r>
    </w:p>
    <w:p>
      <w:pPr>
        <w:pStyle w:val="BodyText"/>
        <w:spacing w:before="7"/>
        <w:rPr>
          <w:i/>
          <w:sz w:val="22"/>
        </w:rPr>
      </w:pPr>
    </w:p>
    <w:p>
      <w:pPr>
        <w:pStyle w:val="BodyText"/>
        <w:spacing w:before="71" w:after="25"/>
        <w:ind w:left="147"/>
      </w:pPr>
      <w:r>
        <w:rPr/>
        <w:t>图表12:2023-2030 年乐意保在中国的销售额测算</w:t>
      </w: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1"/>
        <w:gridCol w:w="907"/>
        <w:gridCol w:w="907"/>
        <w:gridCol w:w="907"/>
        <w:gridCol w:w="907"/>
        <w:gridCol w:w="907"/>
        <w:gridCol w:w="908"/>
        <w:gridCol w:w="907"/>
        <w:gridCol w:w="905"/>
      </w:tblGrid>
      <w:tr>
        <w:trPr>
          <w:trHeight w:val="325" w:hRule="atLeast"/>
        </w:trPr>
        <w:tc>
          <w:tcPr>
            <w:tcW w:w="3121" w:type="dxa"/>
            <w:shd w:val="clear" w:color="auto" w:fill="C00000"/>
          </w:tcPr>
          <w:p>
            <w:pPr>
              <w:pStyle w:val="TableParagraph"/>
              <w:spacing w:before="42"/>
              <w:ind w:left="737" w:right="733"/>
              <w:rPr>
                <w:sz w:val="20"/>
              </w:rPr>
            </w:pPr>
            <w:r>
              <w:rPr>
                <w:color w:val="FFFFFF"/>
                <w:sz w:val="20"/>
              </w:rPr>
              <w:t>年份</w:t>
            </w:r>
          </w:p>
        </w:tc>
        <w:tc>
          <w:tcPr>
            <w:tcW w:w="907" w:type="dxa"/>
            <w:shd w:val="clear" w:color="auto" w:fill="C00000"/>
          </w:tcPr>
          <w:p>
            <w:pPr>
              <w:pStyle w:val="TableParagraph"/>
              <w:spacing w:before="42"/>
              <w:ind w:left="126"/>
              <w:jc w:val="left"/>
              <w:rPr>
                <w:sz w:val="20"/>
              </w:rPr>
            </w:pPr>
            <w:r>
              <w:rPr>
                <w:rFonts w:ascii="Times New Roman" w:eastAsia="Times New Roman"/>
                <w:color w:val="FFFFFF"/>
                <w:sz w:val="20"/>
              </w:rPr>
              <w:t>2023 </w:t>
            </w:r>
            <w:r>
              <w:rPr>
                <w:color w:val="FFFFFF"/>
                <w:sz w:val="20"/>
              </w:rPr>
              <w:t>年</w:t>
            </w:r>
          </w:p>
        </w:tc>
        <w:tc>
          <w:tcPr>
            <w:tcW w:w="907" w:type="dxa"/>
            <w:shd w:val="clear" w:color="auto" w:fill="C00000"/>
          </w:tcPr>
          <w:p>
            <w:pPr>
              <w:pStyle w:val="TableParagraph"/>
              <w:spacing w:before="42"/>
              <w:ind w:left="107" w:right="97"/>
              <w:rPr>
                <w:sz w:val="20"/>
              </w:rPr>
            </w:pPr>
            <w:r>
              <w:rPr>
                <w:rFonts w:ascii="Times New Roman" w:eastAsia="Times New Roman"/>
                <w:color w:val="FFFFFF"/>
                <w:sz w:val="20"/>
              </w:rPr>
              <w:t>2024 </w:t>
            </w:r>
            <w:r>
              <w:rPr>
                <w:color w:val="FFFFFF"/>
                <w:sz w:val="20"/>
              </w:rPr>
              <w:t>年</w:t>
            </w:r>
          </w:p>
        </w:tc>
        <w:tc>
          <w:tcPr>
            <w:tcW w:w="907" w:type="dxa"/>
            <w:shd w:val="clear" w:color="auto" w:fill="C00000"/>
          </w:tcPr>
          <w:p>
            <w:pPr>
              <w:pStyle w:val="TableParagraph"/>
              <w:spacing w:before="42"/>
              <w:ind w:left="108" w:right="97"/>
              <w:rPr>
                <w:sz w:val="20"/>
              </w:rPr>
            </w:pPr>
            <w:r>
              <w:rPr>
                <w:rFonts w:ascii="Times New Roman" w:eastAsia="Times New Roman"/>
                <w:color w:val="FFFFFF"/>
                <w:sz w:val="20"/>
              </w:rPr>
              <w:t>2025 </w:t>
            </w:r>
            <w:r>
              <w:rPr>
                <w:color w:val="FFFFFF"/>
                <w:sz w:val="20"/>
              </w:rPr>
              <w:t>年</w:t>
            </w:r>
          </w:p>
        </w:tc>
        <w:tc>
          <w:tcPr>
            <w:tcW w:w="907" w:type="dxa"/>
            <w:shd w:val="clear" w:color="auto" w:fill="C00000"/>
          </w:tcPr>
          <w:p>
            <w:pPr>
              <w:pStyle w:val="TableParagraph"/>
              <w:spacing w:before="42"/>
              <w:ind w:left="127"/>
              <w:jc w:val="left"/>
              <w:rPr>
                <w:sz w:val="20"/>
              </w:rPr>
            </w:pPr>
            <w:r>
              <w:rPr>
                <w:rFonts w:ascii="Times New Roman" w:eastAsia="Times New Roman"/>
                <w:color w:val="FFFFFF"/>
                <w:sz w:val="20"/>
              </w:rPr>
              <w:t>2026 </w:t>
            </w:r>
            <w:r>
              <w:rPr>
                <w:color w:val="FFFFFF"/>
                <w:sz w:val="20"/>
              </w:rPr>
              <w:t>年</w:t>
            </w:r>
          </w:p>
        </w:tc>
        <w:tc>
          <w:tcPr>
            <w:tcW w:w="907" w:type="dxa"/>
            <w:shd w:val="clear" w:color="auto" w:fill="C00000"/>
          </w:tcPr>
          <w:p>
            <w:pPr>
              <w:pStyle w:val="TableParagraph"/>
              <w:spacing w:before="42"/>
              <w:ind w:left="108" w:right="96"/>
              <w:rPr>
                <w:sz w:val="20"/>
              </w:rPr>
            </w:pPr>
            <w:r>
              <w:rPr>
                <w:rFonts w:ascii="Times New Roman" w:eastAsia="Times New Roman"/>
                <w:color w:val="FFFFFF"/>
                <w:sz w:val="20"/>
              </w:rPr>
              <w:t>2027 </w:t>
            </w:r>
            <w:r>
              <w:rPr>
                <w:color w:val="FFFFFF"/>
                <w:sz w:val="20"/>
              </w:rPr>
              <w:t>年</w:t>
            </w:r>
          </w:p>
        </w:tc>
        <w:tc>
          <w:tcPr>
            <w:tcW w:w="908" w:type="dxa"/>
            <w:shd w:val="clear" w:color="auto" w:fill="C00000"/>
          </w:tcPr>
          <w:p>
            <w:pPr>
              <w:pStyle w:val="TableParagraph"/>
              <w:spacing w:before="42"/>
              <w:ind w:right="114"/>
              <w:jc w:val="right"/>
              <w:rPr>
                <w:sz w:val="20"/>
              </w:rPr>
            </w:pPr>
            <w:r>
              <w:rPr>
                <w:rFonts w:ascii="Times New Roman" w:eastAsia="Times New Roman"/>
                <w:color w:val="FFFFFF"/>
                <w:sz w:val="20"/>
              </w:rPr>
              <w:t>2028 </w:t>
            </w:r>
            <w:r>
              <w:rPr>
                <w:color w:val="FFFFFF"/>
                <w:sz w:val="20"/>
              </w:rPr>
              <w:t>年</w:t>
            </w:r>
          </w:p>
        </w:tc>
        <w:tc>
          <w:tcPr>
            <w:tcW w:w="907" w:type="dxa"/>
            <w:shd w:val="clear" w:color="auto" w:fill="C00000"/>
          </w:tcPr>
          <w:p>
            <w:pPr>
              <w:pStyle w:val="TableParagraph"/>
              <w:spacing w:before="42"/>
              <w:ind w:left="128"/>
              <w:jc w:val="left"/>
              <w:rPr>
                <w:sz w:val="20"/>
              </w:rPr>
            </w:pPr>
            <w:r>
              <w:rPr>
                <w:rFonts w:ascii="Times New Roman" w:eastAsia="Times New Roman"/>
                <w:color w:val="FFFFFF"/>
                <w:sz w:val="20"/>
              </w:rPr>
              <w:t>2029 </w:t>
            </w:r>
            <w:r>
              <w:rPr>
                <w:color w:val="FFFFFF"/>
                <w:sz w:val="20"/>
              </w:rPr>
              <w:t>年</w:t>
            </w:r>
          </w:p>
        </w:tc>
        <w:tc>
          <w:tcPr>
            <w:tcW w:w="905" w:type="dxa"/>
            <w:shd w:val="clear" w:color="auto" w:fill="C00000"/>
          </w:tcPr>
          <w:p>
            <w:pPr>
              <w:pStyle w:val="TableParagraph"/>
              <w:spacing w:before="42"/>
              <w:ind w:left="109" w:right="95"/>
              <w:rPr>
                <w:sz w:val="20"/>
              </w:rPr>
            </w:pPr>
            <w:r>
              <w:rPr>
                <w:rFonts w:ascii="Times New Roman" w:eastAsia="Times New Roman"/>
                <w:color w:val="FFFFFF"/>
                <w:sz w:val="20"/>
              </w:rPr>
              <w:t>2030 </w:t>
            </w:r>
            <w:r>
              <w:rPr>
                <w:color w:val="FFFFFF"/>
                <w:sz w:val="20"/>
              </w:rPr>
              <w:t>年</w:t>
            </w:r>
          </w:p>
        </w:tc>
      </w:tr>
      <w:tr>
        <w:trPr>
          <w:trHeight w:val="314" w:hRule="atLeast"/>
        </w:trPr>
        <w:tc>
          <w:tcPr>
            <w:tcW w:w="3121" w:type="dxa"/>
          </w:tcPr>
          <w:p>
            <w:pPr>
              <w:pStyle w:val="TableParagraph"/>
              <w:spacing w:before="30"/>
              <w:ind w:left="737" w:right="730"/>
              <w:rPr>
                <w:sz w:val="20"/>
              </w:rPr>
            </w:pPr>
            <w:r>
              <w:rPr>
                <w:rFonts w:ascii="Times New Roman" w:eastAsia="Times New Roman"/>
                <w:sz w:val="20"/>
              </w:rPr>
              <w:t>65+</w:t>
            </w:r>
            <w:r>
              <w:rPr>
                <w:sz w:val="20"/>
              </w:rPr>
              <w:t>患者（万人）</w:t>
            </w:r>
          </w:p>
        </w:tc>
        <w:tc>
          <w:tcPr>
            <w:tcW w:w="907" w:type="dxa"/>
          </w:tcPr>
          <w:p>
            <w:pPr>
              <w:pStyle w:val="TableParagraph"/>
              <w:spacing w:before="43"/>
              <w:ind w:left="256"/>
              <w:jc w:val="left"/>
              <w:rPr>
                <w:rFonts w:ascii="Times New Roman"/>
                <w:sz w:val="20"/>
              </w:rPr>
            </w:pPr>
            <w:r>
              <w:rPr>
                <w:rFonts w:ascii="Times New Roman"/>
                <w:sz w:val="20"/>
              </w:rPr>
              <w:t>1139</w:t>
            </w:r>
          </w:p>
        </w:tc>
        <w:tc>
          <w:tcPr>
            <w:tcW w:w="907" w:type="dxa"/>
          </w:tcPr>
          <w:p>
            <w:pPr>
              <w:pStyle w:val="TableParagraph"/>
              <w:spacing w:before="43"/>
              <w:ind w:left="105" w:right="97"/>
              <w:rPr>
                <w:rFonts w:ascii="Times New Roman"/>
                <w:sz w:val="20"/>
              </w:rPr>
            </w:pPr>
            <w:r>
              <w:rPr>
                <w:rFonts w:ascii="Times New Roman"/>
                <w:sz w:val="20"/>
              </w:rPr>
              <w:t>1168</w:t>
            </w:r>
          </w:p>
        </w:tc>
        <w:tc>
          <w:tcPr>
            <w:tcW w:w="907" w:type="dxa"/>
          </w:tcPr>
          <w:p>
            <w:pPr>
              <w:pStyle w:val="TableParagraph"/>
              <w:spacing w:before="43"/>
              <w:ind w:left="106" w:right="97"/>
              <w:rPr>
                <w:rFonts w:ascii="Times New Roman"/>
                <w:sz w:val="20"/>
              </w:rPr>
            </w:pPr>
            <w:r>
              <w:rPr>
                <w:rFonts w:ascii="Times New Roman"/>
                <w:sz w:val="20"/>
              </w:rPr>
              <w:t>1187</w:t>
            </w:r>
          </w:p>
        </w:tc>
        <w:tc>
          <w:tcPr>
            <w:tcW w:w="907" w:type="dxa"/>
          </w:tcPr>
          <w:p>
            <w:pPr>
              <w:pStyle w:val="TableParagraph"/>
              <w:spacing w:before="43"/>
              <w:ind w:left="252"/>
              <w:jc w:val="left"/>
              <w:rPr>
                <w:rFonts w:ascii="Times New Roman"/>
                <w:sz w:val="20"/>
              </w:rPr>
            </w:pPr>
            <w:r>
              <w:rPr>
                <w:rFonts w:ascii="Times New Roman"/>
                <w:sz w:val="20"/>
              </w:rPr>
              <w:t>1204</w:t>
            </w:r>
          </w:p>
        </w:tc>
        <w:tc>
          <w:tcPr>
            <w:tcW w:w="907" w:type="dxa"/>
          </w:tcPr>
          <w:p>
            <w:pPr>
              <w:pStyle w:val="TableParagraph"/>
              <w:spacing w:before="43"/>
              <w:ind w:left="107" w:right="97"/>
              <w:rPr>
                <w:rFonts w:ascii="Times New Roman"/>
                <w:sz w:val="20"/>
              </w:rPr>
            </w:pPr>
            <w:r>
              <w:rPr>
                <w:rFonts w:ascii="Times New Roman"/>
                <w:sz w:val="20"/>
              </w:rPr>
              <w:t>1238</w:t>
            </w:r>
          </w:p>
        </w:tc>
        <w:tc>
          <w:tcPr>
            <w:tcW w:w="908" w:type="dxa"/>
          </w:tcPr>
          <w:p>
            <w:pPr>
              <w:pStyle w:val="TableParagraph"/>
              <w:spacing w:before="43"/>
              <w:ind w:left="253"/>
              <w:jc w:val="left"/>
              <w:rPr>
                <w:rFonts w:ascii="Times New Roman"/>
                <w:sz w:val="20"/>
              </w:rPr>
            </w:pPr>
            <w:r>
              <w:rPr>
                <w:rFonts w:ascii="Times New Roman"/>
                <w:sz w:val="20"/>
              </w:rPr>
              <w:t>1305</w:t>
            </w:r>
          </w:p>
        </w:tc>
        <w:tc>
          <w:tcPr>
            <w:tcW w:w="907" w:type="dxa"/>
          </w:tcPr>
          <w:p>
            <w:pPr>
              <w:pStyle w:val="TableParagraph"/>
              <w:spacing w:before="43"/>
              <w:ind w:left="252"/>
              <w:jc w:val="left"/>
              <w:rPr>
                <w:rFonts w:ascii="Times New Roman"/>
                <w:sz w:val="20"/>
              </w:rPr>
            </w:pPr>
            <w:r>
              <w:rPr>
                <w:rFonts w:ascii="Times New Roman"/>
                <w:sz w:val="20"/>
              </w:rPr>
              <w:t>1379</w:t>
            </w:r>
          </w:p>
        </w:tc>
        <w:tc>
          <w:tcPr>
            <w:tcW w:w="905" w:type="dxa"/>
          </w:tcPr>
          <w:p>
            <w:pPr>
              <w:pStyle w:val="TableParagraph"/>
              <w:spacing w:before="43"/>
              <w:ind w:left="107" w:right="95"/>
              <w:rPr>
                <w:rFonts w:ascii="Times New Roman"/>
                <w:sz w:val="20"/>
              </w:rPr>
            </w:pPr>
            <w:r>
              <w:rPr>
                <w:rFonts w:ascii="Times New Roman"/>
                <w:sz w:val="20"/>
              </w:rPr>
              <w:t>1445</w:t>
            </w:r>
          </w:p>
        </w:tc>
      </w:tr>
      <w:tr>
        <w:trPr>
          <w:trHeight w:val="312" w:hRule="atLeast"/>
        </w:trPr>
        <w:tc>
          <w:tcPr>
            <w:tcW w:w="3121" w:type="dxa"/>
          </w:tcPr>
          <w:p>
            <w:pPr>
              <w:pStyle w:val="TableParagraph"/>
              <w:spacing w:before="28"/>
              <w:ind w:left="737" w:right="733"/>
              <w:rPr>
                <w:sz w:val="20"/>
              </w:rPr>
            </w:pPr>
            <w:r>
              <w:rPr>
                <w:sz w:val="20"/>
              </w:rPr>
              <w:t>人均年费（万元）</w:t>
            </w:r>
          </w:p>
        </w:tc>
        <w:tc>
          <w:tcPr>
            <w:tcW w:w="907" w:type="dxa"/>
          </w:tcPr>
          <w:p>
            <w:pPr>
              <w:pStyle w:val="TableParagraph"/>
              <w:ind w:left="227"/>
              <w:jc w:val="left"/>
              <w:rPr>
                <w:rFonts w:ascii="Times New Roman"/>
                <w:sz w:val="20"/>
              </w:rPr>
            </w:pPr>
            <w:r>
              <w:rPr>
                <w:rFonts w:ascii="Times New Roman"/>
                <w:sz w:val="20"/>
              </w:rPr>
              <w:t>23.96</w:t>
            </w:r>
          </w:p>
        </w:tc>
        <w:tc>
          <w:tcPr>
            <w:tcW w:w="907" w:type="dxa"/>
          </w:tcPr>
          <w:p>
            <w:pPr>
              <w:pStyle w:val="TableParagraph"/>
              <w:ind w:left="107" w:right="97"/>
              <w:rPr>
                <w:rFonts w:ascii="Times New Roman"/>
                <w:sz w:val="20"/>
              </w:rPr>
            </w:pPr>
            <w:r>
              <w:rPr>
                <w:rFonts w:ascii="Times New Roman"/>
                <w:sz w:val="20"/>
              </w:rPr>
              <w:t>19.17</w:t>
            </w:r>
          </w:p>
        </w:tc>
        <w:tc>
          <w:tcPr>
            <w:tcW w:w="907" w:type="dxa"/>
          </w:tcPr>
          <w:p>
            <w:pPr>
              <w:pStyle w:val="TableParagraph"/>
              <w:ind w:left="107" w:right="97"/>
              <w:rPr>
                <w:rFonts w:ascii="Times New Roman"/>
                <w:sz w:val="20"/>
              </w:rPr>
            </w:pPr>
            <w:r>
              <w:rPr>
                <w:rFonts w:ascii="Times New Roman"/>
                <w:sz w:val="20"/>
              </w:rPr>
              <w:t>15.33</w:t>
            </w:r>
          </w:p>
        </w:tc>
        <w:tc>
          <w:tcPr>
            <w:tcW w:w="907" w:type="dxa"/>
          </w:tcPr>
          <w:p>
            <w:pPr>
              <w:pStyle w:val="TableParagraph"/>
              <w:ind w:left="228"/>
              <w:jc w:val="left"/>
              <w:rPr>
                <w:rFonts w:ascii="Times New Roman"/>
                <w:sz w:val="20"/>
              </w:rPr>
            </w:pPr>
            <w:r>
              <w:rPr>
                <w:rFonts w:ascii="Times New Roman"/>
                <w:sz w:val="20"/>
              </w:rPr>
              <w:t>12.27</w:t>
            </w:r>
          </w:p>
        </w:tc>
        <w:tc>
          <w:tcPr>
            <w:tcW w:w="907" w:type="dxa"/>
          </w:tcPr>
          <w:p>
            <w:pPr>
              <w:pStyle w:val="TableParagraph"/>
              <w:ind w:left="104" w:right="97"/>
              <w:rPr>
                <w:rFonts w:ascii="Times New Roman"/>
                <w:sz w:val="20"/>
              </w:rPr>
            </w:pPr>
            <w:r>
              <w:rPr>
                <w:rFonts w:ascii="Times New Roman"/>
                <w:sz w:val="20"/>
              </w:rPr>
              <w:t>9.81</w:t>
            </w:r>
          </w:p>
        </w:tc>
        <w:tc>
          <w:tcPr>
            <w:tcW w:w="908" w:type="dxa"/>
          </w:tcPr>
          <w:p>
            <w:pPr>
              <w:pStyle w:val="TableParagraph"/>
              <w:ind w:left="277"/>
              <w:jc w:val="left"/>
              <w:rPr>
                <w:rFonts w:ascii="Times New Roman"/>
                <w:sz w:val="20"/>
              </w:rPr>
            </w:pPr>
            <w:r>
              <w:rPr>
                <w:rFonts w:ascii="Times New Roman"/>
                <w:sz w:val="20"/>
              </w:rPr>
              <w:t>7.85</w:t>
            </w:r>
          </w:p>
        </w:tc>
        <w:tc>
          <w:tcPr>
            <w:tcW w:w="907" w:type="dxa"/>
          </w:tcPr>
          <w:p>
            <w:pPr>
              <w:pStyle w:val="TableParagraph"/>
              <w:ind w:left="276"/>
              <w:jc w:val="left"/>
              <w:rPr>
                <w:rFonts w:ascii="Times New Roman"/>
                <w:sz w:val="20"/>
              </w:rPr>
            </w:pPr>
            <w:r>
              <w:rPr>
                <w:rFonts w:ascii="Times New Roman"/>
                <w:sz w:val="20"/>
              </w:rPr>
              <w:t>6.28</w:t>
            </w:r>
          </w:p>
        </w:tc>
        <w:tc>
          <w:tcPr>
            <w:tcW w:w="905" w:type="dxa"/>
          </w:tcPr>
          <w:p>
            <w:pPr>
              <w:pStyle w:val="TableParagraph"/>
              <w:ind w:left="105" w:right="95"/>
              <w:rPr>
                <w:rFonts w:ascii="Times New Roman"/>
                <w:sz w:val="20"/>
              </w:rPr>
            </w:pPr>
            <w:r>
              <w:rPr>
                <w:rFonts w:ascii="Times New Roman"/>
                <w:sz w:val="20"/>
              </w:rPr>
              <w:t>5.02</w:t>
            </w:r>
          </w:p>
        </w:tc>
      </w:tr>
      <w:tr>
        <w:trPr>
          <w:trHeight w:val="311" w:hRule="atLeast"/>
        </w:trPr>
        <w:tc>
          <w:tcPr>
            <w:tcW w:w="3121" w:type="dxa"/>
          </w:tcPr>
          <w:p>
            <w:pPr>
              <w:pStyle w:val="TableParagraph"/>
              <w:spacing w:before="27"/>
              <w:ind w:left="737" w:right="730"/>
              <w:rPr>
                <w:sz w:val="20"/>
              </w:rPr>
            </w:pPr>
            <w:r>
              <w:rPr>
                <w:sz w:val="20"/>
              </w:rPr>
              <w:t>市占率</w:t>
            </w:r>
          </w:p>
        </w:tc>
        <w:tc>
          <w:tcPr>
            <w:tcW w:w="907" w:type="dxa"/>
          </w:tcPr>
          <w:p>
            <w:pPr>
              <w:pStyle w:val="TableParagraph"/>
              <w:ind w:left="220"/>
              <w:jc w:val="left"/>
              <w:rPr>
                <w:rFonts w:ascii="Times New Roman"/>
                <w:sz w:val="20"/>
              </w:rPr>
            </w:pPr>
            <w:r>
              <w:rPr>
                <w:rFonts w:ascii="Times New Roman"/>
                <w:sz w:val="20"/>
              </w:rPr>
              <w:t>100%</w:t>
            </w:r>
          </w:p>
        </w:tc>
        <w:tc>
          <w:tcPr>
            <w:tcW w:w="907" w:type="dxa"/>
          </w:tcPr>
          <w:p>
            <w:pPr>
              <w:pStyle w:val="TableParagraph"/>
              <w:ind w:left="108" w:right="94"/>
              <w:rPr>
                <w:rFonts w:ascii="Times New Roman"/>
                <w:sz w:val="20"/>
              </w:rPr>
            </w:pPr>
            <w:r>
              <w:rPr>
                <w:rFonts w:ascii="Times New Roman"/>
                <w:sz w:val="20"/>
              </w:rPr>
              <w:t>100%</w:t>
            </w:r>
          </w:p>
        </w:tc>
        <w:tc>
          <w:tcPr>
            <w:tcW w:w="907" w:type="dxa"/>
          </w:tcPr>
          <w:p>
            <w:pPr>
              <w:pStyle w:val="TableParagraph"/>
              <w:ind w:left="106" w:right="97"/>
              <w:rPr>
                <w:rFonts w:ascii="Times New Roman"/>
                <w:sz w:val="20"/>
              </w:rPr>
            </w:pPr>
            <w:r>
              <w:rPr>
                <w:rFonts w:ascii="Times New Roman"/>
                <w:sz w:val="20"/>
              </w:rPr>
              <w:t>80%</w:t>
            </w:r>
          </w:p>
        </w:tc>
        <w:tc>
          <w:tcPr>
            <w:tcW w:w="907" w:type="dxa"/>
          </w:tcPr>
          <w:p>
            <w:pPr>
              <w:pStyle w:val="TableParagraph"/>
              <w:ind w:left="269"/>
              <w:jc w:val="left"/>
              <w:rPr>
                <w:rFonts w:ascii="Times New Roman"/>
                <w:sz w:val="20"/>
              </w:rPr>
            </w:pPr>
            <w:r>
              <w:rPr>
                <w:rFonts w:ascii="Times New Roman"/>
                <w:sz w:val="20"/>
              </w:rPr>
              <w:t>60%</w:t>
            </w:r>
          </w:p>
        </w:tc>
        <w:tc>
          <w:tcPr>
            <w:tcW w:w="907" w:type="dxa"/>
          </w:tcPr>
          <w:p>
            <w:pPr>
              <w:pStyle w:val="TableParagraph"/>
              <w:ind w:left="108" w:right="97"/>
              <w:rPr>
                <w:rFonts w:ascii="Times New Roman"/>
                <w:sz w:val="20"/>
              </w:rPr>
            </w:pPr>
            <w:r>
              <w:rPr>
                <w:rFonts w:ascii="Times New Roman"/>
                <w:sz w:val="20"/>
              </w:rPr>
              <w:t>40%</w:t>
            </w:r>
          </w:p>
        </w:tc>
        <w:tc>
          <w:tcPr>
            <w:tcW w:w="908" w:type="dxa"/>
          </w:tcPr>
          <w:p>
            <w:pPr>
              <w:pStyle w:val="TableParagraph"/>
              <w:ind w:left="269"/>
              <w:jc w:val="left"/>
              <w:rPr>
                <w:rFonts w:ascii="Times New Roman"/>
                <w:sz w:val="20"/>
              </w:rPr>
            </w:pPr>
            <w:r>
              <w:rPr>
                <w:rFonts w:ascii="Times New Roman"/>
                <w:sz w:val="20"/>
              </w:rPr>
              <w:t>30%</w:t>
            </w:r>
          </w:p>
        </w:tc>
        <w:tc>
          <w:tcPr>
            <w:tcW w:w="907" w:type="dxa"/>
          </w:tcPr>
          <w:p>
            <w:pPr>
              <w:pStyle w:val="TableParagraph"/>
              <w:ind w:left="269"/>
              <w:jc w:val="left"/>
              <w:rPr>
                <w:rFonts w:ascii="Times New Roman"/>
                <w:sz w:val="20"/>
              </w:rPr>
            </w:pPr>
            <w:r>
              <w:rPr>
                <w:rFonts w:ascii="Times New Roman"/>
                <w:sz w:val="20"/>
              </w:rPr>
              <w:t>20%</w:t>
            </w:r>
          </w:p>
        </w:tc>
        <w:tc>
          <w:tcPr>
            <w:tcW w:w="905" w:type="dxa"/>
          </w:tcPr>
          <w:p>
            <w:pPr>
              <w:pStyle w:val="TableParagraph"/>
              <w:ind w:left="108" w:right="95"/>
              <w:rPr>
                <w:rFonts w:ascii="Times New Roman"/>
                <w:sz w:val="20"/>
              </w:rPr>
            </w:pPr>
            <w:r>
              <w:rPr>
                <w:rFonts w:ascii="Times New Roman"/>
                <w:sz w:val="20"/>
              </w:rPr>
              <w:t>10%</w:t>
            </w:r>
          </w:p>
        </w:tc>
      </w:tr>
      <w:tr>
        <w:trPr>
          <w:trHeight w:val="311" w:hRule="atLeast"/>
        </w:trPr>
        <w:tc>
          <w:tcPr>
            <w:tcW w:w="3121" w:type="dxa"/>
          </w:tcPr>
          <w:p>
            <w:pPr>
              <w:pStyle w:val="TableParagraph"/>
              <w:spacing w:before="27"/>
              <w:ind w:left="737" w:right="730"/>
              <w:rPr>
                <w:sz w:val="20"/>
              </w:rPr>
            </w:pPr>
            <w:r>
              <w:rPr>
                <w:sz w:val="20"/>
              </w:rPr>
              <w:t>渗透率</w:t>
            </w:r>
          </w:p>
        </w:tc>
        <w:tc>
          <w:tcPr>
            <w:tcW w:w="907" w:type="dxa"/>
          </w:tcPr>
          <w:p>
            <w:pPr>
              <w:pStyle w:val="TableParagraph"/>
              <w:ind w:left="194"/>
              <w:jc w:val="left"/>
              <w:rPr>
                <w:rFonts w:ascii="Times New Roman"/>
                <w:sz w:val="20"/>
              </w:rPr>
            </w:pPr>
            <w:r>
              <w:rPr>
                <w:rFonts w:ascii="Times New Roman"/>
                <w:sz w:val="20"/>
              </w:rPr>
              <w:t>0.05%</w:t>
            </w:r>
          </w:p>
        </w:tc>
        <w:tc>
          <w:tcPr>
            <w:tcW w:w="907" w:type="dxa"/>
          </w:tcPr>
          <w:p>
            <w:pPr>
              <w:pStyle w:val="TableParagraph"/>
              <w:ind w:left="106" w:right="97"/>
              <w:rPr>
                <w:rFonts w:ascii="Times New Roman"/>
                <w:sz w:val="20"/>
              </w:rPr>
            </w:pPr>
            <w:r>
              <w:rPr>
                <w:rFonts w:ascii="Times New Roman"/>
                <w:sz w:val="20"/>
              </w:rPr>
              <w:t>0.10%</w:t>
            </w:r>
          </w:p>
        </w:tc>
        <w:tc>
          <w:tcPr>
            <w:tcW w:w="907" w:type="dxa"/>
          </w:tcPr>
          <w:p>
            <w:pPr>
              <w:pStyle w:val="TableParagraph"/>
              <w:ind w:left="107" w:right="97"/>
              <w:rPr>
                <w:rFonts w:ascii="Times New Roman"/>
                <w:sz w:val="20"/>
              </w:rPr>
            </w:pPr>
            <w:r>
              <w:rPr>
                <w:rFonts w:ascii="Times New Roman"/>
                <w:sz w:val="20"/>
              </w:rPr>
              <w:t>0.20%</w:t>
            </w:r>
          </w:p>
        </w:tc>
        <w:tc>
          <w:tcPr>
            <w:tcW w:w="907" w:type="dxa"/>
          </w:tcPr>
          <w:p>
            <w:pPr>
              <w:pStyle w:val="TableParagraph"/>
              <w:ind w:left="195"/>
              <w:jc w:val="left"/>
              <w:rPr>
                <w:rFonts w:ascii="Times New Roman"/>
                <w:sz w:val="20"/>
              </w:rPr>
            </w:pPr>
            <w:r>
              <w:rPr>
                <w:rFonts w:ascii="Times New Roman"/>
                <w:sz w:val="20"/>
              </w:rPr>
              <w:t>0.50%</w:t>
            </w:r>
          </w:p>
        </w:tc>
        <w:tc>
          <w:tcPr>
            <w:tcW w:w="907" w:type="dxa"/>
          </w:tcPr>
          <w:p>
            <w:pPr>
              <w:pStyle w:val="TableParagraph"/>
              <w:ind w:left="108" w:right="97"/>
              <w:rPr>
                <w:rFonts w:ascii="Times New Roman"/>
                <w:sz w:val="20"/>
              </w:rPr>
            </w:pPr>
            <w:r>
              <w:rPr>
                <w:rFonts w:ascii="Times New Roman"/>
                <w:sz w:val="20"/>
              </w:rPr>
              <w:t>1.00%</w:t>
            </w:r>
          </w:p>
        </w:tc>
        <w:tc>
          <w:tcPr>
            <w:tcW w:w="908" w:type="dxa"/>
          </w:tcPr>
          <w:p>
            <w:pPr>
              <w:pStyle w:val="TableParagraph"/>
              <w:ind w:right="182"/>
              <w:jc w:val="right"/>
              <w:rPr>
                <w:rFonts w:ascii="Times New Roman"/>
                <w:sz w:val="20"/>
              </w:rPr>
            </w:pPr>
            <w:r>
              <w:rPr>
                <w:rFonts w:ascii="Times New Roman"/>
                <w:sz w:val="20"/>
              </w:rPr>
              <w:t>2.00%</w:t>
            </w:r>
          </w:p>
        </w:tc>
        <w:tc>
          <w:tcPr>
            <w:tcW w:w="907" w:type="dxa"/>
          </w:tcPr>
          <w:p>
            <w:pPr>
              <w:pStyle w:val="TableParagraph"/>
              <w:ind w:left="195"/>
              <w:jc w:val="left"/>
              <w:rPr>
                <w:rFonts w:ascii="Times New Roman"/>
                <w:sz w:val="20"/>
              </w:rPr>
            </w:pPr>
            <w:r>
              <w:rPr>
                <w:rFonts w:ascii="Times New Roman"/>
                <w:sz w:val="20"/>
              </w:rPr>
              <w:t>5.00%</w:t>
            </w:r>
          </w:p>
        </w:tc>
        <w:tc>
          <w:tcPr>
            <w:tcW w:w="905" w:type="dxa"/>
          </w:tcPr>
          <w:p>
            <w:pPr>
              <w:pStyle w:val="TableParagraph"/>
              <w:ind w:left="108" w:right="95"/>
              <w:rPr>
                <w:rFonts w:ascii="Times New Roman"/>
                <w:sz w:val="20"/>
              </w:rPr>
            </w:pPr>
            <w:r>
              <w:rPr>
                <w:rFonts w:ascii="Times New Roman"/>
                <w:sz w:val="20"/>
              </w:rPr>
              <w:t>10.00%</w:t>
            </w:r>
          </w:p>
        </w:tc>
      </w:tr>
      <w:tr>
        <w:trPr>
          <w:trHeight w:val="321" w:hRule="atLeast"/>
        </w:trPr>
        <w:tc>
          <w:tcPr>
            <w:tcW w:w="3121" w:type="dxa"/>
            <w:shd w:val="clear" w:color="auto" w:fill="E9ECF4"/>
          </w:tcPr>
          <w:p>
            <w:pPr>
              <w:pStyle w:val="TableParagraph"/>
              <w:spacing w:before="28"/>
              <w:ind w:left="737" w:right="731"/>
              <w:rPr>
                <w:sz w:val="20"/>
              </w:rPr>
            </w:pPr>
            <w:r>
              <w:rPr>
                <w:sz w:val="20"/>
              </w:rPr>
              <w:t>营收（亿元）</w:t>
            </w:r>
          </w:p>
        </w:tc>
        <w:tc>
          <w:tcPr>
            <w:tcW w:w="907" w:type="dxa"/>
            <w:shd w:val="clear" w:color="auto" w:fill="E9ECF4"/>
          </w:tcPr>
          <w:p>
            <w:pPr>
              <w:pStyle w:val="TableParagraph"/>
              <w:ind w:left="227"/>
              <w:jc w:val="left"/>
              <w:rPr>
                <w:rFonts w:ascii="Times New Roman"/>
                <w:sz w:val="20"/>
              </w:rPr>
            </w:pPr>
            <w:r>
              <w:rPr>
                <w:rFonts w:ascii="Times New Roman"/>
                <w:sz w:val="20"/>
              </w:rPr>
              <w:t>13.65</w:t>
            </w:r>
          </w:p>
        </w:tc>
        <w:tc>
          <w:tcPr>
            <w:tcW w:w="907" w:type="dxa"/>
            <w:shd w:val="clear" w:color="auto" w:fill="E9ECF4"/>
          </w:tcPr>
          <w:p>
            <w:pPr>
              <w:pStyle w:val="TableParagraph"/>
              <w:ind w:left="107" w:right="97"/>
              <w:rPr>
                <w:rFonts w:ascii="Times New Roman"/>
                <w:sz w:val="20"/>
              </w:rPr>
            </w:pPr>
            <w:r>
              <w:rPr>
                <w:rFonts w:ascii="Times New Roman"/>
                <w:sz w:val="20"/>
              </w:rPr>
              <w:t>22.38</w:t>
            </w:r>
          </w:p>
        </w:tc>
        <w:tc>
          <w:tcPr>
            <w:tcW w:w="907" w:type="dxa"/>
            <w:shd w:val="clear" w:color="auto" w:fill="E9ECF4"/>
          </w:tcPr>
          <w:p>
            <w:pPr>
              <w:pStyle w:val="TableParagraph"/>
              <w:ind w:left="107" w:right="97"/>
              <w:rPr>
                <w:rFonts w:ascii="Times New Roman"/>
                <w:sz w:val="20"/>
              </w:rPr>
            </w:pPr>
            <w:r>
              <w:rPr>
                <w:rFonts w:ascii="Times New Roman"/>
                <w:sz w:val="20"/>
              </w:rPr>
              <w:t>29.13</w:t>
            </w:r>
          </w:p>
        </w:tc>
        <w:tc>
          <w:tcPr>
            <w:tcW w:w="907" w:type="dxa"/>
            <w:shd w:val="clear" w:color="auto" w:fill="E9ECF4"/>
          </w:tcPr>
          <w:p>
            <w:pPr>
              <w:pStyle w:val="TableParagraph"/>
              <w:ind w:left="228"/>
              <w:jc w:val="left"/>
              <w:rPr>
                <w:rFonts w:ascii="Times New Roman"/>
                <w:sz w:val="20"/>
              </w:rPr>
            </w:pPr>
            <w:r>
              <w:rPr>
                <w:rFonts w:ascii="Times New Roman"/>
                <w:sz w:val="20"/>
              </w:rPr>
              <w:t>44.29</w:t>
            </w:r>
          </w:p>
        </w:tc>
        <w:tc>
          <w:tcPr>
            <w:tcW w:w="907" w:type="dxa"/>
            <w:shd w:val="clear" w:color="auto" w:fill="E9ECF4"/>
          </w:tcPr>
          <w:p>
            <w:pPr>
              <w:pStyle w:val="TableParagraph"/>
              <w:ind w:left="108" w:right="96"/>
              <w:rPr>
                <w:rFonts w:ascii="Times New Roman"/>
                <w:sz w:val="20"/>
              </w:rPr>
            </w:pPr>
            <w:r>
              <w:rPr>
                <w:rFonts w:ascii="Times New Roman"/>
                <w:sz w:val="20"/>
              </w:rPr>
              <w:t>48.60</w:t>
            </w:r>
          </w:p>
        </w:tc>
        <w:tc>
          <w:tcPr>
            <w:tcW w:w="908" w:type="dxa"/>
            <w:shd w:val="clear" w:color="auto" w:fill="E9ECF4"/>
          </w:tcPr>
          <w:p>
            <w:pPr>
              <w:pStyle w:val="TableParagraph"/>
              <w:ind w:left="229"/>
              <w:jc w:val="left"/>
              <w:rPr>
                <w:rFonts w:ascii="Times New Roman"/>
                <w:sz w:val="20"/>
              </w:rPr>
            </w:pPr>
            <w:r>
              <w:rPr>
                <w:rFonts w:ascii="Times New Roman"/>
                <w:sz w:val="20"/>
              </w:rPr>
              <w:t>61.50</w:t>
            </w:r>
          </w:p>
        </w:tc>
        <w:tc>
          <w:tcPr>
            <w:tcW w:w="907" w:type="dxa"/>
            <w:shd w:val="clear" w:color="auto" w:fill="E9ECF4"/>
          </w:tcPr>
          <w:p>
            <w:pPr>
              <w:pStyle w:val="TableParagraph"/>
              <w:ind w:left="228"/>
              <w:jc w:val="left"/>
              <w:rPr>
                <w:rFonts w:ascii="Times New Roman"/>
                <w:sz w:val="20"/>
              </w:rPr>
            </w:pPr>
            <w:r>
              <w:rPr>
                <w:rFonts w:ascii="Times New Roman"/>
                <w:sz w:val="20"/>
              </w:rPr>
              <w:t>86.60</w:t>
            </w:r>
          </w:p>
        </w:tc>
        <w:tc>
          <w:tcPr>
            <w:tcW w:w="905" w:type="dxa"/>
            <w:shd w:val="clear" w:color="auto" w:fill="E9ECF4"/>
          </w:tcPr>
          <w:p>
            <w:pPr>
              <w:pStyle w:val="TableParagraph"/>
              <w:ind w:left="109" w:right="95"/>
              <w:rPr>
                <w:rFonts w:ascii="Times New Roman"/>
                <w:sz w:val="20"/>
              </w:rPr>
            </w:pPr>
            <w:r>
              <w:rPr>
                <w:rFonts w:ascii="Times New Roman"/>
                <w:sz w:val="20"/>
              </w:rPr>
              <w:t>72.61</w:t>
            </w:r>
          </w:p>
        </w:tc>
      </w:tr>
    </w:tbl>
    <w:p>
      <w:pPr>
        <w:spacing w:before="30"/>
        <w:ind w:left="148" w:right="0" w:firstLine="0"/>
        <w:jc w:val="left"/>
        <w:rPr>
          <w:i/>
          <w:sz w:val="21"/>
        </w:rPr>
      </w:pPr>
      <w:r>
        <w:rPr>
          <w:i/>
          <w:sz w:val="21"/>
        </w:rPr>
        <w:t>资料来源：方正证券研究所测算</w:t>
      </w:r>
    </w:p>
    <w:p>
      <w:pPr>
        <w:pStyle w:val="BodyText"/>
        <w:spacing w:before="6"/>
        <w:rPr>
          <w:i/>
          <w:sz w:val="22"/>
        </w:rPr>
      </w:pPr>
    </w:p>
    <w:p>
      <w:pPr>
        <w:pStyle w:val="BodyText"/>
        <w:spacing w:before="72"/>
        <w:ind w:left="3324"/>
      </w:pPr>
      <w:r>
        <w:rPr>
          <w:spacing w:val="-26"/>
        </w:rPr>
        <w:t>在 </w:t>
      </w:r>
      <w:r>
        <w:rPr/>
        <w:t>Aβ</w:t>
      </w:r>
      <w:r>
        <w:rPr>
          <w:spacing w:val="-6"/>
        </w:rPr>
        <w:t>研发方面，国内公司方面恒瑞医药靶向 </w:t>
      </w:r>
      <w:r>
        <w:rPr/>
        <w:t>A</w:t>
      </w:r>
      <w:r>
        <w:rPr>
          <w:rFonts w:ascii="黑体" w:hAnsi="黑体" w:eastAsia="黑体" w:hint="eastAsia"/>
        </w:rPr>
        <w:t>β</w:t>
      </w:r>
      <w:r>
        <w:rPr>
          <w:rFonts w:ascii="黑体" w:hAnsi="黑体" w:eastAsia="黑体" w:hint="eastAsia"/>
          <w:spacing w:val="-53"/>
        </w:rPr>
        <w:t> </w:t>
      </w:r>
      <w:r>
        <w:rPr>
          <w:spacing w:val="-17"/>
        </w:rPr>
        <w:t>单抗 </w:t>
      </w:r>
      <w:r>
        <w:rPr/>
        <w:t>SHR-1707</w:t>
      </w:r>
      <w:r>
        <w:rPr>
          <w:spacing w:val="-2"/>
        </w:rPr>
        <w:t> 进入临床</w:t>
      </w:r>
      <w:r>
        <w:rPr/>
        <w:t>I</w:t>
      </w:r>
    </w:p>
    <w:p>
      <w:pPr>
        <w:pStyle w:val="BodyText"/>
        <w:spacing w:before="42"/>
        <w:ind w:left="3324"/>
      </w:pPr>
      <w:r>
        <w:rPr/>
        <w:t>期，其余则为外企。</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r>
        <w:rPr/>
        <w:pict>
          <v:rect style="position:absolute;margin-left:33.959999pt;margin-top:12.576895pt;width:527.38pt;height:.47998pt;mso-position-horizontal-relative:page;mso-position-vertical-relative:paragraph;z-index:-15709696;mso-wrap-distance-left:0;mso-wrap-distance-right:0" filled="true" fillcolor="#e21c21" stroked="false">
            <v:fill type="solid"/>
            <w10:wrap type="topAndBottom"/>
          </v:rect>
        </w:pict>
      </w:r>
    </w:p>
    <w:p>
      <w:pPr>
        <w:tabs>
          <w:tab w:pos="7030" w:val="left" w:leader="none"/>
        </w:tabs>
        <w:spacing w:line="38" w:lineRule="exact" w:before="4"/>
        <w:ind w:left="5301" w:right="0" w:firstLine="0"/>
        <w:jc w:val="left"/>
        <w:rPr>
          <w:rFonts w:ascii="黑体" w:eastAsia="黑体" w:hint="eastAsia"/>
          <w:sz w:val="20"/>
        </w:rPr>
      </w:pPr>
      <w:r>
        <w:rPr>
          <w:rFonts w:ascii="黑体" w:eastAsia="黑体" w:hint="eastAsia"/>
          <w:color w:val="4A4B4D"/>
          <w:spacing w:val="10"/>
          <w:sz w:val="20"/>
        </w:rPr>
        <w:t>10</w:t>
        <w:tab/>
      </w:r>
      <w:r>
        <w:rPr>
          <w:rFonts w:ascii="黑体" w:eastAsia="黑体" w:hint="eastAsia"/>
          <w:color w:val="4A4B4D"/>
          <w:spacing w:val="37"/>
          <w:sz w:val="20"/>
        </w:rPr>
        <w:t>敬请关注文后特别声明与免责条款</w:t>
      </w:r>
      <w:r>
        <w:rPr>
          <w:rFonts w:ascii="黑体" w:eastAsia="黑体" w:hint="eastAsia"/>
          <w:color w:val="4A4B4D"/>
          <w:spacing w:val="-60"/>
          <w:sz w:val="20"/>
        </w:rPr>
        <w:t> </w:t>
      </w:r>
    </w:p>
    <w:p>
      <w:pPr>
        <w:spacing w:after="0" w:line="38" w:lineRule="exact"/>
        <w:jc w:val="left"/>
        <w:rPr>
          <w:rFonts w:ascii="黑体" w:eastAsia="黑体" w:hint="eastAsia"/>
          <w:sz w:val="20"/>
        </w:rPr>
        <w:sectPr>
          <w:headerReference w:type="default" r:id="rId29"/>
          <w:footerReference w:type="default" r:id="rId30"/>
          <w:pgSz w:w="11910" w:h="16840"/>
          <w:pgMar w:header="454" w:footer="430" w:top="1220" w:bottom="620" w:left="560" w:right="540"/>
        </w:sectPr>
      </w:pPr>
    </w:p>
    <w:p>
      <w:pPr>
        <w:pStyle w:val="BodyText"/>
        <w:spacing w:before="104" w:after="19"/>
        <w:ind w:left="147"/>
      </w:pPr>
      <w:r>
        <w:rPr/>
        <w:t>图表13:国内单抗类药物进展</w:t>
      </w:r>
    </w:p>
    <w:p>
      <w:pPr>
        <w:pStyle w:val="BodyText"/>
        <w:ind w:left="148"/>
        <w:rPr>
          <w:sz w:val="20"/>
        </w:rPr>
      </w:pPr>
      <w:r>
        <w:rPr>
          <w:sz w:val="20"/>
        </w:rPr>
        <w:drawing>
          <wp:inline distT="0" distB="0" distL="0" distR="0">
            <wp:extent cx="6623673" cy="1214437"/>
            <wp:effectExtent l="0" t="0" r="0" b="0"/>
            <wp:docPr id="37" name="image18.png"/>
            <wp:cNvGraphicFramePr>
              <a:graphicFrameLocks noChangeAspect="1"/>
            </wp:cNvGraphicFramePr>
            <a:graphic>
              <a:graphicData uri="http://schemas.openxmlformats.org/drawingml/2006/picture">
                <pic:pic>
                  <pic:nvPicPr>
                    <pic:cNvPr id="38" name="image18.png"/>
                    <pic:cNvPicPr/>
                  </pic:nvPicPr>
                  <pic:blipFill>
                    <a:blip r:embed="rId34" cstate="print"/>
                    <a:stretch>
                      <a:fillRect/>
                    </a:stretch>
                  </pic:blipFill>
                  <pic:spPr>
                    <a:xfrm>
                      <a:off x="0" y="0"/>
                      <a:ext cx="6623673" cy="1214437"/>
                    </a:xfrm>
                    <a:prstGeom prst="rect">
                      <a:avLst/>
                    </a:prstGeom>
                  </pic:spPr>
                </pic:pic>
              </a:graphicData>
            </a:graphic>
          </wp:inline>
        </w:drawing>
      </w:r>
      <w:r>
        <w:rPr>
          <w:sz w:val="20"/>
        </w:rPr>
      </w:r>
    </w:p>
    <w:p>
      <w:pPr>
        <w:spacing w:before="18"/>
        <w:ind w:left="148" w:right="0" w:firstLine="0"/>
        <w:jc w:val="left"/>
        <w:rPr>
          <w:i/>
          <w:sz w:val="21"/>
        </w:rPr>
      </w:pPr>
      <w:r>
        <w:rPr>
          <w:i/>
          <w:sz w:val="21"/>
        </w:rPr>
        <w:t>资料来源：医药魔方，方正证券研究所</w:t>
      </w:r>
    </w:p>
    <w:p>
      <w:pPr>
        <w:pStyle w:val="BodyText"/>
        <w:spacing w:before="6"/>
        <w:rPr>
          <w:i/>
          <w:sz w:val="22"/>
        </w:rPr>
      </w:pPr>
    </w:p>
    <w:p>
      <w:pPr>
        <w:pStyle w:val="BodyText"/>
        <w:spacing w:line="278" w:lineRule="auto" w:before="72"/>
        <w:ind w:left="3324" w:right="334"/>
        <w:jc w:val="both"/>
      </w:pPr>
      <w:r>
        <w:rPr>
          <w:spacing w:val="-2"/>
          <w:w w:val="100"/>
        </w:rPr>
        <w:t>现阶段国内</w:t>
      </w:r>
      <w:r>
        <w:rPr>
          <w:spacing w:val="-53"/>
        </w:rPr>
        <w:t> </w:t>
      </w:r>
      <w:r>
        <w:rPr>
          <w:w w:val="100"/>
        </w:rPr>
        <w:t>AD</w:t>
      </w:r>
      <w:r>
        <w:rPr>
          <w:spacing w:val="-55"/>
        </w:rPr>
        <w:t> </w:t>
      </w:r>
      <w:r>
        <w:rPr>
          <w:spacing w:val="-3"/>
          <w:w w:val="100"/>
        </w:rPr>
        <w:t>的主要治疗药物是乙酰胆碱酯酶抑制剂</w:t>
      </w:r>
      <w:r>
        <w:rPr>
          <w:w w:val="100"/>
        </w:rPr>
        <w:t>（A</w:t>
      </w:r>
      <w:r>
        <w:rPr>
          <w:spacing w:val="-3"/>
          <w:w w:val="100"/>
        </w:rPr>
        <w:t>C</w:t>
      </w:r>
      <w:r>
        <w:rPr>
          <w:w w:val="100"/>
        </w:rPr>
        <w:t>hE</w:t>
      </w:r>
      <w:r>
        <w:rPr>
          <w:spacing w:val="-108"/>
          <w:w w:val="100"/>
        </w:rPr>
        <w:t>）</w:t>
      </w:r>
      <w:r>
        <w:rPr>
          <w:spacing w:val="-3"/>
          <w:w w:val="100"/>
        </w:rPr>
        <w:t>、谷氨酸受体拮</w:t>
      </w:r>
      <w:r>
        <w:rPr>
          <w:spacing w:val="-3"/>
        </w:rPr>
        <w:t>抗剂及其他治疗药物，如多奈哌齐、美金刚等。针对各种抑制剂或者拮抗剂靶点，国内研发布局较为积极，涉及的上市公司有海正药业、康缘药业、天衡药业、东阳光药、新华制药、先声药业、华海药业等。</w:t>
      </w:r>
    </w:p>
    <w:p>
      <w:pPr>
        <w:pStyle w:val="BodyText"/>
        <w:spacing w:before="4"/>
        <w:rPr>
          <w:sz w:val="24"/>
        </w:rPr>
      </w:pPr>
    </w:p>
    <w:p>
      <w:pPr>
        <w:pStyle w:val="BodyText"/>
        <w:spacing w:after="19"/>
        <w:ind w:left="147"/>
      </w:pPr>
      <w:r>
        <w:rPr/>
        <w:t>图表14:国内治疗阿尔茨海默抑制剂、激动剂类药物进展</w:t>
      </w:r>
    </w:p>
    <w:p>
      <w:pPr>
        <w:pStyle w:val="BodyText"/>
        <w:spacing w:line="20" w:lineRule="exact"/>
        <w:ind w:left="148"/>
        <w:rPr>
          <w:sz w:val="2"/>
        </w:rPr>
      </w:pPr>
      <w:r>
        <w:rPr>
          <w:sz w:val="2"/>
        </w:rPr>
        <w:pict>
          <v:group style="width:521.75pt;height:1pt;mso-position-horizontal-relative:char;mso-position-vertical-relative:line" coordorigin="0,0" coordsize="10435,20">
            <v:rect style="position:absolute;left:0;top:0;width:10435;height:20" filled="true" fillcolor="#000000" stroked="false">
              <v:fill type="solid"/>
            </v:rect>
          </v:group>
        </w:pict>
      </w:r>
      <w:r>
        <w:rPr>
          <w:sz w:val="2"/>
        </w:rPr>
      </w:r>
    </w:p>
    <w:p>
      <w:pPr>
        <w:pStyle w:val="BodyText"/>
        <w:spacing w:before="1"/>
        <w:rPr>
          <w:sz w:val="13"/>
        </w:rPr>
      </w:pPr>
      <w:r>
        <w:rPr/>
        <w:drawing>
          <wp:anchor distT="0" distB="0" distL="0" distR="0" allowOverlap="1" layoutInCell="1" locked="0" behindDoc="0" simplePos="0" relativeHeight="39">
            <wp:simplePos x="0" y="0"/>
            <wp:positionH relativeFrom="page">
              <wp:posOffset>491359</wp:posOffset>
            </wp:positionH>
            <wp:positionV relativeFrom="paragraph">
              <wp:posOffset>131345</wp:posOffset>
            </wp:positionV>
            <wp:extent cx="6537529" cy="4091940"/>
            <wp:effectExtent l="0" t="0" r="0" b="0"/>
            <wp:wrapTopAndBottom/>
            <wp:docPr id="39" name="image19.jpeg"/>
            <wp:cNvGraphicFramePr>
              <a:graphicFrameLocks noChangeAspect="1"/>
            </wp:cNvGraphicFramePr>
            <a:graphic>
              <a:graphicData uri="http://schemas.openxmlformats.org/drawingml/2006/picture">
                <pic:pic>
                  <pic:nvPicPr>
                    <pic:cNvPr id="40" name="image19.jpeg"/>
                    <pic:cNvPicPr/>
                  </pic:nvPicPr>
                  <pic:blipFill>
                    <a:blip r:embed="rId35" cstate="print"/>
                    <a:stretch>
                      <a:fillRect/>
                    </a:stretch>
                  </pic:blipFill>
                  <pic:spPr>
                    <a:xfrm>
                      <a:off x="0" y="0"/>
                      <a:ext cx="6537529" cy="4091940"/>
                    </a:xfrm>
                    <a:prstGeom prst="rect">
                      <a:avLst/>
                    </a:prstGeom>
                  </pic:spPr>
                </pic:pic>
              </a:graphicData>
            </a:graphic>
          </wp:anchor>
        </w:drawing>
      </w:r>
      <w:r>
        <w:rPr/>
        <w:pict>
          <v:rect style="position:absolute;margin-left:35.400002pt;margin-top:343.209961pt;width:521.74pt;height:.96002pt;mso-position-horizontal-relative:page;mso-position-vertical-relative:paragraph;z-index:-15708160;mso-wrap-distance-left:0;mso-wrap-distance-right:0" filled="true" fillcolor="#000000" stroked="false">
            <v:fill type="solid"/>
            <w10:wrap type="topAndBottom"/>
          </v:rect>
        </w:pict>
      </w:r>
    </w:p>
    <w:p>
      <w:pPr>
        <w:pStyle w:val="BodyText"/>
        <w:spacing w:before="4"/>
        <w:rPr>
          <w:sz w:val="11"/>
        </w:rPr>
      </w:pPr>
    </w:p>
    <w:p>
      <w:pPr>
        <w:spacing w:before="0"/>
        <w:ind w:left="148" w:right="0" w:firstLine="0"/>
        <w:jc w:val="left"/>
        <w:rPr>
          <w:i/>
          <w:sz w:val="21"/>
        </w:rPr>
      </w:pPr>
      <w:r>
        <w:rPr>
          <w:i/>
          <w:sz w:val="21"/>
        </w:rPr>
        <w:t>资料来源：医药魔方，方正证券研究所</w:t>
      </w:r>
    </w:p>
    <w:p>
      <w:pPr>
        <w:pStyle w:val="BodyText"/>
        <w:spacing w:before="10"/>
        <w:rPr>
          <w:i/>
        </w:rPr>
      </w:pPr>
    </w:p>
    <w:p>
      <w:pPr>
        <w:pStyle w:val="BodyText"/>
        <w:spacing w:line="278" w:lineRule="auto" w:before="72"/>
        <w:ind w:left="3324" w:right="334"/>
      </w:pPr>
      <w:r>
        <w:rPr>
          <w:spacing w:val="-6"/>
        </w:rPr>
        <w:t>一些天然药物已被证明可以减缓 </w:t>
      </w:r>
      <w:r>
        <w:rPr/>
        <w:t>AD</w:t>
      </w:r>
      <w:r>
        <w:rPr>
          <w:spacing w:val="-8"/>
        </w:rPr>
        <w:t> 的进展和相关症状，比如：木脂素、类黄</w:t>
      </w:r>
      <w:r>
        <w:rPr>
          <w:spacing w:val="-5"/>
        </w:rPr>
        <w:t>酮、单宁、多酚、三萜类化合物、甾醇和生物碱，已被证明具有抗炎、抗淀粉</w:t>
      </w:r>
      <w:r>
        <w:rPr>
          <w:spacing w:val="-4"/>
        </w:rPr>
        <w:t>样变性、抗胆碱酯酶和抗炎性的属性。国内目前天士力、康弘药业、石药集团</w:t>
      </w:r>
      <w:r>
        <w:rPr>
          <w:spacing w:val="-6"/>
        </w:rPr>
        <w:t>等均将中药及天然产物推进到了临床 </w:t>
      </w:r>
      <w:r>
        <w:rPr/>
        <w:t>I</w:t>
      </w:r>
      <w:r>
        <w:rPr>
          <w:spacing w:val="-3"/>
        </w:rPr>
        <w:t>、</w:t>
      </w:r>
      <w:r>
        <w:rPr/>
        <w:t>II</w:t>
      </w:r>
      <w:r>
        <w:rPr>
          <w:spacing w:val="-20"/>
        </w:rPr>
        <w:t> 期。</w:t>
      </w:r>
    </w:p>
    <w:p>
      <w:pPr>
        <w:spacing w:after="0" w:line="278" w:lineRule="auto"/>
        <w:sectPr>
          <w:headerReference w:type="default" r:id="rId32"/>
          <w:footerReference w:type="default" r:id="rId33"/>
          <w:pgSz w:w="11910" w:h="16840"/>
          <w:pgMar w:header="454" w:footer="430" w:top="1220" w:bottom="620" w:left="560" w:right="540"/>
          <w:pgNumType w:start="11"/>
        </w:sectPr>
      </w:pPr>
    </w:p>
    <w:p>
      <w:pPr>
        <w:pStyle w:val="BodyText"/>
        <w:spacing w:before="104" w:after="19"/>
        <w:ind w:left="147"/>
      </w:pPr>
      <w:r>
        <w:rPr/>
        <w:t>图表15:国内治疗阿尔茨海默的中药及天然产物研究进展</w:t>
      </w:r>
    </w:p>
    <w:p>
      <w:pPr>
        <w:pStyle w:val="BodyText"/>
        <w:ind w:left="148"/>
        <w:rPr>
          <w:sz w:val="20"/>
        </w:rPr>
      </w:pPr>
      <w:r>
        <w:rPr>
          <w:sz w:val="20"/>
        </w:rPr>
        <w:drawing>
          <wp:inline distT="0" distB="0" distL="0" distR="0">
            <wp:extent cx="6630209" cy="819150"/>
            <wp:effectExtent l="0" t="0" r="0" b="0"/>
            <wp:docPr id="41" name="image20.png"/>
            <wp:cNvGraphicFramePr>
              <a:graphicFrameLocks noChangeAspect="1"/>
            </wp:cNvGraphicFramePr>
            <a:graphic>
              <a:graphicData uri="http://schemas.openxmlformats.org/drawingml/2006/picture">
                <pic:pic>
                  <pic:nvPicPr>
                    <pic:cNvPr id="42" name="image20.png"/>
                    <pic:cNvPicPr/>
                  </pic:nvPicPr>
                  <pic:blipFill>
                    <a:blip r:embed="rId36" cstate="print"/>
                    <a:stretch>
                      <a:fillRect/>
                    </a:stretch>
                  </pic:blipFill>
                  <pic:spPr>
                    <a:xfrm>
                      <a:off x="0" y="0"/>
                      <a:ext cx="6630209" cy="819150"/>
                    </a:xfrm>
                    <a:prstGeom prst="rect">
                      <a:avLst/>
                    </a:prstGeom>
                  </pic:spPr>
                </pic:pic>
              </a:graphicData>
            </a:graphic>
          </wp:inline>
        </w:drawing>
      </w:r>
      <w:r>
        <w:rPr>
          <w:sz w:val="20"/>
        </w:rPr>
      </w:r>
    </w:p>
    <w:p>
      <w:pPr>
        <w:spacing w:before="17"/>
        <w:ind w:left="148" w:right="0" w:firstLine="0"/>
        <w:jc w:val="left"/>
        <w:rPr>
          <w:i/>
          <w:sz w:val="21"/>
        </w:rPr>
      </w:pPr>
      <w:r>
        <w:rPr>
          <w:i/>
          <w:sz w:val="21"/>
        </w:rPr>
        <w:t>资料来源：医药魔方，方正证券研究所</w:t>
      </w:r>
    </w:p>
    <w:p>
      <w:pPr>
        <w:pStyle w:val="BodyText"/>
        <w:spacing w:before="6"/>
        <w:rPr>
          <w:i/>
          <w:sz w:val="22"/>
        </w:rPr>
      </w:pPr>
    </w:p>
    <w:p>
      <w:pPr>
        <w:pStyle w:val="BodyText"/>
        <w:spacing w:line="278" w:lineRule="auto" w:before="72"/>
        <w:ind w:left="3324" w:right="230"/>
      </w:pPr>
      <w:r>
        <w:rPr>
          <w:spacing w:val="-3"/>
        </w:rPr>
        <w:t>在寻找阿尔茨海默病的治疗方法的过程中，一个新兴的医学分支带来了新的希望。干细胞疗法已经被用于治疗各种癌症以及血液和免疫系统的疾病。目前我</w:t>
      </w:r>
      <w:r>
        <w:rPr>
          <w:spacing w:val="-5"/>
        </w:rPr>
        <w:t>国已有多家机构将干细胞及外泌体疗法推进到了临床 </w:t>
      </w:r>
      <w:r>
        <w:rPr/>
        <w:t>I</w:t>
      </w:r>
      <w:r>
        <w:rPr>
          <w:spacing w:val="-24"/>
        </w:rPr>
        <w:t> 期和 </w:t>
      </w:r>
      <w:r>
        <w:rPr/>
        <w:t>II</w:t>
      </w:r>
      <w:r>
        <w:rPr>
          <w:spacing w:val="-8"/>
        </w:rPr>
        <w:t> 期，临床前试验</w:t>
      </w:r>
      <w:r>
        <w:rPr>
          <w:spacing w:val="-5"/>
        </w:rPr>
        <w:t>和临床试验表明：干细胞移植治疗阿尔茨海默症不仅可以调节脑内炎症的大环</w:t>
      </w:r>
      <w:r>
        <w:rPr>
          <w:spacing w:val="-4"/>
        </w:rPr>
        <w:t>境，还能促进神经再生和突触连接，能够有效的改善患者病情，干细胞治疗阿</w:t>
      </w:r>
      <w:r>
        <w:rPr>
          <w:spacing w:val="-3"/>
        </w:rPr>
        <w:t>尔茨海默症未来可期，能让更多老年痴呆患者病情得到控制和有效改善。</w:t>
      </w:r>
    </w:p>
    <w:p>
      <w:pPr>
        <w:pStyle w:val="BodyText"/>
        <w:spacing w:before="4"/>
        <w:rPr>
          <w:sz w:val="24"/>
        </w:rPr>
      </w:pPr>
    </w:p>
    <w:p>
      <w:pPr>
        <w:pStyle w:val="BodyText"/>
        <w:spacing w:after="19"/>
        <w:ind w:left="147"/>
      </w:pPr>
      <w:r>
        <w:rPr/>
        <w:t>图表16:我国以干细胞、外泌体疗法治疗阿尔茨海默的进展</w:t>
      </w:r>
    </w:p>
    <w:p>
      <w:pPr>
        <w:pStyle w:val="BodyText"/>
        <w:spacing w:line="20" w:lineRule="exact"/>
        <w:ind w:left="148"/>
        <w:rPr>
          <w:sz w:val="2"/>
        </w:rPr>
      </w:pPr>
      <w:r>
        <w:rPr>
          <w:sz w:val="2"/>
        </w:rPr>
        <w:pict>
          <v:group style="width:521.75pt;height:1pt;mso-position-horizontal-relative:char;mso-position-vertical-relative:line" coordorigin="0,0" coordsize="10435,20">
            <v:rect style="position:absolute;left:0;top:0;width:10435;height:20" filled="true" fillcolor="#000000" stroked="false">
              <v:fill type="solid"/>
            </v:rect>
          </v:group>
        </w:pict>
      </w:r>
      <w:r>
        <w:rPr>
          <w:sz w:val="2"/>
        </w:rPr>
      </w:r>
    </w:p>
    <w:p>
      <w:pPr>
        <w:pStyle w:val="BodyText"/>
        <w:spacing w:before="5"/>
        <w:rPr>
          <w:sz w:val="11"/>
        </w:rPr>
      </w:pPr>
      <w:r>
        <w:rPr/>
        <w:drawing>
          <wp:anchor distT="0" distB="0" distL="0" distR="0" allowOverlap="1" layoutInCell="1" locked="0" behindDoc="0" simplePos="0" relativeHeight="42">
            <wp:simplePos x="0" y="0"/>
            <wp:positionH relativeFrom="page">
              <wp:posOffset>491359</wp:posOffset>
            </wp:positionH>
            <wp:positionV relativeFrom="paragraph">
              <wp:posOffset>117768</wp:posOffset>
            </wp:positionV>
            <wp:extent cx="6515511" cy="795527"/>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37" cstate="print"/>
                    <a:stretch>
                      <a:fillRect/>
                    </a:stretch>
                  </pic:blipFill>
                  <pic:spPr>
                    <a:xfrm>
                      <a:off x="0" y="0"/>
                      <a:ext cx="6515511" cy="795527"/>
                    </a:xfrm>
                    <a:prstGeom prst="rect">
                      <a:avLst/>
                    </a:prstGeom>
                  </pic:spPr>
                </pic:pic>
              </a:graphicData>
            </a:graphic>
          </wp:anchor>
        </w:drawing>
      </w:r>
      <w:r>
        <w:rPr/>
        <w:pict>
          <v:rect style="position:absolute;margin-left:35.400002pt;margin-top:81.559998pt;width:521.74pt;height:.95999pt;mso-position-horizontal-relative:page;mso-position-vertical-relative:paragraph;z-index:-15706624;mso-wrap-distance-left:0;mso-wrap-distance-right:0" filled="true" fillcolor="#000000" stroked="false">
            <v:fill type="solid"/>
            <w10:wrap type="topAndBottom"/>
          </v:rect>
        </w:pict>
      </w:r>
    </w:p>
    <w:p>
      <w:pPr>
        <w:pStyle w:val="BodyText"/>
        <w:spacing w:before="9"/>
        <w:rPr>
          <w:sz w:val="9"/>
        </w:rPr>
      </w:pPr>
    </w:p>
    <w:p>
      <w:pPr>
        <w:spacing w:before="0"/>
        <w:ind w:left="148" w:right="0" w:firstLine="0"/>
        <w:jc w:val="left"/>
        <w:rPr>
          <w:i/>
          <w:sz w:val="21"/>
        </w:rPr>
      </w:pPr>
      <w:r>
        <w:rPr>
          <w:i/>
          <w:sz w:val="21"/>
        </w:rPr>
        <w:t>资料来源：医药魔方，方正证券研究所</w:t>
      </w:r>
    </w:p>
    <w:p>
      <w:pPr>
        <w:pStyle w:val="BodyText"/>
        <w:spacing w:before="5"/>
        <w:rPr>
          <w:i/>
          <w:sz w:val="20"/>
        </w:rPr>
      </w:pPr>
    </w:p>
    <w:p>
      <w:pPr>
        <w:pStyle w:val="Heading2"/>
        <w:numPr>
          <w:ilvl w:val="0"/>
          <w:numId w:val="3"/>
        </w:numPr>
        <w:tabs>
          <w:tab w:pos="3512" w:val="left" w:leader="none"/>
        </w:tabs>
        <w:spacing w:line="240" w:lineRule="auto" w:before="67" w:after="0"/>
        <w:ind w:left="3511" w:right="0" w:hanging="188"/>
        <w:jc w:val="left"/>
      </w:pPr>
      <w:bookmarkStart w:name="_TOC_250000" w:id="3"/>
      <w:r>
        <w:rPr>
          <w:spacing w:val="-4"/>
        </w:rPr>
        <w:t>诊断市场规模庞大，阿尔茨海默 </w:t>
      </w:r>
      <w:r>
        <w:rPr/>
        <w:t>PET</w:t>
      </w:r>
      <w:bookmarkEnd w:id="3"/>
      <w:r>
        <w:rPr>
          <w:spacing w:val="-8"/>
        </w:rPr>
        <w:t> 检测市场未来有望近百亿</w:t>
      </w:r>
    </w:p>
    <w:p>
      <w:pPr>
        <w:pStyle w:val="BodyText"/>
        <w:spacing w:line="278" w:lineRule="auto" w:before="25"/>
        <w:ind w:left="3324" w:right="230"/>
      </w:pPr>
      <w:r>
        <w:rPr>
          <w:spacing w:val="-9"/>
        </w:rPr>
        <w:t>根据《中国阿尔茨海默病痴呆诊疗指南》，目前针对阿尔茨海默的检查主要有临</w:t>
      </w:r>
      <w:r>
        <w:rPr>
          <w:spacing w:val="-5"/>
        </w:rPr>
        <w:t>床评估、脑影像学检查和实验室检查三种方式，临床评估作为常规检查，性能</w:t>
      </w:r>
      <w:r>
        <w:rPr>
          <w:spacing w:val="-8"/>
        </w:rPr>
        <w:t>一般，目前全球主流诊断方式是 </w:t>
      </w:r>
      <w:r>
        <w:rPr/>
        <w:t>PET</w:t>
      </w:r>
      <w:r>
        <w:rPr>
          <w:spacing w:val="-8"/>
        </w:rPr>
        <w:t> 检测和脑脊液检测两种。</w:t>
      </w:r>
    </w:p>
    <w:p>
      <w:pPr>
        <w:pStyle w:val="BodyText"/>
        <w:spacing w:before="4"/>
        <w:rPr>
          <w:sz w:val="24"/>
        </w:rPr>
      </w:pPr>
    </w:p>
    <w:p>
      <w:pPr>
        <w:pStyle w:val="BodyText"/>
        <w:spacing w:after="21"/>
        <w:ind w:left="3324"/>
      </w:pPr>
      <w:r>
        <w:rPr/>
        <w:t>图表17:阿尔茨海默三种检测方式</w:t>
      </w:r>
    </w:p>
    <w:tbl>
      <w:tblPr>
        <w:tblW w:w="0" w:type="auto"/>
        <w:jc w:val="left"/>
        <w:tblInd w:w="3334" w:type="dxa"/>
        <w:tblBorders>
          <w:top w:val="thickThinMediumGap" w:sz="4" w:space="0" w:color="000000"/>
          <w:left w:val="thickThinMediumGap" w:sz="4" w:space="0" w:color="000000"/>
          <w:bottom w:val="thickThinMediumGap" w:sz="4" w:space="0" w:color="000000"/>
          <w:right w:val="thickThinMediumGap" w:sz="4" w:space="0" w:color="000000"/>
          <w:insideH w:val="thickThinMediumGap" w:sz="4" w:space="0" w:color="000000"/>
          <w:insideV w:val="thickThinMediumGap" w:sz="4" w:space="0" w:color="000000"/>
        </w:tblBorders>
        <w:tblLayout w:type="fixed"/>
        <w:tblCellMar>
          <w:top w:w="0" w:type="dxa"/>
          <w:left w:w="0" w:type="dxa"/>
          <w:bottom w:w="0" w:type="dxa"/>
          <w:right w:w="0" w:type="dxa"/>
        </w:tblCellMar>
        <w:tblLook w:val="01E0"/>
      </w:tblPr>
      <w:tblGrid>
        <w:gridCol w:w="1217"/>
        <w:gridCol w:w="1275"/>
        <w:gridCol w:w="2552"/>
        <w:gridCol w:w="2206"/>
      </w:tblGrid>
      <w:tr>
        <w:trPr>
          <w:trHeight w:val="318" w:hRule="atLeast"/>
        </w:trPr>
        <w:tc>
          <w:tcPr>
            <w:tcW w:w="1217" w:type="dxa"/>
            <w:tcBorders>
              <w:left w:val="single" w:sz="4" w:space="0" w:color="000000"/>
              <w:bottom w:val="single" w:sz="4" w:space="0" w:color="000000"/>
              <w:right w:val="single" w:sz="4" w:space="0" w:color="000000"/>
            </w:tcBorders>
            <w:shd w:val="clear" w:color="auto" w:fill="C00000"/>
          </w:tcPr>
          <w:p>
            <w:pPr>
              <w:pStyle w:val="TableParagraph"/>
              <w:spacing w:before="34"/>
              <w:ind w:left="208"/>
              <w:jc w:val="left"/>
              <w:rPr>
                <w:sz w:val="20"/>
              </w:rPr>
            </w:pPr>
            <w:r>
              <w:rPr>
                <w:color w:val="FFFFFF"/>
                <w:sz w:val="20"/>
              </w:rPr>
              <w:t>检查方式</w:t>
            </w:r>
          </w:p>
        </w:tc>
        <w:tc>
          <w:tcPr>
            <w:tcW w:w="1275" w:type="dxa"/>
            <w:tcBorders>
              <w:left w:val="single" w:sz="4" w:space="0" w:color="000000"/>
              <w:bottom w:val="single" w:sz="4" w:space="0" w:color="000000"/>
              <w:right w:val="single" w:sz="4" w:space="0" w:color="000000"/>
            </w:tcBorders>
            <w:shd w:val="clear" w:color="auto" w:fill="C00000"/>
          </w:tcPr>
          <w:p>
            <w:pPr>
              <w:pStyle w:val="TableParagraph"/>
              <w:spacing w:before="34"/>
              <w:ind w:left="115" w:right="109"/>
              <w:rPr>
                <w:sz w:val="20"/>
              </w:rPr>
            </w:pPr>
            <w:r>
              <w:rPr>
                <w:color w:val="FFFFFF"/>
                <w:sz w:val="20"/>
              </w:rPr>
              <w:t>分类</w:t>
            </w:r>
          </w:p>
        </w:tc>
        <w:tc>
          <w:tcPr>
            <w:tcW w:w="2552" w:type="dxa"/>
            <w:tcBorders>
              <w:left w:val="single" w:sz="4" w:space="0" w:color="000000"/>
              <w:bottom w:val="single" w:sz="4" w:space="0" w:color="000000"/>
              <w:right w:val="single" w:sz="4" w:space="0" w:color="000000"/>
            </w:tcBorders>
            <w:shd w:val="clear" w:color="auto" w:fill="C00000"/>
          </w:tcPr>
          <w:p>
            <w:pPr>
              <w:pStyle w:val="TableParagraph"/>
              <w:spacing w:before="34"/>
              <w:ind w:left="100" w:right="95"/>
              <w:rPr>
                <w:sz w:val="20"/>
              </w:rPr>
            </w:pPr>
            <w:r>
              <w:rPr>
                <w:color w:val="FFFFFF"/>
                <w:sz w:val="20"/>
              </w:rPr>
              <w:t>检查项目</w:t>
            </w:r>
          </w:p>
        </w:tc>
        <w:tc>
          <w:tcPr>
            <w:tcW w:w="2206" w:type="dxa"/>
            <w:tcBorders>
              <w:left w:val="single" w:sz="4" w:space="0" w:color="000000"/>
              <w:bottom w:val="single" w:sz="4" w:space="0" w:color="000000"/>
              <w:right w:val="single" w:sz="4" w:space="0" w:color="000000"/>
            </w:tcBorders>
            <w:shd w:val="clear" w:color="auto" w:fill="C00000"/>
          </w:tcPr>
          <w:p>
            <w:pPr>
              <w:pStyle w:val="TableParagraph"/>
              <w:spacing w:before="34"/>
              <w:ind w:left="181" w:right="173"/>
              <w:rPr>
                <w:sz w:val="20"/>
              </w:rPr>
            </w:pPr>
            <w:r>
              <w:rPr>
                <w:color w:val="FFFFFF"/>
                <w:sz w:val="20"/>
              </w:rPr>
              <w:t>优劣势</w:t>
            </w:r>
          </w:p>
        </w:tc>
      </w:tr>
      <w:tr>
        <w:trPr>
          <w:trHeight w:val="311" w:hRule="atLeast"/>
        </w:trPr>
        <w:tc>
          <w:tcPr>
            <w:tcW w:w="1217"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9"/>
              <w:jc w:val="left"/>
              <w:rPr>
                <w:sz w:val="14"/>
              </w:rPr>
            </w:pPr>
          </w:p>
          <w:p>
            <w:pPr>
              <w:pStyle w:val="TableParagraph"/>
              <w:spacing w:before="0"/>
              <w:ind w:left="208"/>
              <w:jc w:val="left"/>
              <w:rPr>
                <w:sz w:val="20"/>
              </w:rPr>
            </w:pPr>
            <w:r>
              <w:rPr>
                <w:sz w:val="20"/>
              </w:rPr>
              <w:t>临床评估</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before="27"/>
              <w:ind w:left="115" w:right="109"/>
              <w:rPr>
                <w:sz w:val="20"/>
              </w:rPr>
            </w:pPr>
            <w:r>
              <w:rPr>
                <w:sz w:val="20"/>
              </w:rPr>
              <w:t>认知评估</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before="27"/>
              <w:ind w:left="100" w:right="95"/>
              <w:rPr>
                <w:sz w:val="20"/>
              </w:rPr>
            </w:pPr>
            <w:r>
              <w:rPr>
                <w:sz w:val="20"/>
              </w:rPr>
              <w:t>综合认知、单领域</w:t>
            </w:r>
          </w:p>
        </w:tc>
        <w:tc>
          <w:tcPr>
            <w:tcW w:w="2206"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9"/>
              <w:jc w:val="left"/>
              <w:rPr>
                <w:sz w:val="14"/>
              </w:rPr>
            </w:pPr>
          </w:p>
          <w:p>
            <w:pPr>
              <w:pStyle w:val="TableParagraph"/>
              <w:spacing w:before="0"/>
              <w:ind w:left="203"/>
              <w:jc w:val="left"/>
              <w:rPr>
                <w:sz w:val="20"/>
              </w:rPr>
            </w:pPr>
            <w:r>
              <w:rPr>
                <w:sz w:val="20"/>
              </w:rPr>
              <w:t>常规检查，性能一般</w:t>
            </w:r>
          </w:p>
        </w:tc>
      </w:tr>
      <w:tr>
        <w:trPr>
          <w:trHeight w:val="311" w:hRule="atLeast"/>
        </w:trPr>
        <w:tc>
          <w:tcPr>
            <w:tcW w:w="1217" w:type="dxa"/>
            <w:vMerge/>
            <w:tcBorders>
              <w:top w:val="nil"/>
              <w:left w:val="single" w:sz="4" w:space="0" w:color="000000"/>
              <w:bottom w:val="single" w:sz="4" w:space="0" w:color="000000"/>
              <w:right w:val="single" w:sz="4" w:space="0" w:color="000000"/>
            </w:tcBorders>
          </w:tcPr>
          <w:p>
            <w:pPr>
              <w:rPr>
                <w:sz w:val="2"/>
                <w:szCs w:val="2"/>
              </w:rPr>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before="27"/>
              <w:ind w:left="115" w:right="109"/>
              <w:rPr>
                <w:sz w:val="20"/>
              </w:rPr>
            </w:pPr>
            <w:r>
              <w:rPr>
                <w:sz w:val="20"/>
              </w:rPr>
              <w:t>行为评估</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before="27"/>
              <w:ind w:left="97" w:right="95"/>
              <w:rPr>
                <w:sz w:val="20"/>
              </w:rPr>
            </w:pPr>
            <w:r>
              <w:rPr>
                <w:sz w:val="20"/>
              </w:rPr>
              <w:t>评估行为障碍</w:t>
            </w:r>
          </w:p>
        </w:tc>
        <w:tc>
          <w:tcPr>
            <w:tcW w:w="2206" w:type="dxa"/>
            <w:vMerge/>
            <w:tcBorders>
              <w:top w:val="nil"/>
              <w:left w:val="single" w:sz="4" w:space="0" w:color="000000"/>
              <w:bottom w:val="single" w:sz="4" w:space="0" w:color="000000"/>
              <w:right w:val="single" w:sz="4" w:space="0" w:color="000000"/>
            </w:tcBorders>
          </w:tcPr>
          <w:p>
            <w:pPr>
              <w:rPr>
                <w:sz w:val="2"/>
                <w:szCs w:val="2"/>
              </w:rPr>
            </w:pPr>
          </w:p>
        </w:tc>
      </w:tr>
      <w:tr>
        <w:trPr>
          <w:trHeight w:val="311" w:hRule="atLeast"/>
        </w:trPr>
        <w:tc>
          <w:tcPr>
            <w:tcW w:w="1217"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0"/>
              <w:jc w:val="left"/>
              <w:rPr>
                <w:sz w:val="20"/>
              </w:rPr>
            </w:pPr>
          </w:p>
          <w:p>
            <w:pPr>
              <w:pStyle w:val="TableParagraph"/>
              <w:spacing w:before="0"/>
              <w:jc w:val="left"/>
              <w:rPr>
                <w:sz w:val="19"/>
              </w:rPr>
            </w:pPr>
          </w:p>
          <w:p>
            <w:pPr>
              <w:pStyle w:val="TableParagraph"/>
              <w:spacing w:before="1"/>
              <w:ind w:left="107"/>
              <w:jc w:val="left"/>
              <w:rPr>
                <w:sz w:val="20"/>
              </w:rPr>
            </w:pPr>
            <w:r>
              <w:rPr>
                <w:sz w:val="20"/>
              </w:rPr>
              <w:t>脑影像检查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before="28"/>
              <w:ind w:left="115" w:right="110"/>
              <w:rPr>
                <w:sz w:val="20"/>
              </w:rPr>
            </w:pPr>
            <w:r>
              <w:rPr>
                <w:sz w:val="20"/>
              </w:rPr>
              <w:t>结构影像学</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before="28"/>
              <w:ind w:left="100" w:right="93"/>
              <w:rPr>
                <w:rFonts w:ascii="Times New Roman" w:eastAsia="Times New Roman"/>
                <w:sz w:val="20"/>
              </w:rPr>
            </w:pPr>
            <w:r>
              <w:rPr>
                <w:rFonts w:ascii="Times New Roman" w:eastAsia="Times New Roman"/>
                <w:sz w:val="20"/>
              </w:rPr>
              <w:t>MRI </w:t>
            </w:r>
            <w:r>
              <w:rPr>
                <w:sz w:val="20"/>
              </w:rPr>
              <w:t>头颅平扫、</w:t>
            </w:r>
            <w:r>
              <w:rPr>
                <w:rFonts w:ascii="Times New Roman" w:eastAsia="Times New Roman"/>
                <w:sz w:val="20"/>
              </w:rPr>
              <w:t>CT</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before="28"/>
              <w:ind w:left="182" w:right="173"/>
              <w:rPr>
                <w:sz w:val="20"/>
              </w:rPr>
            </w:pPr>
            <w:r>
              <w:rPr>
                <w:sz w:val="20"/>
              </w:rPr>
              <w:t>鉴别早发性能不佳</w:t>
            </w:r>
          </w:p>
        </w:tc>
      </w:tr>
      <w:tr>
        <w:trPr>
          <w:trHeight w:val="936" w:hRule="atLeast"/>
        </w:trPr>
        <w:tc>
          <w:tcPr>
            <w:tcW w:w="1217" w:type="dxa"/>
            <w:vMerge/>
            <w:tcBorders>
              <w:top w:val="nil"/>
              <w:left w:val="single" w:sz="4" w:space="0" w:color="000000"/>
              <w:bottom w:val="single" w:sz="4" w:space="0" w:color="000000"/>
              <w:right w:val="single" w:sz="4" w:space="0" w:color="000000"/>
            </w:tcBorders>
          </w:tcPr>
          <w:p>
            <w:pPr>
              <w:rPr>
                <w:sz w:val="2"/>
                <w:szCs w:val="2"/>
              </w:rPr>
            </w:pPr>
          </w:p>
        </w:tc>
        <w:tc>
          <w:tcPr>
            <w:tcW w:w="1275"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6"/>
              <w:jc w:val="left"/>
              <w:rPr>
                <w:sz w:val="26"/>
              </w:rPr>
            </w:pPr>
          </w:p>
          <w:p>
            <w:pPr>
              <w:pStyle w:val="TableParagraph"/>
              <w:spacing w:before="0"/>
              <w:ind w:left="115" w:right="110"/>
              <w:rPr>
                <w:sz w:val="20"/>
              </w:rPr>
            </w:pPr>
            <w:r>
              <w:rPr>
                <w:sz w:val="20"/>
              </w:rPr>
              <w:t>功能影像学</w:t>
            </w:r>
          </w:p>
        </w:tc>
        <w:tc>
          <w:tcPr>
            <w:tcW w:w="2552"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4"/>
              <w:jc w:val="left"/>
              <w:rPr>
                <w:sz w:val="14"/>
              </w:rPr>
            </w:pPr>
          </w:p>
          <w:p>
            <w:pPr>
              <w:pStyle w:val="TableParagraph"/>
              <w:spacing w:line="292" w:lineRule="auto" w:before="0"/>
              <w:ind w:left="973" w:right="123" w:hanging="800"/>
              <w:jc w:val="left"/>
              <w:rPr>
                <w:sz w:val="20"/>
              </w:rPr>
            </w:pPr>
            <w:r>
              <w:rPr>
                <w:rFonts w:ascii="Times New Roman" w:hAnsi="Times New Roman" w:eastAsia="Times New Roman"/>
                <w:sz w:val="20"/>
              </w:rPr>
              <w:t>PET</w:t>
            </w:r>
            <w:r>
              <w:rPr>
                <w:sz w:val="20"/>
              </w:rPr>
              <w:t>（</w:t>
            </w:r>
            <w:r>
              <w:rPr>
                <w:rFonts w:ascii="Times New Roman" w:hAnsi="Times New Roman" w:eastAsia="Times New Roman"/>
                <w:sz w:val="20"/>
              </w:rPr>
              <w:t>A</w:t>
            </w:r>
            <w:r>
              <w:rPr>
                <w:sz w:val="20"/>
              </w:rPr>
              <w:t>β、</w:t>
            </w:r>
            <w:r>
              <w:rPr>
                <w:rFonts w:ascii="Times New Roman" w:hAnsi="Times New Roman" w:eastAsia="Times New Roman"/>
                <w:sz w:val="20"/>
              </w:rPr>
              <w:t>FDG</w:t>
            </w:r>
            <w:r>
              <w:rPr>
                <w:sz w:val="20"/>
              </w:rPr>
              <w:t>、</w:t>
            </w:r>
            <w:r>
              <w:rPr>
                <w:rFonts w:ascii="Times New Roman" w:hAnsi="Times New Roman" w:eastAsia="Times New Roman"/>
                <w:sz w:val="20"/>
              </w:rPr>
              <w:t>Tau</w:t>
            </w:r>
            <w:r>
              <w:rPr>
                <w:sz w:val="20"/>
              </w:rPr>
              <w:t>） 示踪剂</w:t>
            </w:r>
          </w:p>
        </w:tc>
        <w:tc>
          <w:tcPr>
            <w:tcW w:w="2206"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line="292" w:lineRule="auto" w:before="27"/>
              <w:ind w:left="183" w:right="173"/>
              <w:rPr>
                <w:sz w:val="20"/>
              </w:rPr>
            </w:pPr>
            <w:r>
              <w:rPr>
                <w:sz w:val="20"/>
              </w:rPr>
              <w:t>适用于常规检测不能明确的诊断，价格昂</w:t>
            </w:r>
          </w:p>
          <w:p>
            <w:pPr>
              <w:pStyle w:val="TableParagraph"/>
              <w:spacing w:line="256" w:lineRule="exact" w:before="0"/>
              <w:ind w:left="12"/>
              <w:rPr>
                <w:sz w:val="20"/>
              </w:rPr>
            </w:pPr>
            <w:r>
              <w:rPr>
                <w:w w:val="99"/>
                <w:sz w:val="20"/>
              </w:rPr>
              <w:t>贵</w:t>
            </w:r>
          </w:p>
        </w:tc>
      </w:tr>
      <w:tr>
        <w:trPr>
          <w:trHeight w:val="615" w:hRule="atLeast"/>
        </w:trPr>
        <w:tc>
          <w:tcPr>
            <w:tcW w:w="1217" w:type="dxa"/>
            <w:vMerge w:val="restart"/>
            <w:tcBorders>
              <w:top w:val="single" w:sz="4" w:space="0" w:color="000000"/>
              <w:left w:val="single" w:sz="4" w:space="0" w:color="000000"/>
              <w:bottom w:val="single" w:sz="12" w:space="0" w:color="000000"/>
              <w:right w:val="single" w:sz="4" w:space="0" w:color="000000"/>
            </w:tcBorders>
          </w:tcPr>
          <w:p>
            <w:pPr>
              <w:pStyle w:val="TableParagraph"/>
              <w:spacing w:before="0"/>
              <w:jc w:val="left"/>
              <w:rPr>
                <w:sz w:val="20"/>
              </w:rPr>
            </w:pPr>
          </w:p>
          <w:p>
            <w:pPr>
              <w:pStyle w:val="TableParagraph"/>
              <w:spacing w:before="0"/>
              <w:jc w:val="left"/>
              <w:rPr>
                <w:sz w:val="20"/>
              </w:rPr>
            </w:pPr>
          </w:p>
          <w:p>
            <w:pPr>
              <w:pStyle w:val="TableParagraph"/>
              <w:spacing w:before="151"/>
              <w:ind w:left="107"/>
              <w:jc w:val="left"/>
              <w:rPr>
                <w:sz w:val="20"/>
              </w:rPr>
            </w:pPr>
            <w:r>
              <w:rPr>
                <w:sz w:val="20"/>
              </w:rPr>
              <w:t>实验室检查</w:t>
            </w:r>
          </w:p>
        </w:tc>
        <w:tc>
          <w:tcPr>
            <w:tcW w:w="1275"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6"/>
              <w:jc w:val="left"/>
              <w:rPr>
                <w:sz w:val="14"/>
              </w:rPr>
            </w:pPr>
          </w:p>
          <w:p>
            <w:pPr>
              <w:pStyle w:val="TableParagraph"/>
              <w:spacing w:before="1"/>
              <w:ind w:left="115" w:right="110"/>
              <w:rPr>
                <w:sz w:val="20"/>
              </w:rPr>
            </w:pPr>
            <w:r>
              <w:rPr>
                <w:sz w:val="20"/>
              </w:rPr>
              <w:t>脑脊液检查</w:t>
            </w:r>
          </w:p>
        </w:tc>
        <w:tc>
          <w:tcPr>
            <w:tcW w:w="2552"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99" w:right="95"/>
              <w:rPr>
                <w:rFonts w:ascii="Times New Roman" w:hAnsi="Times New Roman" w:eastAsia="Times New Roman"/>
                <w:sz w:val="20"/>
              </w:rPr>
            </w:pPr>
            <w:r>
              <w:rPr>
                <w:sz w:val="20"/>
              </w:rPr>
              <w:t>脑脊液的 </w:t>
            </w:r>
            <w:r>
              <w:rPr>
                <w:rFonts w:ascii="Times New Roman" w:hAnsi="Times New Roman" w:eastAsia="Times New Roman"/>
                <w:sz w:val="20"/>
              </w:rPr>
              <w:t>A</w:t>
            </w:r>
            <w:r>
              <w:rPr>
                <w:sz w:val="20"/>
              </w:rPr>
              <w:t>β蛋白与 </w:t>
            </w:r>
            <w:r>
              <w:rPr>
                <w:rFonts w:ascii="Times New Roman" w:hAnsi="Times New Roman" w:eastAsia="Times New Roman"/>
                <w:sz w:val="20"/>
              </w:rPr>
              <w:t>Tau</w:t>
            </w:r>
          </w:p>
          <w:p>
            <w:pPr>
              <w:pStyle w:val="TableParagraph"/>
              <w:spacing w:line="254" w:lineRule="exact" w:before="56"/>
              <w:ind w:left="100" w:right="95"/>
              <w:rPr>
                <w:sz w:val="20"/>
              </w:rPr>
            </w:pPr>
            <w:r>
              <w:rPr>
                <w:sz w:val="20"/>
              </w:rPr>
              <w:t>蛋白</w:t>
            </w:r>
          </w:p>
        </w:tc>
        <w:tc>
          <w:tcPr>
            <w:tcW w:w="2206" w:type="dxa"/>
            <w:vMerge w:val="restart"/>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11"/>
              <w:jc w:val="left"/>
              <w:rPr>
                <w:sz w:val="14"/>
              </w:rPr>
            </w:pPr>
          </w:p>
          <w:p>
            <w:pPr>
              <w:pStyle w:val="TableParagraph"/>
              <w:spacing w:line="292" w:lineRule="auto" w:before="0"/>
              <w:ind w:left="203" w:right="193" w:firstLine="2"/>
              <w:rPr>
                <w:sz w:val="20"/>
              </w:rPr>
            </w:pPr>
            <w:r>
              <w:rPr>
                <w:rFonts w:ascii="Times New Roman" w:eastAsia="Times New Roman"/>
                <w:sz w:val="20"/>
              </w:rPr>
              <w:t>AD </w:t>
            </w:r>
            <w:r>
              <w:rPr>
                <w:sz w:val="20"/>
              </w:rPr>
              <w:t>特异性的检查方式，敏感性高，但依从性低</w:t>
            </w:r>
          </w:p>
        </w:tc>
      </w:tr>
      <w:tr>
        <w:trPr>
          <w:trHeight w:val="603" w:hRule="atLeast"/>
        </w:trPr>
        <w:tc>
          <w:tcPr>
            <w:tcW w:w="1217" w:type="dxa"/>
            <w:vMerge/>
            <w:tcBorders>
              <w:top w:val="nil"/>
              <w:left w:val="single" w:sz="4" w:space="0" w:color="000000"/>
              <w:bottom w:val="single" w:sz="12" w:space="0" w:color="000000"/>
              <w:right w:val="single" w:sz="4" w:space="0" w:color="000000"/>
            </w:tcBorders>
          </w:tcPr>
          <w:p>
            <w:pPr>
              <w:rPr>
                <w:sz w:val="2"/>
                <w:szCs w:val="2"/>
              </w:rPr>
            </w:pPr>
          </w:p>
        </w:tc>
        <w:tc>
          <w:tcPr>
            <w:tcW w:w="1275"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173"/>
              <w:ind w:left="115" w:right="109"/>
              <w:rPr>
                <w:sz w:val="20"/>
              </w:rPr>
            </w:pPr>
            <w:r>
              <w:rPr>
                <w:sz w:val="20"/>
              </w:rPr>
              <w:t>血液检查</w:t>
            </w:r>
          </w:p>
        </w:tc>
        <w:tc>
          <w:tcPr>
            <w:tcW w:w="2552"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17"/>
              <w:ind w:left="100" w:right="95"/>
              <w:rPr>
                <w:sz w:val="20"/>
              </w:rPr>
            </w:pPr>
            <w:r>
              <w:rPr>
                <w:sz w:val="20"/>
              </w:rPr>
              <w:t>血液的 </w:t>
            </w:r>
            <w:r>
              <w:rPr>
                <w:rFonts w:ascii="Times New Roman" w:hAnsi="Times New Roman" w:eastAsia="Times New Roman"/>
                <w:sz w:val="20"/>
              </w:rPr>
              <w:t>A</w:t>
            </w:r>
            <w:r>
              <w:rPr>
                <w:sz w:val="20"/>
              </w:rPr>
              <w:t>β蛋白与 </w:t>
            </w:r>
            <w:r>
              <w:rPr>
                <w:rFonts w:ascii="Times New Roman" w:hAnsi="Times New Roman" w:eastAsia="Times New Roman"/>
                <w:sz w:val="20"/>
              </w:rPr>
              <w:t>Tau </w:t>
            </w:r>
            <w:r>
              <w:rPr>
                <w:sz w:val="20"/>
              </w:rPr>
              <w:t>蛋</w:t>
            </w:r>
          </w:p>
          <w:p>
            <w:pPr>
              <w:pStyle w:val="TableParagraph"/>
              <w:spacing w:line="254" w:lineRule="exact" w:before="56"/>
              <w:ind w:left="8"/>
              <w:rPr>
                <w:sz w:val="20"/>
              </w:rPr>
            </w:pPr>
            <w:r>
              <w:rPr>
                <w:w w:val="99"/>
                <w:sz w:val="20"/>
              </w:rPr>
              <w:t>白</w:t>
            </w:r>
          </w:p>
        </w:tc>
        <w:tc>
          <w:tcPr>
            <w:tcW w:w="2206" w:type="dxa"/>
            <w:vMerge/>
            <w:tcBorders>
              <w:top w:val="nil"/>
              <w:left w:val="single" w:sz="4" w:space="0" w:color="000000"/>
              <w:bottom w:val="single" w:sz="4" w:space="0" w:color="000000"/>
              <w:right w:val="single" w:sz="4" w:space="0" w:color="000000"/>
            </w:tcBorders>
            <w:shd w:val="clear" w:color="auto" w:fill="E9ECF4"/>
          </w:tcPr>
          <w:p>
            <w:pPr>
              <w:rPr>
                <w:sz w:val="2"/>
                <w:szCs w:val="2"/>
              </w:rPr>
            </w:pPr>
          </w:p>
        </w:tc>
      </w:tr>
      <w:tr>
        <w:trPr>
          <w:trHeight w:val="301" w:hRule="atLeast"/>
        </w:trPr>
        <w:tc>
          <w:tcPr>
            <w:tcW w:w="1217" w:type="dxa"/>
            <w:vMerge/>
            <w:tcBorders>
              <w:top w:val="nil"/>
              <w:left w:val="single" w:sz="4" w:space="0" w:color="000000"/>
              <w:bottom w:val="single" w:sz="12" w:space="0" w:color="000000"/>
              <w:right w:val="single" w:sz="4" w:space="0" w:color="000000"/>
            </w:tcBorders>
          </w:tcPr>
          <w:p>
            <w:pPr>
              <w:rPr>
                <w:sz w:val="2"/>
                <w:szCs w:val="2"/>
              </w:rPr>
            </w:pPr>
          </w:p>
        </w:tc>
        <w:tc>
          <w:tcPr>
            <w:tcW w:w="1275" w:type="dxa"/>
            <w:tcBorders>
              <w:top w:val="single" w:sz="4" w:space="0" w:color="000000"/>
              <w:left w:val="single" w:sz="4" w:space="0" w:color="000000"/>
              <w:bottom w:val="single" w:sz="12" w:space="0" w:color="000000"/>
              <w:right w:val="single" w:sz="4" w:space="0" w:color="000000"/>
            </w:tcBorders>
          </w:tcPr>
          <w:p>
            <w:pPr>
              <w:pStyle w:val="TableParagraph"/>
              <w:spacing w:before="17"/>
              <w:ind w:left="115" w:right="109"/>
              <w:rPr>
                <w:sz w:val="20"/>
              </w:rPr>
            </w:pPr>
            <w:r>
              <w:rPr>
                <w:sz w:val="20"/>
              </w:rPr>
              <w:t>基因测序</w:t>
            </w:r>
          </w:p>
        </w:tc>
        <w:tc>
          <w:tcPr>
            <w:tcW w:w="2552" w:type="dxa"/>
            <w:tcBorders>
              <w:top w:val="single" w:sz="4" w:space="0" w:color="000000"/>
              <w:left w:val="single" w:sz="4" w:space="0" w:color="000000"/>
              <w:bottom w:val="single" w:sz="12" w:space="0" w:color="000000"/>
              <w:right w:val="single" w:sz="4" w:space="0" w:color="000000"/>
            </w:tcBorders>
          </w:tcPr>
          <w:p>
            <w:pPr>
              <w:pStyle w:val="TableParagraph"/>
              <w:spacing w:before="17"/>
              <w:ind w:left="97" w:right="95"/>
              <w:rPr>
                <w:sz w:val="20"/>
              </w:rPr>
            </w:pPr>
            <w:r>
              <w:rPr>
                <w:sz w:val="20"/>
              </w:rPr>
              <w:t>致病基因突变</w:t>
            </w:r>
          </w:p>
        </w:tc>
        <w:tc>
          <w:tcPr>
            <w:tcW w:w="2206" w:type="dxa"/>
            <w:tcBorders>
              <w:top w:val="single" w:sz="4" w:space="0" w:color="000000"/>
              <w:left w:val="single" w:sz="4" w:space="0" w:color="000000"/>
              <w:bottom w:val="single" w:sz="12" w:space="0" w:color="000000"/>
              <w:right w:val="single" w:sz="4" w:space="0" w:color="000000"/>
            </w:tcBorders>
          </w:tcPr>
          <w:p>
            <w:pPr>
              <w:pStyle w:val="TableParagraph"/>
              <w:spacing w:before="0"/>
              <w:jc w:val="left"/>
              <w:rPr>
                <w:rFonts w:ascii="Times New Roman"/>
                <w:sz w:val="20"/>
              </w:rPr>
            </w:pPr>
          </w:p>
        </w:tc>
      </w:tr>
    </w:tbl>
    <w:p>
      <w:pPr>
        <w:spacing w:before="18"/>
        <w:ind w:left="3324" w:right="0" w:firstLine="0"/>
        <w:jc w:val="left"/>
        <w:rPr>
          <w:i/>
          <w:sz w:val="21"/>
        </w:rPr>
      </w:pPr>
      <w:r>
        <w:rPr>
          <w:i/>
          <w:spacing w:val="-15"/>
          <w:w w:val="94"/>
          <w:sz w:val="21"/>
        </w:rPr>
        <w:t>资料来源：《中国阿尔茨海默病痴呆诊疗指南》</w:t>
      </w:r>
      <w:r>
        <w:rPr>
          <w:i/>
          <w:w w:val="94"/>
          <w:sz w:val="21"/>
        </w:rPr>
        <w:t>（</w:t>
      </w:r>
      <w:r>
        <w:rPr>
          <w:i/>
          <w:spacing w:val="1"/>
          <w:w w:val="94"/>
          <w:sz w:val="21"/>
        </w:rPr>
        <w:t>202</w:t>
      </w:r>
      <w:r>
        <w:rPr>
          <w:i/>
          <w:w w:val="94"/>
          <w:sz w:val="21"/>
        </w:rPr>
        <w:t>0</w:t>
      </w:r>
      <w:r>
        <w:rPr>
          <w:i/>
          <w:spacing w:val="-56"/>
          <w:sz w:val="21"/>
        </w:rPr>
        <w:t> </w:t>
      </w:r>
      <w:r>
        <w:rPr>
          <w:i/>
          <w:w w:val="94"/>
          <w:sz w:val="21"/>
        </w:rPr>
        <w:t>年版</w:t>
      </w:r>
      <w:r>
        <w:rPr>
          <w:i/>
          <w:spacing w:val="-98"/>
          <w:w w:val="94"/>
          <w:sz w:val="21"/>
        </w:rPr>
        <w:t>）</w:t>
      </w:r>
      <w:r>
        <w:rPr>
          <w:i/>
          <w:w w:val="94"/>
          <w:sz w:val="21"/>
        </w:rPr>
        <w:t>，方正证券研究所</w:t>
      </w:r>
    </w:p>
    <w:p>
      <w:pPr>
        <w:pStyle w:val="BodyText"/>
        <w:spacing w:before="6"/>
        <w:rPr>
          <w:i/>
          <w:sz w:val="22"/>
        </w:rPr>
      </w:pPr>
    </w:p>
    <w:p>
      <w:pPr>
        <w:pStyle w:val="BodyText"/>
        <w:spacing w:line="278" w:lineRule="auto" w:before="71"/>
        <w:ind w:left="3324" w:right="228"/>
      </w:pPr>
      <w:r>
        <w:rPr/>
        <w:t>PET</w:t>
      </w:r>
      <w:r>
        <w:rPr>
          <w:spacing w:val="-12"/>
        </w:rPr>
        <w:t> 检测方法较为成熟，在 </w:t>
      </w:r>
      <w:r>
        <w:rPr/>
        <w:t>PET</w:t>
      </w:r>
      <w:r>
        <w:rPr>
          <w:spacing w:val="-8"/>
        </w:rPr>
        <w:t> 影像示踪剂方面，</w:t>
      </w:r>
      <w:r>
        <w:rPr/>
        <w:t>9</w:t>
      </w:r>
      <w:r>
        <w:rPr>
          <w:spacing w:val="-8"/>
        </w:rPr>
        <w:t> 月份先通医药的欧韦宁</w:t>
      </w:r>
      <w:r>
        <w:rPr/>
        <w:t>（氟[18F</w:t>
      </w:r>
      <w:r>
        <w:rPr>
          <w:spacing w:val="-3"/>
        </w:rPr>
        <w:t>]贝他苯注射液</w:t>
      </w:r>
      <w:r>
        <w:rPr/>
        <w:t>）</w:t>
      </w:r>
      <w:r>
        <w:rPr>
          <w:spacing w:val="-3"/>
        </w:rPr>
        <w:t>获得国家药品监督管理局</w:t>
      </w:r>
      <w:r>
        <w:rPr/>
        <w:t>（NMPA）</w:t>
      </w:r>
      <w:r>
        <w:rPr>
          <w:spacing w:val="-3"/>
        </w:rPr>
        <w:t>正式批准，这是国内首</w:t>
      </w:r>
      <w:r>
        <w:rPr>
          <w:spacing w:val="-6"/>
        </w:rPr>
        <w:t>个获批的用于阿尔茨海默病诊断的 </w:t>
      </w:r>
      <w:r>
        <w:rPr/>
        <w:t>A</w:t>
      </w:r>
      <w:r>
        <w:rPr>
          <w:rFonts w:ascii="黑体" w:hAnsi="黑体" w:eastAsia="黑体" w:hint="eastAsia"/>
        </w:rPr>
        <w:t>β</w:t>
      </w:r>
      <w:r>
        <w:rPr/>
        <w:t>-PET</w:t>
      </w:r>
      <w:r>
        <w:rPr>
          <w:spacing w:val="-8"/>
        </w:rPr>
        <w:t> 示踪剂，可实现早期、精准、无创</w:t>
      </w:r>
      <w:r>
        <w:rPr>
          <w:spacing w:val="-5"/>
        </w:rPr>
        <w:t>的阿尔茨海默病诊断，填补了我国在该领域的市场空白，此外东诚药业旗下安</w:t>
      </w:r>
    </w:p>
    <w:p>
      <w:pPr>
        <w:spacing w:after="0" w:line="278" w:lineRule="auto"/>
        <w:sectPr>
          <w:pgSz w:w="11910" w:h="16840"/>
          <w:pgMar w:header="454" w:footer="430" w:top="1220" w:bottom="620" w:left="560" w:right="540"/>
        </w:sectPr>
      </w:pPr>
    </w:p>
    <w:p>
      <w:pPr>
        <w:spacing w:line="278" w:lineRule="auto" w:before="104"/>
        <w:ind w:left="3324" w:right="260" w:firstLine="0"/>
        <w:jc w:val="left"/>
        <w:rPr>
          <w:sz w:val="21"/>
        </w:rPr>
      </w:pPr>
      <w:r>
        <w:rPr>
          <w:spacing w:val="-2"/>
          <w:sz w:val="21"/>
        </w:rPr>
        <w:t>迪科参与研发的</w:t>
      </w:r>
      <w:r>
        <w:rPr>
          <w:sz w:val="20"/>
        </w:rPr>
        <w:t>洛贝平注射液（</w:t>
      </w:r>
      <w:r>
        <w:rPr>
          <w:spacing w:val="-26"/>
          <w:sz w:val="20"/>
        </w:rPr>
        <w:t>仿 </w:t>
      </w:r>
      <w:r>
        <w:rPr>
          <w:sz w:val="20"/>
        </w:rPr>
        <w:t>Amyvid）</w:t>
      </w:r>
      <w:r>
        <w:rPr>
          <w:spacing w:val="-17"/>
          <w:sz w:val="20"/>
        </w:rPr>
        <w:t>已于 </w:t>
      </w:r>
      <w:r>
        <w:rPr>
          <w:sz w:val="20"/>
        </w:rPr>
        <w:t>2023</w:t>
      </w:r>
      <w:r>
        <w:rPr>
          <w:spacing w:val="-34"/>
          <w:sz w:val="20"/>
        </w:rPr>
        <w:t> 年 </w:t>
      </w:r>
      <w:r>
        <w:rPr>
          <w:sz w:val="20"/>
        </w:rPr>
        <w:t>8</w:t>
      </w:r>
      <w:r>
        <w:rPr>
          <w:spacing w:val="-8"/>
          <w:sz w:val="20"/>
        </w:rPr>
        <w:t> 月开启上市申请流程， </w:t>
      </w:r>
      <w:r>
        <w:rPr>
          <w:spacing w:val="-22"/>
          <w:sz w:val="20"/>
        </w:rPr>
        <w:t>另有 </w:t>
      </w:r>
      <w:r>
        <w:rPr>
          <w:sz w:val="21"/>
        </w:rPr>
        <w:t>18F-APN-1607</w:t>
      </w:r>
      <w:r>
        <w:rPr>
          <w:spacing w:val="-8"/>
          <w:sz w:val="21"/>
        </w:rPr>
        <w:t> 也处在Ⅲ期临床阶段，预计将很快上市。</w:t>
      </w:r>
    </w:p>
    <w:p>
      <w:pPr>
        <w:pStyle w:val="BodyText"/>
        <w:spacing w:before="10"/>
        <w:rPr>
          <w:sz w:val="18"/>
        </w:rPr>
      </w:pPr>
    </w:p>
    <w:p>
      <w:pPr>
        <w:pStyle w:val="BodyText"/>
        <w:spacing w:before="72" w:after="20"/>
        <w:ind w:left="147"/>
      </w:pPr>
      <w:r>
        <w:rPr/>
        <w:t>图表18:PET 影像示踪剂研发进展</w:t>
      </w:r>
    </w:p>
    <w:tbl>
      <w:tblPr>
        <w:tblW w:w="0" w:type="auto"/>
        <w:jc w:val="left"/>
        <w:tblInd w:w="1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5"/>
        <w:gridCol w:w="557"/>
        <w:gridCol w:w="2693"/>
        <w:gridCol w:w="1984"/>
        <w:gridCol w:w="2837"/>
        <w:gridCol w:w="2049"/>
        <w:gridCol w:w="239"/>
      </w:tblGrid>
      <w:tr>
        <w:trPr>
          <w:trHeight w:val="320" w:hRule="atLeast"/>
        </w:trPr>
        <w:tc>
          <w:tcPr>
            <w:tcW w:w="185" w:type="dxa"/>
            <w:vMerge w:val="restart"/>
            <w:tcBorders>
              <w:left w:val="nil"/>
              <w:right w:val="single" w:sz="4" w:space="0" w:color="000000"/>
            </w:tcBorders>
          </w:tcPr>
          <w:p>
            <w:pPr>
              <w:pStyle w:val="TableParagraph"/>
              <w:spacing w:before="0"/>
              <w:jc w:val="left"/>
              <w:rPr>
                <w:rFonts w:ascii="Times New Roman"/>
                <w:sz w:val="20"/>
              </w:rPr>
            </w:pPr>
          </w:p>
        </w:tc>
        <w:tc>
          <w:tcPr>
            <w:tcW w:w="557" w:type="dxa"/>
            <w:tcBorders>
              <w:top w:val="thickThinMediumGap" w:sz="4" w:space="0" w:color="000000"/>
              <w:left w:val="single" w:sz="4" w:space="0" w:color="000000"/>
              <w:bottom w:val="single" w:sz="4" w:space="0" w:color="000000"/>
              <w:right w:val="single" w:sz="4" w:space="0" w:color="000000"/>
            </w:tcBorders>
            <w:shd w:val="clear" w:color="auto" w:fill="C00000"/>
          </w:tcPr>
          <w:p>
            <w:pPr>
              <w:pStyle w:val="TableParagraph"/>
              <w:ind w:left="62" w:right="44"/>
              <w:rPr>
                <w:sz w:val="20"/>
              </w:rPr>
            </w:pPr>
            <w:r>
              <w:rPr>
                <w:color w:val="FFFFFF"/>
                <w:sz w:val="20"/>
              </w:rPr>
              <w:t>市场</w:t>
            </w:r>
          </w:p>
        </w:tc>
        <w:tc>
          <w:tcPr>
            <w:tcW w:w="2693" w:type="dxa"/>
            <w:tcBorders>
              <w:top w:val="thickThinMediumGap" w:sz="4" w:space="0" w:color="000000"/>
              <w:left w:val="single" w:sz="4" w:space="0" w:color="000000"/>
              <w:bottom w:val="single" w:sz="4" w:space="0" w:color="000000"/>
              <w:right w:val="single" w:sz="4" w:space="0" w:color="000000"/>
            </w:tcBorders>
            <w:shd w:val="clear" w:color="auto" w:fill="C00000"/>
          </w:tcPr>
          <w:p>
            <w:pPr>
              <w:pStyle w:val="TableParagraph"/>
              <w:ind w:left="122" w:right="104"/>
              <w:rPr>
                <w:sz w:val="20"/>
              </w:rPr>
            </w:pPr>
            <w:r>
              <w:rPr>
                <w:color w:val="FFFFFF"/>
                <w:sz w:val="20"/>
              </w:rPr>
              <w:t>产品</w:t>
            </w:r>
          </w:p>
        </w:tc>
        <w:tc>
          <w:tcPr>
            <w:tcW w:w="1984" w:type="dxa"/>
            <w:tcBorders>
              <w:top w:val="thickThinMediumGap" w:sz="4" w:space="0" w:color="000000"/>
              <w:left w:val="single" w:sz="4" w:space="0" w:color="000000"/>
              <w:bottom w:val="single" w:sz="4" w:space="0" w:color="000000"/>
              <w:right w:val="single" w:sz="4" w:space="0" w:color="000000"/>
            </w:tcBorders>
            <w:shd w:val="clear" w:color="auto" w:fill="C00000"/>
          </w:tcPr>
          <w:p>
            <w:pPr>
              <w:pStyle w:val="TableParagraph"/>
              <w:ind w:left="326" w:right="308"/>
              <w:rPr>
                <w:sz w:val="20"/>
              </w:rPr>
            </w:pPr>
            <w:r>
              <w:rPr>
                <w:color w:val="FFFFFF"/>
                <w:sz w:val="20"/>
              </w:rPr>
              <w:t>检测位点</w:t>
            </w:r>
          </w:p>
        </w:tc>
        <w:tc>
          <w:tcPr>
            <w:tcW w:w="2837" w:type="dxa"/>
            <w:tcBorders>
              <w:top w:val="thickThinMediumGap" w:sz="4" w:space="0" w:color="000000"/>
              <w:left w:val="single" w:sz="4" w:space="0" w:color="000000"/>
              <w:bottom w:val="single" w:sz="4" w:space="0" w:color="000000"/>
              <w:right w:val="single" w:sz="4" w:space="0" w:color="000000"/>
            </w:tcBorders>
            <w:shd w:val="clear" w:color="auto" w:fill="C00000"/>
          </w:tcPr>
          <w:p>
            <w:pPr>
              <w:pStyle w:val="TableParagraph"/>
              <w:ind w:left="166" w:right="144"/>
              <w:rPr>
                <w:sz w:val="20"/>
              </w:rPr>
            </w:pPr>
            <w:r>
              <w:rPr>
                <w:color w:val="FFFFFF"/>
                <w:sz w:val="20"/>
              </w:rPr>
              <w:t>公司</w:t>
            </w:r>
          </w:p>
        </w:tc>
        <w:tc>
          <w:tcPr>
            <w:tcW w:w="2049" w:type="dxa"/>
            <w:tcBorders>
              <w:top w:val="thickThinMediumGap" w:sz="4" w:space="0" w:color="000000"/>
              <w:left w:val="single" w:sz="4" w:space="0" w:color="000000"/>
              <w:bottom w:val="single" w:sz="4" w:space="0" w:color="000000"/>
              <w:right w:val="single" w:sz="4" w:space="0" w:color="000000"/>
            </w:tcBorders>
            <w:shd w:val="clear" w:color="auto" w:fill="C00000"/>
          </w:tcPr>
          <w:p>
            <w:pPr>
              <w:pStyle w:val="TableParagraph"/>
              <w:ind w:left="808" w:right="790"/>
              <w:rPr>
                <w:sz w:val="20"/>
              </w:rPr>
            </w:pPr>
            <w:r>
              <w:rPr>
                <w:color w:val="FFFFFF"/>
                <w:sz w:val="20"/>
              </w:rPr>
              <w:t>进展</w:t>
            </w:r>
          </w:p>
        </w:tc>
        <w:tc>
          <w:tcPr>
            <w:tcW w:w="239" w:type="dxa"/>
            <w:vMerge w:val="restart"/>
            <w:tcBorders>
              <w:left w:val="single" w:sz="4" w:space="0" w:color="000000"/>
              <w:right w:val="nil"/>
            </w:tcBorders>
          </w:tcPr>
          <w:p>
            <w:pPr>
              <w:pStyle w:val="TableParagraph"/>
              <w:spacing w:before="0"/>
              <w:jc w:val="left"/>
              <w:rPr>
                <w:rFonts w:ascii="Times New Roman"/>
                <w:sz w:val="20"/>
              </w:rPr>
            </w:pPr>
          </w:p>
        </w:tc>
      </w:tr>
      <w:tr>
        <w:trPr>
          <w:trHeight w:val="311"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before="32"/>
              <w:ind w:left="62" w:right="44"/>
              <w:rPr>
                <w:sz w:val="20"/>
              </w:rPr>
            </w:pPr>
            <w:r>
              <w:rPr>
                <w:sz w:val="20"/>
              </w:rPr>
              <w:t>海外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before="32"/>
              <w:ind w:left="122" w:right="103"/>
              <w:rPr>
                <w:sz w:val="20"/>
              </w:rPr>
            </w:pPr>
            <w:r>
              <w:rPr>
                <w:rFonts w:ascii="Times New Roman" w:eastAsia="Times New Roman"/>
                <w:sz w:val="20"/>
                <w:vertAlign w:val="superscript"/>
              </w:rPr>
              <w:t>18</w:t>
            </w:r>
            <w:r>
              <w:rPr>
                <w:rFonts w:ascii="Times New Roman" w:eastAsia="Times New Roman"/>
                <w:sz w:val="20"/>
                <w:vertAlign w:val="baseline"/>
              </w:rPr>
              <w:t>F-</w:t>
            </w:r>
            <w:r>
              <w:rPr>
                <w:sz w:val="20"/>
                <w:vertAlign w:val="baseline"/>
              </w:rPr>
              <w:t>贝他吡（</w:t>
            </w:r>
            <w:r>
              <w:rPr>
                <w:rFonts w:ascii="Times New Roman" w:eastAsia="Times New Roman"/>
                <w:sz w:val="20"/>
                <w:vertAlign w:val="baseline"/>
              </w:rPr>
              <w:t>Amyvid</w:t>
            </w:r>
            <w:r>
              <w:rPr>
                <w:sz w:val="20"/>
                <w:vertAlign w:val="baseline"/>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32"/>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before="32"/>
              <w:ind w:left="166" w:right="144"/>
              <w:rPr>
                <w:sz w:val="20"/>
              </w:rPr>
            </w:pPr>
            <w:r>
              <w:rPr>
                <w:sz w:val="20"/>
              </w:rPr>
              <w:t>礼来</w:t>
            </w:r>
          </w:p>
        </w:tc>
        <w:tc>
          <w:tcPr>
            <w:tcW w:w="2049" w:type="dxa"/>
            <w:tcBorders>
              <w:top w:val="single" w:sz="4" w:space="0" w:color="000000"/>
              <w:left w:val="single" w:sz="4" w:space="0" w:color="000000"/>
              <w:bottom w:val="single" w:sz="4" w:space="0" w:color="000000"/>
              <w:right w:val="single" w:sz="4" w:space="0" w:color="000000"/>
            </w:tcBorders>
          </w:tcPr>
          <w:p>
            <w:pPr>
              <w:pStyle w:val="TableParagraph"/>
              <w:spacing w:before="32"/>
              <w:ind w:left="431"/>
              <w:jc w:val="left"/>
              <w:rPr>
                <w:sz w:val="20"/>
              </w:rPr>
            </w:pPr>
            <w:r>
              <w:rPr>
                <w:rFonts w:ascii="Times New Roman" w:eastAsia="Times New Roman"/>
                <w:sz w:val="20"/>
              </w:rPr>
              <w:t>2012</w:t>
            </w:r>
            <w:r>
              <w:rPr>
                <w:sz w:val="20"/>
              </w:rPr>
              <w:t>（</w:t>
            </w:r>
            <w:r>
              <w:rPr>
                <w:rFonts w:ascii="Times New Roman" w:eastAsia="Times New Roman"/>
                <w:sz w:val="20"/>
              </w:rPr>
              <w:t>FDA</w:t>
            </w:r>
            <w:r>
              <w:rPr>
                <w:sz w:val="20"/>
              </w:rPr>
              <w:t>）</w:t>
            </w:r>
          </w:p>
        </w:tc>
        <w:tc>
          <w:tcPr>
            <w:tcW w:w="239" w:type="dxa"/>
            <w:vMerge/>
            <w:tcBorders>
              <w:top w:val="nil"/>
              <w:left w:val="single" w:sz="4" w:space="0" w:color="000000"/>
              <w:right w:val="nil"/>
            </w:tcBorders>
          </w:tcPr>
          <w:p>
            <w:pPr>
              <w:rPr>
                <w:sz w:val="2"/>
                <w:szCs w:val="2"/>
              </w:rPr>
            </w:pPr>
          </w:p>
        </w:tc>
      </w:tr>
      <w:tr>
        <w:trPr>
          <w:trHeight w:val="308"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before="30"/>
              <w:ind w:left="62" w:right="44"/>
              <w:rPr>
                <w:sz w:val="20"/>
              </w:rPr>
            </w:pPr>
            <w:r>
              <w:rPr>
                <w:sz w:val="20"/>
              </w:rPr>
              <w:t>海外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before="30"/>
              <w:ind w:left="122" w:right="103"/>
              <w:rPr>
                <w:sz w:val="20"/>
              </w:rPr>
            </w:pPr>
            <w:r>
              <w:rPr>
                <w:rFonts w:ascii="Times New Roman" w:eastAsia="Times New Roman"/>
                <w:sz w:val="20"/>
                <w:vertAlign w:val="superscript"/>
              </w:rPr>
              <w:t>18</w:t>
            </w:r>
            <w:r>
              <w:rPr>
                <w:rFonts w:ascii="Times New Roman" w:eastAsia="Times New Roman"/>
                <w:sz w:val="20"/>
                <w:vertAlign w:val="baseline"/>
              </w:rPr>
              <w:t>F-</w:t>
            </w:r>
            <w:r>
              <w:rPr>
                <w:sz w:val="20"/>
                <w:vertAlign w:val="baseline"/>
              </w:rPr>
              <w:t>美他酚（</w:t>
            </w:r>
            <w:r>
              <w:rPr>
                <w:rFonts w:ascii="Times New Roman" w:eastAsia="Times New Roman"/>
                <w:sz w:val="20"/>
                <w:vertAlign w:val="baseline"/>
              </w:rPr>
              <w:t>Vizamyl</w:t>
            </w:r>
            <w:r>
              <w:rPr>
                <w:sz w:val="20"/>
                <w:vertAlign w:val="baseline"/>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30"/>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before="30"/>
              <w:ind w:left="166" w:right="144"/>
              <w:rPr>
                <w:sz w:val="20"/>
              </w:rPr>
            </w:pPr>
            <w:r>
              <w:rPr>
                <w:rFonts w:ascii="Times New Roman" w:eastAsia="Times New Roman"/>
                <w:sz w:val="20"/>
              </w:rPr>
              <w:t>GE </w:t>
            </w:r>
            <w:r>
              <w:rPr>
                <w:sz w:val="20"/>
              </w:rPr>
              <w:t>医疗</w:t>
            </w:r>
          </w:p>
        </w:tc>
        <w:tc>
          <w:tcPr>
            <w:tcW w:w="2049" w:type="dxa"/>
            <w:tcBorders>
              <w:top w:val="single" w:sz="4" w:space="0" w:color="000000"/>
              <w:left w:val="single" w:sz="4" w:space="0" w:color="000000"/>
              <w:bottom w:val="single" w:sz="4" w:space="0" w:color="000000"/>
              <w:right w:val="single" w:sz="4" w:space="0" w:color="000000"/>
            </w:tcBorders>
          </w:tcPr>
          <w:p>
            <w:pPr>
              <w:pStyle w:val="TableParagraph"/>
              <w:spacing w:before="30"/>
              <w:ind w:left="431"/>
              <w:jc w:val="left"/>
              <w:rPr>
                <w:sz w:val="20"/>
              </w:rPr>
            </w:pPr>
            <w:r>
              <w:rPr>
                <w:rFonts w:ascii="Times New Roman" w:eastAsia="Times New Roman"/>
                <w:sz w:val="20"/>
              </w:rPr>
              <w:t>2013</w:t>
            </w:r>
            <w:r>
              <w:rPr>
                <w:sz w:val="20"/>
              </w:rPr>
              <w:t>（</w:t>
            </w:r>
            <w:r>
              <w:rPr>
                <w:rFonts w:ascii="Times New Roman" w:eastAsia="Times New Roman"/>
                <w:sz w:val="20"/>
              </w:rPr>
              <w:t>FDA</w:t>
            </w:r>
            <w:r>
              <w:rPr>
                <w:sz w:val="20"/>
              </w:rPr>
              <w:t>）</w:t>
            </w:r>
          </w:p>
        </w:tc>
        <w:tc>
          <w:tcPr>
            <w:tcW w:w="239" w:type="dxa"/>
            <w:vMerge/>
            <w:tcBorders>
              <w:top w:val="nil"/>
              <w:left w:val="single" w:sz="4" w:space="0" w:color="000000"/>
              <w:right w:val="nil"/>
            </w:tcBorders>
          </w:tcPr>
          <w:p>
            <w:pPr>
              <w:rPr>
                <w:sz w:val="2"/>
                <w:szCs w:val="2"/>
              </w:rPr>
            </w:pPr>
          </w:p>
        </w:tc>
      </w:tr>
      <w:tr>
        <w:trPr>
          <w:trHeight w:val="311"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before="32"/>
              <w:ind w:left="62" w:right="44"/>
              <w:rPr>
                <w:sz w:val="20"/>
              </w:rPr>
            </w:pPr>
            <w:r>
              <w:rPr>
                <w:sz w:val="20"/>
              </w:rPr>
              <w:t>海外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before="32"/>
              <w:ind w:left="122" w:right="103"/>
              <w:rPr>
                <w:sz w:val="20"/>
              </w:rPr>
            </w:pPr>
            <w:r>
              <w:rPr>
                <w:rFonts w:ascii="Times New Roman" w:eastAsia="Times New Roman"/>
                <w:sz w:val="20"/>
                <w:vertAlign w:val="superscript"/>
              </w:rPr>
              <w:t>18</w:t>
            </w:r>
            <w:r>
              <w:rPr>
                <w:rFonts w:ascii="Times New Roman" w:eastAsia="Times New Roman"/>
                <w:sz w:val="20"/>
                <w:vertAlign w:val="baseline"/>
              </w:rPr>
              <w:t>F-</w:t>
            </w:r>
            <w:r>
              <w:rPr>
                <w:sz w:val="20"/>
                <w:vertAlign w:val="baseline"/>
              </w:rPr>
              <w:t>贝他苯（</w:t>
            </w:r>
            <w:r>
              <w:rPr>
                <w:rFonts w:ascii="Times New Roman" w:eastAsia="Times New Roman"/>
                <w:sz w:val="20"/>
                <w:vertAlign w:val="baseline"/>
              </w:rPr>
              <w:t>Neuraceq</w:t>
            </w:r>
            <w:r>
              <w:rPr>
                <w:sz w:val="20"/>
                <w:vertAlign w:val="baseline"/>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32"/>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before="45"/>
              <w:ind w:left="166" w:right="148"/>
              <w:rPr>
                <w:rFonts w:ascii="Times New Roman"/>
                <w:sz w:val="20"/>
              </w:rPr>
            </w:pPr>
            <w:r>
              <w:rPr>
                <w:rFonts w:ascii="Times New Roman"/>
                <w:sz w:val="20"/>
              </w:rPr>
              <w:t>Life Molecular Imaging (LMI)</w:t>
            </w:r>
          </w:p>
        </w:tc>
        <w:tc>
          <w:tcPr>
            <w:tcW w:w="2049" w:type="dxa"/>
            <w:tcBorders>
              <w:top w:val="single" w:sz="4" w:space="0" w:color="000000"/>
              <w:left w:val="single" w:sz="4" w:space="0" w:color="000000"/>
              <w:bottom w:val="single" w:sz="4" w:space="0" w:color="000000"/>
              <w:right w:val="single" w:sz="4" w:space="0" w:color="000000"/>
            </w:tcBorders>
          </w:tcPr>
          <w:p>
            <w:pPr>
              <w:pStyle w:val="TableParagraph"/>
              <w:spacing w:before="32"/>
              <w:ind w:left="431"/>
              <w:jc w:val="left"/>
              <w:rPr>
                <w:sz w:val="20"/>
              </w:rPr>
            </w:pPr>
            <w:r>
              <w:rPr>
                <w:rFonts w:ascii="Times New Roman" w:eastAsia="Times New Roman"/>
                <w:sz w:val="20"/>
              </w:rPr>
              <w:t>2014</w:t>
            </w:r>
            <w:r>
              <w:rPr>
                <w:sz w:val="20"/>
              </w:rPr>
              <w:t>（</w:t>
            </w:r>
            <w:r>
              <w:rPr>
                <w:rFonts w:ascii="Times New Roman" w:eastAsia="Times New Roman"/>
                <w:sz w:val="20"/>
              </w:rPr>
              <w:t>FDA</w:t>
            </w:r>
            <w:r>
              <w:rPr>
                <w:sz w:val="20"/>
              </w:rPr>
              <w:t>）</w:t>
            </w:r>
          </w:p>
        </w:tc>
        <w:tc>
          <w:tcPr>
            <w:tcW w:w="239" w:type="dxa"/>
            <w:vMerge/>
            <w:tcBorders>
              <w:top w:val="nil"/>
              <w:left w:val="single" w:sz="4" w:space="0" w:color="000000"/>
              <w:right w:val="nil"/>
            </w:tcBorders>
          </w:tcPr>
          <w:p>
            <w:pPr>
              <w:rPr>
                <w:sz w:val="2"/>
                <w:szCs w:val="2"/>
              </w:rPr>
            </w:pPr>
          </w:p>
        </w:tc>
      </w:tr>
      <w:tr>
        <w:trPr>
          <w:trHeight w:val="308"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before="30"/>
              <w:ind w:left="62" w:right="44"/>
              <w:rPr>
                <w:sz w:val="20"/>
              </w:rPr>
            </w:pPr>
            <w:r>
              <w:rPr>
                <w:sz w:val="20"/>
              </w:rPr>
              <w:t>海外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before="43"/>
              <w:ind w:left="122" w:right="100"/>
              <w:rPr>
                <w:rFonts w:ascii="Times New Roman"/>
                <w:sz w:val="20"/>
              </w:rPr>
            </w:pPr>
            <w:r>
              <w:rPr>
                <w:rFonts w:ascii="Times New Roman"/>
                <w:sz w:val="20"/>
              </w:rPr>
              <w:t>Lumipulse G</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30"/>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before="30"/>
              <w:ind w:left="166" w:right="145"/>
              <w:rPr>
                <w:sz w:val="20"/>
              </w:rPr>
            </w:pPr>
            <w:r>
              <w:rPr>
                <w:sz w:val="20"/>
              </w:rPr>
              <w:t>富士瑞必欧</w:t>
            </w:r>
          </w:p>
        </w:tc>
        <w:tc>
          <w:tcPr>
            <w:tcW w:w="2049" w:type="dxa"/>
            <w:tcBorders>
              <w:top w:val="single" w:sz="4" w:space="0" w:color="000000"/>
              <w:left w:val="single" w:sz="4" w:space="0" w:color="000000"/>
              <w:bottom w:val="single" w:sz="4" w:space="0" w:color="000000"/>
              <w:right w:val="single" w:sz="4" w:space="0" w:color="000000"/>
            </w:tcBorders>
          </w:tcPr>
          <w:p>
            <w:pPr>
              <w:pStyle w:val="TableParagraph"/>
              <w:spacing w:before="30"/>
              <w:ind w:left="431"/>
              <w:jc w:val="left"/>
              <w:rPr>
                <w:sz w:val="20"/>
              </w:rPr>
            </w:pPr>
            <w:r>
              <w:rPr>
                <w:rFonts w:ascii="Times New Roman" w:eastAsia="Times New Roman"/>
                <w:sz w:val="20"/>
              </w:rPr>
              <w:t>2022</w:t>
            </w:r>
            <w:r>
              <w:rPr>
                <w:sz w:val="20"/>
              </w:rPr>
              <w:t>（</w:t>
            </w:r>
            <w:r>
              <w:rPr>
                <w:rFonts w:ascii="Times New Roman" w:eastAsia="Times New Roman"/>
                <w:sz w:val="20"/>
              </w:rPr>
              <w:t>FDA</w:t>
            </w:r>
            <w:r>
              <w:rPr>
                <w:sz w:val="20"/>
              </w:rPr>
              <w:t>）</w:t>
            </w:r>
          </w:p>
        </w:tc>
        <w:tc>
          <w:tcPr>
            <w:tcW w:w="239" w:type="dxa"/>
            <w:vMerge/>
            <w:tcBorders>
              <w:top w:val="nil"/>
              <w:left w:val="single" w:sz="4" w:space="0" w:color="000000"/>
              <w:right w:val="nil"/>
            </w:tcBorders>
          </w:tcPr>
          <w:p>
            <w:pPr>
              <w:rPr>
                <w:sz w:val="2"/>
                <w:szCs w:val="2"/>
              </w:rPr>
            </w:pPr>
          </w:p>
        </w:tc>
      </w:tr>
      <w:tr>
        <w:trPr>
          <w:trHeight w:val="311"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before="32"/>
              <w:ind w:left="62" w:right="44"/>
              <w:rPr>
                <w:sz w:val="20"/>
              </w:rPr>
            </w:pPr>
            <w:r>
              <w:rPr>
                <w:sz w:val="20"/>
              </w:rPr>
              <w:t>海外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before="45"/>
              <w:ind w:left="122" w:right="100"/>
              <w:rPr>
                <w:rFonts w:ascii="Times New Roman" w:hAnsi="Times New Roman"/>
                <w:sz w:val="20"/>
              </w:rPr>
            </w:pPr>
            <w:r>
              <w:rPr>
                <w:rFonts w:ascii="Times New Roman" w:hAnsi="Times New Roman"/>
                <w:sz w:val="20"/>
              </w:rPr>
              <w:t>Elecsys β-Amyloid (1-42)</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32"/>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before="32"/>
              <w:ind w:left="166" w:right="144"/>
              <w:rPr>
                <w:sz w:val="20"/>
              </w:rPr>
            </w:pPr>
            <w:r>
              <w:rPr>
                <w:sz w:val="20"/>
              </w:rPr>
              <w:t>罗氏</w:t>
            </w:r>
          </w:p>
        </w:tc>
        <w:tc>
          <w:tcPr>
            <w:tcW w:w="2049" w:type="dxa"/>
            <w:tcBorders>
              <w:top w:val="single" w:sz="4" w:space="0" w:color="000000"/>
              <w:left w:val="single" w:sz="4" w:space="0" w:color="000000"/>
              <w:bottom w:val="single" w:sz="4" w:space="0" w:color="000000"/>
              <w:right w:val="single" w:sz="4" w:space="0" w:color="000000"/>
            </w:tcBorders>
          </w:tcPr>
          <w:p>
            <w:pPr>
              <w:pStyle w:val="TableParagraph"/>
              <w:spacing w:before="32"/>
              <w:ind w:left="431"/>
              <w:jc w:val="left"/>
              <w:rPr>
                <w:sz w:val="20"/>
              </w:rPr>
            </w:pPr>
            <w:r>
              <w:rPr>
                <w:rFonts w:ascii="Times New Roman" w:eastAsia="Times New Roman"/>
                <w:sz w:val="20"/>
              </w:rPr>
              <w:t>2022</w:t>
            </w:r>
            <w:r>
              <w:rPr>
                <w:sz w:val="20"/>
              </w:rPr>
              <w:t>（</w:t>
            </w:r>
            <w:r>
              <w:rPr>
                <w:rFonts w:ascii="Times New Roman" w:eastAsia="Times New Roman"/>
                <w:sz w:val="20"/>
              </w:rPr>
              <w:t>FDA</w:t>
            </w:r>
            <w:r>
              <w:rPr>
                <w:sz w:val="20"/>
              </w:rPr>
              <w:t>）</w:t>
            </w:r>
          </w:p>
        </w:tc>
        <w:tc>
          <w:tcPr>
            <w:tcW w:w="239" w:type="dxa"/>
            <w:vMerge/>
            <w:tcBorders>
              <w:top w:val="nil"/>
              <w:left w:val="single" w:sz="4" w:space="0" w:color="000000"/>
              <w:right w:val="nil"/>
            </w:tcBorders>
          </w:tcPr>
          <w:p>
            <w:pPr>
              <w:rPr>
                <w:sz w:val="2"/>
                <w:szCs w:val="2"/>
              </w:rPr>
            </w:pPr>
          </w:p>
        </w:tc>
      </w:tr>
      <w:tr>
        <w:trPr>
          <w:trHeight w:val="308"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before="30"/>
              <w:ind w:left="62" w:right="44"/>
              <w:rPr>
                <w:sz w:val="20"/>
              </w:rPr>
            </w:pPr>
            <w:r>
              <w:rPr>
                <w:sz w:val="20"/>
              </w:rPr>
              <w:t>海外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before="30"/>
              <w:ind w:left="122" w:right="101"/>
              <w:rPr>
                <w:sz w:val="20"/>
              </w:rPr>
            </w:pPr>
            <w:r>
              <w:rPr>
                <w:rFonts w:ascii="Times New Roman" w:eastAsia="Times New Roman"/>
                <w:sz w:val="20"/>
                <w:vertAlign w:val="superscript"/>
              </w:rPr>
              <w:t>18</w:t>
            </w:r>
            <w:r>
              <w:rPr>
                <w:rFonts w:ascii="Times New Roman" w:eastAsia="Times New Roman"/>
                <w:sz w:val="20"/>
                <w:vertAlign w:val="baseline"/>
              </w:rPr>
              <w:t>F-</w:t>
            </w:r>
            <w:r>
              <w:rPr>
                <w:sz w:val="20"/>
                <w:vertAlign w:val="baseline"/>
              </w:rPr>
              <w:t>他普西（</w:t>
            </w:r>
            <w:r>
              <w:rPr>
                <w:rFonts w:ascii="Times New Roman" w:eastAsia="Times New Roman"/>
                <w:sz w:val="20"/>
                <w:vertAlign w:val="baseline"/>
              </w:rPr>
              <w:t>Tauvid</w:t>
            </w:r>
            <w:r>
              <w:rPr>
                <w:sz w:val="20"/>
                <w:vertAlign w:val="baseline"/>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30"/>
              <w:ind w:left="328" w:right="308"/>
              <w:rPr>
                <w:sz w:val="20"/>
              </w:rPr>
            </w:pPr>
            <w:r>
              <w:rPr>
                <w:rFonts w:ascii="Times New Roman" w:eastAsia="Times New Roman"/>
                <w:sz w:val="20"/>
              </w:rPr>
              <w:t>Tau </w:t>
            </w:r>
            <w:r>
              <w:rPr>
                <w:sz w:val="20"/>
              </w:rPr>
              <w:t>蛋白</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before="30"/>
              <w:ind w:left="166" w:right="144"/>
              <w:rPr>
                <w:sz w:val="20"/>
              </w:rPr>
            </w:pPr>
            <w:r>
              <w:rPr>
                <w:sz w:val="20"/>
              </w:rPr>
              <w:t>礼来</w:t>
            </w:r>
          </w:p>
        </w:tc>
        <w:tc>
          <w:tcPr>
            <w:tcW w:w="2049" w:type="dxa"/>
            <w:tcBorders>
              <w:top w:val="single" w:sz="4" w:space="0" w:color="000000"/>
              <w:left w:val="single" w:sz="4" w:space="0" w:color="000000"/>
              <w:bottom w:val="single" w:sz="4" w:space="0" w:color="000000"/>
              <w:right w:val="single" w:sz="4" w:space="0" w:color="000000"/>
            </w:tcBorders>
          </w:tcPr>
          <w:p>
            <w:pPr>
              <w:pStyle w:val="TableParagraph"/>
              <w:spacing w:before="30"/>
              <w:ind w:left="431"/>
              <w:jc w:val="left"/>
              <w:rPr>
                <w:sz w:val="20"/>
              </w:rPr>
            </w:pPr>
            <w:r>
              <w:rPr>
                <w:rFonts w:ascii="Times New Roman" w:eastAsia="Times New Roman"/>
                <w:sz w:val="20"/>
              </w:rPr>
              <w:t>2020</w:t>
            </w:r>
            <w:r>
              <w:rPr>
                <w:sz w:val="20"/>
              </w:rPr>
              <w:t>（</w:t>
            </w:r>
            <w:r>
              <w:rPr>
                <w:rFonts w:ascii="Times New Roman" w:eastAsia="Times New Roman"/>
                <w:sz w:val="20"/>
              </w:rPr>
              <w:t>FDA</w:t>
            </w:r>
            <w:r>
              <w:rPr>
                <w:sz w:val="20"/>
              </w:rPr>
              <w:t>）</w:t>
            </w:r>
          </w:p>
        </w:tc>
        <w:tc>
          <w:tcPr>
            <w:tcW w:w="239" w:type="dxa"/>
            <w:vMerge/>
            <w:tcBorders>
              <w:top w:val="nil"/>
              <w:left w:val="single" w:sz="4" w:space="0" w:color="000000"/>
              <w:right w:val="nil"/>
            </w:tcBorders>
          </w:tcPr>
          <w:p>
            <w:pPr>
              <w:rPr>
                <w:sz w:val="2"/>
                <w:szCs w:val="2"/>
              </w:rPr>
            </w:pPr>
          </w:p>
        </w:tc>
      </w:tr>
      <w:tr>
        <w:trPr>
          <w:trHeight w:val="311"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tcPr>
          <w:p>
            <w:pPr>
              <w:pStyle w:val="TableParagraph"/>
              <w:spacing w:before="32"/>
              <w:ind w:left="62" w:right="44"/>
              <w:rPr>
                <w:sz w:val="20"/>
              </w:rPr>
            </w:pPr>
            <w:r>
              <w:rPr>
                <w:sz w:val="20"/>
              </w:rPr>
              <w:t>海外</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before="45"/>
              <w:ind w:left="122" w:right="103"/>
              <w:rPr>
                <w:rFonts w:ascii="Times New Roman"/>
                <w:sz w:val="20"/>
              </w:rPr>
            </w:pPr>
            <w:r>
              <w:rPr>
                <w:rFonts w:ascii="Times New Roman"/>
                <w:sz w:val="20"/>
              </w:rPr>
              <w:t>Elecsys Phospho-Tau (181P)</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32"/>
              <w:ind w:left="328" w:right="308"/>
              <w:rPr>
                <w:sz w:val="20"/>
              </w:rPr>
            </w:pPr>
            <w:r>
              <w:rPr>
                <w:rFonts w:ascii="Times New Roman" w:eastAsia="Times New Roman"/>
                <w:sz w:val="20"/>
              </w:rPr>
              <w:t>Tau </w:t>
            </w:r>
            <w:r>
              <w:rPr>
                <w:sz w:val="20"/>
              </w:rPr>
              <w:t>蛋白</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before="32"/>
              <w:ind w:left="166" w:right="144"/>
              <w:rPr>
                <w:sz w:val="20"/>
              </w:rPr>
            </w:pPr>
            <w:r>
              <w:rPr>
                <w:sz w:val="20"/>
              </w:rPr>
              <w:t>罗氏</w:t>
            </w:r>
          </w:p>
        </w:tc>
        <w:tc>
          <w:tcPr>
            <w:tcW w:w="2049" w:type="dxa"/>
            <w:tcBorders>
              <w:top w:val="single" w:sz="4" w:space="0" w:color="000000"/>
              <w:left w:val="single" w:sz="4" w:space="0" w:color="000000"/>
              <w:bottom w:val="single" w:sz="4" w:space="0" w:color="000000"/>
              <w:right w:val="single" w:sz="4" w:space="0" w:color="000000"/>
            </w:tcBorders>
          </w:tcPr>
          <w:p>
            <w:pPr>
              <w:pStyle w:val="TableParagraph"/>
              <w:spacing w:before="32"/>
              <w:ind w:left="431"/>
              <w:jc w:val="left"/>
              <w:rPr>
                <w:sz w:val="20"/>
              </w:rPr>
            </w:pPr>
            <w:r>
              <w:rPr>
                <w:rFonts w:ascii="Times New Roman" w:eastAsia="Times New Roman"/>
                <w:sz w:val="20"/>
              </w:rPr>
              <w:t>2022</w:t>
            </w:r>
            <w:r>
              <w:rPr>
                <w:sz w:val="20"/>
              </w:rPr>
              <w:t>（</w:t>
            </w:r>
            <w:r>
              <w:rPr>
                <w:rFonts w:ascii="Times New Roman" w:eastAsia="Times New Roman"/>
                <w:sz w:val="20"/>
              </w:rPr>
              <w:t>FDA</w:t>
            </w:r>
            <w:r>
              <w:rPr>
                <w:sz w:val="20"/>
              </w:rPr>
              <w:t>）</w:t>
            </w:r>
          </w:p>
        </w:tc>
        <w:tc>
          <w:tcPr>
            <w:tcW w:w="239" w:type="dxa"/>
            <w:vMerge/>
            <w:tcBorders>
              <w:top w:val="nil"/>
              <w:left w:val="single" w:sz="4" w:space="0" w:color="000000"/>
              <w:right w:val="nil"/>
            </w:tcBorders>
          </w:tcPr>
          <w:p>
            <w:pPr>
              <w:rPr>
                <w:sz w:val="2"/>
                <w:szCs w:val="2"/>
              </w:rPr>
            </w:pPr>
          </w:p>
        </w:tc>
      </w:tr>
      <w:tr>
        <w:trPr>
          <w:trHeight w:val="309"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62" w:right="44"/>
              <w:rPr>
                <w:sz w:val="20"/>
              </w:rPr>
            </w:pPr>
            <w:r>
              <w:rPr>
                <w:sz w:val="20"/>
              </w:rPr>
              <w:t>国内</w:t>
            </w:r>
          </w:p>
        </w:tc>
        <w:tc>
          <w:tcPr>
            <w:tcW w:w="2693"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122" w:right="103"/>
              <w:rPr>
                <w:sz w:val="20"/>
              </w:rPr>
            </w:pPr>
            <w:r>
              <w:rPr>
                <w:rFonts w:ascii="Times New Roman" w:eastAsia="Times New Roman"/>
                <w:sz w:val="20"/>
              </w:rPr>
              <w:t>F</w:t>
            </w:r>
            <w:r>
              <w:rPr>
                <w:rFonts w:ascii="Times New Roman" w:eastAsia="Times New Roman"/>
                <w:sz w:val="20"/>
                <w:vertAlign w:val="superscript"/>
              </w:rPr>
              <w:t>18</w:t>
            </w:r>
            <w:r>
              <w:rPr>
                <w:rFonts w:ascii="Times New Roman" w:eastAsia="Times New Roman"/>
                <w:sz w:val="20"/>
                <w:vertAlign w:val="baseline"/>
              </w:rPr>
              <w:t>-</w:t>
            </w:r>
            <w:r>
              <w:rPr>
                <w:sz w:val="20"/>
                <w:vertAlign w:val="baseline"/>
              </w:rPr>
              <w:t>贝他苯（</w:t>
            </w:r>
            <w:r>
              <w:rPr>
                <w:rFonts w:ascii="Times New Roman" w:eastAsia="Times New Roman"/>
                <w:sz w:val="20"/>
                <w:vertAlign w:val="baseline"/>
              </w:rPr>
              <w:t>Neuraceq</w:t>
            </w:r>
            <w:r>
              <w:rPr>
                <w:sz w:val="20"/>
                <w:vertAlign w:val="baseline"/>
              </w:rPr>
              <w:t>）</w:t>
            </w:r>
          </w:p>
        </w:tc>
        <w:tc>
          <w:tcPr>
            <w:tcW w:w="1984"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166" w:right="145"/>
              <w:rPr>
                <w:sz w:val="20"/>
              </w:rPr>
            </w:pPr>
            <w:r>
              <w:rPr>
                <w:sz w:val="20"/>
              </w:rPr>
              <w:t>先通医药（代理）</w:t>
            </w:r>
          </w:p>
        </w:tc>
        <w:tc>
          <w:tcPr>
            <w:tcW w:w="2049"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right="326"/>
              <w:jc w:val="right"/>
              <w:rPr>
                <w:sz w:val="20"/>
              </w:rPr>
            </w:pPr>
            <w:r>
              <w:rPr>
                <w:rFonts w:ascii="Times New Roman" w:eastAsia="Times New Roman"/>
                <w:sz w:val="20"/>
              </w:rPr>
              <w:t>2023</w:t>
            </w:r>
            <w:r>
              <w:rPr>
                <w:sz w:val="20"/>
              </w:rPr>
              <w:t>（</w:t>
            </w:r>
            <w:r>
              <w:rPr>
                <w:rFonts w:ascii="Times New Roman" w:eastAsia="Times New Roman"/>
                <w:sz w:val="20"/>
              </w:rPr>
              <w:t>NMPA</w:t>
            </w:r>
            <w:r>
              <w:rPr>
                <w:sz w:val="20"/>
              </w:rPr>
              <w:t>）</w:t>
            </w:r>
          </w:p>
        </w:tc>
        <w:tc>
          <w:tcPr>
            <w:tcW w:w="239" w:type="dxa"/>
            <w:vMerge/>
            <w:tcBorders>
              <w:top w:val="nil"/>
              <w:left w:val="single" w:sz="4" w:space="0" w:color="000000"/>
              <w:right w:val="nil"/>
            </w:tcBorders>
          </w:tcPr>
          <w:p>
            <w:pPr>
              <w:rPr>
                <w:sz w:val="2"/>
                <w:szCs w:val="2"/>
              </w:rPr>
            </w:pPr>
          </w:p>
        </w:tc>
      </w:tr>
      <w:tr>
        <w:trPr>
          <w:trHeight w:val="311"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62" w:right="44"/>
              <w:rPr>
                <w:sz w:val="20"/>
              </w:rPr>
            </w:pPr>
            <w:r>
              <w:rPr>
                <w:sz w:val="20"/>
              </w:rPr>
              <w:t>国内</w:t>
            </w:r>
          </w:p>
        </w:tc>
        <w:tc>
          <w:tcPr>
            <w:tcW w:w="2693"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122" w:right="106"/>
              <w:rPr>
                <w:sz w:val="20"/>
              </w:rPr>
            </w:pPr>
            <w:r>
              <w:rPr>
                <w:rFonts w:ascii="Times New Roman" w:eastAsia="Times New Roman"/>
                <w:sz w:val="20"/>
              </w:rPr>
              <w:t>F</w:t>
            </w:r>
            <w:r>
              <w:rPr>
                <w:rFonts w:ascii="Times New Roman" w:eastAsia="Times New Roman"/>
                <w:sz w:val="20"/>
                <w:vertAlign w:val="superscript"/>
              </w:rPr>
              <w:t>18</w:t>
            </w:r>
            <w:r>
              <w:rPr>
                <w:rFonts w:ascii="Times New Roman" w:eastAsia="Times New Roman"/>
                <w:sz w:val="20"/>
                <w:vertAlign w:val="baseline"/>
              </w:rPr>
              <w:t>-</w:t>
            </w:r>
            <w:r>
              <w:rPr>
                <w:sz w:val="20"/>
                <w:vertAlign w:val="baseline"/>
              </w:rPr>
              <w:t>贝他嗪</w:t>
            </w:r>
          </w:p>
        </w:tc>
        <w:tc>
          <w:tcPr>
            <w:tcW w:w="1984"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166" w:right="145"/>
              <w:rPr>
                <w:sz w:val="20"/>
              </w:rPr>
            </w:pPr>
            <w:r>
              <w:rPr>
                <w:sz w:val="20"/>
              </w:rPr>
              <w:t>原子高科（中国同辐）</w:t>
            </w:r>
          </w:p>
        </w:tc>
        <w:tc>
          <w:tcPr>
            <w:tcW w:w="2049"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630"/>
              <w:jc w:val="left"/>
              <w:rPr>
                <w:sz w:val="20"/>
              </w:rPr>
            </w:pPr>
            <w:r>
              <w:rPr>
                <w:sz w:val="20"/>
              </w:rPr>
              <w:t>申报临床</w:t>
            </w:r>
          </w:p>
        </w:tc>
        <w:tc>
          <w:tcPr>
            <w:tcW w:w="239" w:type="dxa"/>
            <w:vMerge/>
            <w:tcBorders>
              <w:top w:val="nil"/>
              <w:left w:val="single" w:sz="4" w:space="0" w:color="000000"/>
              <w:right w:val="nil"/>
            </w:tcBorders>
          </w:tcPr>
          <w:p>
            <w:pPr>
              <w:rPr>
                <w:sz w:val="2"/>
                <w:szCs w:val="2"/>
              </w:rPr>
            </w:pPr>
          </w:p>
        </w:tc>
      </w:tr>
      <w:tr>
        <w:trPr>
          <w:trHeight w:val="308"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62" w:right="44"/>
              <w:rPr>
                <w:sz w:val="20"/>
              </w:rPr>
            </w:pPr>
            <w:r>
              <w:rPr>
                <w:sz w:val="20"/>
              </w:rPr>
              <w:t>国内</w:t>
            </w:r>
          </w:p>
        </w:tc>
        <w:tc>
          <w:tcPr>
            <w:tcW w:w="2693"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122" w:right="106"/>
              <w:rPr>
                <w:sz w:val="20"/>
              </w:rPr>
            </w:pPr>
            <w:r>
              <w:rPr>
                <w:rFonts w:ascii="Times New Roman" w:eastAsia="Times New Roman"/>
                <w:sz w:val="20"/>
              </w:rPr>
              <w:t>F</w:t>
            </w:r>
            <w:r>
              <w:rPr>
                <w:rFonts w:ascii="Times New Roman" w:eastAsia="Times New Roman"/>
                <w:sz w:val="20"/>
                <w:vertAlign w:val="superscript"/>
              </w:rPr>
              <w:t>18</w:t>
            </w:r>
            <w:r>
              <w:rPr>
                <w:rFonts w:ascii="Times New Roman" w:eastAsia="Times New Roman"/>
                <w:sz w:val="20"/>
                <w:vertAlign w:val="baseline"/>
              </w:rPr>
              <w:t>-</w:t>
            </w:r>
            <w:r>
              <w:rPr>
                <w:sz w:val="20"/>
                <w:vertAlign w:val="baseline"/>
              </w:rPr>
              <w:t>洛贝平（</w:t>
            </w:r>
            <w:r>
              <w:rPr>
                <w:rFonts w:ascii="Times New Roman" w:eastAsia="Times New Roman"/>
                <w:sz w:val="20"/>
                <w:vertAlign w:val="baseline"/>
              </w:rPr>
              <w:t>Amyvid </w:t>
            </w:r>
            <w:r>
              <w:rPr>
                <w:sz w:val="20"/>
                <w:vertAlign w:val="baseline"/>
              </w:rPr>
              <w:t>类似）</w:t>
            </w:r>
          </w:p>
        </w:tc>
        <w:tc>
          <w:tcPr>
            <w:tcW w:w="1984"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328" w:right="308"/>
              <w:rPr>
                <w:sz w:val="20"/>
              </w:rPr>
            </w:pPr>
            <w:r>
              <w:rPr>
                <w:rFonts w:ascii="Times New Roman" w:hAnsi="Times New Roman" w:eastAsia="Times New Roman"/>
                <w:sz w:val="20"/>
              </w:rPr>
              <w:t>Aβ </w:t>
            </w:r>
            <w:r>
              <w:rPr>
                <w:sz w:val="20"/>
              </w:rPr>
              <w:t>淀粉样蛋白</w:t>
            </w:r>
          </w:p>
        </w:tc>
        <w:tc>
          <w:tcPr>
            <w:tcW w:w="283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left="166" w:right="147"/>
              <w:rPr>
                <w:sz w:val="20"/>
              </w:rPr>
            </w:pPr>
            <w:r>
              <w:rPr>
                <w:sz w:val="20"/>
              </w:rPr>
              <w:t>安迪科（东诚药业）</w:t>
            </w:r>
          </w:p>
        </w:tc>
        <w:tc>
          <w:tcPr>
            <w:tcW w:w="2049"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0"/>
              <w:ind w:right="256"/>
              <w:jc w:val="right"/>
              <w:rPr>
                <w:sz w:val="20"/>
              </w:rPr>
            </w:pPr>
            <w:r>
              <w:rPr>
                <w:rFonts w:ascii="Times New Roman" w:eastAsia="Times New Roman"/>
                <w:sz w:val="20"/>
              </w:rPr>
              <w:t>2023.08 </w:t>
            </w:r>
            <w:r>
              <w:rPr>
                <w:sz w:val="20"/>
              </w:rPr>
              <w:t>申报上市</w:t>
            </w:r>
          </w:p>
        </w:tc>
        <w:tc>
          <w:tcPr>
            <w:tcW w:w="239" w:type="dxa"/>
            <w:vMerge/>
            <w:tcBorders>
              <w:top w:val="nil"/>
              <w:left w:val="single" w:sz="4" w:space="0" w:color="000000"/>
              <w:right w:val="nil"/>
            </w:tcBorders>
          </w:tcPr>
          <w:p>
            <w:pPr>
              <w:rPr>
                <w:sz w:val="2"/>
                <w:szCs w:val="2"/>
              </w:rPr>
            </w:pPr>
          </w:p>
        </w:tc>
      </w:tr>
      <w:tr>
        <w:trPr>
          <w:trHeight w:val="311"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62" w:right="44"/>
              <w:rPr>
                <w:sz w:val="20"/>
              </w:rPr>
            </w:pPr>
            <w:r>
              <w:rPr>
                <w:sz w:val="20"/>
              </w:rPr>
              <w:t>国内</w:t>
            </w:r>
          </w:p>
        </w:tc>
        <w:tc>
          <w:tcPr>
            <w:tcW w:w="2693"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45"/>
              <w:ind w:left="122" w:right="99"/>
              <w:rPr>
                <w:rFonts w:ascii="Times New Roman"/>
                <w:sz w:val="20"/>
              </w:rPr>
            </w:pPr>
            <w:r>
              <w:rPr>
                <w:rFonts w:ascii="Times New Roman"/>
                <w:sz w:val="20"/>
                <w:vertAlign w:val="superscript"/>
              </w:rPr>
              <w:t>18</w:t>
            </w:r>
            <w:r>
              <w:rPr>
                <w:rFonts w:ascii="Times New Roman"/>
                <w:sz w:val="20"/>
                <w:vertAlign w:val="baseline"/>
              </w:rPr>
              <w:t>F-MK-6240</w:t>
            </w:r>
          </w:p>
        </w:tc>
        <w:tc>
          <w:tcPr>
            <w:tcW w:w="1984"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328" w:right="308"/>
              <w:rPr>
                <w:sz w:val="20"/>
              </w:rPr>
            </w:pPr>
            <w:r>
              <w:rPr>
                <w:rFonts w:ascii="Times New Roman" w:eastAsia="Times New Roman"/>
                <w:sz w:val="20"/>
              </w:rPr>
              <w:t>Tau </w:t>
            </w:r>
            <w:r>
              <w:rPr>
                <w:sz w:val="20"/>
              </w:rPr>
              <w:t>蛋白</w:t>
            </w:r>
          </w:p>
        </w:tc>
        <w:tc>
          <w:tcPr>
            <w:tcW w:w="2837"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166" w:right="145"/>
              <w:rPr>
                <w:sz w:val="20"/>
              </w:rPr>
            </w:pPr>
            <w:r>
              <w:rPr>
                <w:sz w:val="20"/>
              </w:rPr>
              <w:t>先通医药（代理）</w:t>
            </w:r>
          </w:p>
        </w:tc>
        <w:tc>
          <w:tcPr>
            <w:tcW w:w="2049" w:type="dxa"/>
            <w:tcBorders>
              <w:top w:val="single" w:sz="4" w:space="0" w:color="000000"/>
              <w:left w:val="single" w:sz="4" w:space="0" w:color="000000"/>
              <w:bottom w:val="single" w:sz="4" w:space="0" w:color="000000"/>
              <w:right w:val="single" w:sz="4" w:space="0" w:color="000000"/>
            </w:tcBorders>
            <w:shd w:val="clear" w:color="auto" w:fill="E9ECF4"/>
          </w:tcPr>
          <w:p>
            <w:pPr>
              <w:pStyle w:val="TableParagraph"/>
              <w:spacing w:before="32"/>
              <w:ind w:left="630"/>
              <w:jc w:val="left"/>
              <w:rPr>
                <w:sz w:val="20"/>
              </w:rPr>
            </w:pPr>
            <w:r>
              <w:rPr>
                <w:sz w:val="20"/>
              </w:rPr>
              <w:t>Ⅰ期临床</w:t>
            </w:r>
          </w:p>
        </w:tc>
        <w:tc>
          <w:tcPr>
            <w:tcW w:w="239" w:type="dxa"/>
            <w:vMerge/>
            <w:tcBorders>
              <w:top w:val="nil"/>
              <w:left w:val="single" w:sz="4" w:space="0" w:color="000000"/>
              <w:right w:val="nil"/>
            </w:tcBorders>
          </w:tcPr>
          <w:p>
            <w:pPr>
              <w:rPr>
                <w:sz w:val="2"/>
                <w:szCs w:val="2"/>
              </w:rPr>
            </w:pPr>
          </w:p>
        </w:tc>
      </w:tr>
      <w:tr>
        <w:trPr>
          <w:trHeight w:val="313" w:hRule="atLeast"/>
        </w:trPr>
        <w:tc>
          <w:tcPr>
            <w:tcW w:w="185" w:type="dxa"/>
            <w:vMerge/>
            <w:tcBorders>
              <w:top w:val="nil"/>
              <w:left w:val="nil"/>
              <w:right w:val="single" w:sz="4" w:space="0" w:color="000000"/>
            </w:tcBorders>
          </w:tcPr>
          <w:p>
            <w:pPr>
              <w:rPr>
                <w:sz w:val="2"/>
                <w:szCs w:val="2"/>
              </w:rPr>
            </w:pPr>
          </w:p>
        </w:tc>
        <w:tc>
          <w:tcPr>
            <w:tcW w:w="557" w:type="dxa"/>
            <w:tcBorders>
              <w:top w:val="single" w:sz="4" w:space="0" w:color="000000"/>
              <w:left w:val="single" w:sz="4" w:space="0" w:color="000000"/>
              <w:bottom w:val="single" w:sz="12" w:space="0" w:color="000000"/>
              <w:right w:val="single" w:sz="4" w:space="0" w:color="000000"/>
            </w:tcBorders>
            <w:shd w:val="clear" w:color="auto" w:fill="E9ECF4"/>
          </w:tcPr>
          <w:p>
            <w:pPr>
              <w:pStyle w:val="TableParagraph"/>
              <w:spacing w:before="30"/>
              <w:ind w:left="62" w:right="44"/>
              <w:rPr>
                <w:sz w:val="20"/>
              </w:rPr>
            </w:pPr>
            <w:r>
              <w:rPr>
                <w:sz w:val="20"/>
              </w:rPr>
              <w:t>国内</w:t>
            </w:r>
          </w:p>
        </w:tc>
        <w:tc>
          <w:tcPr>
            <w:tcW w:w="2693" w:type="dxa"/>
            <w:tcBorders>
              <w:top w:val="single" w:sz="4" w:space="0" w:color="000000"/>
              <w:left w:val="single" w:sz="4" w:space="0" w:color="000000"/>
              <w:bottom w:val="single" w:sz="12" w:space="0" w:color="000000"/>
              <w:right w:val="single" w:sz="4" w:space="0" w:color="000000"/>
            </w:tcBorders>
            <w:shd w:val="clear" w:color="auto" w:fill="E9ECF4"/>
          </w:tcPr>
          <w:p>
            <w:pPr>
              <w:pStyle w:val="TableParagraph"/>
              <w:spacing w:before="43"/>
              <w:ind w:left="122" w:right="99"/>
              <w:rPr>
                <w:rFonts w:ascii="Times New Roman"/>
                <w:sz w:val="20"/>
              </w:rPr>
            </w:pPr>
            <w:r>
              <w:rPr>
                <w:rFonts w:ascii="Times New Roman"/>
                <w:sz w:val="20"/>
                <w:vertAlign w:val="superscript"/>
              </w:rPr>
              <w:t>18</w:t>
            </w:r>
            <w:r>
              <w:rPr>
                <w:rFonts w:ascii="Times New Roman"/>
                <w:sz w:val="20"/>
                <w:vertAlign w:val="baseline"/>
              </w:rPr>
              <w:t>F-APN-1607</w:t>
            </w:r>
          </w:p>
        </w:tc>
        <w:tc>
          <w:tcPr>
            <w:tcW w:w="1984" w:type="dxa"/>
            <w:tcBorders>
              <w:top w:val="single" w:sz="4" w:space="0" w:color="000000"/>
              <w:left w:val="single" w:sz="4" w:space="0" w:color="000000"/>
              <w:bottom w:val="single" w:sz="12" w:space="0" w:color="000000"/>
              <w:right w:val="single" w:sz="4" w:space="0" w:color="000000"/>
            </w:tcBorders>
            <w:shd w:val="clear" w:color="auto" w:fill="E9ECF4"/>
          </w:tcPr>
          <w:p>
            <w:pPr>
              <w:pStyle w:val="TableParagraph"/>
              <w:spacing w:before="30"/>
              <w:ind w:left="328" w:right="305"/>
              <w:rPr>
                <w:sz w:val="20"/>
              </w:rPr>
            </w:pPr>
            <w:r>
              <w:rPr>
                <w:rFonts w:ascii="Times New Roman" w:eastAsia="Times New Roman"/>
                <w:sz w:val="20"/>
              </w:rPr>
              <w:t>Tua </w:t>
            </w:r>
            <w:r>
              <w:rPr>
                <w:sz w:val="20"/>
              </w:rPr>
              <w:t>蛋白</w:t>
            </w:r>
          </w:p>
        </w:tc>
        <w:tc>
          <w:tcPr>
            <w:tcW w:w="2837" w:type="dxa"/>
            <w:tcBorders>
              <w:top w:val="single" w:sz="4" w:space="0" w:color="000000"/>
              <w:left w:val="single" w:sz="4" w:space="0" w:color="000000"/>
              <w:bottom w:val="single" w:sz="12" w:space="0" w:color="000000"/>
              <w:right w:val="single" w:sz="4" w:space="0" w:color="000000"/>
            </w:tcBorders>
            <w:shd w:val="clear" w:color="auto" w:fill="E9ECF4"/>
          </w:tcPr>
          <w:p>
            <w:pPr>
              <w:pStyle w:val="TableParagraph"/>
              <w:spacing w:before="30"/>
              <w:ind w:left="166" w:right="145"/>
              <w:rPr>
                <w:sz w:val="20"/>
              </w:rPr>
            </w:pPr>
            <w:r>
              <w:rPr>
                <w:sz w:val="20"/>
              </w:rPr>
              <w:t>新旭生技（东诚药业）</w:t>
            </w:r>
          </w:p>
        </w:tc>
        <w:tc>
          <w:tcPr>
            <w:tcW w:w="2049" w:type="dxa"/>
            <w:tcBorders>
              <w:top w:val="single" w:sz="4" w:space="0" w:color="000000"/>
              <w:left w:val="single" w:sz="4" w:space="0" w:color="000000"/>
              <w:bottom w:val="single" w:sz="12" w:space="0" w:color="000000"/>
              <w:right w:val="single" w:sz="4" w:space="0" w:color="000000"/>
            </w:tcBorders>
            <w:shd w:val="clear" w:color="auto" w:fill="E9ECF4"/>
          </w:tcPr>
          <w:p>
            <w:pPr>
              <w:pStyle w:val="TableParagraph"/>
              <w:spacing w:before="30"/>
              <w:ind w:left="630"/>
              <w:jc w:val="left"/>
              <w:rPr>
                <w:sz w:val="20"/>
              </w:rPr>
            </w:pPr>
            <w:r>
              <w:rPr>
                <w:sz w:val="20"/>
              </w:rPr>
              <w:t>Ⅲ期临床</w:t>
            </w:r>
          </w:p>
        </w:tc>
        <w:tc>
          <w:tcPr>
            <w:tcW w:w="239" w:type="dxa"/>
            <w:vMerge/>
            <w:tcBorders>
              <w:top w:val="nil"/>
              <w:left w:val="single" w:sz="4" w:space="0" w:color="000000"/>
              <w:right w:val="nil"/>
            </w:tcBorders>
          </w:tcPr>
          <w:p>
            <w:pPr>
              <w:rPr>
                <w:sz w:val="2"/>
                <w:szCs w:val="2"/>
              </w:rPr>
            </w:pPr>
          </w:p>
        </w:tc>
      </w:tr>
    </w:tbl>
    <w:p>
      <w:pPr>
        <w:spacing w:before="20"/>
        <w:ind w:left="148" w:right="0" w:firstLine="0"/>
        <w:jc w:val="left"/>
        <w:rPr>
          <w:i/>
          <w:sz w:val="21"/>
        </w:rPr>
      </w:pPr>
      <w:r>
        <w:rPr>
          <w:i/>
          <w:sz w:val="21"/>
        </w:rPr>
        <w:t>资料来源：各公司官网，方正证券研究所整理</w:t>
      </w:r>
    </w:p>
    <w:p>
      <w:pPr>
        <w:pStyle w:val="BodyText"/>
        <w:spacing w:before="6"/>
        <w:rPr>
          <w:i/>
          <w:sz w:val="22"/>
        </w:rPr>
      </w:pPr>
    </w:p>
    <w:p>
      <w:pPr>
        <w:pStyle w:val="BodyText"/>
        <w:spacing w:line="278" w:lineRule="auto" w:before="72"/>
        <w:ind w:left="3324" w:right="228"/>
      </w:pPr>
      <w:r>
        <w:rPr>
          <w:spacing w:val="-8"/>
        </w:rPr>
        <w:t>脑脊液检测方面，针对 </w:t>
      </w:r>
      <w:r>
        <w:rPr/>
        <w:t>A</w:t>
      </w:r>
      <w:r>
        <w:rPr>
          <w:rFonts w:ascii="黑体" w:hAnsi="黑体" w:eastAsia="黑体" w:hint="eastAsia"/>
        </w:rPr>
        <w:t>β </w:t>
      </w:r>
      <w:r>
        <w:rPr>
          <w:spacing w:val="4"/>
        </w:rPr>
        <w:t>与 </w:t>
      </w:r>
      <w:r>
        <w:rPr/>
        <w:t>Tau</w:t>
      </w:r>
      <w:r>
        <w:rPr>
          <w:spacing w:val="-3"/>
        </w:rPr>
        <w:t> 蛋白的检测方法是主要的研发方向，但是基于其他样本的标志物联合检测方法也有多家企业参与，比如罗氏开发基于血液样本的 Elecsys Amuloid </w:t>
      </w:r>
      <w:r>
        <w:rPr/>
        <w:t>Panel</w:t>
      </w:r>
      <w:r>
        <w:rPr>
          <w:spacing w:val="-2"/>
        </w:rPr>
        <w:t>，主要是对 </w:t>
      </w:r>
      <w:r>
        <w:rPr/>
        <w:t>Tau</w:t>
      </w:r>
      <w:r>
        <w:rPr>
          <w:spacing w:val="-1"/>
        </w:rPr>
        <w:t> 和 </w:t>
      </w:r>
      <w:r>
        <w:rPr/>
        <w:t>APOE E4</w:t>
      </w:r>
      <w:r>
        <w:rPr>
          <w:spacing w:val="-2"/>
        </w:rPr>
        <w:t> 进行联合检测， </w:t>
      </w:r>
      <w:r>
        <w:rPr>
          <w:spacing w:val="-3"/>
        </w:rPr>
        <w:t>其开发原理主要是：</w:t>
      </w:r>
      <w:r>
        <w:rPr/>
        <w:t>p-Tau</w:t>
      </w:r>
      <w:r>
        <w:rPr>
          <w:spacing w:val="-2"/>
        </w:rPr>
        <w:t> 的升高发生在阿尔茨海默症的早期阶段，而 </w:t>
      </w:r>
      <w:r>
        <w:rPr/>
        <w:t>APOE E4</w:t>
      </w:r>
      <w:r>
        <w:rPr>
          <w:spacing w:val="-3"/>
        </w:rPr>
        <w:t> 的存在构成了阿尔茨海默症最常见的遗传风险因素。</w:t>
      </w:r>
    </w:p>
    <w:p>
      <w:pPr>
        <w:pStyle w:val="BodyText"/>
        <w:spacing w:before="9"/>
        <w:rPr>
          <w:sz w:val="18"/>
        </w:rPr>
      </w:pPr>
    </w:p>
    <w:p>
      <w:pPr>
        <w:pStyle w:val="BodyText"/>
        <w:spacing w:before="72" w:after="19"/>
        <w:ind w:left="147"/>
      </w:pPr>
      <w:r>
        <w:rPr/>
        <w:t>图表19:脑脊液检测的市场</w:t>
      </w:r>
    </w:p>
    <w:p>
      <w:pPr>
        <w:pStyle w:val="BodyText"/>
        <w:spacing w:line="20" w:lineRule="exact"/>
        <w:ind w:left="148"/>
        <w:rPr>
          <w:sz w:val="2"/>
        </w:rPr>
      </w:pPr>
      <w:r>
        <w:rPr>
          <w:sz w:val="2"/>
        </w:rPr>
        <w:pict>
          <v:group style="width:521.75pt;height:1pt;mso-position-horizontal-relative:char;mso-position-vertical-relative:line" coordorigin="0,0" coordsize="10435,20">
            <v:rect style="position:absolute;left:0;top:0;width:10435;height:20" filled="true" fillcolor="#000000" stroked="false">
              <v:fill type="solid"/>
            </v:rect>
          </v:group>
        </w:pict>
      </w:r>
      <w:r>
        <w:rPr>
          <w:sz w:val="2"/>
        </w:rPr>
      </w:r>
    </w:p>
    <w:p>
      <w:pPr>
        <w:pStyle w:val="BodyText"/>
        <w:spacing w:before="5"/>
        <w:rPr>
          <w:sz w:val="9"/>
        </w:rPr>
      </w:pPr>
      <w:r>
        <w:rPr/>
        <w:drawing>
          <wp:anchor distT="0" distB="0" distL="0" distR="0" allowOverlap="1" layoutInCell="1" locked="0" behindDoc="0" simplePos="0" relativeHeight="45">
            <wp:simplePos x="0" y="0"/>
            <wp:positionH relativeFrom="page">
              <wp:posOffset>469127</wp:posOffset>
            </wp:positionH>
            <wp:positionV relativeFrom="paragraph">
              <wp:posOffset>101243</wp:posOffset>
            </wp:positionV>
            <wp:extent cx="6622960" cy="709612"/>
            <wp:effectExtent l="0" t="0" r="0" b="0"/>
            <wp:wrapTopAndBottom/>
            <wp:docPr id="45" name="image22.jpeg"/>
            <wp:cNvGraphicFramePr>
              <a:graphicFrameLocks noChangeAspect="1"/>
            </wp:cNvGraphicFramePr>
            <a:graphic>
              <a:graphicData uri="http://schemas.openxmlformats.org/drawingml/2006/picture">
                <pic:pic>
                  <pic:nvPicPr>
                    <pic:cNvPr id="46" name="image22.jpeg"/>
                    <pic:cNvPicPr/>
                  </pic:nvPicPr>
                  <pic:blipFill>
                    <a:blip r:embed="rId38" cstate="print"/>
                    <a:stretch>
                      <a:fillRect/>
                    </a:stretch>
                  </pic:blipFill>
                  <pic:spPr>
                    <a:xfrm>
                      <a:off x="0" y="0"/>
                      <a:ext cx="6622960" cy="709612"/>
                    </a:xfrm>
                    <a:prstGeom prst="rect">
                      <a:avLst/>
                    </a:prstGeom>
                  </pic:spPr>
                </pic:pic>
              </a:graphicData>
            </a:graphic>
          </wp:anchor>
        </w:drawing>
      </w:r>
      <w:r>
        <w:rPr/>
        <w:pict>
          <v:rect style="position:absolute;margin-left:35.400002pt;margin-top:73.160027pt;width:521.74pt;height:.95996pt;mso-position-horizontal-relative:page;mso-position-vertical-relative:paragraph;z-index:-15705088;mso-wrap-distance-left:0;mso-wrap-distance-right:0" filled="true" fillcolor="#000000" stroked="false">
            <v:fill type="solid"/>
            <w10:wrap type="topAndBottom"/>
          </v:rect>
        </w:pict>
      </w:r>
    </w:p>
    <w:p>
      <w:pPr>
        <w:pStyle w:val="BodyText"/>
        <w:spacing w:before="2"/>
        <w:rPr>
          <w:sz w:val="9"/>
        </w:rPr>
      </w:pPr>
    </w:p>
    <w:p>
      <w:pPr>
        <w:spacing w:before="0"/>
        <w:ind w:left="148" w:right="0" w:firstLine="0"/>
        <w:jc w:val="left"/>
        <w:rPr>
          <w:i/>
          <w:sz w:val="21"/>
        </w:rPr>
      </w:pPr>
      <w:r>
        <w:rPr>
          <w:i/>
          <w:sz w:val="21"/>
        </w:rPr>
        <w:t>资料来源：医疗器械创新网，方正证券研究所</w:t>
      </w:r>
    </w:p>
    <w:p>
      <w:pPr>
        <w:pStyle w:val="BodyText"/>
        <w:spacing w:before="8"/>
        <w:rPr>
          <w:i/>
        </w:rPr>
      </w:pPr>
    </w:p>
    <w:p>
      <w:pPr>
        <w:pStyle w:val="BodyText"/>
        <w:spacing w:line="278" w:lineRule="auto" w:before="71"/>
        <w:ind w:left="3324" w:right="231"/>
      </w:pPr>
      <w:r>
        <w:rPr>
          <w:b/>
          <w:spacing w:val="-26"/>
        </w:rPr>
        <w:t>从 </w:t>
      </w:r>
      <w:r>
        <w:rPr>
          <w:b/>
        </w:rPr>
        <w:t>PET</w:t>
      </w:r>
      <w:r>
        <w:rPr>
          <w:b/>
          <w:spacing w:val="-8"/>
        </w:rPr>
        <w:t> 检测诊断市场来看，经过测算我们认为阿尔茨海默市场有望近百亿</w:t>
      </w:r>
      <w:r>
        <w:rPr>
          <w:spacing w:val="-3"/>
        </w:rPr>
        <w:t>。检</w:t>
      </w:r>
      <w:r>
        <w:rPr>
          <w:spacing w:val="3"/>
        </w:rPr>
        <w:t>测手段方面，国内</w:t>
      </w:r>
      <w:r>
        <w:rPr/>
        <w:t>PET-CT</w:t>
      </w:r>
      <w:r>
        <w:rPr>
          <w:spacing w:val="-7"/>
        </w:rPr>
        <w:t> 方法目前率先有产品上市，生物标志物检测这块尚未</w:t>
      </w:r>
      <w:r>
        <w:rPr>
          <w:spacing w:val="-8"/>
        </w:rPr>
        <w:t>有产品上市，因此未来一段时间内 </w:t>
      </w:r>
      <w:r>
        <w:rPr/>
        <w:t>PET</w:t>
      </w:r>
      <w:r>
        <w:rPr>
          <w:spacing w:val="-8"/>
        </w:rPr>
        <w:t> 示踪剂检测将成为诊断主流。此外随着Leqembi</w:t>
      </w:r>
      <w:r>
        <w:rPr>
          <w:spacing w:val="-15"/>
        </w:rPr>
        <w:t> 等相关创新药 </w:t>
      </w:r>
      <w:r>
        <w:rPr/>
        <w:t>2024</w:t>
      </w:r>
      <w:r>
        <w:rPr>
          <w:spacing w:val="-11"/>
        </w:rPr>
        <w:t> 年逐步在国内上市，将会带动 </w:t>
      </w:r>
      <w:r>
        <w:rPr/>
        <w:t>PET</w:t>
      </w:r>
      <w:r>
        <w:rPr>
          <w:spacing w:val="-9"/>
        </w:rPr>
        <w:t> 影像检测市场逐</w:t>
      </w:r>
      <w:r>
        <w:rPr>
          <w:spacing w:val="-7"/>
        </w:rPr>
        <w:t>步增长，根据我们的测算，我们认为最终阿尔茨海默 </w:t>
      </w:r>
      <w:r>
        <w:rPr/>
        <w:t>PET</w:t>
      </w:r>
      <w:r>
        <w:rPr>
          <w:spacing w:val="-14"/>
        </w:rPr>
        <w:t> 检测的市场到 </w:t>
      </w:r>
      <w:r>
        <w:rPr/>
        <w:t>2030</w:t>
      </w:r>
      <w:r>
        <w:rPr>
          <w:spacing w:val="-23"/>
        </w:rPr>
        <w:t> 年</w:t>
      </w:r>
      <w:r>
        <w:rPr>
          <w:spacing w:val="-21"/>
        </w:rPr>
        <w:t>有望达到 </w:t>
      </w:r>
      <w:r>
        <w:rPr/>
        <w:t>84.7</w:t>
      </w:r>
      <w:r>
        <w:rPr>
          <w:spacing w:val="-9"/>
        </w:rPr>
        <w:t> 亿元。具体测算如下：</w:t>
      </w:r>
    </w:p>
    <w:p>
      <w:pPr>
        <w:pStyle w:val="ListParagraph"/>
        <w:numPr>
          <w:ilvl w:val="0"/>
          <w:numId w:val="5"/>
        </w:numPr>
        <w:tabs>
          <w:tab w:pos="3745" w:val="left" w:leader="none"/>
        </w:tabs>
        <w:spacing w:line="278" w:lineRule="auto" w:before="0" w:after="0"/>
        <w:ind w:left="3744" w:right="230" w:hanging="420"/>
        <w:jc w:val="both"/>
        <w:rPr>
          <w:sz w:val="21"/>
        </w:rPr>
      </w:pPr>
      <w:r>
        <w:rPr>
          <w:sz w:val="21"/>
        </w:rPr>
        <w:t>1）</w:t>
      </w:r>
      <w:r>
        <w:rPr>
          <w:spacing w:val="4"/>
          <w:sz w:val="21"/>
        </w:rPr>
        <w:t>考虑到目前中国</w:t>
      </w:r>
      <w:r>
        <w:rPr>
          <w:sz w:val="21"/>
        </w:rPr>
        <w:t>AD</w:t>
      </w:r>
      <w:r>
        <w:rPr>
          <w:spacing w:val="-11"/>
          <w:sz w:val="21"/>
        </w:rPr>
        <w:t> 及其他痴呆人群大概有 </w:t>
      </w:r>
      <w:r>
        <w:rPr>
          <w:sz w:val="21"/>
        </w:rPr>
        <w:t>1324</w:t>
      </w:r>
      <w:r>
        <w:rPr>
          <w:spacing w:val="-8"/>
          <w:sz w:val="21"/>
        </w:rPr>
        <w:t> 万人，随着老龄化进程持续推进，我们假设患病人数每年增长 </w:t>
      </w:r>
      <w:r>
        <w:rPr>
          <w:sz w:val="21"/>
        </w:rPr>
        <w:t>2%；</w:t>
      </w:r>
    </w:p>
    <w:p>
      <w:pPr>
        <w:pStyle w:val="ListParagraph"/>
        <w:numPr>
          <w:ilvl w:val="0"/>
          <w:numId w:val="5"/>
        </w:numPr>
        <w:tabs>
          <w:tab w:pos="3745" w:val="left" w:leader="none"/>
        </w:tabs>
        <w:spacing w:line="278" w:lineRule="auto" w:before="0" w:after="0"/>
        <w:ind w:left="3744" w:right="176" w:hanging="420"/>
        <w:jc w:val="both"/>
        <w:rPr>
          <w:sz w:val="21"/>
        </w:rPr>
      </w:pPr>
      <w:r>
        <w:rPr>
          <w:sz w:val="21"/>
        </w:rPr>
        <w:t>2）</w:t>
      </w:r>
      <w:r>
        <w:rPr>
          <w:spacing w:val="-3"/>
          <w:sz w:val="21"/>
        </w:rPr>
        <w:t>考虑到大环境下国内人口老龄化进程持续加深，市场玩家逐渐增大，行业逐渐成熟，随着市场玩家的持续培育，</w:t>
      </w:r>
      <w:r>
        <w:rPr>
          <w:sz w:val="21"/>
        </w:rPr>
        <w:t>PET</w:t>
      </w:r>
      <w:r>
        <w:rPr>
          <w:spacing w:val="-7"/>
          <w:sz w:val="21"/>
        </w:rPr>
        <w:t> 产品认可度持续提高，我们假</w:t>
      </w:r>
      <w:r>
        <w:rPr>
          <w:spacing w:val="-23"/>
          <w:sz w:val="21"/>
        </w:rPr>
        <w:t>设自 </w:t>
      </w:r>
      <w:r>
        <w:rPr>
          <w:sz w:val="21"/>
        </w:rPr>
        <w:t>2016</w:t>
      </w:r>
      <w:r>
        <w:rPr>
          <w:spacing w:val="-13"/>
          <w:sz w:val="21"/>
        </w:rPr>
        <w:t> 年后市场渗透率每年增加 </w:t>
      </w:r>
      <w:r>
        <w:rPr>
          <w:sz w:val="21"/>
        </w:rPr>
        <w:t>3%；</w:t>
      </w:r>
    </w:p>
    <w:p>
      <w:pPr>
        <w:pStyle w:val="ListParagraph"/>
        <w:numPr>
          <w:ilvl w:val="0"/>
          <w:numId w:val="5"/>
        </w:numPr>
        <w:tabs>
          <w:tab w:pos="3745" w:val="left" w:leader="none"/>
        </w:tabs>
        <w:spacing w:line="278" w:lineRule="auto" w:before="0" w:after="0"/>
        <w:ind w:left="3744" w:right="230" w:hanging="420"/>
        <w:jc w:val="both"/>
        <w:rPr>
          <w:sz w:val="21"/>
        </w:rPr>
      </w:pPr>
      <w:r>
        <w:rPr>
          <w:sz w:val="21"/>
        </w:rPr>
        <w:t>3）</w:t>
      </w:r>
      <w:r>
        <w:rPr>
          <w:spacing w:val="-9"/>
          <w:sz w:val="21"/>
        </w:rPr>
        <w:t>目前检测费用在 </w:t>
      </w:r>
      <w:r>
        <w:rPr>
          <w:sz w:val="21"/>
        </w:rPr>
        <w:t>6000</w:t>
      </w:r>
      <w:r>
        <w:rPr>
          <w:spacing w:val="-8"/>
          <w:sz w:val="21"/>
        </w:rPr>
        <w:t> 元左右，我们认为后续国内人口老龄化进程持续</w:t>
      </w:r>
      <w:r>
        <w:rPr>
          <w:spacing w:val="-7"/>
          <w:sz w:val="21"/>
        </w:rPr>
        <w:t>加深，未来有望纳入医保，预计价格降到 </w:t>
      </w:r>
      <w:r>
        <w:rPr>
          <w:sz w:val="21"/>
        </w:rPr>
        <w:t>3000</w:t>
      </w:r>
      <w:r>
        <w:rPr>
          <w:spacing w:val="-8"/>
          <w:sz w:val="21"/>
        </w:rPr>
        <w:t> 元左右，后续受到市场竞争</w:t>
      </w:r>
    </w:p>
    <w:p>
      <w:pPr>
        <w:spacing w:after="0" w:line="278" w:lineRule="auto"/>
        <w:jc w:val="both"/>
        <w:rPr>
          <w:sz w:val="21"/>
        </w:rPr>
        <w:sectPr>
          <w:pgSz w:w="11910" w:h="16840"/>
          <w:pgMar w:header="454" w:footer="430" w:top="1220" w:bottom="620" w:left="560" w:right="540"/>
        </w:sectPr>
      </w:pPr>
    </w:p>
    <w:p>
      <w:pPr>
        <w:pStyle w:val="BodyText"/>
        <w:spacing w:line="278" w:lineRule="auto" w:before="104"/>
        <w:ind w:left="3744" w:right="339"/>
      </w:pPr>
      <w:r>
        <w:rPr>
          <w:spacing w:val="-6"/>
        </w:rPr>
        <w:t>加剧影响，费用进一步下滑，预计 </w:t>
      </w:r>
      <w:r>
        <w:rPr/>
        <w:t>2030</w:t>
      </w:r>
      <w:r>
        <w:rPr>
          <w:spacing w:val="-12"/>
        </w:rPr>
        <w:t> 年单次检测费用稳定在 </w:t>
      </w:r>
      <w:r>
        <w:rPr/>
        <w:t>2000</w:t>
      </w:r>
      <w:r>
        <w:rPr>
          <w:spacing w:val="-18"/>
        </w:rPr>
        <w:t> 元左</w:t>
      </w:r>
      <w:r>
        <w:rPr/>
        <w:t>右。</w:t>
      </w:r>
    </w:p>
    <w:p>
      <w:pPr>
        <w:pStyle w:val="BodyText"/>
        <w:spacing w:before="5"/>
        <w:rPr>
          <w:sz w:val="24"/>
        </w:rPr>
      </w:pPr>
    </w:p>
    <w:p>
      <w:pPr>
        <w:pStyle w:val="BodyText"/>
        <w:spacing w:after="25"/>
        <w:ind w:left="147"/>
      </w:pPr>
      <w:r>
        <w:rPr/>
        <w:pict>
          <v:rect style="position:absolute;margin-left:35.400002pt;margin-top:14.459978pt;width:524.5pt;height:.96001pt;mso-position-horizontal-relative:page;mso-position-vertical-relative:paragraph;z-index:15753216" filled="true" fillcolor="#000000" stroked="false">
            <v:fill type="solid"/>
            <w10:wrap type="none"/>
          </v:rect>
        </w:pict>
      </w:r>
      <w:r>
        <w:rPr/>
        <w:t>图表20:我国阿尔茨海默 PET 检测的市场规模测算</w:t>
      </w: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045"/>
        <w:gridCol w:w="1088"/>
        <w:gridCol w:w="1045"/>
        <w:gridCol w:w="1045"/>
        <w:gridCol w:w="1045"/>
        <w:gridCol w:w="1046"/>
        <w:gridCol w:w="1045"/>
        <w:gridCol w:w="1045"/>
      </w:tblGrid>
      <w:tr>
        <w:trPr>
          <w:trHeight w:val="328" w:hRule="atLeast"/>
        </w:trPr>
        <w:tc>
          <w:tcPr>
            <w:tcW w:w="1952" w:type="dxa"/>
            <w:shd w:val="clear" w:color="auto" w:fill="C00000"/>
          </w:tcPr>
          <w:p>
            <w:pPr>
              <w:pStyle w:val="TableParagraph"/>
              <w:spacing w:before="0"/>
              <w:jc w:val="left"/>
              <w:rPr>
                <w:rFonts w:ascii="Times New Roman"/>
                <w:sz w:val="20"/>
              </w:rPr>
            </w:pPr>
          </w:p>
        </w:tc>
        <w:tc>
          <w:tcPr>
            <w:tcW w:w="1045" w:type="dxa"/>
            <w:shd w:val="clear" w:color="auto" w:fill="C00000"/>
          </w:tcPr>
          <w:p>
            <w:pPr>
              <w:pStyle w:val="TableParagraph"/>
              <w:spacing w:before="44"/>
              <w:ind w:left="172" w:right="162"/>
              <w:rPr>
                <w:sz w:val="20"/>
              </w:rPr>
            </w:pPr>
            <w:r>
              <w:rPr>
                <w:rFonts w:ascii="Times New Roman" w:eastAsia="Times New Roman"/>
                <w:color w:val="FFFFFF"/>
                <w:sz w:val="20"/>
              </w:rPr>
              <w:t>2019 </w:t>
            </w:r>
            <w:r>
              <w:rPr>
                <w:color w:val="FFFFFF"/>
                <w:sz w:val="20"/>
              </w:rPr>
              <w:t>年</w:t>
            </w:r>
          </w:p>
        </w:tc>
        <w:tc>
          <w:tcPr>
            <w:tcW w:w="1088" w:type="dxa"/>
            <w:shd w:val="clear" w:color="auto" w:fill="C00000"/>
          </w:tcPr>
          <w:p>
            <w:pPr>
              <w:pStyle w:val="TableParagraph"/>
              <w:spacing w:before="44"/>
              <w:ind w:left="198" w:right="189"/>
              <w:rPr>
                <w:sz w:val="20"/>
              </w:rPr>
            </w:pPr>
            <w:r>
              <w:rPr>
                <w:rFonts w:ascii="Times New Roman" w:eastAsia="Times New Roman"/>
                <w:color w:val="FFFFFF"/>
                <w:sz w:val="20"/>
              </w:rPr>
              <w:t>2024 </w:t>
            </w:r>
            <w:r>
              <w:rPr>
                <w:color w:val="FFFFFF"/>
                <w:sz w:val="20"/>
              </w:rPr>
              <w:t>年</w:t>
            </w:r>
          </w:p>
        </w:tc>
        <w:tc>
          <w:tcPr>
            <w:tcW w:w="1045" w:type="dxa"/>
            <w:shd w:val="clear" w:color="auto" w:fill="C00000"/>
          </w:tcPr>
          <w:p>
            <w:pPr>
              <w:pStyle w:val="TableParagraph"/>
              <w:spacing w:before="44"/>
              <w:ind w:left="172" w:right="165"/>
              <w:rPr>
                <w:sz w:val="20"/>
              </w:rPr>
            </w:pPr>
            <w:r>
              <w:rPr>
                <w:rFonts w:ascii="Times New Roman" w:eastAsia="Times New Roman"/>
                <w:color w:val="FFFFFF"/>
                <w:sz w:val="20"/>
              </w:rPr>
              <w:t>2025 </w:t>
            </w:r>
            <w:r>
              <w:rPr>
                <w:color w:val="FFFFFF"/>
                <w:sz w:val="20"/>
              </w:rPr>
              <w:t>年</w:t>
            </w:r>
          </w:p>
        </w:tc>
        <w:tc>
          <w:tcPr>
            <w:tcW w:w="1045" w:type="dxa"/>
            <w:shd w:val="clear" w:color="auto" w:fill="C00000"/>
          </w:tcPr>
          <w:p>
            <w:pPr>
              <w:pStyle w:val="TableParagraph"/>
              <w:spacing w:before="44"/>
              <w:ind w:left="172" w:right="166"/>
              <w:rPr>
                <w:sz w:val="20"/>
              </w:rPr>
            </w:pPr>
            <w:r>
              <w:rPr>
                <w:rFonts w:ascii="Times New Roman" w:eastAsia="Times New Roman"/>
                <w:color w:val="FFFFFF"/>
                <w:sz w:val="20"/>
              </w:rPr>
              <w:t>2026 </w:t>
            </w:r>
            <w:r>
              <w:rPr>
                <w:color w:val="FFFFFF"/>
                <w:sz w:val="20"/>
              </w:rPr>
              <w:t>年</w:t>
            </w:r>
          </w:p>
        </w:tc>
        <w:tc>
          <w:tcPr>
            <w:tcW w:w="1045" w:type="dxa"/>
            <w:shd w:val="clear" w:color="auto" w:fill="C00000"/>
          </w:tcPr>
          <w:p>
            <w:pPr>
              <w:pStyle w:val="TableParagraph"/>
              <w:spacing w:before="44"/>
              <w:ind w:left="171" w:right="167"/>
              <w:rPr>
                <w:sz w:val="20"/>
              </w:rPr>
            </w:pPr>
            <w:r>
              <w:rPr>
                <w:rFonts w:ascii="Times New Roman" w:eastAsia="Times New Roman"/>
                <w:color w:val="FFFFFF"/>
                <w:sz w:val="20"/>
              </w:rPr>
              <w:t>2027 </w:t>
            </w:r>
            <w:r>
              <w:rPr>
                <w:color w:val="FFFFFF"/>
                <w:sz w:val="20"/>
              </w:rPr>
              <w:t>年</w:t>
            </w:r>
          </w:p>
        </w:tc>
        <w:tc>
          <w:tcPr>
            <w:tcW w:w="1046" w:type="dxa"/>
            <w:shd w:val="clear" w:color="auto" w:fill="C00000"/>
          </w:tcPr>
          <w:p>
            <w:pPr>
              <w:pStyle w:val="TableParagraph"/>
              <w:spacing w:before="44"/>
              <w:ind w:left="173" w:right="172"/>
              <w:rPr>
                <w:sz w:val="20"/>
              </w:rPr>
            </w:pPr>
            <w:r>
              <w:rPr>
                <w:rFonts w:ascii="Times New Roman" w:eastAsia="Times New Roman"/>
                <w:color w:val="FFFFFF"/>
                <w:sz w:val="20"/>
              </w:rPr>
              <w:t>2028 </w:t>
            </w:r>
            <w:r>
              <w:rPr>
                <w:color w:val="FFFFFF"/>
                <w:sz w:val="20"/>
              </w:rPr>
              <w:t>年</w:t>
            </w:r>
          </w:p>
        </w:tc>
        <w:tc>
          <w:tcPr>
            <w:tcW w:w="1045" w:type="dxa"/>
            <w:shd w:val="clear" w:color="auto" w:fill="C00000"/>
          </w:tcPr>
          <w:p>
            <w:pPr>
              <w:pStyle w:val="TableParagraph"/>
              <w:spacing w:before="44"/>
              <w:ind w:left="167" w:right="167"/>
              <w:rPr>
                <w:sz w:val="20"/>
              </w:rPr>
            </w:pPr>
            <w:r>
              <w:rPr>
                <w:rFonts w:ascii="Times New Roman" w:eastAsia="Times New Roman"/>
                <w:color w:val="FFFFFF"/>
                <w:sz w:val="20"/>
              </w:rPr>
              <w:t>2029 </w:t>
            </w:r>
            <w:r>
              <w:rPr>
                <w:color w:val="FFFFFF"/>
                <w:sz w:val="20"/>
              </w:rPr>
              <w:t>年</w:t>
            </w:r>
          </w:p>
        </w:tc>
        <w:tc>
          <w:tcPr>
            <w:tcW w:w="1045" w:type="dxa"/>
            <w:shd w:val="clear" w:color="auto" w:fill="C00000"/>
          </w:tcPr>
          <w:p>
            <w:pPr>
              <w:pStyle w:val="TableParagraph"/>
              <w:spacing w:before="44"/>
              <w:ind w:left="167" w:right="167"/>
              <w:rPr>
                <w:sz w:val="20"/>
              </w:rPr>
            </w:pPr>
            <w:r>
              <w:rPr>
                <w:rFonts w:ascii="Times New Roman" w:eastAsia="Times New Roman"/>
                <w:color w:val="FFFFFF"/>
                <w:sz w:val="20"/>
              </w:rPr>
              <w:t>2030 </w:t>
            </w:r>
            <w:r>
              <w:rPr>
                <w:color w:val="FFFFFF"/>
                <w:sz w:val="20"/>
              </w:rPr>
              <w:t>年</w:t>
            </w:r>
          </w:p>
        </w:tc>
      </w:tr>
      <w:tr>
        <w:trPr>
          <w:trHeight w:val="311" w:hRule="atLeast"/>
        </w:trPr>
        <w:tc>
          <w:tcPr>
            <w:tcW w:w="1952" w:type="dxa"/>
          </w:tcPr>
          <w:p>
            <w:pPr>
              <w:pStyle w:val="TableParagraph"/>
              <w:spacing w:before="28"/>
              <w:ind w:left="151" w:right="150"/>
              <w:rPr>
                <w:sz w:val="20"/>
              </w:rPr>
            </w:pPr>
            <w:r>
              <w:rPr>
                <w:sz w:val="20"/>
              </w:rPr>
              <w:t>患病人群（万人）</w:t>
            </w:r>
          </w:p>
        </w:tc>
        <w:tc>
          <w:tcPr>
            <w:tcW w:w="1045" w:type="dxa"/>
          </w:tcPr>
          <w:p>
            <w:pPr>
              <w:pStyle w:val="TableParagraph"/>
              <w:ind w:left="172" w:right="162"/>
              <w:rPr>
                <w:rFonts w:ascii="Times New Roman"/>
                <w:sz w:val="20"/>
              </w:rPr>
            </w:pPr>
            <w:r>
              <w:rPr>
                <w:rFonts w:ascii="Times New Roman"/>
                <w:sz w:val="20"/>
              </w:rPr>
              <w:t>1324</w:t>
            </w:r>
          </w:p>
        </w:tc>
        <w:tc>
          <w:tcPr>
            <w:tcW w:w="1088" w:type="dxa"/>
          </w:tcPr>
          <w:p>
            <w:pPr>
              <w:pStyle w:val="TableParagraph"/>
              <w:ind w:left="198" w:right="189"/>
              <w:rPr>
                <w:rFonts w:ascii="Times New Roman"/>
                <w:sz w:val="20"/>
              </w:rPr>
            </w:pPr>
            <w:r>
              <w:rPr>
                <w:rFonts w:ascii="Times New Roman"/>
                <w:sz w:val="20"/>
              </w:rPr>
              <w:t>1462</w:t>
            </w:r>
          </w:p>
        </w:tc>
        <w:tc>
          <w:tcPr>
            <w:tcW w:w="1045" w:type="dxa"/>
          </w:tcPr>
          <w:p>
            <w:pPr>
              <w:pStyle w:val="TableParagraph"/>
              <w:ind w:left="172" w:right="165"/>
              <w:rPr>
                <w:rFonts w:ascii="Times New Roman"/>
                <w:sz w:val="20"/>
              </w:rPr>
            </w:pPr>
            <w:r>
              <w:rPr>
                <w:rFonts w:ascii="Times New Roman"/>
                <w:sz w:val="20"/>
              </w:rPr>
              <w:t>1614</w:t>
            </w:r>
          </w:p>
        </w:tc>
        <w:tc>
          <w:tcPr>
            <w:tcW w:w="1045" w:type="dxa"/>
          </w:tcPr>
          <w:p>
            <w:pPr>
              <w:pStyle w:val="TableParagraph"/>
              <w:ind w:left="172" w:right="167"/>
              <w:rPr>
                <w:rFonts w:ascii="Times New Roman"/>
                <w:sz w:val="20"/>
              </w:rPr>
            </w:pPr>
            <w:r>
              <w:rPr>
                <w:rFonts w:ascii="Times New Roman"/>
                <w:sz w:val="20"/>
              </w:rPr>
              <w:t>1782</w:t>
            </w:r>
          </w:p>
        </w:tc>
        <w:tc>
          <w:tcPr>
            <w:tcW w:w="1045" w:type="dxa"/>
          </w:tcPr>
          <w:p>
            <w:pPr>
              <w:pStyle w:val="TableParagraph"/>
              <w:ind w:left="171" w:right="167"/>
              <w:rPr>
                <w:rFonts w:ascii="Times New Roman"/>
                <w:sz w:val="20"/>
              </w:rPr>
            </w:pPr>
            <w:r>
              <w:rPr>
                <w:rFonts w:ascii="Times New Roman"/>
                <w:sz w:val="20"/>
              </w:rPr>
              <w:t>1967</w:t>
            </w:r>
          </w:p>
        </w:tc>
        <w:tc>
          <w:tcPr>
            <w:tcW w:w="1046" w:type="dxa"/>
          </w:tcPr>
          <w:p>
            <w:pPr>
              <w:pStyle w:val="TableParagraph"/>
              <w:ind w:left="173" w:right="172"/>
              <w:rPr>
                <w:rFonts w:ascii="Times New Roman"/>
                <w:sz w:val="20"/>
              </w:rPr>
            </w:pPr>
            <w:r>
              <w:rPr>
                <w:rFonts w:ascii="Times New Roman"/>
                <w:sz w:val="20"/>
              </w:rPr>
              <w:t>2172</w:t>
            </w:r>
          </w:p>
        </w:tc>
        <w:tc>
          <w:tcPr>
            <w:tcW w:w="1045" w:type="dxa"/>
          </w:tcPr>
          <w:p>
            <w:pPr>
              <w:pStyle w:val="TableParagraph"/>
              <w:ind w:left="167" w:right="167"/>
              <w:rPr>
                <w:rFonts w:ascii="Times New Roman"/>
                <w:sz w:val="20"/>
              </w:rPr>
            </w:pPr>
            <w:r>
              <w:rPr>
                <w:rFonts w:ascii="Times New Roman"/>
                <w:sz w:val="20"/>
              </w:rPr>
              <w:t>2398</w:t>
            </w:r>
          </w:p>
        </w:tc>
        <w:tc>
          <w:tcPr>
            <w:tcW w:w="1045" w:type="dxa"/>
          </w:tcPr>
          <w:p>
            <w:pPr>
              <w:pStyle w:val="TableParagraph"/>
              <w:ind w:left="167" w:right="167"/>
              <w:rPr>
                <w:rFonts w:ascii="Times New Roman"/>
                <w:sz w:val="20"/>
              </w:rPr>
            </w:pPr>
            <w:r>
              <w:rPr>
                <w:rFonts w:ascii="Times New Roman"/>
                <w:sz w:val="20"/>
              </w:rPr>
              <w:t>2648</w:t>
            </w:r>
          </w:p>
        </w:tc>
      </w:tr>
      <w:tr>
        <w:trPr>
          <w:trHeight w:val="311" w:hRule="atLeast"/>
        </w:trPr>
        <w:tc>
          <w:tcPr>
            <w:tcW w:w="1952" w:type="dxa"/>
          </w:tcPr>
          <w:p>
            <w:pPr>
              <w:pStyle w:val="TableParagraph"/>
              <w:spacing w:before="28"/>
              <w:ind w:left="151" w:right="147"/>
              <w:rPr>
                <w:sz w:val="20"/>
              </w:rPr>
            </w:pPr>
            <w:r>
              <w:rPr>
                <w:sz w:val="20"/>
              </w:rPr>
              <w:t>渗透率</w:t>
            </w:r>
          </w:p>
        </w:tc>
        <w:tc>
          <w:tcPr>
            <w:tcW w:w="1045" w:type="dxa"/>
          </w:tcPr>
          <w:p>
            <w:pPr>
              <w:pStyle w:val="TableParagraph"/>
              <w:spacing w:before="0"/>
              <w:jc w:val="left"/>
              <w:rPr>
                <w:rFonts w:ascii="Times New Roman"/>
                <w:sz w:val="20"/>
              </w:rPr>
            </w:pPr>
          </w:p>
        </w:tc>
        <w:tc>
          <w:tcPr>
            <w:tcW w:w="1088" w:type="dxa"/>
          </w:tcPr>
          <w:p>
            <w:pPr>
              <w:pStyle w:val="TableParagraph"/>
              <w:ind w:left="198" w:right="189"/>
              <w:rPr>
                <w:rFonts w:ascii="Times New Roman"/>
                <w:sz w:val="20"/>
              </w:rPr>
            </w:pPr>
            <w:r>
              <w:rPr>
                <w:rFonts w:ascii="Times New Roman"/>
                <w:sz w:val="20"/>
              </w:rPr>
              <w:t>0.50%</w:t>
            </w:r>
          </w:p>
        </w:tc>
        <w:tc>
          <w:tcPr>
            <w:tcW w:w="1045" w:type="dxa"/>
          </w:tcPr>
          <w:p>
            <w:pPr>
              <w:pStyle w:val="TableParagraph"/>
              <w:ind w:left="172" w:right="166"/>
              <w:rPr>
                <w:rFonts w:ascii="Times New Roman"/>
                <w:sz w:val="20"/>
              </w:rPr>
            </w:pPr>
            <w:r>
              <w:rPr>
                <w:rFonts w:ascii="Times New Roman"/>
                <w:sz w:val="20"/>
              </w:rPr>
              <w:t>2%</w:t>
            </w:r>
          </w:p>
        </w:tc>
        <w:tc>
          <w:tcPr>
            <w:tcW w:w="1045" w:type="dxa"/>
          </w:tcPr>
          <w:p>
            <w:pPr>
              <w:pStyle w:val="TableParagraph"/>
              <w:ind w:left="172" w:right="167"/>
              <w:rPr>
                <w:rFonts w:ascii="Times New Roman"/>
                <w:sz w:val="20"/>
              </w:rPr>
            </w:pPr>
            <w:r>
              <w:rPr>
                <w:rFonts w:ascii="Times New Roman"/>
                <w:sz w:val="20"/>
              </w:rPr>
              <w:t>4%</w:t>
            </w:r>
          </w:p>
        </w:tc>
        <w:tc>
          <w:tcPr>
            <w:tcW w:w="1045" w:type="dxa"/>
          </w:tcPr>
          <w:p>
            <w:pPr>
              <w:pStyle w:val="TableParagraph"/>
              <w:ind w:left="170" w:right="167"/>
              <w:rPr>
                <w:rFonts w:ascii="Times New Roman"/>
                <w:sz w:val="20"/>
              </w:rPr>
            </w:pPr>
            <w:r>
              <w:rPr>
                <w:rFonts w:ascii="Times New Roman"/>
                <w:sz w:val="20"/>
              </w:rPr>
              <w:t>7%</w:t>
            </w:r>
          </w:p>
        </w:tc>
        <w:tc>
          <w:tcPr>
            <w:tcW w:w="1046" w:type="dxa"/>
          </w:tcPr>
          <w:p>
            <w:pPr>
              <w:pStyle w:val="TableParagraph"/>
              <w:ind w:left="172" w:right="172"/>
              <w:rPr>
                <w:rFonts w:ascii="Times New Roman"/>
                <w:sz w:val="20"/>
              </w:rPr>
            </w:pPr>
            <w:r>
              <w:rPr>
                <w:rFonts w:ascii="Times New Roman"/>
                <w:sz w:val="20"/>
              </w:rPr>
              <w:t>10%</w:t>
            </w:r>
          </w:p>
        </w:tc>
        <w:tc>
          <w:tcPr>
            <w:tcW w:w="1045" w:type="dxa"/>
          </w:tcPr>
          <w:p>
            <w:pPr>
              <w:pStyle w:val="TableParagraph"/>
              <w:ind w:left="166" w:right="167"/>
              <w:rPr>
                <w:rFonts w:ascii="Times New Roman"/>
                <w:sz w:val="20"/>
              </w:rPr>
            </w:pPr>
            <w:r>
              <w:rPr>
                <w:rFonts w:ascii="Times New Roman"/>
                <w:sz w:val="20"/>
              </w:rPr>
              <w:t>13%</w:t>
            </w:r>
          </w:p>
        </w:tc>
        <w:tc>
          <w:tcPr>
            <w:tcW w:w="1045" w:type="dxa"/>
          </w:tcPr>
          <w:p>
            <w:pPr>
              <w:pStyle w:val="TableParagraph"/>
              <w:ind w:left="165" w:right="167"/>
              <w:rPr>
                <w:rFonts w:ascii="Times New Roman"/>
                <w:sz w:val="20"/>
              </w:rPr>
            </w:pPr>
            <w:r>
              <w:rPr>
                <w:rFonts w:ascii="Times New Roman"/>
                <w:sz w:val="20"/>
              </w:rPr>
              <w:t>16%</w:t>
            </w:r>
          </w:p>
        </w:tc>
      </w:tr>
      <w:tr>
        <w:trPr>
          <w:trHeight w:val="311" w:hRule="atLeast"/>
        </w:trPr>
        <w:tc>
          <w:tcPr>
            <w:tcW w:w="1952" w:type="dxa"/>
          </w:tcPr>
          <w:p>
            <w:pPr>
              <w:pStyle w:val="TableParagraph"/>
              <w:spacing w:before="27"/>
              <w:ind w:left="151" w:right="149"/>
              <w:rPr>
                <w:sz w:val="20"/>
              </w:rPr>
            </w:pPr>
            <w:r>
              <w:rPr>
                <w:sz w:val="20"/>
              </w:rPr>
              <w:t>单价（元</w:t>
            </w:r>
            <w:r>
              <w:rPr>
                <w:rFonts w:ascii="Times New Roman" w:eastAsia="Times New Roman"/>
                <w:sz w:val="20"/>
              </w:rPr>
              <w:t>/</w:t>
            </w:r>
            <w:r>
              <w:rPr>
                <w:sz w:val="20"/>
              </w:rPr>
              <w:t>次）</w:t>
            </w:r>
          </w:p>
        </w:tc>
        <w:tc>
          <w:tcPr>
            <w:tcW w:w="1045" w:type="dxa"/>
          </w:tcPr>
          <w:p>
            <w:pPr>
              <w:pStyle w:val="TableParagraph"/>
              <w:spacing w:before="0"/>
              <w:jc w:val="left"/>
              <w:rPr>
                <w:rFonts w:ascii="Times New Roman"/>
                <w:sz w:val="20"/>
              </w:rPr>
            </w:pPr>
          </w:p>
        </w:tc>
        <w:tc>
          <w:tcPr>
            <w:tcW w:w="1088" w:type="dxa"/>
          </w:tcPr>
          <w:p>
            <w:pPr>
              <w:pStyle w:val="TableParagraph"/>
              <w:ind w:left="198" w:right="189"/>
              <w:rPr>
                <w:rFonts w:ascii="Times New Roman"/>
                <w:sz w:val="20"/>
              </w:rPr>
            </w:pPr>
            <w:r>
              <w:rPr>
                <w:rFonts w:ascii="Times New Roman"/>
                <w:sz w:val="20"/>
              </w:rPr>
              <w:t>6000</w:t>
            </w:r>
          </w:p>
        </w:tc>
        <w:tc>
          <w:tcPr>
            <w:tcW w:w="1045" w:type="dxa"/>
          </w:tcPr>
          <w:p>
            <w:pPr>
              <w:pStyle w:val="TableParagraph"/>
              <w:ind w:left="172" w:right="165"/>
              <w:rPr>
                <w:rFonts w:ascii="Times New Roman"/>
                <w:sz w:val="20"/>
              </w:rPr>
            </w:pPr>
            <w:r>
              <w:rPr>
                <w:rFonts w:ascii="Times New Roman"/>
                <w:sz w:val="20"/>
              </w:rPr>
              <w:t>5000</w:t>
            </w:r>
          </w:p>
        </w:tc>
        <w:tc>
          <w:tcPr>
            <w:tcW w:w="1045" w:type="dxa"/>
          </w:tcPr>
          <w:p>
            <w:pPr>
              <w:pStyle w:val="TableParagraph"/>
              <w:ind w:left="172" w:right="167"/>
              <w:rPr>
                <w:rFonts w:ascii="Times New Roman"/>
                <w:sz w:val="20"/>
              </w:rPr>
            </w:pPr>
            <w:r>
              <w:rPr>
                <w:rFonts w:ascii="Times New Roman"/>
                <w:sz w:val="20"/>
              </w:rPr>
              <w:t>4000</w:t>
            </w:r>
          </w:p>
        </w:tc>
        <w:tc>
          <w:tcPr>
            <w:tcW w:w="1045" w:type="dxa"/>
          </w:tcPr>
          <w:p>
            <w:pPr>
              <w:pStyle w:val="TableParagraph"/>
              <w:ind w:left="171" w:right="167"/>
              <w:rPr>
                <w:rFonts w:ascii="Times New Roman"/>
                <w:sz w:val="20"/>
              </w:rPr>
            </w:pPr>
            <w:r>
              <w:rPr>
                <w:rFonts w:ascii="Times New Roman"/>
                <w:sz w:val="20"/>
              </w:rPr>
              <w:t>3500</w:t>
            </w:r>
          </w:p>
        </w:tc>
        <w:tc>
          <w:tcPr>
            <w:tcW w:w="1046" w:type="dxa"/>
          </w:tcPr>
          <w:p>
            <w:pPr>
              <w:pStyle w:val="TableParagraph"/>
              <w:ind w:left="173" w:right="172"/>
              <w:rPr>
                <w:rFonts w:ascii="Times New Roman"/>
                <w:sz w:val="20"/>
              </w:rPr>
            </w:pPr>
            <w:r>
              <w:rPr>
                <w:rFonts w:ascii="Times New Roman"/>
                <w:sz w:val="20"/>
              </w:rPr>
              <w:t>3000</w:t>
            </w:r>
          </w:p>
        </w:tc>
        <w:tc>
          <w:tcPr>
            <w:tcW w:w="1045" w:type="dxa"/>
          </w:tcPr>
          <w:p>
            <w:pPr>
              <w:pStyle w:val="TableParagraph"/>
              <w:ind w:left="167" w:right="167"/>
              <w:rPr>
                <w:rFonts w:ascii="Times New Roman"/>
                <w:sz w:val="20"/>
              </w:rPr>
            </w:pPr>
            <w:r>
              <w:rPr>
                <w:rFonts w:ascii="Times New Roman"/>
                <w:sz w:val="20"/>
              </w:rPr>
              <w:t>2500</w:t>
            </w:r>
          </w:p>
        </w:tc>
        <w:tc>
          <w:tcPr>
            <w:tcW w:w="1045" w:type="dxa"/>
          </w:tcPr>
          <w:p>
            <w:pPr>
              <w:pStyle w:val="TableParagraph"/>
              <w:ind w:left="167" w:right="167"/>
              <w:rPr>
                <w:rFonts w:ascii="Times New Roman"/>
                <w:sz w:val="20"/>
              </w:rPr>
            </w:pPr>
            <w:r>
              <w:rPr>
                <w:rFonts w:ascii="Times New Roman"/>
                <w:sz w:val="20"/>
              </w:rPr>
              <w:t>2000</w:t>
            </w:r>
          </w:p>
        </w:tc>
      </w:tr>
      <w:tr>
        <w:trPr>
          <w:trHeight w:val="323" w:hRule="atLeast"/>
        </w:trPr>
        <w:tc>
          <w:tcPr>
            <w:tcW w:w="1952" w:type="dxa"/>
            <w:shd w:val="clear" w:color="auto" w:fill="E9ECF4"/>
          </w:tcPr>
          <w:p>
            <w:pPr>
              <w:pStyle w:val="TableParagraph"/>
              <w:spacing w:before="28"/>
              <w:ind w:left="151" w:right="150"/>
              <w:rPr>
                <w:sz w:val="20"/>
              </w:rPr>
            </w:pPr>
            <w:r>
              <w:rPr>
                <w:sz w:val="20"/>
              </w:rPr>
              <w:t>市场规模（亿元）</w:t>
            </w:r>
          </w:p>
        </w:tc>
        <w:tc>
          <w:tcPr>
            <w:tcW w:w="1045" w:type="dxa"/>
            <w:shd w:val="clear" w:color="auto" w:fill="E9ECF4"/>
          </w:tcPr>
          <w:p>
            <w:pPr>
              <w:pStyle w:val="TableParagraph"/>
              <w:spacing w:before="0"/>
              <w:jc w:val="left"/>
              <w:rPr>
                <w:rFonts w:ascii="Times New Roman"/>
                <w:sz w:val="20"/>
              </w:rPr>
            </w:pPr>
          </w:p>
        </w:tc>
        <w:tc>
          <w:tcPr>
            <w:tcW w:w="1088" w:type="dxa"/>
            <w:shd w:val="clear" w:color="auto" w:fill="E9ECF4"/>
          </w:tcPr>
          <w:p>
            <w:pPr>
              <w:pStyle w:val="TableParagraph"/>
              <w:ind w:left="194" w:right="189"/>
              <w:rPr>
                <w:rFonts w:ascii="Times New Roman"/>
                <w:sz w:val="20"/>
              </w:rPr>
            </w:pPr>
            <w:r>
              <w:rPr>
                <w:rFonts w:ascii="Times New Roman"/>
                <w:sz w:val="20"/>
              </w:rPr>
              <w:t>4.39</w:t>
            </w:r>
          </w:p>
        </w:tc>
        <w:tc>
          <w:tcPr>
            <w:tcW w:w="1045" w:type="dxa"/>
            <w:shd w:val="clear" w:color="auto" w:fill="E9ECF4"/>
          </w:tcPr>
          <w:p>
            <w:pPr>
              <w:pStyle w:val="TableParagraph"/>
              <w:ind w:left="170" w:right="167"/>
              <w:rPr>
                <w:rFonts w:ascii="Times New Roman"/>
                <w:sz w:val="20"/>
              </w:rPr>
            </w:pPr>
            <w:r>
              <w:rPr>
                <w:rFonts w:ascii="Times New Roman"/>
                <w:sz w:val="20"/>
              </w:rPr>
              <w:t>16.14</w:t>
            </w:r>
          </w:p>
        </w:tc>
        <w:tc>
          <w:tcPr>
            <w:tcW w:w="1045" w:type="dxa"/>
            <w:shd w:val="clear" w:color="auto" w:fill="E9ECF4"/>
          </w:tcPr>
          <w:p>
            <w:pPr>
              <w:pStyle w:val="TableParagraph"/>
              <w:ind w:left="168" w:right="167"/>
              <w:rPr>
                <w:rFonts w:ascii="Times New Roman"/>
                <w:sz w:val="20"/>
              </w:rPr>
            </w:pPr>
            <w:r>
              <w:rPr>
                <w:rFonts w:ascii="Times New Roman"/>
                <w:sz w:val="20"/>
              </w:rPr>
              <w:t>28.51</w:t>
            </w:r>
          </w:p>
        </w:tc>
        <w:tc>
          <w:tcPr>
            <w:tcW w:w="1045" w:type="dxa"/>
            <w:shd w:val="clear" w:color="auto" w:fill="E9ECF4"/>
          </w:tcPr>
          <w:p>
            <w:pPr>
              <w:pStyle w:val="TableParagraph"/>
              <w:ind w:left="167" w:right="167"/>
              <w:rPr>
                <w:rFonts w:ascii="Times New Roman"/>
                <w:sz w:val="20"/>
              </w:rPr>
            </w:pPr>
            <w:r>
              <w:rPr>
                <w:rFonts w:ascii="Times New Roman"/>
                <w:sz w:val="20"/>
              </w:rPr>
              <w:t>48.20</w:t>
            </w:r>
          </w:p>
        </w:tc>
        <w:tc>
          <w:tcPr>
            <w:tcW w:w="1046" w:type="dxa"/>
            <w:shd w:val="clear" w:color="auto" w:fill="E9ECF4"/>
          </w:tcPr>
          <w:p>
            <w:pPr>
              <w:pStyle w:val="TableParagraph"/>
              <w:ind w:left="172" w:right="172"/>
              <w:rPr>
                <w:rFonts w:ascii="Times New Roman"/>
                <w:sz w:val="20"/>
              </w:rPr>
            </w:pPr>
            <w:r>
              <w:rPr>
                <w:rFonts w:ascii="Times New Roman"/>
                <w:sz w:val="20"/>
              </w:rPr>
              <w:t>65.16</w:t>
            </w:r>
          </w:p>
        </w:tc>
        <w:tc>
          <w:tcPr>
            <w:tcW w:w="1045" w:type="dxa"/>
            <w:shd w:val="clear" w:color="auto" w:fill="E9ECF4"/>
          </w:tcPr>
          <w:p>
            <w:pPr>
              <w:pStyle w:val="TableParagraph"/>
              <w:ind w:left="165" w:right="167"/>
              <w:rPr>
                <w:rFonts w:ascii="Times New Roman"/>
                <w:sz w:val="20"/>
              </w:rPr>
            </w:pPr>
            <w:r>
              <w:rPr>
                <w:rFonts w:ascii="Times New Roman"/>
                <w:sz w:val="20"/>
              </w:rPr>
              <w:t>77.94</w:t>
            </w:r>
          </w:p>
        </w:tc>
        <w:tc>
          <w:tcPr>
            <w:tcW w:w="1045" w:type="dxa"/>
            <w:shd w:val="clear" w:color="auto" w:fill="E9ECF4"/>
          </w:tcPr>
          <w:p>
            <w:pPr>
              <w:pStyle w:val="TableParagraph"/>
              <w:ind w:left="165" w:right="167"/>
              <w:rPr>
                <w:rFonts w:ascii="Times New Roman"/>
                <w:sz w:val="20"/>
              </w:rPr>
            </w:pPr>
            <w:r>
              <w:rPr>
                <w:rFonts w:ascii="Times New Roman"/>
                <w:sz w:val="20"/>
              </w:rPr>
              <w:t>84.73</w:t>
            </w:r>
          </w:p>
        </w:tc>
      </w:tr>
    </w:tbl>
    <w:p>
      <w:pPr>
        <w:pStyle w:val="BodyText"/>
        <w:spacing w:line="20" w:lineRule="exact"/>
        <w:ind w:left="148"/>
        <w:rPr>
          <w:sz w:val="2"/>
        </w:rPr>
      </w:pPr>
      <w:r>
        <w:rPr>
          <w:sz w:val="2"/>
        </w:rPr>
        <w:pict>
          <v:group style="width:524.5pt;height:1pt;mso-position-horizontal-relative:char;mso-position-vertical-relative:line" coordorigin="0,0" coordsize="10490,20">
            <v:rect style="position:absolute;left:0;top:0;width:10490;height:20" filled="true" fillcolor="#000000" stroked="false">
              <v:fill type="solid"/>
            </v:rect>
          </v:group>
        </w:pict>
      </w:r>
      <w:r>
        <w:rPr>
          <w:sz w:val="2"/>
        </w:rPr>
      </w:r>
    </w:p>
    <w:p>
      <w:pPr>
        <w:spacing w:before="7"/>
        <w:ind w:left="148" w:right="0" w:firstLine="0"/>
        <w:jc w:val="left"/>
        <w:rPr>
          <w:i/>
          <w:sz w:val="21"/>
        </w:rPr>
      </w:pPr>
      <w:r>
        <w:rPr>
          <w:i/>
          <w:w w:val="94"/>
          <w:sz w:val="21"/>
        </w:rPr>
        <w:t>资料来源：中国阿尔茨海默病报告（</w:t>
      </w:r>
      <w:r>
        <w:rPr>
          <w:i/>
          <w:spacing w:val="1"/>
          <w:w w:val="94"/>
          <w:sz w:val="21"/>
        </w:rPr>
        <w:t>202</w:t>
      </w:r>
      <w:r>
        <w:rPr>
          <w:i/>
          <w:w w:val="94"/>
          <w:sz w:val="21"/>
        </w:rPr>
        <w:t>1</w:t>
      </w:r>
      <w:r>
        <w:rPr>
          <w:i/>
          <w:spacing w:val="-54"/>
          <w:sz w:val="21"/>
        </w:rPr>
        <w:t> </w:t>
      </w:r>
      <w:r>
        <w:rPr>
          <w:i/>
          <w:w w:val="94"/>
          <w:sz w:val="21"/>
        </w:rPr>
        <w:t>年度</w:t>
      </w:r>
      <w:r>
        <w:rPr>
          <w:i/>
          <w:spacing w:val="-99"/>
          <w:w w:val="94"/>
          <w:sz w:val="21"/>
        </w:rPr>
        <w:t>）</w:t>
      </w:r>
      <w:r>
        <w:rPr>
          <w:i/>
          <w:w w:val="94"/>
          <w:sz w:val="21"/>
        </w:rPr>
        <w:t>，方正证券研究所</w:t>
      </w:r>
    </w:p>
    <w:p>
      <w:pPr>
        <w:spacing w:after="0"/>
        <w:jc w:val="left"/>
        <w:rPr>
          <w:sz w:val="21"/>
        </w:rPr>
        <w:sectPr>
          <w:pgSz w:w="11910" w:h="16840"/>
          <w:pgMar w:header="454" w:footer="430" w:top="1220" w:bottom="620" w:left="560" w:right="540"/>
        </w:sectPr>
      </w:pPr>
    </w:p>
    <w:p>
      <w:pPr>
        <w:spacing w:before="65"/>
        <w:ind w:left="147" w:right="0" w:firstLine="0"/>
        <w:jc w:val="left"/>
        <w:rPr>
          <w:rFonts w:ascii="黑体" w:eastAsia="黑体" w:hint="eastAsia"/>
          <w:b/>
          <w:sz w:val="24"/>
        </w:rPr>
      </w:pPr>
      <w:r>
        <w:rPr>
          <w:rFonts w:ascii="黑体" w:eastAsia="黑体" w:hint="eastAsia"/>
          <w:b/>
          <w:color w:val="D70B17"/>
          <w:sz w:val="24"/>
        </w:rPr>
        <w:t>分析师声明</w:t>
      </w:r>
    </w:p>
    <w:p>
      <w:pPr>
        <w:spacing w:line="242" w:lineRule="auto" w:before="85"/>
        <w:ind w:left="147" w:right="167" w:firstLine="0"/>
        <w:jc w:val="both"/>
        <w:rPr>
          <w:rFonts w:ascii="黑体" w:eastAsia="黑体" w:hint="eastAsia"/>
          <w:sz w:val="20"/>
        </w:rPr>
      </w:pPr>
      <w:r>
        <w:rPr>
          <w:rFonts w:ascii="黑体" w:eastAsia="黑体" w:hint="eastAsia"/>
          <w:sz w:val="20"/>
        </w:rPr>
        <w:t>作者具有中国证券业协会授予的证券投资咨询执业资格，保证报告所采用的数据和信息均来自公开合规渠道，分析逻辑</w:t>
      </w:r>
      <w:r>
        <w:rPr>
          <w:rFonts w:ascii="黑体" w:eastAsia="黑体" w:hint="eastAsia"/>
          <w:spacing w:val="-6"/>
          <w:sz w:val="20"/>
        </w:rPr>
        <w:t>基于作者的职业理解，本报告清晰准确地反映了作者的研究观点，力求独立、客观和公正，结论不受任何第三方的授意或</w:t>
      </w:r>
      <w:r>
        <w:rPr>
          <w:rFonts w:ascii="黑体" w:eastAsia="黑体" w:hint="eastAsia"/>
          <w:spacing w:val="-10"/>
          <w:sz w:val="20"/>
        </w:rPr>
        <w:t>影响。研究报告对所涉及的证券或发行人的评价是分析师本人通过财务分析预测、数量化方法、或行业比较分析所得出的结论，但使用以上信息和分析方法存在局限性。特此声明。</w:t>
      </w:r>
    </w:p>
    <w:p>
      <w:pPr>
        <w:pStyle w:val="BodyText"/>
        <w:rPr>
          <w:rFonts w:ascii="黑体"/>
          <w:sz w:val="23"/>
        </w:rPr>
      </w:pPr>
    </w:p>
    <w:p>
      <w:pPr>
        <w:pStyle w:val="Heading1"/>
        <w:spacing w:before="1"/>
      </w:pPr>
      <w:r>
        <w:rPr>
          <w:color w:val="D70B17"/>
        </w:rPr>
        <w:t>免责声明</w:t>
      </w:r>
    </w:p>
    <w:p>
      <w:pPr>
        <w:spacing w:line="242" w:lineRule="auto" w:before="83"/>
        <w:ind w:left="147" w:right="170" w:firstLine="0"/>
        <w:jc w:val="both"/>
        <w:rPr>
          <w:rFonts w:ascii="黑体" w:eastAsia="黑体" w:hint="eastAsia"/>
          <w:sz w:val="20"/>
        </w:rPr>
      </w:pPr>
      <w:r>
        <w:rPr>
          <w:rFonts w:ascii="黑体" w:eastAsia="黑体" w:hint="eastAsia"/>
          <w:spacing w:val="-2"/>
          <w:w w:val="95"/>
          <w:sz w:val="20"/>
        </w:rPr>
        <w:t>本研究报告由方正证券制作及在中国</w:t>
      </w:r>
      <w:r>
        <w:rPr>
          <w:rFonts w:ascii="黑体" w:eastAsia="黑体" w:hint="eastAsia"/>
          <w:w w:val="95"/>
          <w:sz w:val="20"/>
        </w:rPr>
        <w:t>（</w:t>
      </w:r>
      <w:r>
        <w:rPr>
          <w:rFonts w:ascii="黑体" w:eastAsia="黑体" w:hint="eastAsia"/>
          <w:spacing w:val="-2"/>
          <w:w w:val="95"/>
          <w:sz w:val="20"/>
        </w:rPr>
        <w:t>香港和澳门特别行政区、台湾省除外</w:t>
      </w:r>
      <w:r>
        <w:rPr>
          <w:rFonts w:ascii="黑体" w:eastAsia="黑体" w:hint="eastAsia"/>
          <w:spacing w:val="-22"/>
          <w:w w:val="95"/>
          <w:sz w:val="20"/>
        </w:rPr>
        <w:t>）</w:t>
      </w:r>
      <w:r>
        <w:rPr>
          <w:rFonts w:ascii="黑体" w:eastAsia="黑体" w:hint="eastAsia"/>
          <w:spacing w:val="-7"/>
          <w:w w:val="95"/>
          <w:sz w:val="20"/>
        </w:rPr>
        <w:t>发布。根据《证券期货投资者适当性管理办    </w:t>
      </w:r>
      <w:r>
        <w:rPr>
          <w:rFonts w:ascii="黑体" w:eastAsia="黑体" w:hint="eastAsia"/>
          <w:spacing w:val="-11"/>
          <w:sz w:val="20"/>
        </w:rPr>
        <w:t>法》，本报告内容仅供我公司适当性评级为 </w:t>
      </w:r>
      <w:r>
        <w:rPr>
          <w:rFonts w:ascii="黑体" w:eastAsia="黑体" w:hint="eastAsia"/>
          <w:sz w:val="20"/>
        </w:rPr>
        <w:t>C3</w:t>
      </w:r>
      <w:r>
        <w:rPr>
          <w:rFonts w:ascii="黑体" w:eastAsia="黑体" w:hint="eastAsia"/>
          <w:spacing w:val="-3"/>
          <w:sz w:val="20"/>
        </w:rPr>
        <w:t> 及以上等级的投资者使用，本公司不会因接收人收到本报告而视其为本公</w:t>
      </w:r>
      <w:r>
        <w:rPr>
          <w:rFonts w:ascii="黑体" w:eastAsia="黑体" w:hint="eastAsia"/>
          <w:spacing w:val="-11"/>
          <w:sz w:val="20"/>
        </w:rPr>
        <w:t>司的当然客户。若您并非前述等级的投资者，为保证服务质量、控制风险，请勿订阅本报告中的信息，本资料难以设置访</w:t>
      </w:r>
      <w:r>
        <w:rPr>
          <w:rFonts w:ascii="黑体" w:eastAsia="黑体" w:hint="eastAsia"/>
          <w:sz w:val="20"/>
        </w:rPr>
        <w:t>问权限，若给您造成不便，敬请谅解。</w:t>
      </w:r>
    </w:p>
    <w:p>
      <w:pPr>
        <w:spacing w:line="242" w:lineRule="auto" w:before="4"/>
        <w:ind w:left="147" w:right="177" w:firstLine="0"/>
        <w:jc w:val="left"/>
        <w:rPr>
          <w:rFonts w:ascii="黑体" w:eastAsia="黑体" w:hint="eastAsia"/>
          <w:sz w:val="20"/>
        </w:rPr>
      </w:pPr>
      <w:r>
        <w:rPr>
          <w:rFonts w:ascii="黑体" w:eastAsia="黑体" w:hint="eastAsia"/>
          <w:spacing w:val="-9"/>
          <w:sz w:val="20"/>
        </w:rPr>
        <w:t>在任何情况下，本报告的内容不构成对任何人的投资建议，也没有考虑到个别客户特殊的投资目标、财务状况或需求，方</w:t>
      </w:r>
      <w:r>
        <w:rPr>
          <w:rFonts w:ascii="黑体" w:eastAsia="黑体" w:hint="eastAsia"/>
          <w:sz w:val="20"/>
        </w:rPr>
        <w:t>正证券不对任何人因使用本报告所载任何内容所引致的任何损失负任何责任，投资者需自行承担风险。</w:t>
      </w:r>
    </w:p>
    <w:p>
      <w:pPr>
        <w:spacing w:line="242" w:lineRule="auto" w:before="0"/>
        <w:ind w:left="147" w:right="169" w:firstLine="0"/>
        <w:jc w:val="both"/>
        <w:rPr>
          <w:rFonts w:ascii="黑体" w:eastAsia="黑体" w:hint="eastAsia"/>
          <w:sz w:val="20"/>
        </w:rPr>
      </w:pPr>
      <w:r>
        <w:rPr>
          <w:rFonts w:ascii="黑体" w:eastAsia="黑体" w:hint="eastAsia"/>
          <w:spacing w:val="-6"/>
          <w:sz w:val="20"/>
        </w:rPr>
        <w:t>本报告版权仅为方正证券所有，本公司对本报告保留一切法律权利。未经本公司事先书面授权，任何机构或个人不得以任</w:t>
      </w:r>
      <w:r>
        <w:rPr>
          <w:rFonts w:ascii="黑体" w:eastAsia="黑体" w:hint="eastAsia"/>
          <w:spacing w:val="-12"/>
          <w:sz w:val="20"/>
        </w:rPr>
        <w:t>何形式复制、转发或公开传播本报告的全部或部分内容，不得将报告内容作为诉讼、仲裁、传媒所引用之证明或依据，不</w:t>
      </w:r>
      <w:r>
        <w:rPr>
          <w:rFonts w:ascii="黑体" w:eastAsia="黑体" w:hint="eastAsia"/>
          <w:spacing w:val="-6"/>
          <w:sz w:val="20"/>
        </w:rPr>
        <w:t>得用于营利或用于未经允许的其它用途。如需引用、刊发或转载本报告，需注明出处且不得进行任何有悖原意的引用、删节和修改。</w:t>
      </w:r>
    </w:p>
    <w:p>
      <w:pPr>
        <w:pStyle w:val="BodyText"/>
        <w:spacing w:before="1"/>
        <w:rPr>
          <w:rFonts w:ascii="黑体"/>
          <w:sz w:val="20"/>
        </w:rPr>
      </w:pPr>
    </w:p>
    <w:p>
      <w:pPr>
        <w:pStyle w:val="Heading1"/>
      </w:pPr>
      <w:r>
        <w:rPr>
          <w:color w:val="D70B17"/>
        </w:rPr>
        <w:t>评级说明：</w:t>
      </w:r>
    </w:p>
    <w:p>
      <w:pPr>
        <w:pStyle w:val="BodyText"/>
        <w:spacing w:before="5"/>
        <w:rPr>
          <w:rFonts w:ascii="黑体"/>
          <w:b/>
          <w:sz w:val="6"/>
        </w:rPr>
      </w:pPr>
    </w:p>
    <w:tbl>
      <w:tblPr>
        <w:tblW w:w="0" w:type="auto"/>
        <w:jc w:val="left"/>
        <w:tblInd w:w="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702"/>
        <w:gridCol w:w="7088"/>
      </w:tblGrid>
      <w:tr>
        <w:trPr>
          <w:trHeight w:val="453" w:hRule="atLeast"/>
        </w:trPr>
        <w:tc>
          <w:tcPr>
            <w:tcW w:w="1702" w:type="dxa"/>
          </w:tcPr>
          <w:p>
            <w:pPr>
              <w:pStyle w:val="TableParagraph"/>
              <w:spacing w:before="99"/>
              <w:ind w:left="429" w:right="417"/>
              <w:rPr>
                <w:rFonts w:ascii="黑体" w:eastAsia="黑体" w:hint="eastAsia"/>
                <w:b/>
                <w:sz w:val="20"/>
              </w:rPr>
            </w:pPr>
            <w:r>
              <w:rPr>
                <w:rFonts w:ascii="黑体" w:eastAsia="黑体" w:hint="eastAsia"/>
                <w:b/>
                <w:sz w:val="20"/>
              </w:rPr>
              <w:t>类别</w:t>
            </w:r>
          </w:p>
        </w:tc>
        <w:tc>
          <w:tcPr>
            <w:tcW w:w="1702" w:type="dxa"/>
          </w:tcPr>
          <w:p>
            <w:pPr>
              <w:pStyle w:val="TableParagraph"/>
              <w:spacing w:before="99"/>
              <w:ind w:left="429" w:right="418"/>
              <w:rPr>
                <w:rFonts w:ascii="黑体" w:eastAsia="黑体" w:hint="eastAsia"/>
                <w:b/>
                <w:sz w:val="20"/>
              </w:rPr>
            </w:pPr>
            <w:r>
              <w:rPr>
                <w:rFonts w:ascii="黑体" w:eastAsia="黑体" w:hint="eastAsia"/>
                <w:b/>
                <w:sz w:val="20"/>
              </w:rPr>
              <w:t>评级</w:t>
            </w:r>
          </w:p>
        </w:tc>
        <w:tc>
          <w:tcPr>
            <w:tcW w:w="7088" w:type="dxa"/>
          </w:tcPr>
          <w:p>
            <w:pPr>
              <w:pStyle w:val="TableParagraph"/>
              <w:spacing w:before="99"/>
              <w:ind w:left="3324" w:right="3312"/>
              <w:rPr>
                <w:rFonts w:ascii="黑体" w:eastAsia="黑体" w:hint="eastAsia"/>
                <w:b/>
                <w:sz w:val="20"/>
              </w:rPr>
            </w:pPr>
            <w:r>
              <w:rPr>
                <w:rFonts w:ascii="黑体" w:eastAsia="黑体" w:hint="eastAsia"/>
                <w:b/>
                <w:sz w:val="20"/>
              </w:rPr>
              <w:t>说明</w:t>
            </w:r>
          </w:p>
        </w:tc>
      </w:tr>
      <w:tr>
        <w:trPr>
          <w:trHeight w:val="455" w:hRule="atLeast"/>
        </w:trPr>
        <w:tc>
          <w:tcPr>
            <w:tcW w:w="1702" w:type="dxa"/>
            <w:vMerge w:val="restart"/>
          </w:tcPr>
          <w:p>
            <w:pPr>
              <w:pStyle w:val="TableParagraph"/>
              <w:spacing w:before="0"/>
              <w:jc w:val="left"/>
              <w:rPr>
                <w:rFonts w:ascii="黑体"/>
                <w:b/>
                <w:sz w:val="20"/>
              </w:rPr>
            </w:pPr>
          </w:p>
          <w:p>
            <w:pPr>
              <w:pStyle w:val="TableParagraph"/>
              <w:spacing w:before="0"/>
              <w:jc w:val="left"/>
              <w:rPr>
                <w:rFonts w:ascii="黑体"/>
                <w:b/>
                <w:sz w:val="20"/>
              </w:rPr>
            </w:pPr>
          </w:p>
          <w:p>
            <w:pPr>
              <w:pStyle w:val="TableParagraph"/>
              <w:spacing w:before="1"/>
              <w:jc w:val="left"/>
              <w:rPr>
                <w:rFonts w:ascii="黑体"/>
                <w:b/>
                <w:sz w:val="22"/>
              </w:rPr>
            </w:pPr>
          </w:p>
          <w:p>
            <w:pPr>
              <w:pStyle w:val="TableParagraph"/>
              <w:spacing w:before="0"/>
              <w:ind w:left="450"/>
              <w:jc w:val="left"/>
              <w:rPr>
                <w:rFonts w:ascii="黑体" w:eastAsia="黑体" w:hint="eastAsia"/>
                <w:sz w:val="20"/>
              </w:rPr>
            </w:pPr>
            <w:r>
              <w:rPr>
                <w:rFonts w:ascii="黑体" w:eastAsia="黑体" w:hint="eastAsia"/>
                <w:sz w:val="20"/>
              </w:rPr>
              <w:t>公司评级</w:t>
            </w:r>
          </w:p>
        </w:tc>
        <w:tc>
          <w:tcPr>
            <w:tcW w:w="1702" w:type="dxa"/>
          </w:tcPr>
          <w:p>
            <w:pPr>
              <w:pStyle w:val="TableParagraph"/>
              <w:spacing w:before="100"/>
              <w:ind w:left="429" w:right="423"/>
              <w:rPr>
                <w:rFonts w:ascii="黑体" w:eastAsia="黑体" w:hint="eastAsia"/>
                <w:sz w:val="20"/>
              </w:rPr>
            </w:pPr>
            <w:r>
              <w:rPr>
                <w:rFonts w:ascii="黑体" w:eastAsia="黑体" w:hint="eastAsia"/>
                <w:sz w:val="20"/>
              </w:rPr>
              <w:t>强烈推荐</w:t>
            </w:r>
          </w:p>
        </w:tc>
        <w:tc>
          <w:tcPr>
            <w:tcW w:w="7088" w:type="dxa"/>
          </w:tcPr>
          <w:p>
            <w:pPr>
              <w:pStyle w:val="TableParagraph"/>
              <w:spacing w:before="100"/>
              <w:ind w:left="108"/>
              <w:jc w:val="left"/>
              <w:rPr>
                <w:rFonts w:ascii="黑体" w:eastAsia="黑体" w:hint="eastAsia"/>
                <w:sz w:val="20"/>
              </w:rPr>
            </w:pPr>
            <w:r>
              <w:rPr>
                <w:rFonts w:ascii="黑体" w:eastAsia="黑体" w:hint="eastAsia"/>
                <w:sz w:val="20"/>
              </w:rPr>
              <w:t>分析师预测未来12个月内相对同期基准指数有20%以上的涨幅。</w:t>
            </w:r>
          </w:p>
        </w:tc>
      </w:tr>
      <w:tr>
        <w:trPr>
          <w:trHeight w:val="453" w:hRule="atLeast"/>
        </w:trPr>
        <w:tc>
          <w:tcPr>
            <w:tcW w:w="1702" w:type="dxa"/>
            <w:vMerge/>
            <w:tcBorders>
              <w:top w:val="nil"/>
            </w:tcBorders>
          </w:tcPr>
          <w:p>
            <w:pPr>
              <w:rPr>
                <w:sz w:val="2"/>
                <w:szCs w:val="2"/>
              </w:rPr>
            </w:pPr>
          </w:p>
        </w:tc>
        <w:tc>
          <w:tcPr>
            <w:tcW w:w="1702" w:type="dxa"/>
          </w:tcPr>
          <w:p>
            <w:pPr>
              <w:pStyle w:val="TableParagraph"/>
              <w:spacing w:before="97"/>
              <w:ind w:left="429" w:right="423"/>
              <w:rPr>
                <w:rFonts w:ascii="黑体" w:eastAsia="黑体" w:hint="eastAsia"/>
                <w:sz w:val="20"/>
              </w:rPr>
            </w:pPr>
            <w:r>
              <w:rPr>
                <w:rFonts w:ascii="黑体" w:eastAsia="黑体" w:hint="eastAsia"/>
                <w:sz w:val="20"/>
              </w:rPr>
              <w:t>推荐</w:t>
            </w:r>
          </w:p>
        </w:tc>
        <w:tc>
          <w:tcPr>
            <w:tcW w:w="7088" w:type="dxa"/>
          </w:tcPr>
          <w:p>
            <w:pPr>
              <w:pStyle w:val="TableParagraph"/>
              <w:spacing w:before="97"/>
              <w:ind w:left="108"/>
              <w:jc w:val="left"/>
              <w:rPr>
                <w:rFonts w:ascii="黑体" w:eastAsia="黑体" w:hint="eastAsia"/>
                <w:sz w:val="20"/>
              </w:rPr>
            </w:pPr>
            <w:r>
              <w:rPr>
                <w:rFonts w:ascii="黑体" w:eastAsia="黑体" w:hint="eastAsia"/>
                <w:sz w:val="20"/>
              </w:rPr>
              <w:t>分析师预测未来12个月内相对同期基准指数有10%以上的涨幅。</w:t>
            </w:r>
          </w:p>
        </w:tc>
      </w:tr>
      <w:tr>
        <w:trPr>
          <w:trHeight w:val="453" w:hRule="atLeast"/>
        </w:trPr>
        <w:tc>
          <w:tcPr>
            <w:tcW w:w="1702" w:type="dxa"/>
            <w:vMerge/>
            <w:tcBorders>
              <w:top w:val="nil"/>
            </w:tcBorders>
          </w:tcPr>
          <w:p>
            <w:pPr>
              <w:rPr>
                <w:sz w:val="2"/>
                <w:szCs w:val="2"/>
              </w:rPr>
            </w:pPr>
          </w:p>
        </w:tc>
        <w:tc>
          <w:tcPr>
            <w:tcW w:w="1702" w:type="dxa"/>
          </w:tcPr>
          <w:p>
            <w:pPr>
              <w:pStyle w:val="TableParagraph"/>
              <w:spacing w:before="100"/>
              <w:ind w:left="429" w:right="423"/>
              <w:rPr>
                <w:rFonts w:ascii="黑体" w:eastAsia="黑体" w:hint="eastAsia"/>
                <w:sz w:val="20"/>
              </w:rPr>
            </w:pPr>
            <w:r>
              <w:rPr>
                <w:rFonts w:ascii="黑体" w:eastAsia="黑体" w:hint="eastAsia"/>
                <w:sz w:val="20"/>
              </w:rPr>
              <w:t>中性</w:t>
            </w:r>
          </w:p>
        </w:tc>
        <w:tc>
          <w:tcPr>
            <w:tcW w:w="7088" w:type="dxa"/>
          </w:tcPr>
          <w:p>
            <w:pPr>
              <w:pStyle w:val="TableParagraph"/>
              <w:spacing w:before="100"/>
              <w:ind w:left="108"/>
              <w:jc w:val="left"/>
              <w:rPr>
                <w:rFonts w:ascii="黑体" w:eastAsia="黑体" w:hint="eastAsia"/>
                <w:sz w:val="20"/>
              </w:rPr>
            </w:pPr>
            <w:r>
              <w:rPr>
                <w:rFonts w:ascii="黑体" w:eastAsia="黑体" w:hint="eastAsia"/>
                <w:sz w:val="20"/>
              </w:rPr>
              <w:t>分析师预测未来12个月内相对同期基准指数在-10%和10%之间波动。</w:t>
            </w:r>
          </w:p>
        </w:tc>
      </w:tr>
      <w:tr>
        <w:trPr>
          <w:trHeight w:val="455" w:hRule="atLeast"/>
        </w:trPr>
        <w:tc>
          <w:tcPr>
            <w:tcW w:w="1702" w:type="dxa"/>
            <w:vMerge/>
            <w:tcBorders>
              <w:top w:val="nil"/>
            </w:tcBorders>
          </w:tcPr>
          <w:p>
            <w:pPr>
              <w:rPr>
                <w:sz w:val="2"/>
                <w:szCs w:val="2"/>
              </w:rPr>
            </w:pPr>
          </w:p>
        </w:tc>
        <w:tc>
          <w:tcPr>
            <w:tcW w:w="1702" w:type="dxa"/>
          </w:tcPr>
          <w:p>
            <w:pPr>
              <w:pStyle w:val="TableParagraph"/>
              <w:spacing w:before="100"/>
              <w:ind w:left="429" w:right="423"/>
              <w:rPr>
                <w:rFonts w:ascii="黑体" w:eastAsia="黑体" w:hint="eastAsia"/>
                <w:sz w:val="20"/>
              </w:rPr>
            </w:pPr>
            <w:r>
              <w:rPr>
                <w:rFonts w:ascii="黑体" w:eastAsia="黑体" w:hint="eastAsia"/>
                <w:sz w:val="20"/>
              </w:rPr>
              <w:t>减持</w:t>
            </w:r>
          </w:p>
        </w:tc>
        <w:tc>
          <w:tcPr>
            <w:tcW w:w="7088" w:type="dxa"/>
          </w:tcPr>
          <w:p>
            <w:pPr>
              <w:pStyle w:val="TableParagraph"/>
              <w:spacing w:before="100"/>
              <w:ind w:left="108"/>
              <w:jc w:val="left"/>
              <w:rPr>
                <w:rFonts w:ascii="黑体" w:eastAsia="黑体" w:hint="eastAsia"/>
                <w:sz w:val="20"/>
              </w:rPr>
            </w:pPr>
            <w:r>
              <w:rPr>
                <w:rFonts w:ascii="黑体" w:eastAsia="黑体" w:hint="eastAsia"/>
                <w:sz w:val="20"/>
              </w:rPr>
              <w:t>分析师预测未来12个月内相对同期基准指数有10%以上的跌幅。</w:t>
            </w:r>
          </w:p>
        </w:tc>
      </w:tr>
      <w:tr>
        <w:trPr>
          <w:trHeight w:val="453" w:hRule="atLeast"/>
        </w:trPr>
        <w:tc>
          <w:tcPr>
            <w:tcW w:w="1702" w:type="dxa"/>
            <w:vMerge w:val="restart"/>
          </w:tcPr>
          <w:p>
            <w:pPr>
              <w:pStyle w:val="TableParagraph"/>
              <w:spacing w:before="0"/>
              <w:jc w:val="left"/>
              <w:rPr>
                <w:rFonts w:ascii="黑体"/>
                <w:b/>
                <w:sz w:val="20"/>
              </w:rPr>
            </w:pPr>
          </w:p>
          <w:p>
            <w:pPr>
              <w:pStyle w:val="TableParagraph"/>
              <w:spacing w:before="12"/>
              <w:jc w:val="left"/>
              <w:rPr>
                <w:rFonts w:ascii="黑体"/>
                <w:b/>
                <w:sz w:val="23"/>
              </w:rPr>
            </w:pPr>
          </w:p>
          <w:p>
            <w:pPr>
              <w:pStyle w:val="TableParagraph"/>
              <w:spacing w:before="0"/>
              <w:ind w:left="450"/>
              <w:jc w:val="left"/>
              <w:rPr>
                <w:rFonts w:ascii="黑体" w:eastAsia="黑体" w:hint="eastAsia"/>
                <w:sz w:val="20"/>
              </w:rPr>
            </w:pPr>
            <w:r>
              <w:rPr>
                <w:rFonts w:ascii="黑体" w:eastAsia="黑体" w:hint="eastAsia"/>
                <w:sz w:val="20"/>
              </w:rPr>
              <w:t>行业评级</w:t>
            </w:r>
          </w:p>
        </w:tc>
        <w:tc>
          <w:tcPr>
            <w:tcW w:w="1702" w:type="dxa"/>
          </w:tcPr>
          <w:p>
            <w:pPr>
              <w:pStyle w:val="TableParagraph"/>
              <w:spacing w:before="97"/>
              <w:ind w:left="429" w:right="423"/>
              <w:rPr>
                <w:rFonts w:ascii="黑体" w:eastAsia="黑体" w:hint="eastAsia"/>
                <w:sz w:val="20"/>
              </w:rPr>
            </w:pPr>
            <w:r>
              <w:rPr>
                <w:rFonts w:ascii="黑体" w:eastAsia="黑体" w:hint="eastAsia"/>
                <w:sz w:val="20"/>
              </w:rPr>
              <w:t>推荐</w:t>
            </w:r>
          </w:p>
        </w:tc>
        <w:tc>
          <w:tcPr>
            <w:tcW w:w="7088" w:type="dxa"/>
          </w:tcPr>
          <w:p>
            <w:pPr>
              <w:pStyle w:val="TableParagraph"/>
              <w:spacing w:before="97"/>
              <w:ind w:left="108"/>
              <w:jc w:val="left"/>
              <w:rPr>
                <w:rFonts w:ascii="黑体" w:eastAsia="黑体" w:hint="eastAsia"/>
                <w:sz w:val="20"/>
              </w:rPr>
            </w:pPr>
            <w:r>
              <w:rPr>
                <w:rFonts w:ascii="黑体" w:eastAsia="黑体" w:hint="eastAsia"/>
                <w:sz w:val="20"/>
              </w:rPr>
              <w:t>分析师预测未来12个月内行业表现强于同期基准指数。</w:t>
            </w:r>
          </w:p>
        </w:tc>
      </w:tr>
      <w:tr>
        <w:trPr>
          <w:trHeight w:val="453" w:hRule="atLeast"/>
        </w:trPr>
        <w:tc>
          <w:tcPr>
            <w:tcW w:w="1702" w:type="dxa"/>
            <w:vMerge/>
            <w:tcBorders>
              <w:top w:val="nil"/>
            </w:tcBorders>
          </w:tcPr>
          <w:p>
            <w:pPr>
              <w:rPr>
                <w:sz w:val="2"/>
                <w:szCs w:val="2"/>
              </w:rPr>
            </w:pPr>
          </w:p>
        </w:tc>
        <w:tc>
          <w:tcPr>
            <w:tcW w:w="1702" w:type="dxa"/>
          </w:tcPr>
          <w:p>
            <w:pPr>
              <w:pStyle w:val="TableParagraph"/>
              <w:spacing w:before="100"/>
              <w:ind w:left="429" w:right="423"/>
              <w:rPr>
                <w:rFonts w:ascii="黑体" w:eastAsia="黑体" w:hint="eastAsia"/>
                <w:sz w:val="20"/>
              </w:rPr>
            </w:pPr>
            <w:r>
              <w:rPr>
                <w:rFonts w:ascii="黑体" w:eastAsia="黑体" w:hint="eastAsia"/>
                <w:sz w:val="20"/>
              </w:rPr>
              <w:t>中性</w:t>
            </w:r>
          </w:p>
        </w:tc>
        <w:tc>
          <w:tcPr>
            <w:tcW w:w="7088" w:type="dxa"/>
          </w:tcPr>
          <w:p>
            <w:pPr>
              <w:pStyle w:val="TableParagraph"/>
              <w:spacing w:before="100"/>
              <w:ind w:left="108"/>
              <w:jc w:val="left"/>
              <w:rPr>
                <w:rFonts w:ascii="黑体" w:eastAsia="黑体" w:hint="eastAsia"/>
                <w:sz w:val="20"/>
              </w:rPr>
            </w:pPr>
            <w:r>
              <w:rPr>
                <w:rFonts w:ascii="黑体" w:eastAsia="黑体" w:hint="eastAsia"/>
                <w:sz w:val="20"/>
              </w:rPr>
              <w:t>分析师预测未来12个月内行业表现与同期基准指数持平。</w:t>
            </w:r>
          </w:p>
        </w:tc>
      </w:tr>
      <w:tr>
        <w:trPr>
          <w:trHeight w:val="455" w:hRule="atLeast"/>
        </w:trPr>
        <w:tc>
          <w:tcPr>
            <w:tcW w:w="1702" w:type="dxa"/>
            <w:vMerge/>
            <w:tcBorders>
              <w:top w:val="nil"/>
            </w:tcBorders>
          </w:tcPr>
          <w:p>
            <w:pPr>
              <w:rPr>
                <w:sz w:val="2"/>
                <w:szCs w:val="2"/>
              </w:rPr>
            </w:pPr>
          </w:p>
        </w:tc>
        <w:tc>
          <w:tcPr>
            <w:tcW w:w="1702" w:type="dxa"/>
          </w:tcPr>
          <w:p>
            <w:pPr>
              <w:pStyle w:val="TableParagraph"/>
              <w:spacing w:before="100"/>
              <w:ind w:left="429" w:right="423"/>
              <w:rPr>
                <w:rFonts w:ascii="黑体" w:eastAsia="黑体" w:hint="eastAsia"/>
                <w:sz w:val="20"/>
              </w:rPr>
            </w:pPr>
            <w:r>
              <w:rPr>
                <w:rFonts w:ascii="黑体" w:eastAsia="黑体" w:hint="eastAsia"/>
                <w:sz w:val="20"/>
              </w:rPr>
              <w:t>减持</w:t>
            </w:r>
          </w:p>
        </w:tc>
        <w:tc>
          <w:tcPr>
            <w:tcW w:w="7088" w:type="dxa"/>
          </w:tcPr>
          <w:p>
            <w:pPr>
              <w:pStyle w:val="TableParagraph"/>
              <w:spacing w:before="100"/>
              <w:ind w:left="108"/>
              <w:jc w:val="left"/>
              <w:rPr>
                <w:rFonts w:ascii="黑体" w:eastAsia="黑体" w:hint="eastAsia"/>
                <w:sz w:val="20"/>
              </w:rPr>
            </w:pPr>
            <w:r>
              <w:rPr>
                <w:rFonts w:ascii="黑体" w:eastAsia="黑体" w:hint="eastAsia"/>
                <w:sz w:val="20"/>
              </w:rPr>
              <w:t>分析师预测未来12个月内行业表现弱于同期基准指数。</w:t>
            </w:r>
          </w:p>
        </w:tc>
      </w:tr>
      <w:tr>
        <w:trPr>
          <w:trHeight w:val="623" w:hRule="atLeast"/>
        </w:trPr>
        <w:tc>
          <w:tcPr>
            <w:tcW w:w="3404" w:type="dxa"/>
            <w:gridSpan w:val="2"/>
          </w:tcPr>
          <w:p>
            <w:pPr>
              <w:pStyle w:val="TableParagraph"/>
              <w:spacing w:before="4"/>
              <w:jc w:val="left"/>
              <w:rPr>
                <w:rFonts w:ascii="黑体"/>
                <w:b/>
                <w:sz w:val="14"/>
              </w:rPr>
            </w:pPr>
          </w:p>
          <w:p>
            <w:pPr>
              <w:pStyle w:val="TableParagraph"/>
              <w:spacing w:before="0"/>
              <w:ind w:left="1101"/>
              <w:jc w:val="left"/>
              <w:rPr>
                <w:rFonts w:ascii="黑体" w:eastAsia="黑体" w:hint="eastAsia"/>
                <w:sz w:val="20"/>
              </w:rPr>
            </w:pPr>
            <w:r>
              <w:rPr>
                <w:rFonts w:ascii="黑体" w:eastAsia="黑体" w:hint="eastAsia"/>
                <w:sz w:val="20"/>
              </w:rPr>
              <w:t>基准指数说明</w:t>
            </w:r>
          </w:p>
        </w:tc>
        <w:tc>
          <w:tcPr>
            <w:tcW w:w="7088" w:type="dxa"/>
          </w:tcPr>
          <w:p>
            <w:pPr>
              <w:pStyle w:val="TableParagraph"/>
              <w:spacing w:before="27"/>
              <w:ind w:left="108"/>
              <w:jc w:val="left"/>
              <w:rPr>
                <w:rFonts w:ascii="黑体" w:eastAsia="黑体" w:hint="eastAsia"/>
                <w:sz w:val="20"/>
              </w:rPr>
            </w:pPr>
            <w:r>
              <w:rPr>
                <w:rFonts w:ascii="黑体" w:eastAsia="黑体" w:hint="eastAsia"/>
                <w:sz w:val="20"/>
              </w:rPr>
              <w:t>A股市场以沪深300 指数为基准；香港市场以恒生指数为基准，美股市场以标普</w:t>
            </w:r>
          </w:p>
          <w:p>
            <w:pPr>
              <w:pStyle w:val="TableParagraph"/>
              <w:spacing w:before="56"/>
              <w:ind w:left="108"/>
              <w:jc w:val="left"/>
              <w:rPr>
                <w:rFonts w:ascii="黑体" w:eastAsia="黑体" w:hint="eastAsia"/>
                <w:sz w:val="20"/>
              </w:rPr>
            </w:pPr>
            <w:r>
              <w:rPr>
                <w:rFonts w:ascii="黑体" w:eastAsia="黑体" w:hint="eastAsia"/>
                <w:sz w:val="20"/>
              </w:rPr>
              <w:t>500指数为基准。</w:t>
            </w:r>
          </w:p>
        </w:tc>
      </w:tr>
    </w:tbl>
    <w:p>
      <w:pPr>
        <w:pStyle w:val="BodyText"/>
        <w:rPr>
          <w:rFonts w:ascii="黑体"/>
          <w:b/>
          <w:sz w:val="23"/>
        </w:rPr>
      </w:pPr>
    </w:p>
    <w:p>
      <w:pPr>
        <w:spacing w:before="0"/>
        <w:ind w:left="147" w:right="0" w:firstLine="0"/>
        <w:jc w:val="left"/>
        <w:rPr>
          <w:rFonts w:ascii="黑体" w:eastAsia="黑体" w:hint="eastAsia"/>
          <w:b/>
          <w:sz w:val="24"/>
        </w:rPr>
      </w:pPr>
      <w:r>
        <w:rPr>
          <w:rFonts w:ascii="黑体" w:eastAsia="黑体" w:hint="eastAsia"/>
          <w:b/>
          <w:color w:val="D70B17"/>
          <w:sz w:val="24"/>
        </w:rPr>
        <w:t>方正证券研究所联系方式：</w:t>
      </w:r>
    </w:p>
    <w:p>
      <w:pPr>
        <w:spacing w:line="247" w:lineRule="auto" w:before="110"/>
        <w:ind w:left="144" w:right="6760" w:firstLine="0"/>
        <w:jc w:val="left"/>
        <w:rPr>
          <w:rFonts w:ascii="黑体" w:eastAsia="黑体" w:hint="eastAsia"/>
          <w:sz w:val="20"/>
        </w:rPr>
      </w:pPr>
      <w:r>
        <w:rPr>
          <w:rFonts w:ascii="黑体" w:eastAsia="黑体" w:hint="eastAsia"/>
          <w:spacing w:val="-5"/>
          <w:sz w:val="20"/>
        </w:rPr>
        <w:t>北京：西城区展览馆路 </w:t>
      </w:r>
      <w:r>
        <w:rPr>
          <w:rFonts w:ascii="黑体" w:eastAsia="黑体" w:hint="eastAsia"/>
          <w:sz w:val="20"/>
        </w:rPr>
        <w:t>48</w:t>
      </w:r>
      <w:r>
        <w:rPr>
          <w:rFonts w:ascii="黑体" w:eastAsia="黑体" w:hint="eastAsia"/>
          <w:spacing w:val="-15"/>
          <w:sz w:val="20"/>
        </w:rPr>
        <w:t> 号新联写字楼 </w:t>
      </w:r>
      <w:r>
        <w:rPr>
          <w:rFonts w:ascii="黑体" w:eastAsia="黑体" w:hint="eastAsia"/>
          <w:sz w:val="20"/>
        </w:rPr>
        <w:t>6</w:t>
      </w:r>
      <w:r>
        <w:rPr>
          <w:rFonts w:ascii="黑体" w:eastAsia="黑体" w:hint="eastAsia"/>
          <w:spacing w:val="-33"/>
          <w:sz w:val="20"/>
        </w:rPr>
        <w:t> 层</w:t>
      </w:r>
      <w:r>
        <w:rPr>
          <w:rFonts w:ascii="黑体" w:eastAsia="黑体" w:hint="eastAsia"/>
          <w:sz w:val="20"/>
        </w:rPr>
        <w:t>上海：静安区延平路71号延平大厦2楼</w:t>
      </w:r>
    </w:p>
    <w:p>
      <w:pPr>
        <w:spacing w:line="247" w:lineRule="auto" w:before="0"/>
        <w:ind w:left="144" w:right="6266" w:firstLine="0"/>
        <w:jc w:val="left"/>
        <w:rPr>
          <w:rFonts w:ascii="黑体" w:eastAsia="黑体" w:hint="eastAsia"/>
          <w:sz w:val="20"/>
        </w:rPr>
      </w:pPr>
      <w:r>
        <w:rPr>
          <w:rFonts w:ascii="黑体" w:eastAsia="黑体" w:hint="eastAsia"/>
          <w:sz w:val="20"/>
        </w:rPr>
        <w:t>深圳：福田区竹子林紫竹七道光大银行大厦31层广州：天河区兴盛路12号楼隽峰苑2期3层方正证券长沙：天心区湘江中路二段36号华远国际中心37层E-mail：</w:t>
      </w:r>
      <w:hyperlink r:id="rId39">
        <w:r>
          <w:rPr>
            <w:rFonts w:ascii="黑体" w:eastAsia="黑体" w:hint="eastAsia"/>
            <w:sz w:val="20"/>
          </w:rPr>
          <w:t>yjzx@foundersc.com</w:t>
        </w:r>
      </w:hyperlink>
    </w:p>
    <w:sectPr>
      <w:pgSz w:w="11910" w:h="16840"/>
      <w:pgMar w:header="454" w:footer="430" w:top="1220" w:bottom="620" w:left="56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黑体">
    <w:altName w:val="黑体"/>
    <w:charset w:val="86"/>
    <w:family w:val="modern"/>
    <w:pitch w:val="fixed"/>
  </w:font>
  <w:font w:name="楷体">
    <w:altName w:val="楷体"/>
    <w:charset w:val="86"/>
    <w:family w:val="modern"/>
    <w:pitch w:val="fixed"/>
  </w:font>
  <w:font w:name="宋体">
    <w:altName w:val="宋体"/>
    <w:charset w:val="86"/>
    <w:family w:val="auto"/>
    <w:pitch w:val="variable"/>
  </w:font>
  <w:font w:name="等线">
    <w:altName w:val="等线"/>
    <w:charset w:val="86"/>
    <w:family w:val="auto"/>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089996pt;margin-top:808.960632pt;width:11pt;height:12pt;mso-position-horizontal-relative:page;mso-position-vertical-relative:page;z-index:-16589312" type="#_x0000_t202" filled="false" stroked="false">
          <v:textbox inset="0,0,0,0">
            <w:txbxContent>
              <w:p>
                <w:pPr>
                  <w:spacing w:line="239" w:lineRule="exact" w:before="0"/>
                  <w:ind w:left="60" w:right="0" w:firstLine="0"/>
                  <w:jc w:val="left"/>
                  <w:rPr>
                    <w:rFonts w:ascii="黑体"/>
                    <w:sz w:val="20"/>
                  </w:rPr>
                </w:pPr>
                <w:r>
                  <w:rPr/>
                  <w:fldChar w:fldCharType="begin"/>
                </w:r>
                <w:r>
                  <w:rPr>
                    <w:rFonts w:ascii="黑体"/>
                    <w:color w:val="4A4B4D"/>
                    <w:w w:val="99"/>
                    <w:sz w:val="20"/>
                  </w:rPr>
                  <w:instrText> PAGE </w:instrText>
                </w:r>
                <w:r>
                  <w:rPr/>
                  <w:fldChar w:fldCharType="separate"/>
                </w:r>
                <w:r>
                  <w:rPr/>
                  <w:t>1</w:t>
                </w:r>
                <w:r>
                  <w:rPr/>
                  <w:fldChar w:fldCharType="end"/>
                </w:r>
              </w:p>
            </w:txbxContent>
          </v:textbox>
          <w10:wrap type="none"/>
        </v:shape>
      </w:pict>
    </w:r>
    <w:r>
      <w:rPr/>
      <w:pict>
        <v:shape style="position:absolute;margin-left:378.51001pt;margin-top:808.960632pt;width:182pt;height:12pt;mso-position-horizontal-relative:page;mso-position-vertical-relative:page;z-index:-16588800"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4A4B4D"/>
                    <w:sz w:val="20"/>
                  </w:rPr>
                  <w:t>敬请关注文后特别声明与免责条款 </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3.959999pt;margin-top:806.400024pt;width:527.38pt;height:.47998pt;mso-position-horizontal-relative:page;mso-position-vertical-relative:page;z-index:-16586752" filled="true" fillcolor="#e21c21" stroked="false">
          <v:fill type="solid"/>
          <w10:wrap type="none"/>
        </v:rect>
      </w:pict>
    </w:r>
    <w:r>
      <w:rPr/>
      <w:pict>
        <v:shape style="position:absolute;margin-left:296.089996pt;margin-top:808.960632pt;width:11pt;height:12pt;mso-position-horizontal-relative:page;mso-position-vertical-relative:page;z-index:-16586240" type="#_x0000_t202" filled="false" stroked="false">
          <v:textbox inset="0,0,0,0">
            <w:txbxContent>
              <w:p>
                <w:pPr>
                  <w:spacing w:line="239" w:lineRule="exact" w:before="0"/>
                  <w:ind w:left="60" w:right="0" w:firstLine="0"/>
                  <w:jc w:val="left"/>
                  <w:rPr>
                    <w:rFonts w:ascii="黑体"/>
                    <w:sz w:val="20"/>
                  </w:rPr>
                </w:pPr>
                <w:r>
                  <w:rPr/>
                  <w:fldChar w:fldCharType="begin"/>
                </w:r>
                <w:r>
                  <w:rPr>
                    <w:rFonts w:ascii="黑体"/>
                    <w:color w:val="4A4B4D"/>
                    <w:w w:val="99"/>
                    <w:sz w:val="20"/>
                  </w:rPr>
                  <w:instrText> PAGE </w:instrText>
                </w:r>
                <w:r>
                  <w:rPr/>
                  <w:fldChar w:fldCharType="separate"/>
                </w:r>
                <w:r>
                  <w:rPr/>
                  <w:t>2</w:t>
                </w:r>
                <w:r>
                  <w:rPr/>
                  <w:fldChar w:fldCharType="end"/>
                </w:r>
              </w:p>
            </w:txbxContent>
          </v:textbox>
          <w10:wrap type="none"/>
        </v:shape>
      </w:pict>
    </w:r>
    <w:r>
      <w:rPr/>
      <w:pict>
        <v:shape style="position:absolute;margin-left:378.51001pt;margin-top:808.960632pt;width:182pt;height:12pt;mso-position-horizontal-relative:page;mso-position-vertical-relative:page;z-index:-16585728"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4A4B4D"/>
                    <w:sz w:val="20"/>
                  </w:rPr>
                  <w:t>敬请关注文后特别声明与免责条款 </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089996pt;margin-top:808.960632pt;width:11pt;height:12pt;mso-position-horizontal-relative:page;mso-position-vertical-relative:page;z-index:-16583680" type="#_x0000_t202" filled="false" stroked="false">
          <v:textbox inset="0,0,0,0">
            <w:txbxContent>
              <w:p>
                <w:pPr>
                  <w:spacing w:line="239" w:lineRule="exact" w:before="0"/>
                  <w:ind w:left="60" w:right="0" w:firstLine="0"/>
                  <w:jc w:val="left"/>
                  <w:rPr>
                    <w:rFonts w:ascii="黑体"/>
                    <w:sz w:val="20"/>
                  </w:rPr>
                </w:pPr>
                <w:r>
                  <w:rPr/>
                  <w:fldChar w:fldCharType="begin"/>
                </w:r>
                <w:r>
                  <w:rPr>
                    <w:rFonts w:ascii="黑体"/>
                    <w:color w:val="4A4B4D"/>
                    <w:w w:val="99"/>
                    <w:sz w:val="20"/>
                  </w:rPr>
                  <w:instrText> PAGE </w:instrText>
                </w:r>
                <w:r>
                  <w:rPr/>
                  <w:fldChar w:fldCharType="separate"/>
                </w:r>
                <w:r>
                  <w:rPr/>
                  <w:t>5</w:t>
                </w:r>
                <w:r>
                  <w:rPr/>
                  <w:fldChar w:fldCharType="end"/>
                </w:r>
              </w:p>
            </w:txbxContent>
          </v:textbox>
          <w10:wrap type="none"/>
        </v:shape>
      </w:pict>
    </w:r>
    <w:r>
      <w:rPr/>
      <w:pict>
        <v:shape style="position:absolute;margin-left:378.51001pt;margin-top:808.960632pt;width:182pt;height:12pt;mso-position-horizontal-relative:page;mso-position-vertical-relative:page;z-index:-16583168"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4A4B4D"/>
                    <w:sz w:val="20"/>
                  </w:rPr>
                  <w:t>敬请关注文后特别声明与免责条款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3.959999pt;margin-top:806.400024pt;width:527.38pt;height:.47998pt;mso-position-horizontal-relative:page;mso-position-vertical-relative:page;z-index:-16581120" filled="true" fillcolor="#e21c21" stroked="false">
          <v:fill type="solid"/>
          <w10:wrap type="none"/>
        </v:rect>
      </w:pict>
    </w:r>
    <w:r>
      <w:rPr/>
      <w:pict>
        <v:shape style="position:absolute;margin-left:296.089996pt;margin-top:808.960632pt;width:11pt;height:12pt;mso-position-horizontal-relative:page;mso-position-vertical-relative:page;z-index:-16580608" type="#_x0000_t202" filled="false" stroked="false">
          <v:textbox inset="0,0,0,0">
            <w:txbxContent>
              <w:p>
                <w:pPr>
                  <w:spacing w:line="239" w:lineRule="exact" w:before="0"/>
                  <w:ind w:left="60" w:right="0" w:firstLine="0"/>
                  <w:jc w:val="left"/>
                  <w:rPr>
                    <w:rFonts w:ascii="黑体"/>
                    <w:sz w:val="20"/>
                  </w:rPr>
                </w:pPr>
                <w:r>
                  <w:rPr/>
                  <w:fldChar w:fldCharType="begin"/>
                </w:r>
                <w:r>
                  <w:rPr>
                    <w:rFonts w:ascii="黑体"/>
                    <w:color w:val="4A4B4D"/>
                    <w:w w:val="99"/>
                    <w:sz w:val="20"/>
                  </w:rPr>
                  <w:instrText> PAGE </w:instrText>
                </w:r>
                <w:r>
                  <w:rPr/>
                  <w:fldChar w:fldCharType="separate"/>
                </w:r>
                <w:r>
                  <w:rPr/>
                  <w:t>6</w:t>
                </w:r>
                <w:r>
                  <w:rPr/>
                  <w:fldChar w:fldCharType="end"/>
                </w:r>
              </w:p>
            </w:txbxContent>
          </v:textbox>
          <w10:wrap type="none"/>
        </v:shape>
      </w:pict>
    </w:r>
    <w:r>
      <w:rPr/>
      <w:pict>
        <v:shape style="position:absolute;margin-left:378.51001pt;margin-top:808.960632pt;width:182pt;height:12pt;mso-position-horizontal-relative:page;mso-position-vertical-relative:page;z-index:-16580096"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4A4B4D"/>
                    <w:sz w:val="20"/>
                  </w:rPr>
                  <w:t>敬请关注文后特别声明与免责条款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820007pt;margin-top:835.923096pt;width:134.5pt;height:7pt;mso-position-horizontal-relative:page;mso-position-vertical-relative:page;z-index:-16578048" type="#_x0000_t202" filled="false" stroked="false">
          <v:textbox inset="0,0,0,0">
            <w:txbxContent>
              <w:p>
                <w:pPr>
                  <w:spacing w:before="6"/>
                  <w:ind w:left="20" w:right="0" w:firstLine="0"/>
                  <w:jc w:val="left"/>
                  <w:rPr>
                    <w:rFonts w:ascii="宋体"/>
                    <w:sz w:val="10"/>
                  </w:rPr>
                </w:pPr>
                <w:r>
                  <w:rPr>
                    <w:rFonts w:ascii="宋体"/>
                    <w:color w:val="7F7F7F"/>
                    <w:sz w:val="10"/>
                  </w:rPr>
                  <w:t>userid:139428,docid:143475,date:2023-10-21,sgpjbg.com</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33.959999pt;margin-top:806.400024pt;width:527.38pt;height:.47998pt;mso-position-horizontal-relative:page;mso-position-vertical-relative:page;z-index:-16576000" filled="true" fillcolor="#e21c21" stroked="false">
          <v:fill type="solid"/>
          <w10:wrap type="none"/>
        </v:rect>
      </w:pict>
    </w:r>
    <w:r>
      <w:rPr/>
      <w:pict>
        <v:shape style="position:absolute;margin-left:290.089996pt;margin-top:808.960632pt;width:18pt;height:12pt;mso-position-horizontal-relative:page;mso-position-vertical-relative:page;z-index:-16575488" type="#_x0000_t202" filled="false" stroked="false">
          <v:textbox inset="0,0,0,0">
            <w:txbxContent>
              <w:p>
                <w:pPr>
                  <w:spacing w:line="239" w:lineRule="exact" w:before="0"/>
                  <w:ind w:left="60" w:right="0" w:firstLine="0"/>
                  <w:jc w:val="left"/>
                  <w:rPr>
                    <w:rFonts w:ascii="黑体"/>
                    <w:sz w:val="20"/>
                  </w:rPr>
                </w:pPr>
                <w:r>
                  <w:rPr/>
                  <w:fldChar w:fldCharType="begin"/>
                </w:r>
                <w:r>
                  <w:rPr>
                    <w:rFonts w:ascii="黑体"/>
                    <w:color w:val="4A4B4D"/>
                    <w:sz w:val="20"/>
                  </w:rPr>
                  <w:instrText> PAGE </w:instrText>
                </w:r>
                <w:r>
                  <w:rPr/>
                  <w:fldChar w:fldCharType="separate"/>
                </w:r>
                <w:r>
                  <w:rPr/>
                  <w:t>11</w:t>
                </w:r>
                <w:r>
                  <w:rPr/>
                  <w:fldChar w:fldCharType="end"/>
                </w:r>
                <w:r>
                  <w:rPr>
                    <w:rFonts w:ascii="黑体"/>
                    <w:color w:val="4A4B4D"/>
                    <w:sz w:val="20"/>
                  </w:rPr>
                  <w:t> </w:t>
                </w:r>
              </w:p>
            </w:txbxContent>
          </v:textbox>
          <w10:wrap type="none"/>
        </v:shape>
      </w:pict>
    </w:r>
    <w:r>
      <w:rPr/>
      <w:pict>
        <v:shape style="position:absolute;margin-left:378.51001pt;margin-top:808.960632pt;width:182pt;height:12pt;mso-position-horizontal-relative:page;mso-position-vertical-relative:page;z-index:-16574976"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4A4B4D"/>
                    <w:sz w:val="20"/>
                  </w:rPr>
                  <w:t>敬请关注文后特别声明与免责条款 </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39.140015pt;margin-top:48.145607pt;width:56pt;height:11pt;mso-position-horizontal-relative:page;mso-position-vertical-relative:page;z-index:-16590336" type="#_x0000_t202" filled="false" stroked="false">
          <v:textbox inset="0,0,0,0">
            <w:txbxContent>
              <w:p>
                <w:pPr>
                  <w:spacing w:line="220" w:lineRule="exact" w:before="0"/>
                  <w:ind w:left="20" w:right="0" w:firstLine="0"/>
                  <w:jc w:val="left"/>
                  <w:rPr>
                    <w:rFonts w:ascii="黑体" w:eastAsia="黑体" w:hint="eastAsia"/>
                    <w:sz w:val="18"/>
                  </w:rPr>
                </w:pPr>
                <w:r>
                  <w:rPr>
                    <w:rFonts w:ascii="黑体" w:eastAsia="黑体" w:hint="eastAsia"/>
                    <w:color w:val="ED1D22"/>
                    <w:sz w:val="18"/>
                  </w:rPr>
                  <w:t>行 业 研 究</w:t>
                </w:r>
              </w:p>
            </w:txbxContent>
          </v:textbox>
          <w10:wrap type="none"/>
        </v:shape>
      </w:pict>
    </w:r>
    <w:r>
      <w:rPr/>
      <w:pict>
        <v:shape style="position:absolute;margin-left:513.900024pt;margin-top:48.145607pt;width:47.05pt;height:11pt;mso-position-horizontal-relative:page;mso-position-vertical-relative:page;z-index:-16589824" type="#_x0000_t202" filled="false" stroked="false">
          <v:textbox inset="0,0,0,0">
            <w:txbxContent>
              <w:p>
                <w:pPr>
                  <w:spacing w:line="220" w:lineRule="exact" w:before="0"/>
                  <w:ind w:left="20" w:right="0" w:firstLine="0"/>
                  <w:jc w:val="left"/>
                  <w:rPr>
                    <w:rFonts w:ascii="黑体"/>
                    <w:sz w:val="18"/>
                  </w:rPr>
                </w:pPr>
                <w:r>
                  <w:rPr>
                    <w:rFonts w:ascii="黑体"/>
                    <w:sz w:val="18"/>
                  </w:rPr>
                  <w:t>2023.10.19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728192">
          <wp:simplePos x="0" y="0"/>
          <wp:positionH relativeFrom="page">
            <wp:posOffset>630555</wp:posOffset>
          </wp:positionH>
          <wp:positionV relativeFrom="page">
            <wp:posOffset>288289</wp:posOffset>
          </wp:positionV>
          <wp:extent cx="1144270" cy="45339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144270" cy="453390"/>
                  </a:xfrm>
                  <a:prstGeom prst="rect">
                    <a:avLst/>
                  </a:prstGeom>
                </pic:spPr>
              </pic:pic>
            </a:graphicData>
          </a:graphic>
        </wp:anchor>
      </w:drawing>
    </w:r>
    <w:r>
      <w:rPr/>
      <w:pict>
        <v:rect style="position:absolute;margin-left:33.959999pt;margin-top:60.599983pt;width:527.38pt;height:.48pt;mso-position-horizontal-relative:page;mso-position-vertical-relative:page;z-index:-16587776" filled="true" fillcolor="#ed1d22" stroked="false">
          <v:fill type="solid"/>
          <w10:wrap type="none"/>
        </v:rect>
      </w:pict>
    </w:r>
    <w:r>
      <w:rPr/>
      <w:pict>
        <v:shape style="position:absolute;margin-left:453.899994pt;margin-top:44.920609pt;width:106.9pt;height:12pt;mso-position-horizontal-relative:page;mso-position-vertical-relative:page;z-index:-16587264"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FF0000"/>
                    <w:sz w:val="20"/>
                  </w:rPr>
                  <w:t>医药生物 行业深度报告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731264">
          <wp:simplePos x="0" y="0"/>
          <wp:positionH relativeFrom="page">
            <wp:posOffset>630555</wp:posOffset>
          </wp:positionH>
          <wp:positionV relativeFrom="page">
            <wp:posOffset>288289</wp:posOffset>
          </wp:positionV>
          <wp:extent cx="1144270" cy="45339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1" cstate="print"/>
                  <a:stretch>
                    <a:fillRect/>
                  </a:stretch>
                </pic:blipFill>
                <pic:spPr>
                  <a:xfrm>
                    <a:off x="0" y="0"/>
                    <a:ext cx="1144270" cy="453390"/>
                  </a:xfrm>
                  <a:prstGeom prst="rect">
                    <a:avLst/>
                  </a:prstGeom>
                </pic:spPr>
              </pic:pic>
            </a:graphicData>
          </a:graphic>
        </wp:anchor>
      </w:drawing>
    </w:r>
    <w:r>
      <w:rPr/>
      <w:pict>
        <v:rect style="position:absolute;margin-left:33.959999pt;margin-top:60.599983pt;width:527.38pt;height:.48pt;mso-position-horizontal-relative:page;mso-position-vertical-relative:page;z-index:-16584704" filled="true" fillcolor="#ed1d22" stroked="false">
          <v:fill type="solid"/>
          <w10:wrap type="none"/>
        </v:rect>
      </w:pict>
    </w:r>
    <w:r>
      <w:rPr/>
      <w:pict>
        <v:shape style="position:absolute;margin-left:453.899994pt;margin-top:44.920609pt;width:106.9pt;height:12pt;mso-position-horizontal-relative:page;mso-position-vertical-relative:page;z-index:-16584192"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FF0000"/>
                    <w:sz w:val="20"/>
                  </w:rPr>
                  <w:t>医药生物 行业深度报告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733824">
          <wp:simplePos x="0" y="0"/>
          <wp:positionH relativeFrom="page">
            <wp:posOffset>630555</wp:posOffset>
          </wp:positionH>
          <wp:positionV relativeFrom="page">
            <wp:posOffset>288289</wp:posOffset>
          </wp:positionV>
          <wp:extent cx="1144270" cy="45339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1" cstate="print"/>
                  <a:stretch>
                    <a:fillRect/>
                  </a:stretch>
                </pic:blipFill>
                <pic:spPr>
                  <a:xfrm>
                    <a:off x="0" y="0"/>
                    <a:ext cx="1144270" cy="453390"/>
                  </a:xfrm>
                  <a:prstGeom prst="rect">
                    <a:avLst/>
                  </a:prstGeom>
                </pic:spPr>
              </pic:pic>
            </a:graphicData>
          </a:graphic>
        </wp:anchor>
      </w:drawing>
    </w:r>
    <w:r>
      <w:rPr/>
      <w:pict>
        <v:rect style="position:absolute;margin-left:33.959999pt;margin-top:60.599983pt;width:527.38pt;height:.48pt;mso-position-horizontal-relative:page;mso-position-vertical-relative:page;z-index:-16582144" filled="true" fillcolor="#ed1d22" stroked="false">
          <v:fill type="solid"/>
          <w10:wrap type="none"/>
        </v:rect>
      </w:pict>
    </w:r>
    <w:r>
      <w:rPr/>
      <w:pict>
        <v:shape style="position:absolute;margin-left:453.899994pt;margin-top:44.920609pt;width:106.9pt;height:12pt;mso-position-horizontal-relative:page;mso-position-vertical-relative:page;z-index:-16581632"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FF0000"/>
                    <w:sz w:val="20"/>
                  </w:rPr>
                  <w:t>医药生物 行业深度报告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736896">
          <wp:simplePos x="0" y="0"/>
          <wp:positionH relativeFrom="page">
            <wp:posOffset>630555</wp:posOffset>
          </wp:positionH>
          <wp:positionV relativeFrom="page">
            <wp:posOffset>288289</wp:posOffset>
          </wp:positionV>
          <wp:extent cx="1144270" cy="45339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1" cstate="print"/>
                  <a:stretch>
                    <a:fillRect/>
                  </a:stretch>
                </pic:blipFill>
                <pic:spPr>
                  <a:xfrm>
                    <a:off x="0" y="0"/>
                    <a:ext cx="1144270" cy="453390"/>
                  </a:xfrm>
                  <a:prstGeom prst="rect">
                    <a:avLst/>
                  </a:prstGeom>
                </pic:spPr>
              </pic:pic>
            </a:graphicData>
          </a:graphic>
        </wp:anchor>
      </w:drawing>
    </w:r>
    <w:r>
      <w:rPr/>
      <w:pict>
        <v:rect style="position:absolute;margin-left:33.959999pt;margin-top:60.599983pt;width:527.38pt;height:.48pt;mso-position-horizontal-relative:page;mso-position-vertical-relative:page;z-index:-16579072" filled="true" fillcolor="#ed1d22" stroked="false">
          <v:fill type="solid"/>
          <w10:wrap type="none"/>
        </v:rect>
      </w:pict>
    </w:r>
    <w:r>
      <w:rPr/>
      <w:pict>
        <v:shape style="position:absolute;margin-left:453.899994pt;margin-top:44.920609pt;width:106.9pt;height:12pt;mso-position-horizontal-relative:page;mso-position-vertical-relative:page;z-index:-16578560"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FF0000"/>
                    <w:sz w:val="20"/>
                  </w:rPr>
                  <w:t>医药生物 行业深度报告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738944">
          <wp:simplePos x="0" y="0"/>
          <wp:positionH relativeFrom="page">
            <wp:posOffset>630555</wp:posOffset>
          </wp:positionH>
          <wp:positionV relativeFrom="page">
            <wp:posOffset>288289</wp:posOffset>
          </wp:positionV>
          <wp:extent cx="1144270" cy="453390"/>
          <wp:effectExtent l="0" t="0" r="0" b="0"/>
          <wp:wrapNone/>
          <wp:docPr id="35" name="image1.png"/>
          <wp:cNvGraphicFramePr>
            <a:graphicFrameLocks noChangeAspect="1"/>
          </wp:cNvGraphicFramePr>
          <a:graphic>
            <a:graphicData uri="http://schemas.openxmlformats.org/drawingml/2006/picture">
              <pic:pic>
                <pic:nvPicPr>
                  <pic:cNvPr id="36" name="image1.png"/>
                  <pic:cNvPicPr/>
                </pic:nvPicPr>
                <pic:blipFill>
                  <a:blip r:embed="rId1" cstate="print"/>
                  <a:stretch>
                    <a:fillRect/>
                  </a:stretch>
                </pic:blipFill>
                <pic:spPr>
                  <a:xfrm>
                    <a:off x="0" y="0"/>
                    <a:ext cx="1144270" cy="453390"/>
                  </a:xfrm>
                  <a:prstGeom prst="rect">
                    <a:avLst/>
                  </a:prstGeom>
                </pic:spPr>
              </pic:pic>
            </a:graphicData>
          </a:graphic>
        </wp:anchor>
      </w:drawing>
    </w:r>
    <w:r>
      <w:rPr/>
      <w:pict>
        <v:rect style="position:absolute;margin-left:33.959999pt;margin-top:60.599983pt;width:527.38pt;height:.48pt;mso-position-horizontal-relative:page;mso-position-vertical-relative:page;z-index:-16577024" filled="true" fillcolor="#ed1d22" stroked="false">
          <v:fill type="solid"/>
          <w10:wrap type="none"/>
        </v:rect>
      </w:pict>
    </w:r>
    <w:r>
      <w:rPr/>
      <w:pict>
        <v:shape style="position:absolute;margin-left:453.899994pt;margin-top:44.920609pt;width:106.9pt;height:12pt;mso-position-horizontal-relative:page;mso-position-vertical-relative:page;z-index:-16576512" type="#_x0000_t202" filled="false" stroked="false">
          <v:textbox inset="0,0,0,0">
            <w:txbxContent>
              <w:p>
                <w:pPr>
                  <w:spacing w:line="239" w:lineRule="exact" w:before="0"/>
                  <w:ind w:left="20" w:right="0" w:firstLine="0"/>
                  <w:jc w:val="left"/>
                  <w:rPr>
                    <w:rFonts w:ascii="黑体" w:eastAsia="黑体" w:hint="eastAsia"/>
                    <w:sz w:val="20"/>
                  </w:rPr>
                </w:pPr>
                <w:r>
                  <w:rPr>
                    <w:rFonts w:ascii="黑体" w:eastAsia="黑体" w:hint="eastAsia"/>
                    <w:color w:val="FF0000"/>
                    <w:sz w:val="20"/>
                  </w:rPr>
                  <w:t>医药生物 行业深度报告</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3744" w:hanging="420"/>
      </w:pPr>
      <w:rPr>
        <w:rFonts w:hint="default" w:ascii="Wingdings" w:hAnsi="Wingdings" w:eastAsia="Wingdings" w:cs="Wingdings"/>
        <w:w w:val="100"/>
        <w:sz w:val="21"/>
        <w:szCs w:val="21"/>
        <w:lang w:val="en-US" w:eastAsia="zh-CN" w:bidi="ar-SA"/>
      </w:rPr>
    </w:lvl>
    <w:lvl w:ilvl="1">
      <w:start w:val="0"/>
      <w:numFmt w:val="bullet"/>
      <w:lvlText w:val="•"/>
      <w:lvlJc w:val="left"/>
      <w:pPr>
        <w:ind w:left="4446" w:hanging="420"/>
      </w:pPr>
      <w:rPr>
        <w:rFonts w:hint="default"/>
        <w:lang w:val="en-US" w:eastAsia="zh-CN" w:bidi="ar-SA"/>
      </w:rPr>
    </w:lvl>
    <w:lvl w:ilvl="2">
      <w:start w:val="0"/>
      <w:numFmt w:val="bullet"/>
      <w:lvlText w:val="•"/>
      <w:lvlJc w:val="left"/>
      <w:pPr>
        <w:ind w:left="5153" w:hanging="420"/>
      </w:pPr>
      <w:rPr>
        <w:rFonts w:hint="default"/>
        <w:lang w:val="en-US" w:eastAsia="zh-CN" w:bidi="ar-SA"/>
      </w:rPr>
    </w:lvl>
    <w:lvl w:ilvl="3">
      <w:start w:val="0"/>
      <w:numFmt w:val="bullet"/>
      <w:lvlText w:val="•"/>
      <w:lvlJc w:val="left"/>
      <w:pPr>
        <w:ind w:left="5859" w:hanging="420"/>
      </w:pPr>
      <w:rPr>
        <w:rFonts w:hint="default"/>
        <w:lang w:val="en-US" w:eastAsia="zh-CN" w:bidi="ar-SA"/>
      </w:rPr>
    </w:lvl>
    <w:lvl w:ilvl="4">
      <w:start w:val="0"/>
      <w:numFmt w:val="bullet"/>
      <w:lvlText w:val="•"/>
      <w:lvlJc w:val="left"/>
      <w:pPr>
        <w:ind w:left="6566" w:hanging="420"/>
      </w:pPr>
      <w:rPr>
        <w:rFonts w:hint="default"/>
        <w:lang w:val="en-US" w:eastAsia="zh-CN" w:bidi="ar-SA"/>
      </w:rPr>
    </w:lvl>
    <w:lvl w:ilvl="5">
      <w:start w:val="0"/>
      <w:numFmt w:val="bullet"/>
      <w:lvlText w:val="•"/>
      <w:lvlJc w:val="left"/>
      <w:pPr>
        <w:ind w:left="7273" w:hanging="420"/>
      </w:pPr>
      <w:rPr>
        <w:rFonts w:hint="default"/>
        <w:lang w:val="en-US" w:eastAsia="zh-CN" w:bidi="ar-SA"/>
      </w:rPr>
    </w:lvl>
    <w:lvl w:ilvl="6">
      <w:start w:val="0"/>
      <w:numFmt w:val="bullet"/>
      <w:lvlText w:val="•"/>
      <w:lvlJc w:val="left"/>
      <w:pPr>
        <w:ind w:left="7979" w:hanging="420"/>
      </w:pPr>
      <w:rPr>
        <w:rFonts w:hint="default"/>
        <w:lang w:val="en-US" w:eastAsia="zh-CN" w:bidi="ar-SA"/>
      </w:rPr>
    </w:lvl>
    <w:lvl w:ilvl="7">
      <w:start w:val="0"/>
      <w:numFmt w:val="bullet"/>
      <w:lvlText w:val="•"/>
      <w:lvlJc w:val="left"/>
      <w:pPr>
        <w:ind w:left="8686" w:hanging="420"/>
      </w:pPr>
      <w:rPr>
        <w:rFonts w:hint="default"/>
        <w:lang w:val="en-US" w:eastAsia="zh-CN" w:bidi="ar-SA"/>
      </w:rPr>
    </w:lvl>
    <w:lvl w:ilvl="8">
      <w:start w:val="0"/>
      <w:numFmt w:val="bullet"/>
      <w:lvlText w:val="•"/>
      <w:lvlJc w:val="left"/>
      <w:pPr>
        <w:ind w:left="9393" w:hanging="420"/>
      </w:pPr>
      <w:rPr>
        <w:rFonts w:hint="default"/>
        <w:lang w:val="en-US" w:eastAsia="zh-CN" w:bidi="ar-SA"/>
      </w:rPr>
    </w:lvl>
  </w:abstractNum>
  <w:abstractNum w:abstractNumId="3">
    <w:multiLevelType w:val="hybridMultilevel"/>
    <w:lvl w:ilvl="0">
      <w:start w:val="1"/>
      <w:numFmt w:val="decimal"/>
      <w:lvlText w:val="%1）"/>
      <w:lvlJc w:val="left"/>
      <w:pPr>
        <w:ind w:left="3324" w:hanging="318"/>
        <w:jc w:val="left"/>
      </w:pPr>
      <w:rPr>
        <w:rFonts w:hint="default" w:ascii="楷体" w:hAnsi="楷体" w:eastAsia="楷体" w:cs="楷体"/>
        <w:w w:val="100"/>
        <w:sz w:val="19"/>
        <w:szCs w:val="19"/>
        <w:lang w:val="en-US" w:eastAsia="zh-CN" w:bidi="ar-SA"/>
      </w:rPr>
    </w:lvl>
    <w:lvl w:ilvl="1">
      <w:start w:val="0"/>
      <w:numFmt w:val="bullet"/>
      <w:lvlText w:val="•"/>
      <w:lvlJc w:val="left"/>
      <w:pPr>
        <w:ind w:left="4068" w:hanging="318"/>
      </w:pPr>
      <w:rPr>
        <w:rFonts w:hint="default"/>
        <w:lang w:val="en-US" w:eastAsia="zh-CN" w:bidi="ar-SA"/>
      </w:rPr>
    </w:lvl>
    <w:lvl w:ilvl="2">
      <w:start w:val="0"/>
      <w:numFmt w:val="bullet"/>
      <w:lvlText w:val="•"/>
      <w:lvlJc w:val="left"/>
      <w:pPr>
        <w:ind w:left="4817" w:hanging="318"/>
      </w:pPr>
      <w:rPr>
        <w:rFonts w:hint="default"/>
        <w:lang w:val="en-US" w:eastAsia="zh-CN" w:bidi="ar-SA"/>
      </w:rPr>
    </w:lvl>
    <w:lvl w:ilvl="3">
      <w:start w:val="0"/>
      <w:numFmt w:val="bullet"/>
      <w:lvlText w:val="•"/>
      <w:lvlJc w:val="left"/>
      <w:pPr>
        <w:ind w:left="5565" w:hanging="318"/>
      </w:pPr>
      <w:rPr>
        <w:rFonts w:hint="default"/>
        <w:lang w:val="en-US" w:eastAsia="zh-CN" w:bidi="ar-SA"/>
      </w:rPr>
    </w:lvl>
    <w:lvl w:ilvl="4">
      <w:start w:val="0"/>
      <w:numFmt w:val="bullet"/>
      <w:lvlText w:val="•"/>
      <w:lvlJc w:val="left"/>
      <w:pPr>
        <w:ind w:left="6314" w:hanging="318"/>
      </w:pPr>
      <w:rPr>
        <w:rFonts w:hint="default"/>
        <w:lang w:val="en-US" w:eastAsia="zh-CN" w:bidi="ar-SA"/>
      </w:rPr>
    </w:lvl>
    <w:lvl w:ilvl="5">
      <w:start w:val="0"/>
      <w:numFmt w:val="bullet"/>
      <w:lvlText w:val="•"/>
      <w:lvlJc w:val="left"/>
      <w:pPr>
        <w:ind w:left="7063" w:hanging="318"/>
      </w:pPr>
      <w:rPr>
        <w:rFonts w:hint="default"/>
        <w:lang w:val="en-US" w:eastAsia="zh-CN" w:bidi="ar-SA"/>
      </w:rPr>
    </w:lvl>
    <w:lvl w:ilvl="6">
      <w:start w:val="0"/>
      <w:numFmt w:val="bullet"/>
      <w:lvlText w:val="•"/>
      <w:lvlJc w:val="left"/>
      <w:pPr>
        <w:ind w:left="7811" w:hanging="318"/>
      </w:pPr>
      <w:rPr>
        <w:rFonts w:hint="default"/>
        <w:lang w:val="en-US" w:eastAsia="zh-CN" w:bidi="ar-SA"/>
      </w:rPr>
    </w:lvl>
    <w:lvl w:ilvl="7">
      <w:start w:val="0"/>
      <w:numFmt w:val="bullet"/>
      <w:lvlText w:val="•"/>
      <w:lvlJc w:val="left"/>
      <w:pPr>
        <w:ind w:left="8560" w:hanging="318"/>
      </w:pPr>
      <w:rPr>
        <w:rFonts w:hint="default"/>
        <w:lang w:val="en-US" w:eastAsia="zh-CN" w:bidi="ar-SA"/>
      </w:rPr>
    </w:lvl>
    <w:lvl w:ilvl="8">
      <w:start w:val="0"/>
      <w:numFmt w:val="bullet"/>
      <w:lvlText w:val="•"/>
      <w:lvlJc w:val="left"/>
      <w:pPr>
        <w:ind w:left="9309" w:hanging="318"/>
      </w:pPr>
      <w:rPr>
        <w:rFonts w:hint="default"/>
        <w:lang w:val="en-US" w:eastAsia="zh-CN" w:bidi="ar-SA"/>
      </w:rPr>
    </w:lvl>
  </w:abstractNum>
  <w:abstractNum w:abstractNumId="2">
    <w:multiLevelType w:val="hybridMultilevel"/>
    <w:lvl w:ilvl="0">
      <w:start w:val="1"/>
      <w:numFmt w:val="decimal"/>
      <w:lvlText w:val="%1"/>
      <w:lvlJc w:val="left"/>
      <w:pPr>
        <w:ind w:left="3511" w:hanging="188"/>
        <w:jc w:val="left"/>
      </w:pPr>
      <w:rPr>
        <w:rFonts w:hint="default" w:ascii="楷体" w:hAnsi="楷体" w:eastAsia="楷体" w:cs="楷体"/>
        <w:w w:val="100"/>
        <w:sz w:val="24"/>
        <w:szCs w:val="24"/>
        <w:lang w:val="en-US" w:eastAsia="zh-CN" w:bidi="ar-SA"/>
      </w:rPr>
    </w:lvl>
    <w:lvl w:ilvl="1">
      <w:start w:val="1"/>
      <w:numFmt w:val="decimal"/>
      <w:lvlText w:val="%1.%2"/>
      <w:lvlJc w:val="left"/>
      <w:pPr>
        <w:ind w:left="3696" w:hanging="372"/>
        <w:jc w:val="left"/>
      </w:pPr>
      <w:rPr>
        <w:rFonts w:hint="default" w:ascii="楷体" w:hAnsi="楷体" w:eastAsia="楷体" w:cs="楷体"/>
        <w:w w:val="100"/>
        <w:sz w:val="21"/>
        <w:szCs w:val="21"/>
        <w:lang w:val="en-US" w:eastAsia="zh-CN" w:bidi="ar-SA"/>
      </w:rPr>
    </w:lvl>
    <w:lvl w:ilvl="2">
      <w:start w:val="0"/>
      <w:numFmt w:val="bullet"/>
      <w:lvlText w:val="•"/>
      <w:lvlJc w:val="left"/>
      <w:pPr>
        <w:ind w:left="4489" w:hanging="372"/>
      </w:pPr>
      <w:rPr>
        <w:rFonts w:hint="default"/>
        <w:lang w:val="en-US" w:eastAsia="zh-CN" w:bidi="ar-SA"/>
      </w:rPr>
    </w:lvl>
    <w:lvl w:ilvl="3">
      <w:start w:val="0"/>
      <w:numFmt w:val="bullet"/>
      <w:lvlText w:val="•"/>
      <w:lvlJc w:val="left"/>
      <w:pPr>
        <w:ind w:left="5279" w:hanging="372"/>
      </w:pPr>
      <w:rPr>
        <w:rFonts w:hint="default"/>
        <w:lang w:val="en-US" w:eastAsia="zh-CN" w:bidi="ar-SA"/>
      </w:rPr>
    </w:lvl>
    <w:lvl w:ilvl="4">
      <w:start w:val="0"/>
      <w:numFmt w:val="bullet"/>
      <w:lvlText w:val="•"/>
      <w:lvlJc w:val="left"/>
      <w:pPr>
        <w:ind w:left="6068" w:hanging="372"/>
      </w:pPr>
      <w:rPr>
        <w:rFonts w:hint="default"/>
        <w:lang w:val="en-US" w:eastAsia="zh-CN" w:bidi="ar-SA"/>
      </w:rPr>
    </w:lvl>
    <w:lvl w:ilvl="5">
      <w:start w:val="0"/>
      <w:numFmt w:val="bullet"/>
      <w:lvlText w:val="•"/>
      <w:lvlJc w:val="left"/>
      <w:pPr>
        <w:ind w:left="6858" w:hanging="372"/>
      </w:pPr>
      <w:rPr>
        <w:rFonts w:hint="default"/>
        <w:lang w:val="en-US" w:eastAsia="zh-CN" w:bidi="ar-SA"/>
      </w:rPr>
    </w:lvl>
    <w:lvl w:ilvl="6">
      <w:start w:val="0"/>
      <w:numFmt w:val="bullet"/>
      <w:lvlText w:val="•"/>
      <w:lvlJc w:val="left"/>
      <w:pPr>
        <w:ind w:left="7648" w:hanging="372"/>
      </w:pPr>
      <w:rPr>
        <w:rFonts w:hint="default"/>
        <w:lang w:val="en-US" w:eastAsia="zh-CN" w:bidi="ar-SA"/>
      </w:rPr>
    </w:lvl>
    <w:lvl w:ilvl="7">
      <w:start w:val="0"/>
      <w:numFmt w:val="bullet"/>
      <w:lvlText w:val="•"/>
      <w:lvlJc w:val="left"/>
      <w:pPr>
        <w:ind w:left="8437" w:hanging="372"/>
      </w:pPr>
      <w:rPr>
        <w:rFonts w:hint="default"/>
        <w:lang w:val="en-US" w:eastAsia="zh-CN" w:bidi="ar-SA"/>
      </w:rPr>
    </w:lvl>
    <w:lvl w:ilvl="8">
      <w:start w:val="0"/>
      <w:numFmt w:val="bullet"/>
      <w:lvlText w:val="•"/>
      <w:lvlJc w:val="left"/>
      <w:pPr>
        <w:ind w:left="9227" w:hanging="372"/>
      </w:pPr>
      <w:rPr>
        <w:rFonts w:hint="default"/>
        <w:lang w:val="en-US" w:eastAsia="zh-CN" w:bidi="ar-SA"/>
      </w:rPr>
    </w:lvl>
  </w:abstractNum>
  <w:abstractNum w:abstractNumId="1">
    <w:multiLevelType w:val="hybridMultilevel"/>
    <w:lvl w:ilvl="0">
      <w:start w:val="1"/>
      <w:numFmt w:val="decimal"/>
      <w:lvlText w:val="%1"/>
      <w:lvlJc w:val="left"/>
      <w:pPr>
        <w:ind w:left="359" w:hanging="212"/>
        <w:jc w:val="left"/>
      </w:pPr>
      <w:rPr>
        <w:rFonts w:hint="default" w:ascii="楷体" w:hAnsi="楷体" w:eastAsia="楷体" w:cs="楷体"/>
        <w:w w:val="100"/>
        <w:sz w:val="21"/>
        <w:szCs w:val="21"/>
        <w:lang w:val="en-US" w:eastAsia="zh-CN" w:bidi="ar-SA"/>
      </w:rPr>
    </w:lvl>
    <w:lvl w:ilvl="1">
      <w:start w:val="1"/>
      <w:numFmt w:val="decimal"/>
      <w:lvlText w:val="%1.%2"/>
      <w:lvlJc w:val="left"/>
      <w:pPr>
        <w:ind w:left="990" w:hanging="423"/>
        <w:jc w:val="left"/>
      </w:pPr>
      <w:rPr>
        <w:rFonts w:hint="default" w:ascii="楷体" w:hAnsi="楷体" w:eastAsia="楷体" w:cs="楷体"/>
        <w:w w:val="100"/>
        <w:sz w:val="21"/>
        <w:szCs w:val="21"/>
        <w:lang w:val="en-US" w:eastAsia="zh-CN" w:bidi="ar-SA"/>
      </w:rPr>
    </w:lvl>
    <w:lvl w:ilvl="2">
      <w:start w:val="0"/>
      <w:numFmt w:val="bullet"/>
      <w:lvlText w:val="•"/>
      <w:lvlJc w:val="left"/>
      <w:pPr>
        <w:ind w:left="2089" w:hanging="423"/>
      </w:pPr>
      <w:rPr>
        <w:rFonts w:hint="default"/>
        <w:lang w:val="en-US" w:eastAsia="zh-CN" w:bidi="ar-SA"/>
      </w:rPr>
    </w:lvl>
    <w:lvl w:ilvl="3">
      <w:start w:val="0"/>
      <w:numFmt w:val="bullet"/>
      <w:lvlText w:val="•"/>
      <w:lvlJc w:val="left"/>
      <w:pPr>
        <w:ind w:left="3179" w:hanging="423"/>
      </w:pPr>
      <w:rPr>
        <w:rFonts w:hint="default"/>
        <w:lang w:val="en-US" w:eastAsia="zh-CN" w:bidi="ar-SA"/>
      </w:rPr>
    </w:lvl>
    <w:lvl w:ilvl="4">
      <w:start w:val="0"/>
      <w:numFmt w:val="bullet"/>
      <w:lvlText w:val="•"/>
      <w:lvlJc w:val="left"/>
      <w:pPr>
        <w:ind w:left="4268" w:hanging="423"/>
      </w:pPr>
      <w:rPr>
        <w:rFonts w:hint="default"/>
        <w:lang w:val="en-US" w:eastAsia="zh-CN" w:bidi="ar-SA"/>
      </w:rPr>
    </w:lvl>
    <w:lvl w:ilvl="5">
      <w:start w:val="0"/>
      <w:numFmt w:val="bullet"/>
      <w:lvlText w:val="•"/>
      <w:lvlJc w:val="left"/>
      <w:pPr>
        <w:ind w:left="5358" w:hanging="423"/>
      </w:pPr>
      <w:rPr>
        <w:rFonts w:hint="default"/>
        <w:lang w:val="en-US" w:eastAsia="zh-CN" w:bidi="ar-SA"/>
      </w:rPr>
    </w:lvl>
    <w:lvl w:ilvl="6">
      <w:start w:val="0"/>
      <w:numFmt w:val="bullet"/>
      <w:lvlText w:val="•"/>
      <w:lvlJc w:val="left"/>
      <w:pPr>
        <w:ind w:left="6448" w:hanging="423"/>
      </w:pPr>
      <w:rPr>
        <w:rFonts w:hint="default"/>
        <w:lang w:val="en-US" w:eastAsia="zh-CN" w:bidi="ar-SA"/>
      </w:rPr>
    </w:lvl>
    <w:lvl w:ilvl="7">
      <w:start w:val="0"/>
      <w:numFmt w:val="bullet"/>
      <w:lvlText w:val="•"/>
      <w:lvlJc w:val="left"/>
      <w:pPr>
        <w:ind w:left="7537" w:hanging="423"/>
      </w:pPr>
      <w:rPr>
        <w:rFonts w:hint="default"/>
        <w:lang w:val="en-US" w:eastAsia="zh-CN" w:bidi="ar-SA"/>
      </w:rPr>
    </w:lvl>
    <w:lvl w:ilvl="8">
      <w:start w:val="0"/>
      <w:numFmt w:val="bullet"/>
      <w:lvlText w:val="•"/>
      <w:lvlJc w:val="left"/>
      <w:pPr>
        <w:ind w:left="8627" w:hanging="423"/>
      </w:pPr>
      <w:rPr>
        <w:rFonts w:hint="default"/>
        <w:lang w:val="en-US" w:eastAsia="zh-CN" w:bidi="ar-SA"/>
      </w:rPr>
    </w:lvl>
  </w:abstractNum>
  <w:abstractNum w:abstractNumId="0">
    <w:multiLevelType w:val="hybridMultilevel"/>
    <w:lvl w:ilvl="0">
      <w:start w:val="1"/>
      <w:numFmt w:val="decimal"/>
      <w:lvlText w:val="%1）"/>
      <w:lvlJc w:val="left"/>
      <w:pPr>
        <w:ind w:left="568" w:hanging="420"/>
        <w:jc w:val="left"/>
      </w:pPr>
      <w:rPr>
        <w:rFonts w:hint="default" w:ascii="Times New Roman" w:hAnsi="Times New Roman" w:eastAsia="Times New Roman" w:cs="Times New Roman"/>
        <w:color w:val="221F1F"/>
        <w:w w:val="100"/>
        <w:sz w:val="21"/>
        <w:szCs w:val="21"/>
        <w:lang w:val="en-US" w:eastAsia="zh-CN" w:bidi="ar-SA"/>
      </w:rPr>
    </w:lvl>
    <w:lvl w:ilvl="1">
      <w:start w:val="0"/>
      <w:numFmt w:val="bullet"/>
      <w:lvlText w:val="•"/>
      <w:lvlJc w:val="left"/>
      <w:pPr>
        <w:ind w:left="1215" w:hanging="420"/>
      </w:pPr>
      <w:rPr>
        <w:rFonts w:hint="default"/>
        <w:lang w:val="en-US" w:eastAsia="zh-CN" w:bidi="ar-SA"/>
      </w:rPr>
    </w:lvl>
    <w:lvl w:ilvl="2">
      <w:start w:val="0"/>
      <w:numFmt w:val="bullet"/>
      <w:lvlText w:val="•"/>
      <w:lvlJc w:val="left"/>
      <w:pPr>
        <w:ind w:left="1871" w:hanging="420"/>
      </w:pPr>
      <w:rPr>
        <w:rFonts w:hint="default"/>
        <w:lang w:val="en-US" w:eastAsia="zh-CN" w:bidi="ar-SA"/>
      </w:rPr>
    </w:lvl>
    <w:lvl w:ilvl="3">
      <w:start w:val="0"/>
      <w:numFmt w:val="bullet"/>
      <w:lvlText w:val="•"/>
      <w:lvlJc w:val="left"/>
      <w:pPr>
        <w:ind w:left="2527" w:hanging="420"/>
      </w:pPr>
      <w:rPr>
        <w:rFonts w:hint="default"/>
        <w:lang w:val="en-US" w:eastAsia="zh-CN" w:bidi="ar-SA"/>
      </w:rPr>
    </w:lvl>
    <w:lvl w:ilvl="4">
      <w:start w:val="0"/>
      <w:numFmt w:val="bullet"/>
      <w:lvlText w:val="•"/>
      <w:lvlJc w:val="left"/>
      <w:pPr>
        <w:ind w:left="3183" w:hanging="420"/>
      </w:pPr>
      <w:rPr>
        <w:rFonts w:hint="default"/>
        <w:lang w:val="en-US" w:eastAsia="zh-CN" w:bidi="ar-SA"/>
      </w:rPr>
    </w:lvl>
    <w:lvl w:ilvl="5">
      <w:start w:val="0"/>
      <w:numFmt w:val="bullet"/>
      <w:lvlText w:val="•"/>
      <w:lvlJc w:val="left"/>
      <w:pPr>
        <w:ind w:left="3839" w:hanging="420"/>
      </w:pPr>
      <w:rPr>
        <w:rFonts w:hint="default"/>
        <w:lang w:val="en-US" w:eastAsia="zh-CN" w:bidi="ar-SA"/>
      </w:rPr>
    </w:lvl>
    <w:lvl w:ilvl="6">
      <w:start w:val="0"/>
      <w:numFmt w:val="bullet"/>
      <w:lvlText w:val="•"/>
      <w:lvlJc w:val="left"/>
      <w:pPr>
        <w:ind w:left="4495" w:hanging="420"/>
      </w:pPr>
      <w:rPr>
        <w:rFonts w:hint="default"/>
        <w:lang w:val="en-US" w:eastAsia="zh-CN" w:bidi="ar-SA"/>
      </w:rPr>
    </w:lvl>
    <w:lvl w:ilvl="7">
      <w:start w:val="0"/>
      <w:numFmt w:val="bullet"/>
      <w:lvlText w:val="•"/>
      <w:lvlJc w:val="left"/>
      <w:pPr>
        <w:ind w:left="5151" w:hanging="420"/>
      </w:pPr>
      <w:rPr>
        <w:rFonts w:hint="default"/>
        <w:lang w:val="en-US" w:eastAsia="zh-CN" w:bidi="ar-SA"/>
      </w:rPr>
    </w:lvl>
    <w:lvl w:ilvl="8">
      <w:start w:val="0"/>
      <w:numFmt w:val="bullet"/>
      <w:lvlText w:val="•"/>
      <w:lvlJc w:val="left"/>
      <w:pPr>
        <w:ind w:left="5807" w:hanging="420"/>
      </w:pPr>
      <w:rPr>
        <w:rFonts w:hint="default"/>
        <w:lang w:val="en-US" w:eastAsia="zh-CN"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楷体" w:hAnsi="楷体" w:eastAsia="楷体" w:cs="楷体"/>
      <w:lang w:val="en-US" w:eastAsia="zh-CN" w:bidi="ar-SA"/>
    </w:rPr>
  </w:style>
  <w:style w:styleId="TOC1" w:type="paragraph">
    <w:name w:val="TOC 1"/>
    <w:basedOn w:val="Normal"/>
    <w:uiPriority w:val="1"/>
    <w:qFormat/>
    <w:pPr>
      <w:spacing w:before="43"/>
      <w:ind w:left="359" w:hanging="213"/>
    </w:pPr>
    <w:rPr>
      <w:rFonts w:ascii="楷体" w:hAnsi="楷体" w:eastAsia="楷体" w:cs="楷体"/>
      <w:sz w:val="21"/>
      <w:szCs w:val="21"/>
      <w:lang w:val="en-US" w:eastAsia="zh-CN" w:bidi="ar-SA"/>
    </w:rPr>
  </w:style>
  <w:style w:styleId="TOC2" w:type="paragraph">
    <w:name w:val="TOC 2"/>
    <w:basedOn w:val="Normal"/>
    <w:uiPriority w:val="1"/>
    <w:qFormat/>
    <w:pPr>
      <w:spacing w:before="42"/>
      <w:ind w:left="990" w:hanging="423"/>
    </w:pPr>
    <w:rPr>
      <w:rFonts w:ascii="楷体" w:hAnsi="楷体" w:eastAsia="楷体" w:cs="楷体"/>
      <w:sz w:val="21"/>
      <w:szCs w:val="21"/>
      <w:lang w:val="en-US" w:eastAsia="zh-CN" w:bidi="ar-SA"/>
    </w:rPr>
  </w:style>
  <w:style w:styleId="TOC3" w:type="paragraph">
    <w:name w:val="TOC 3"/>
    <w:basedOn w:val="Normal"/>
    <w:uiPriority w:val="1"/>
    <w:qFormat/>
    <w:pPr>
      <w:spacing w:before="43"/>
      <w:ind w:left="1619"/>
    </w:pPr>
    <w:rPr>
      <w:rFonts w:ascii="楷体" w:hAnsi="楷体" w:eastAsia="楷体" w:cs="楷体"/>
      <w:sz w:val="21"/>
      <w:szCs w:val="21"/>
      <w:lang w:val="en-US" w:eastAsia="zh-CN" w:bidi="ar-SA"/>
    </w:rPr>
  </w:style>
  <w:style w:styleId="BodyText" w:type="paragraph">
    <w:name w:val="Body Text"/>
    <w:basedOn w:val="Normal"/>
    <w:uiPriority w:val="1"/>
    <w:qFormat/>
    <w:pPr/>
    <w:rPr>
      <w:rFonts w:ascii="楷体" w:hAnsi="楷体" w:eastAsia="楷体" w:cs="楷体"/>
      <w:sz w:val="21"/>
      <w:szCs w:val="21"/>
      <w:lang w:val="en-US" w:eastAsia="zh-CN" w:bidi="ar-SA"/>
    </w:rPr>
  </w:style>
  <w:style w:styleId="Heading1" w:type="paragraph">
    <w:name w:val="Heading 1"/>
    <w:basedOn w:val="Normal"/>
    <w:uiPriority w:val="1"/>
    <w:qFormat/>
    <w:pPr>
      <w:ind w:left="147"/>
      <w:outlineLvl w:val="1"/>
    </w:pPr>
    <w:rPr>
      <w:rFonts w:ascii="黑体" w:hAnsi="黑体" w:eastAsia="黑体" w:cs="黑体"/>
      <w:b/>
      <w:bCs/>
      <w:sz w:val="24"/>
      <w:szCs w:val="24"/>
      <w:lang w:val="en-US" w:eastAsia="zh-CN" w:bidi="ar-SA"/>
    </w:rPr>
  </w:style>
  <w:style w:styleId="Heading2" w:type="paragraph">
    <w:name w:val="Heading 2"/>
    <w:basedOn w:val="Normal"/>
    <w:uiPriority w:val="1"/>
    <w:qFormat/>
    <w:pPr>
      <w:spacing w:before="66"/>
      <w:ind w:left="3511" w:hanging="188"/>
      <w:outlineLvl w:val="2"/>
    </w:pPr>
    <w:rPr>
      <w:rFonts w:ascii="楷体" w:hAnsi="楷体" w:eastAsia="楷体" w:cs="楷体"/>
      <w:sz w:val="24"/>
      <w:szCs w:val="24"/>
      <w:lang w:val="en-US" w:eastAsia="zh-CN" w:bidi="ar-SA"/>
    </w:rPr>
  </w:style>
  <w:style w:styleId="Title" w:type="paragraph">
    <w:name w:val="Title"/>
    <w:basedOn w:val="Normal"/>
    <w:uiPriority w:val="1"/>
    <w:qFormat/>
    <w:pPr>
      <w:spacing w:before="142"/>
      <w:ind w:left="318"/>
    </w:pPr>
    <w:rPr>
      <w:rFonts w:ascii="黑体" w:hAnsi="黑体" w:eastAsia="黑体" w:cs="黑体"/>
      <w:sz w:val="32"/>
      <w:szCs w:val="32"/>
      <w:lang w:val="en-US" w:eastAsia="zh-CN" w:bidi="ar-SA"/>
    </w:rPr>
  </w:style>
  <w:style w:styleId="ListParagraph" w:type="paragraph">
    <w:name w:val="List Paragraph"/>
    <w:basedOn w:val="Normal"/>
    <w:uiPriority w:val="1"/>
    <w:qFormat/>
    <w:pPr>
      <w:ind w:left="3744" w:hanging="420"/>
    </w:pPr>
    <w:rPr>
      <w:rFonts w:ascii="楷体" w:hAnsi="楷体" w:eastAsia="楷体" w:cs="楷体"/>
      <w:lang w:val="en-US" w:eastAsia="zh-CN" w:bidi="ar-SA"/>
    </w:rPr>
  </w:style>
  <w:style w:styleId="TableParagraph" w:type="paragraph">
    <w:name w:val="Table Paragraph"/>
    <w:basedOn w:val="Normal"/>
    <w:uiPriority w:val="1"/>
    <w:qFormat/>
    <w:pPr>
      <w:spacing w:before="41"/>
      <w:jc w:val="center"/>
    </w:pPr>
    <w:rPr>
      <w:rFonts w:ascii="楷体" w:hAnsi="楷体" w:eastAsia="楷体" w:cs="楷体"/>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eader" Target="header4.xml"/><Relationship Id="rId21" Type="http://schemas.openxmlformats.org/officeDocument/2006/relationships/footer" Target="footer4.xml"/><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eg"/><Relationship Id="rId29" Type="http://schemas.openxmlformats.org/officeDocument/2006/relationships/header" Target="header5.xml"/><Relationship Id="rId30" Type="http://schemas.openxmlformats.org/officeDocument/2006/relationships/footer" Target="footer5.xml"/><Relationship Id="rId31" Type="http://schemas.openxmlformats.org/officeDocument/2006/relationships/image" Target="media/image17.png"/><Relationship Id="rId32" Type="http://schemas.openxmlformats.org/officeDocument/2006/relationships/header" Target="header6.xml"/><Relationship Id="rId33" Type="http://schemas.openxmlformats.org/officeDocument/2006/relationships/footer" Target="footer6.xml"/><Relationship Id="rId34" Type="http://schemas.openxmlformats.org/officeDocument/2006/relationships/image" Target="media/image18.png"/><Relationship Id="rId35" Type="http://schemas.openxmlformats.org/officeDocument/2006/relationships/image" Target="media/image19.jpeg"/><Relationship Id="rId36" Type="http://schemas.openxmlformats.org/officeDocument/2006/relationships/image" Target="media/image20.pn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hyperlink" Target="mailto:yjzx@foundersc.com" TargetMode="External"/><Relationship Id="rId40"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2023-10-28T07:30:36Z</dcterms:created>
  <dcterms:modified xsi:type="dcterms:W3CDTF">2023-10-28T07:30:36Z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2023-10-19T00:00:00Z</vt:filetime>
  </property>
  <property fmtid="{D5CDD505-2E9C-101B-9397-08002B2CF9AE}" pid="3" name="Creator">
    <vt:lpwstr>Aspose Ltd.</vt:lpwstr>
  </property>
  <property fmtid="{D5CDD505-2E9C-101B-9397-08002B2CF9AE}" pid="4" name="LastSaved">
    <vt:filetime>2023-10-28T00:00:00Z</vt:filetime>
  </property>
</Properties>
</file>